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259B2E">
      <w:pPr>
        <w:spacing w:line="360" w:lineRule="auto"/>
        <w:rPr>
          <w:rFonts w:ascii="宋体" w:hAnsi="宋体" w:eastAsia="宋体" w:cs="宋体"/>
          <w:color w:val="auto"/>
          <w:highlight w:val="none"/>
        </w:rPr>
      </w:pPr>
    </w:p>
    <w:p w14:paraId="5A83ABD2">
      <w:pPr>
        <w:spacing w:line="360" w:lineRule="auto"/>
        <w:rPr>
          <w:rFonts w:ascii="宋体" w:hAnsi="宋体" w:eastAsia="宋体" w:cs="宋体"/>
          <w:color w:val="auto"/>
          <w:highlight w:val="none"/>
        </w:rPr>
      </w:pPr>
    </w:p>
    <w:p w14:paraId="4264E19E">
      <w:pPr>
        <w:spacing w:line="360" w:lineRule="auto"/>
        <w:rPr>
          <w:rFonts w:ascii="宋体" w:hAnsi="宋体" w:eastAsia="宋体" w:cs="宋体"/>
          <w:color w:val="auto"/>
          <w:highlight w:val="none"/>
        </w:rPr>
      </w:pPr>
    </w:p>
    <w:p w14:paraId="4FDE739A">
      <w:pPr>
        <w:spacing w:line="360" w:lineRule="auto"/>
        <w:jc w:val="center"/>
        <w:rPr>
          <w:rFonts w:ascii="宋体" w:hAnsi="宋体" w:eastAsia="宋体" w:cs="宋体"/>
          <w:color w:val="auto"/>
          <w:sz w:val="44"/>
          <w:szCs w:val="44"/>
          <w:highlight w:val="none"/>
        </w:rPr>
      </w:pPr>
      <w:r>
        <w:rPr>
          <w:rFonts w:hint="eastAsia" w:ascii="宋体" w:hAnsi="宋体" w:eastAsia="宋体" w:cs="宋体"/>
          <w:color w:val="auto"/>
          <w:sz w:val="44"/>
          <w:szCs w:val="44"/>
          <w:highlight w:val="none"/>
          <w:lang w:eastAsia="zh-CN"/>
        </w:rPr>
        <w:t>乌鲁木齐市沙依巴克区炉院街街道办事处后勤保障服务项目(餐饮服务)</w:t>
      </w:r>
    </w:p>
    <w:p w14:paraId="433DA975">
      <w:pPr>
        <w:pStyle w:val="2"/>
        <w:keepNext w:val="0"/>
        <w:keepLines w:val="0"/>
        <w:widowControl/>
        <w:spacing w:line="360" w:lineRule="auto"/>
        <w:jc w:val="center"/>
        <w:rPr>
          <w:rFonts w:ascii="宋体" w:hAnsi="宋体" w:cs="宋体"/>
          <w:color w:val="auto"/>
          <w:sz w:val="24"/>
          <w:szCs w:val="24"/>
          <w:highlight w:val="none"/>
        </w:rPr>
      </w:pPr>
      <w:bookmarkStart w:id="0" w:name="_Toc17081"/>
      <w:bookmarkStart w:id="1" w:name="_Toc27392"/>
      <w:bookmarkStart w:id="2" w:name="_Toc1151"/>
      <w:r>
        <w:rPr>
          <w:rFonts w:hint="eastAsia" w:ascii="宋体" w:hAnsi="宋体" w:cs="宋体"/>
          <w:b/>
          <w:bCs/>
          <w:color w:val="auto"/>
          <w:sz w:val="24"/>
          <w:szCs w:val="24"/>
          <w:highlight w:val="none"/>
        </w:rPr>
        <w:drawing>
          <wp:anchor distT="0" distB="0" distL="114300" distR="114300" simplePos="0" relativeHeight="251659264" behindDoc="0" locked="0" layoutInCell="1" allowOverlap="1">
            <wp:simplePos x="0" y="0"/>
            <wp:positionH relativeFrom="column">
              <wp:posOffset>1925955</wp:posOffset>
            </wp:positionH>
            <wp:positionV relativeFrom="page">
              <wp:posOffset>3571240</wp:posOffset>
            </wp:positionV>
            <wp:extent cx="1348105" cy="1680845"/>
            <wp:effectExtent l="0" t="0" r="10795" b="8255"/>
            <wp:wrapTopAndBottom/>
            <wp:docPr id="5"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LOGO"/>
                    <pic:cNvPicPr>
                      <a:picLocks noChangeAspect="1"/>
                    </pic:cNvPicPr>
                  </pic:nvPicPr>
                  <pic:blipFill>
                    <a:blip r:embed="rId12"/>
                    <a:stretch>
                      <a:fillRect/>
                    </a:stretch>
                  </pic:blipFill>
                  <pic:spPr>
                    <a:xfrm>
                      <a:off x="0" y="0"/>
                      <a:ext cx="1348105" cy="1680845"/>
                    </a:xfrm>
                    <a:prstGeom prst="rect">
                      <a:avLst/>
                    </a:prstGeom>
                    <a:noFill/>
                    <a:ln>
                      <a:noFill/>
                    </a:ln>
                  </pic:spPr>
                </pic:pic>
              </a:graphicData>
            </a:graphic>
          </wp:anchor>
        </w:drawing>
      </w:r>
      <w:r>
        <w:rPr>
          <w:rFonts w:hint="eastAsia" w:ascii="宋体" w:hAnsi="宋体" w:cs="宋体"/>
          <w:b w:val="0"/>
          <w:bCs w:val="0"/>
          <w:color w:val="auto"/>
          <w:sz w:val="84"/>
          <w:szCs w:val="84"/>
          <w:highlight w:val="none"/>
        </w:rPr>
        <w:t>竞争性磋商文件</w:t>
      </w:r>
      <w:bookmarkEnd w:id="0"/>
      <w:bookmarkEnd w:id="1"/>
      <w:bookmarkEnd w:id="2"/>
    </w:p>
    <w:p w14:paraId="4157EF6F">
      <w:pPr>
        <w:spacing w:line="360" w:lineRule="auto"/>
        <w:jc w:val="center"/>
        <w:rPr>
          <w:rFonts w:ascii="宋体" w:hAnsi="宋体" w:cs="宋体"/>
          <w:b/>
          <w:bCs/>
          <w:color w:val="auto"/>
          <w:sz w:val="24"/>
          <w:szCs w:val="24"/>
          <w:highlight w:val="none"/>
        </w:rPr>
      </w:pPr>
      <w:r>
        <w:rPr>
          <w:rFonts w:hint="eastAsia" w:cs="宋体"/>
          <w:b/>
          <w:color w:val="auto"/>
          <w:sz w:val="32"/>
          <w:szCs w:val="32"/>
          <w:highlight w:val="none"/>
          <w:lang w:eastAsia="zh-CN"/>
        </w:rPr>
        <w:t>项目编号：TC269H0CT</w:t>
      </w:r>
    </w:p>
    <w:p w14:paraId="16E3715B">
      <w:pPr>
        <w:snapToGrid w:val="0"/>
        <w:spacing w:line="360" w:lineRule="auto"/>
        <w:ind w:right="-191"/>
        <w:rPr>
          <w:rFonts w:hint="eastAsia" w:ascii="宋体" w:hAnsi="宋体" w:eastAsia="宋体" w:cs="宋体"/>
          <w:b/>
          <w:color w:val="auto"/>
          <w:sz w:val="32"/>
          <w:szCs w:val="32"/>
          <w:highlight w:val="none"/>
        </w:rPr>
      </w:pPr>
    </w:p>
    <w:p w14:paraId="5B969413">
      <w:pPr>
        <w:snapToGrid w:val="0"/>
        <w:spacing w:line="360" w:lineRule="auto"/>
        <w:ind w:right="-191"/>
        <w:rPr>
          <w:rFonts w:hint="eastAsia" w:ascii="宋体" w:hAnsi="宋体" w:eastAsia="宋体" w:cs="宋体"/>
          <w:b/>
          <w:color w:val="auto"/>
          <w:sz w:val="32"/>
          <w:szCs w:val="32"/>
          <w:highlight w:val="none"/>
        </w:rPr>
      </w:pPr>
    </w:p>
    <w:p w14:paraId="455CF727">
      <w:pPr>
        <w:snapToGrid w:val="0"/>
        <w:spacing w:line="360" w:lineRule="auto"/>
        <w:ind w:left="960" w:leftChars="400" w:right="-191" w:firstLine="0" w:firstLineChars="0"/>
        <w:rPr>
          <w:rFonts w:hint="eastAsia" w:cs="宋体"/>
          <w:b/>
          <w:color w:val="auto"/>
          <w:sz w:val="32"/>
          <w:szCs w:val="32"/>
          <w:highlight w:val="none"/>
          <w:lang w:eastAsia="zh-CN"/>
        </w:rPr>
      </w:pPr>
      <w:r>
        <w:rPr>
          <w:rFonts w:hint="eastAsia" w:ascii="宋体" w:hAnsi="宋体" w:eastAsia="宋体" w:cs="宋体"/>
          <w:b/>
          <w:color w:val="auto"/>
          <w:sz w:val="32"/>
          <w:szCs w:val="32"/>
          <w:highlight w:val="none"/>
        </w:rPr>
        <w:t>采 购 人：</w:t>
      </w:r>
      <w:r>
        <w:rPr>
          <w:rFonts w:hint="eastAsia" w:cs="宋体"/>
          <w:b/>
          <w:color w:val="auto"/>
          <w:sz w:val="32"/>
          <w:szCs w:val="32"/>
          <w:highlight w:val="none"/>
          <w:lang w:eastAsia="zh-CN"/>
        </w:rPr>
        <w:t>乌鲁木齐市沙依巴克区炉院街街道办事处</w:t>
      </w:r>
    </w:p>
    <w:p w14:paraId="6750D1B7">
      <w:pPr>
        <w:snapToGrid w:val="0"/>
        <w:spacing w:line="360" w:lineRule="auto"/>
        <w:ind w:left="960" w:leftChars="400" w:right="-191" w:firstLine="0" w:firstLineChars="0"/>
        <w:rPr>
          <w:rFonts w:hint="eastAsia" w:cs="宋体"/>
          <w:b/>
          <w:color w:val="auto"/>
          <w:sz w:val="32"/>
          <w:szCs w:val="32"/>
          <w:highlight w:val="none"/>
          <w:lang w:eastAsia="zh-CN"/>
        </w:rPr>
      </w:pPr>
      <w:r>
        <w:rPr>
          <w:rFonts w:hint="eastAsia" w:cs="宋体"/>
          <w:b/>
          <w:color w:val="auto"/>
          <w:sz w:val="32"/>
          <w:szCs w:val="32"/>
          <w:highlight w:val="none"/>
          <w:lang w:eastAsia="zh-CN"/>
        </w:rPr>
        <w:t>代理机构：</w:t>
      </w:r>
      <w:r>
        <w:rPr>
          <w:rFonts w:hint="eastAsia" w:cs="宋体"/>
          <w:b/>
          <w:color w:val="auto"/>
          <w:sz w:val="32"/>
          <w:szCs w:val="32"/>
          <w:highlight w:val="none"/>
          <w:lang w:val="en-US" w:eastAsia="zh-CN"/>
        </w:rPr>
        <w:t>中招国际招标有限公司</w:t>
      </w:r>
    </w:p>
    <w:p w14:paraId="0A6AC548">
      <w:pPr>
        <w:snapToGrid w:val="0"/>
        <w:spacing w:line="360" w:lineRule="auto"/>
        <w:jc w:val="center"/>
        <w:rPr>
          <w:rFonts w:ascii="宋体" w:hAnsi="宋体" w:eastAsia="宋体" w:cs="宋体"/>
          <w:b/>
          <w:color w:val="auto"/>
          <w:sz w:val="32"/>
          <w:szCs w:val="32"/>
          <w:highlight w:val="none"/>
        </w:rPr>
      </w:pPr>
    </w:p>
    <w:p w14:paraId="5F582AF9">
      <w:pPr>
        <w:snapToGrid w:val="0"/>
        <w:spacing w:line="360" w:lineRule="auto"/>
        <w:jc w:val="center"/>
        <w:rPr>
          <w:rFonts w:ascii="宋体" w:hAnsi="宋体" w:eastAsia="宋体" w:cs="宋体"/>
          <w:b/>
          <w:color w:val="auto"/>
          <w:sz w:val="32"/>
          <w:szCs w:val="32"/>
          <w:highlight w:val="none"/>
        </w:rPr>
        <w:sectPr>
          <w:footerReference r:id="rId5" w:type="first"/>
          <w:pgSz w:w="11906" w:h="16838"/>
          <w:pgMar w:top="1440" w:right="1800" w:bottom="1440" w:left="1800" w:header="851" w:footer="752" w:gutter="0"/>
          <w:pgNumType w:fmt="decimal" w:start="1"/>
          <w:cols w:space="720" w:num="1"/>
          <w:formProt w:val="0"/>
          <w:docGrid w:type="lines" w:linePitch="312" w:charSpace="0"/>
        </w:sectPr>
      </w:pPr>
      <w:r>
        <w:rPr>
          <w:rFonts w:hint="eastAsia" w:ascii="宋体" w:hAnsi="宋体" w:eastAsia="宋体" w:cs="宋体"/>
          <w:b/>
          <w:color w:val="auto"/>
          <w:sz w:val="32"/>
          <w:szCs w:val="32"/>
          <w:highlight w:val="none"/>
        </w:rPr>
        <w:t>202</w:t>
      </w:r>
      <w:r>
        <w:rPr>
          <w:rFonts w:hint="eastAsia" w:cs="宋体"/>
          <w:b/>
          <w:color w:val="000000" w:themeColor="text1"/>
          <w:sz w:val="32"/>
          <w:szCs w:val="32"/>
          <w:highlight w:val="none"/>
          <w:lang w:val="en-US" w:eastAsia="zh-CN"/>
          <w14:textFill>
            <w14:solidFill>
              <w14:schemeClr w14:val="tx1"/>
            </w14:solidFill>
          </w14:textFill>
        </w:rPr>
        <w:t>6</w:t>
      </w:r>
      <w:r>
        <w:rPr>
          <w:rFonts w:hint="eastAsia" w:ascii="宋体" w:hAnsi="宋体" w:eastAsia="宋体" w:cs="宋体"/>
          <w:b/>
          <w:color w:val="000000" w:themeColor="text1"/>
          <w:sz w:val="32"/>
          <w:szCs w:val="32"/>
          <w:highlight w:val="none"/>
          <w14:textFill>
            <w14:solidFill>
              <w14:schemeClr w14:val="tx1"/>
            </w14:solidFill>
          </w14:textFill>
        </w:rPr>
        <w:t>年</w:t>
      </w:r>
      <w:r>
        <w:rPr>
          <w:rFonts w:hint="eastAsia" w:ascii="宋体" w:hAnsi="宋体" w:eastAsia="宋体" w:cs="宋体"/>
          <w:b/>
          <w:color w:val="000000" w:themeColor="text1"/>
          <w:sz w:val="32"/>
          <w:szCs w:val="32"/>
          <w:highlight w:val="none"/>
          <w:lang w:val="en-US" w:eastAsia="zh-CN"/>
          <w14:textFill>
            <w14:solidFill>
              <w14:schemeClr w14:val="tx1"/>
            </w14:solidFill>
          </w14:textFill>
        </w:rPr>
        <w:t>0</w:t>
      </w:r>
      <w:r>
        <w:rPr>
          <w:rFonts w:hint="eastAsia" w:cs="宋体"/>
          <w:b/>
          <w:color w:val="000000" w:themeColor="text1"/>
          <w:sz w:val="32"/>
          <w:szCs w:val="32"/>
          <w:highlight w:val="none"/>
          <w:lang w:val="en-US" w:eastAsia="zh-CN"/>
          <w14:textFill>
            <w14:solidFill>
              <w14:schemeClr w14:val="tx1"/>
            </w14:solidFill>
          </w14:textFill>
        </w:rPr>
        <w:t>4</w:t>
      </w:r>
      <w:r>
        <w:rPr>
          <w:rFonts w:hint="eastAsia" w:ascii="宋体" w:hAnsi="宋体" w:eastAsia="宋体" w:cs="宋体"/>
          <w:b/>
          <w:color w:val="000000" w:themeColor="text1"/>
          <w:sz w:val="32"/>
          <w:szCs w:val="32"/>
          <w:highlight w:val="none"/>
          <w14:textFill>
            <w14:solidFill>
              <w14:schemeClr w14:val="tx1"/>
            </w14:solidFill>
          </w14:textFill>
        </w:rPr>
        <w:t>月</w:t>
      </w:r>
    </w:p>
    <w:p w14:paraId="24271553">
      <w:pPr>
        <w:jc w:val="center"/>
        <w:rPr>
          <w:rFonts w:hint="eastAsia" w:ascii="宋体" w:hAnsi="宋体" w:eastAsia="宋体" w:cs="宋体"/>
          <w:b/>
          <w:bCs/>
          <w:i w:val="0"/>
          <w:iCs w:val="0"/>
          <w:color w:val="auto"/>
          <w:sz w:val="36"/>
          <w:szCs w:val="36"/>
          <w:highlight w:val="none"/>
        </w:rPr>
      </w:pPr>
      <w:r>
        <w:rPr>
          <w:rFonts w:hint="eastAsia" w:ascii="宋体" w:hAnsi="宋体" w:eastAsia="宋体" w:cs="宋体"/>
          <w:b/>
          <w:bCs/>
          <w:i w:val="0"/>
          <w:iCs w:val="0"/>
          <w:color w:val="auto"/>
          <w:sz w:val="36"/>
          <w:szCs w:val="36"/>
          <w:highlight w:val="none"/>
        </w:rPr>
        <w:t>目 录</w:t>
      </w:r>
    </w:p>
    <w:p w14:paraId="456BAE27">
      <w:pPr>
        <w:pStyle w:val="21"/>
        <w:keepNext w:val="0"/>
        <w:keepLines w:val="0"/>
        <w:pageBreakBefore w:val="0"/>
        <w:widowControl w:val="0"/>
        <w:tabs>
          <w:tab w:val="left" w:pos="960"/>
          <w:tab w:val="right" w:leader="dot" w:pos="8296"/>
        </w:tabs>
        <w:kinsoku/>
        <w:wordWrap/>
        <w:overflowPunct/>
        <w:topLinePunct w:val="0"/>
        <w:autoSpaceDE/>
        <w:autoSpaceDN/>
        <w:bidi w:val="0"/>
        <w:adjustRightInd/>
        <w:snapToGrid/>
        <w:spacing w:line="360" w:lineRule="exact"/>
        <w:textAlignment w:val="auto"/>
        <w:rPr>
          <w:i w:val="0"/>
          <w:iCs w:val="0"/>
          <w:color w:val="auto"/>
          <w:highlight w:val="none"/>
        </w:rPr>
      </w:pPr>
    </w:p>
    <w:p w14:paraId="75A17A28">
      <w:pPr>
        <w:pStyle w:val="2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i w:val="0"/>
          <w:iCs w:val="0"/>
          <w:color w:val="auto"/>
          <w:highlight w:val="none"/>
        </w:rPr>
        <w:fldChar w:fldCharType="begin"/>
      </w:r>
      <w:r>
        <w:rPr>
          <w:i w:val="0"/>
          <w:iCs w:val="0"/>
          <w:color w:val="auto"/>
          <w:highlight w:val="none"/>
        </w:rPr>
        <w:instrText xml:space="preserve"> TOC \o "1-3" \h \z \u </w:instrText>
      </w:r>
      <w:r>
        <w:rPr>
          <w:i w:val="0"/>
          <w:iCs w:val="0"/>
          <w:color w:val="auto"/>
          <w:highlight w:val="none"/>
        </w:rPr>
        <w:fldChar w:fldCharType="separate"/>
      </w: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_Toc23719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44"/>
          <w:sz w:val="24"/>
          <w:szCs w:val="24"/>
          <w:highlight w:val="none"/>
          <w:lang w:val="en-US" w:eastAsia="zh-CN" w:bidi="ar-SA"/>
        </w:rPr>
        <w:t>第一章 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_Toc23719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0DDC7680">
      <w:pPr>
        <w:pStyle w:val="2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_Toc11873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44"/>
          <w:sz w:val="24"/>
          <w:szCs w:val="24"/>
          <w:highlight w:val="none"/>
          <w:lang w:val="en-US" w:eastAsia="zh-CN" w:bidi="ar-SA"/>
        </w:rPr>
        <w:t>第二章 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_Toc11873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3C052A46">
      <w:pPr>
        <w:pStyle w:val="2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_Toc25233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44"/>
          <w:sz w:val="24"/>
          <w:szCs w:val="24"/>
          <w:highlight w:val="none"/>
          <w:lang w:val="en-US" w:eastAsia="zh-CN" w:bidi="ar-SA"/>
        </w:rPr>
        <w:t>第三章 项目采购需求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_Toc25233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38</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1641F03E">
      <w:pPr>
        <w:pStyle w:val="2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_Toc12488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44"/>
          <w:sz w:val="24"/>
          <w:szCs w:val="24"/>
          <w:highlight w:val="none"/>
          <w:lang w:val="en-US" w:eastAsia="zh-CN" w:bidi="ar-SA"/>
        </w:rPr>
        <w:t>第四章 评审方法及标准</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_Toc12488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38</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1040DB0D">
      <w:pPr>
        <w:pStyle w:val="2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_Toc31032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44"/>
          <w:sz w:val="24"/>
          <w:szCs w:val="24"/>
          <w:highlight w:val="none"/>
          <w:lang w:val="en-US" w:eastAsia="zh-CN" w:bidi="ar-SA"/>
        </w:rPr>
        <w:t xml:space="preserve">第五章 </w:t>
      </w:r>
      <w:r>
        <w:rPr>
          <w:rFonts w:hint="eastAsia" w:ascii="宋体" w:hAnsi="宋体" w:eastAsia="宋体" w:cs="宋体"/>
          <w:bCs/>
          <w:i w:val="0"/>
          <w:iCs w:val="0"/>
          <w:color w:val="auto"/>
          <w:kern w:val="44"/>
          <w:sz w:val="24"/>
          <w:szCs w:val="24"/>
          <w:highlight w:val="none"/>
          <w:lang w:val="zh-CN" w:eastAsia="zh-CN" w:bidi="ar-SA"/>
        </w:rPr>
        <w:t>合同草案</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_Toc31032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58</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3B9D65B7">
      <w:pPr>
        <w:pStyle w:val="21"/>
        <w:keepNext w:val="0"/>
        <w:keepLines w:val="0"/>
        <w:pageBreakBefore w:val="0"/>
        <w:widowControl w:val="0"/>
        <w:tabs>
          <w:tab w:val="right" w:leader="dot" w:pos="8306"/>
        </w:tabs>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_Toc3038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44"/>
          <w:sz w:val="24"/>
          <w:szCs w:val="24"/>
          <w:highlight w:val="none"/>
          <w:lang w:val="en-US" w:eastAsia="zh-CN" w:bidi="ar-SA"/>
        </w:rPr>
        <w:t xml:space="preserve">第六章 </w:t>
      </w:r>
      <w:r>
        <w:rPr>
          <w:rFonts w:hint="eastAsia" w:ascii="宋体" w:hAnsi="宋体" w:eastAsia="宋体" w:cs="宋体"/>
          <w:i w:val="0"/>
          <w:iCs w:val="0"/>
          <w:color w:val="auto"/>
          <w:sz w:val="24"/>
          <w:szCs w:val="24"/>
          <w:highlight w:val="none"/>
        </w:rPr>
        <w:t>响应文件的格式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_Toc3038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58</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1E4890AC">
      <w:pPr>
        <w:rPr>
          <w:rFonts w:ascii="黑体" w:hAnsi="黑体" w:eastAsia="黑体"/>
          <w:i w:val="0"/>
          <w:iCs w:val="0"/>
          <w:color w:val="auto"/>
          <w:sz w:val="32"/>
          <w:szCs w:val="32"/>
          <w:highlight w:val="none"/>
        </w:rPr>
      </w:pPr>
      <w:r>
        <w:rPr>
          <w:i w:val="0"/>
          <w:iCs w:val="0"/>
          <w:color w:val="auto"/>
          <w:highlight w:val="none"/>
        </w:rPr>
        <w:fldChar w:fldCharType="end"/>
      </w:r>
    </w:p>
    <w:p w14:paraId="41F76FF5">
      <w:pPr>
        <w:jc w:val="center"/>
        <w:rPr>
          <w:rFonts w:ascii="黑体" w:hAnsi="黑体" w:eastAsia="黑体"/>
          <w:i w:val="0"/>
          <w:iCs w:val="0"/>
          <w:color w:val="auto"/>
          <w:sz w:val="32"/>
          <w:szCs w:val="32"/>
          <w:highlight w:val="none"/>
        </w:rPr>
        <w:sectPr>
          <w:headerReference r:id="rId6" w:type="default"/>
          <w:pgSz w:w="11906" w:h="16838"/>
          <w:pgMar w:top="1440" w:right="1800" w:bottom="1440" w:left="1800" w:header="851" w:footer="992" w:gutter="0"/>
          <w:pgNumType w:fmt="decimal"/>
          <w:cols w:space="425" w:num="1"/>
          <w:docGrid w:type="lines" w:linePitch="312" w:charSpace="0"/>
        </w:sectPr>
      </w:pPr>
    </w:p>
    <w:p w14:paraId="2E95929B">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i w:val="0"/>
          <w:iCs w:val="0"/>
          <w:color w:val="auto"/>
          <w:kern w:val="44"/>
          <w:sz w:val="36"/>
          <w:szCs w:val="36"/>
          <w:highlight w:val="none"/>
          <w:lang w:val="en-US" w:eastAsia="zh-CN" w:bidi="ar-SA"/>
        </w:rPr>
      </w:pPr>
      <w:bookmarkStart w:id="3" w:name="_Toc23719"/>
      <w:r>
        <w:rPr>
          <w:rFonts w:hint="eastAsia" w:ascii="宋体" w:hAnsi="宋体" w:eastAsia="宋体" w:cs="宋体"/>
          <w:b/>
          <w:bCs/>
          <w:i w:val="0"/>
          <w:iCs w:val="0"/>
          <w:color w:val="auto"/>
          <w:kern w:val="44"/>
          <w:sz w:val="36"/>
          <w:szCs w:val="36"/>
          <w:highlight w:val="none"/>
          <w:lang w:val="en-US" w:eastAsia="zh-CN" w:bidi="ar-SA"/>
        </w:rPr>
        <w:t>第一章 竞争性磋商公告</w:t>
      </w:r>
      <w:bookmarkEnd w:id="3"/>
    </w:p>
    <w:tbl>
      <w:tblPr>
        <w:tblStyle w:val="33"/>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116F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608C728D">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i w:val="0"/>
                <w:iCs w:val="0"/>
                <w:color w:val="auto"/>
                <w:sz w:val="24"/>
                <w:szCs w:val="24"/>
                <w:highlight w:val="none"/>
                <w:lang w:val="en-US" w:eastAsia="zh-CN"/>
              </w:rPr>
            </w:pPr>
            <w:bookmarkStart w:id="4" w:name="_Toc21420"/>
            <w:bookmarkStart w:id="5" w:name="_Toc35393629"/>
            <w:bookmarkStart w:id="6" w:name="_Toc155185860"/>
            <w:bookmarkStart w:id="7" w:name="_Toc28359089"/>
            <w:bookmarkStart w:id="8" w:name="_Toc44583628"/>
            <w:bookmarkStart w:id="9" w:name="_Toc28359012"/>
            <w:bookmarkStart w:id="10" w:name="_Toc140132745"/>
            <w:bookmarkStart w:id="11" w:name="_Toc109900248"/>
            <w:bookmarkStart w:id="12" w:name="_Toc35393798"/>
            <w:bookmarkStart w:id="13" w:name="_Toc163492812"/>
            <w:bookmarkStart w:id="14" w:name="_Toc109899829"/>
            <w:bookmarkStart w:id="15" w:name="_Toc109899410"/>
            <w:r>
              <w:rPr>
                <w:rFonts w:hint="eastAsia"/>
                <w:i w:val="0"/>
                <w:iCs w:val="0"/>
                <w:color w:val="auto"/>
                <w:sz w:val="24"/>
                <w:szCs w:val="24"/>
                <w:highlight w:val="none"/>
                <w:lang w:val="en-US" w:eastAsia="zh-CN"/>
              </w:rPr>
              <w:t>项目概况：</w:t>
            </w:r>
            <w:bookmarkEnd w:id="4"/>
          </w:p>
          <w:p w14:paraId="0FC7B045">
            <w:pPr>
              <w:ind w:firstLine="480" w:firstLineChars="200"/>
              <w:rPr>
                <w:rFonts w:hint="default"/>
                <w:i w:val="0"/>
                <w:iCs w:val="0"/>
                <w:color w:val="auto"/>
                <w:highlight w:val="none"/>
                <w:lang w:val="en-US" w:eastAsia="zh-CN"/>
              </w:rPr>
            </w:pPr>
            <w:r>
              <w:rPr>
                <w:rFonts w:hint="eastAsia" w:ascii="宋体" w:hAnsi="宋体" w:eastAsia="宋体" w:cstheme="minorBidi"/>
                <w:i w:val="0"/>
                <w:iCs w:val="0"/>
                <w:color w:val="auto"/>
                <w:kern w:val="2"/>
                <w:sz w:val="24"/>
                <w:szCs w:val="24"/>
                <w:highlight w:val="none"/>
                <w:u w:val="single"/>
                <w:shd w:val="clear" w:color="auto" w:fill="FFFFFF" w:themeFill="background1"/>
                <w:lang w:val="hr-HR" w:eastAsia="zh-CN" w:bidi="ar-SA"/>
              </w:rPr>
              <w:t xml:space="preserve"> </w:t>
            </w:r>
            <w:r>
              <w:rPr>
                <w:rFonts w:hint="eastAsia" w:cstheme="minorBidi"/>
                <w:i w:val="0"/>
                <w:iCs w:val="0"/>
                <w:color w:val="auto"/>
                <w:kern w:val="2"/>
                <w:sz w:val="24"/>
                <w:szCs w:val="24"/>
                <w:highlight w:val="none"/>
                <w:u w:val="single"/>
                <w:shd w:val="clear" w:color="auto" w:fill="FFFFFF" w:themeFill="background1"/>
                <w:lang w:val="hr-HR" w:eastAsia="zh-CN" w:bidi="ar-SA"/>
              </w:rPr>
              <w:t>乌鲁木齐市沙依巴克区炉院街街道办事处后勤保障服务项目(餐饮服务)</w:t>
            </w:r>
            <w:r>
              <w:rPr>
                <w:rFonts w:hint="eastAsia" w:ascii="宋体" w:hAnsi="宋体" w:eastAsia="宋体" w:cstheme="minorBidi"/>
                <w:i w:val="0"/>
                <w:iCs w:val="0"/>
                <w:color w:val="auto"/>
                <w:kern w:val="2"/>
                <w:sz w:val="24"/>
                <w:szCs w:val="24"/>
                <w:highlight w:val="none"/>
                <w:u w:val="single"/>
                <w:shd w:val="clear" w:color="auto" w:fill="FFFFFF" w:themeFill="background1"/>
                <w:lang w:val="hr-HR" w:eastAsia="zh-CN" w:bidi="ar-SA"/>
              </w:rPr>
              <w:t xml:space="preserve"> </w:t>
            </w:r>
            <w:r>
              <w:rPr>
                <w:rFonts w:hint="eastAsia" w:ascii="宋体" w:hAnsi="宋体" w:eastAsia="宋体" w:cs="宋体"/>
                <w:color w:val="auto"/>
                <w:sz w:val="24"/>
                <w:szCs w:val="24"/>
                <w:highlight w:val="none"/>
              </w:rPr>
              <w:t>采购项目的潜在供应商应在政采云平台线上（网址：https://www.zcygov.cn/）获取采购文件，并于</w:t>
            </w:r>
            <w:r>
              <w:rPr>
                <w:rFonts w:hint="eastAsia" w:ascii="宋体" w:hAnsi="宋体" w:eastAsia="宋体" w:cs="宋体"/>
                <w:color w:val="auto"/>
                <w:sz w:val="24"/>
                <w:szCs w:val="24"/>
                <w:highlight w:val="none"/>
                <w:u w:val="single"/>
                <w:shd w:val="clear" w:color="auto" w:fill="FFFFFF" w:themeFill="background1"/>
                <w:lang w:val="hr-HR" w:eastAsia="zh-CN"/>
              </w:rPr>
              <w:t>202</w:t>
            </w:r>
            <w:r>
              <w:rPr>
                <w:rFonts w:hint="eastAsia" w:cs="宋体"/>
                <w:color w:val="000000" w:themeColor="text1"/>
                <w:sz w:val="24"/>
                <w:szCs w:val="24"/>
                <w:highlight w:val="none"/>
                <w:u w:val="single"/>
                <w:shd w:val="clear" w:color="auto" w:fill="FFFFFF" w:themeFill="background1"/>
                <w:lang w:val="en-US" w:eastAsia="zh-CN"/>
                <w14:textFill>
                  <w14:solidFill>
                    <w14:schemeClr w14:val="tx1"/>
                  </w14:solidFill>
                </w14:textFill>
              </w:rPr>
              <w:t>6</w:t>
            </w:r>
            <w:r>
              <w:rPr>
                <w:rFonts w:hint="eastAsia" w:ascii="宋体" w:hAnsi="宋体" w:eastAsia="宋体" w:cs="宋体"/>
                <w:color w:val="000000" w:themeColor="text1"/>
                <w:sz w:val="24"/>
                <w:szCs w:val="24"/>
                <w:highlight w:val="none"/>
                <w:u w:val="single"/>
                <w:shd w:val="clear" w:color="auto" w:fill="FFFFFF" w:themeFill="background1"/>
                <w:lang w:val="hr-HR" w:eastAsia="zh-CN"/>
                <w14:textFill>
                  <w14:solidFill>
                    <w14:schemeClr w14:val="tx1"/>
                  </w14:solidFill>
                </w14:textFill>
              </w:rPr>
              <w:t>年</w:t>
            </w:r>
            <w:r>
              <w:rPr>
                <w:rFonts w:hint="eastAsia" w:cs="宋体"/>
                <w:color w:val="000000" w:themeColor="text1"/>
                <w:sz w:val="24"/>
                <w:szCs w:val="24"/>
                <w:highlight w:val="none"/>
                <w:u w:val="single"/>
                <w:shd w:val="clear" w:color="auto" w:fill="FFFFFF" w:themeFill="background1"/>
                <w:lang w:val="en-US" w:eastAsia="zh-CN"/>
                <w14:textFill>
                  <w14:solidFill>
                    <w14:schemeClr w14:val="tx1"/>
                  </w14:solidFill>
                </w14:textFill>
              </w:rPr>
              <w:t>05</w:t>
            </w:r>
            <w:r>
              <w:rPr>
                <w:rFonts w:hint="eastAsia" w:ascii="宋体" w:hAnsi="宋体" w:eastAsia="宋体" w:cs="宋体"/>
                <w:color w:val="000000" w:themeColor="text1"/>
                <w:sz w:val="24"/>
                <w:szCs w:val="24"/>
                <w:highlight w:val="none"/>
                <w:u w:val="single"/>
                <w:shd w:val="clear" w:color="auto" w:fill="FFFFFF" w:themeFill="background1"/>
                <w:lang w:val="hr-HR" w:eastAsia="zh-CN"/>
                <w14:textFill>
                  <w14:solidFill>
                    <w14:schemeClr w14:val="tx1"/>
                  </w14:solidFill>
                </w14:textFill>
              </w:rPr>
              <w:t>月</w:t>
            </w:r>
            <w:r>
              <w:rPr>
                <w:rFonts w:hint="eastAsia" w:cs="宋体"/>
                <w:color w:val="000000" w:themeColor="text1"/>
                <w:sz w:val="24"/>
                <w:szCs w:val="24"/>
                <w:highlight w:val="none"/>
                <w:u w:val="single"/>
                <w:shd w:val="clear" w:color="auto" w:fill="FFFFFF" w:themeFill="background1"/>
                <w:lang w:val="en-US" w:eastAsia="zh-CN"/>
                <w14:textFill>
                  <w14:solidFill>
                    <w14:schemeClr w14:val="tx1"/>
                  </w14:solidFill>
                </w14:textFill>
              </w:rPr>
              <w:t>12</w:t>
            </w:r>
            <w:r>
              <w:rPr>
                <w:rFonts w:hint="eastAsia" w:ascii="宋体" w:hAnsi="宋体" w:eastAsia="宋体" w:cs="宋体"/>
                <w:color w:val="000000" w:themeColor="text1"/>
                <w:sz w:val="24"/>
                <w:szCs w:val="24"/>
                <w:highlight w:val="none"/>
                <w:u w:val="single"/>
                <w:shd w:val="clear" w:color="auto" w:fill="FFFFFF" w:themeFill="background1"/>
                <w:lang w:val="hr-HR" w:eastAsia="zh-CN"/>
                <w14:textFill>
                  <w14:solidFill>
                    <w14:schemeClr w14:val="tx1"/>
                  </w14:solidFill>
                </w14:textFill>
              </w:rPr>
              <w:t>日</w:t>
            </w:r>
            <w:r>
              <w:rPr>
                <w:rFonts w:hint="eastAsia" w:cs="宋体"/>
                <w:color w:val="000000" w:themeColor="text1"/>
                <w:sz w:val="24"/>
                <w:szCs w:val="24"/>
                <w:highlight w:val="none"/>
                <w:u w:val="single"/>
                <w:shd w:val="clear" w:color="auto" w:fill="FFFFFF" w:themeFill="background1"/>
                <w:lang w:val="en-US" w:eastAsia="zh-CN"/>
                <w14:textFill>
                  <w14:solidFill>
                    <w14:schemeClr w14:val="tx1"/>
                  </w14:solidFill>
                </w14:textFill>
              </w:rPr>
              <w:t>11</w:t>
            </w:r>
            <w:r>
              <w:rPr>
                <w:rFonts w:hint="eastAsia" w:ascii="宋体" w:hAnsi="宋体" w:eastAsia="宋体" w:cs="宋体"/>
                <w:color w:val="000000" w:themeColor="text1"/>
                <w:sz w:val="24"/>
                <w:szCs w:val="24"/>
                <w:highlight w:val="none"/>
                <w:u w:val="single"/>
                <w:shd w:val="clear" w:color="auto" w:fill="FFFFFF" w:themeFill="background1"/>
                <w:lang w:val="hr-HR" w:eastAsia="zh-CN"/>
                <w14:textFill>
                  <w14:solidFill>
                    <w14:schemeClr w14:val="tx1"/>
                  </w14:solidFill>
                </w14:textFill>
              </w:rPr>
              <w:t>:</w:t>
            </w:r>
            <w:r>
              <w:rPr>
                <w:rFonts w:hint="eastAsia" w:cs="宋体"/>
                <w:color w:val="000000" w:themeColor="text1"/>
                <w:sz w:val="24"/>
                <w:szCs w:val="24"/>
                <w:highlight w:val="none"/>
                <w:u w:val="single"/>
                <w:shd w:val="clear" w:color="auto" w:fill="FFFFFF" w:themeFill="background1"/>
                <w:lang w:val="en-US" w:eastAsia="zh-CN"/>
                <w14:textFill>
                  <w14:solidFill>
                    <w14:schemeClr w14:val="tx1"/>
                  </w14:solidFill>
                </w14:textFill>
              </w:rPr>
              <w:t>00</w:t>
            </w:r>
            <w:r>
              <w:rPr>
                <w:rFonts w:hint="eastAsia" w:ascii="宋体" w:hAnsi="宋体" w:eastAsia="宋体" w:cs="宋体"/>
                <w:color w:val="000000" w:themeColor="text1"/>
                <w:sz w:val="24"/>
                <w:szCs w:val="24"/>
                <w:highlight w:val="none"/>
                <w:u w:val="single"/>
                <w:shd w:val="clear" w:color="auto" w:fill="FFFFFF" w:themeFill="background1"/>
                <w:lang w:val="hr-HR" w:eastAsia="zh-CN"/>
                <w14:textFill>
                  <w14:solidFill>
                    <w14:schemeClr w14:val="tx1"/>
                  </w14:solidFill>
                </w14:textFill>
              </w:rPr>
              <w:t>（北</w:t>
            </w:r>
            <w:r>
              <w:rPr>
                <w:rFonts w:hint="eastAsia" w:ascii="宋体" w:hAnsi="宋体" w:eastAsia="宋体" w:cs="宋体"/>
                <w:color w:val="auto"/>
                <w:sz w:val="24"/>
                <w:szCs w:val="24"/>
                <w:highlight w:val="none"/>
                <w:u w:val="single"/>
                <w:shd w:val="clear" w:color="auto" w:fill="FFFFFF" w:themeFill="background1"/>
                <w:lang w:val="hr-HR" w:eastAsia="zh-CN"/>
              </w:rPr>
              <w:t>京时间）</w:t>
            </w:r>
            <w:r>
              <w:rPr>
                <w:rFonts w:hint="eastAsia" w:ascii="宋体" w:hAnsi="宋体" w:eastAsia="宋体" w:cs="宋体"/>
                <w:color w:val="auto"/>
                <w:sz w:val="24"/>
                <w:szCs w:val="24"/>
                <w:highlight w:val="none"/>
              </w:rPr>
              <w:t>前提交响应文件。</w:t>
            </w:r>
          </w:p>
        </w:tc>
      </w:tr>
    </w:tbl>
    <w:p w14:paraId="7F8B7A2E">
      <w:pPr>
        <w:pStyle w:val="4"/>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i w:val="0"/>
          <w:iCs w:val="0"/>
          <w:color w:val="auto"/>
          <w:sz w:val="24"/>
          <w:szCs w:val="24"/>
          <w:highlight w:val="none"/>
          <w:lang w:val="hr-HR"/>
        </w:rPr>
      </w:pPr>
      <w:bookmarkStart w:id="16" w:name="_Toc21003"/>
      <w:r>
        <w:rPr>
          <w:rFonts w:hint="eastAsia" w:ascii="宋体" w:hAnsi="宋体" w:eastAsia="宋体" w:cs="宋体"/>
          <w:b/>
          <w:bCs/>
          <w:i w:val="0"/>
          <w:iCs w:val="0"/>
          <w:color w:val="auto"/>
          <w:kern w:val="2"/>
          <w:sz w:val="24"/>
          <w:szCs w:val="24"/>
          <w:highlight w:val="none"/>
          <w:lang w:val="hr-HR" w:eastAsia="zh-CN" w:bidi="ar-SA"/>
        </w:rPr>
        <w:t>一、</w:t>
      </w:r>
      <w:r>
        <w:rPr>
          <w:rFonts w:hint="eastAsia" w:ascii="宋体" w:hAnsi="宋体" w:eastAsia="宋体" w:cs="宋体"/>
          <w:i w:val="0"/>
          <w:iCs w:val="0"/>
          <w:color w:val="auto"/>
          <w:sz w:val="24"/>
          <w:szCs w:val="24"/>
          <w:highlight w:val="none"/>
          <w:lang w:val="hr-HR"/>
        </w:rPr>
        <w:t>项目基本情况</w:t>
      </w:r>
      <w:bookmarkEnd w:id="5"/>
      <w:bookmarkEnd w:id="6"/>
      <w:bookmarkEnd w:id="7"/>
      <w:bookmarkEnd w:id="8"/>
      <w:bookmarkEnd w:id="9"/>
      <w:bookmarkEnd w:id="10"/>
      <w:bookmarkEnd w:id="11"/>
      <w:bookmarkEnd w:id="12"/>
      <w:bookmarkEnd w:id="13"/>
      <w:bookmarkEnd w:id="14"/>
      <w:bookmarkEnd w:id="15"/>
      <w:bookmarkEnd w:id="16"/>
    </w:p>
    <w:p w14:paraId="15FE2872">
      <w:pPr>
        <w:pStyle w:val="41"/>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lang w:val="hr-HR"/>
        </w:rPr>
        <w:t>1.项目编号</w:t>
      </w:r>
      <w:r>
        <w:rPr>
          <w:rFonts w:hint="eastAsia"/>
          <w:i w:val="0"/>
          <w:iCs w:val="0"/>
          <w:color w:val="auto"/>
          <w:sz w:val="24"/>
          <w:highlight w:val="none"/>
          <w:lang w:val="en-US" w:eastAsia="zh-CN"/>
        </w:rPr>
        <w:t>/包号</w:t>
      </w:r>
      <w:r>
        <w:rPr>
          <w:rFonts w:hint="eastAsia" w:ascii="宋体" w:hAnsi="宋体" w:eastAsia="宋体" w:cs="宋体"/>
          <w:i w:val="0"/>
          <w:iCs w:val="0"/>
          <w:color w:val="auto"/>
          <w:sz w:val="24"/>
          <w:szCs w:val="24"/>
          <w:highlight w:val="none"/>
          <w:lang w:val="hr-HR"/>
        </w:rPr>
        <w:t>：</w:t>
      </w:r>
      <w:r>
        <w:rPr>
          <w:rFonts w:hint="eastAsia" w:cs="宋体"/>
          <w:i w:val="0"/>
          <w:iCs w:val="0"/>
          <w:color w:val="auto"/>
          <w:sz w:val="24"/>
          <w:szCs w:val="24"/>
          <w:highlight w:val="none"/>
          <w:u w:val="none"/>
          <w:lang w:val="hr-HR" w:eastAsia="zh-CN"/>
        </w:rPr>
        <w:t>TC269H0CT</w:t>
      </w:r>
    </w:p>
    <w:p w14:paraId="14550541">
      <w:pPr>
        <w:pStyle w:val="41"/>
        <w:rPr>
          <w:rFonts w:hint="eastAsia" w:ascii="宋体" w:hAnsi="宋体" w:eastAsia="宋体" w:cs="宋体"/>
          <w:i w:val="0"/>
          <w:iCs w:val="0"/>
          <w:color w:val="auto"/>
          <w:sz w:val="24"/>
          <w:szCs w:val="24"/>
          <w:highlight w:val="none"/>
          <w:u w:val="none"/>
          <w:lang w:val="hr-HR"/>
        </w:rPr>
      </w:pPr>
      <w:r>
        <w:rPr>
          <w:rFonts w:hint="eastAsia" w:ascii="宋体" w:hAnsi="宋体" w:eastAsia="宋体" w:cs="宋体"/>
          <w:i w:val="0"/>
          <w:iCs w:val="0"/>
          <w:color w:val="auto"/>
          <w:sz w:val="24"/>
          <w:szCs w:val="24"/>
          <w:highlight w:val="none"/>
          <w:u w:val="none"/>
          <w:lang w:val="en-US" w:eastAsia="zh-CN"/>
        </w:rPr>
        <w:t>2</w:t>
      </w:r>
      <w:r>
        <w:rPr>
          <w:rFonts w:hint="eastAsia" w:ascii="宋体" w:hAnsi="宋体" w:eastAsia="宋体" w:cs="宋体"/>
          <w:i w:val="0"/>
          <w:iCs w:val="0"/>
          <w:color w:val="auto"/>
          <w:sz w:val="24"/>
          <w:szCs w:val="24"/>
          <w:highlight w:val="none"/>
          <w:u w:val="none"/>
          <w:lang w:val="hr-HR"/>
        </w:rPr>
        <w:t>.项目名称：</w:t>
      </w:r>
      <w:r>
        <w:rPr>
          <w:rFonts w:hint="eastAsia" w:cs="宋体"/>
          <w:i w:val="0"/>
          <w:iCs w:val="0"/>
          <w:color w:val="auto"/>
          <w:sz w:val="24"/>
          <w:szCs w:val="24"/>
          <w:highlight w:val="none"/>
          <w:u w:val="none"/>
          <w:lang w:eastAsia="zh-CN"/>
        </w:rPr>
        <w:t>乌鲁木齐市沙依巴克区炉院街街道办事处后勤保障服务项目(餐饮服务)</w:t>
      </w:r>
    </w:p>
    <w:p w14:paraId="4D9A5943">
      <w:pPr>
        <w:pStyle w:val="41"/>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3</w:t>
      </w:r>
      <w:r>
        <w:rPr>
          <w:rFonts w:hint="eastAsia" w:ascii="宋体" w:hAnsi="宋体" w:eastAsia="宋体" w:cs="宋体"/>
          <w:i w:val="0"/>
          <w:iCs w:val="0"/>
          <w:color w:val="auto"/>
          <w:sz w:val="24"/>
          <w:szCs w:val="24"/>
          <w:highlight w:val="none"/>
          <w:u w:val="none"/>
        </w:rPr>
        <w:t>.采购方式：</w:t>
      </w:r>
      <w:r>
        <w:rPr>
          <w:rFonts w:hint="eastAsia" w:ascii="宋体" w:hAnsi="宋体" w:eastAsia="宋体" w:cs="宋体"/>
          <w:i w:val="0"/>
          <w:iCs w:val="0"/>
          <w:color w:val="auto"/>
          <w:sz w:val="24"/>
          <w:szCs w:val="24"/>
          <w:highlight w:val="none"/>
          <w:u w:val="none"/>
          <w:lang w:val="en-US" w:eastAsia="zh-CN"/>
        </w:rPr>
        <w:t>竞争性磋商</w:t>
      </w:r>
    </w:p>
    <w:p w14:paraId="2EBAC728">
      <w:pPr>
        <w:pStyle w:val="41"/>
        <w:rPr>
          <w:rFonts w:hint="default" w:ascii="宋体" w:hAnsi="宋体" w:eastAsia="宋体" w:cs="宋体"/>
          <w:i w:val="0"/>
          <w:iCs w:val="0"/>
          <w:color w:val="auto"/>
          <w:sz w:val="24"/>
          <w:szCs w:val="24"/>
          <w:highlight w:val="none"/>
          <w:lang w:val="en-US"/>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lang w:val="hr-HR"/>
        </w:rPr>
        <w:t>.</w:t>
      </w:r>
      <w:r>
        <w:rPr>
          <w:rFonts w:hint="eastAsia" w:cs="宋体"/>
          <w:color w:val="auto"/>
          <w:szCs w:val="24"/>
          <w:highlight w:val="none"/>
          <w:lang w:val="hr-HR"/>
        </w:rPr>
        <w:t>预算金额</w:t>
      </w:r>
      <w:r>
        <w:rPr>
          <w:rFonts w:hint="eastAsia" w:ascii="宋体" w:hAnsi="宋体" w:eastAsia="宋体" w:cs="宋体"/>
          <w:i w:val="0"/>
          <w:iCs w:val="0"/>
          <w:caps w:val="0"/>
          <w:color w:val="auto"/>
          <w:spacing w:val="0"/>
          <w:sz w:val="24"/>
          <w:szCs w:val="24"/>
          <w:highlight w:val="none"/>
        </w:rPr>
        <w:t>（元）：</w:t>
      </w:r>
      <w:r>
        <w:rPr>
          <w:rFonts w:hint="eastAsia" w:cs="宋体"/>
          <w:color w:val="auto"/>
          <w:sz w:val="24"/>
          <w:szCs w:val="24"/>
          <w:highlight w:val="none"/>
          <w:u w:val="none"/>
          <w:lang w:val="en-US" w:eastAsia="zh-CN"/>
        </w:rPr>
        <w:t>972576.00</w:t>
      </w:r>
    </w:p>
    <w:p w14:paraId="78E6061E">
      <w:pPr>
        <w:pStyle w:val="41"/>
        <w:rPr>
          <w:rFonts w:hint="eastAsia" w:ascii="宋体" w:hAnsi="宋体" w:eastAsia="宋体" w:cs="宋体"/>
          <w:i w:val="0"/>
          <w:iCs w:val="0"/>
          <w:color w:val="auto"/>
          <w:sz w:val="24"/>
          <w:szCs w:val="24"/>
          <w:highlight w:val="none"/>
          <w:lang w:val="hr-HR" w:eastAsia="zh-CN"/>
        </w:rPr>
      </w:pP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lang w:val="hr-HR"/>
        </w:rPr>
        <w:t>.</w:t>
      </w:r>
      <w:r>
        <w:rPr>
          <w:rFonts w:hint="eastAsia" w:cs="宋体"/>
          <w:color w:val="auto"/>
          <w:szCs w:val="24"/>
          <w:highlight w:val="none"/>
        </w:rPr>
        <w:t>最高限价</w:t>
      </w:r>
      <w:r>
        <w:rPr>
          <w:rFonts w:hint="eastAsia" w:ascii="宋体" w:hAnsi="宋体" w:eastAsia="宋体" w:cs="宋体"/>
          <w:i w:val="0"/>
          <w:iCs w:val="0"/>
          <w:caps w:val="0"/>
          <w:color w:val="auto"/>
          <w:spacing w:val="0"/>
          <w:sz w:val="24"/>
          <w:szCs w:val="24"/>
          <w:highlight w:val="none"/>
        </w:rPr>
        <w:t>（元）：</w:t>
      </w:r>
      <w:r>
        <w:rPr>
          <w:rFonts w:hint="eastAsia" w:cs="宋体"/>
          <w:i w:val="0"/>
          <w:iCs w:val="0"/>
          <w:caps w:val="0"/>
          <w:color w:val="auto"/>
          <w:spacing w:val="0"/>
          <w:sz w:val="24"/>
          <w:szCs w:val="24"/>
          <w:highlight w:val="none"/>
          <w:u w:val="none"/>
          <w:lang w:val="en-US" w:eastAsia="zh-CN"/>
        </w:rPr>
        <w:t>972576.00</w:t>
      </w:r>
    </w:p>
    <w:p w14:paraId="3BC2D2A3">
      <w:pPr>
        <w:ind w:firstLine="480" w:firstLineChars="200"/>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lang w:val="hr-HR"/>
        </w:rPr>
        <w:t>.采购需求：</w:t>
      </w:r>
    </w:p>
    <w:p w14:paraId="54DBE7FF">
      <w:pPr>
        <w:ind w:firstLine="720" w:firstLineChars="300"/>
        <w:rPr>
          <w:rFonts w:hint="eastAsia" w:ascii="宋体" w:hAnsi="宋体" w:eastAsia="宋体" w:cs="宋体"/>
          <w:i w:val="0"/>
          <w:iCs w:val="0"/>
          <w:color w:val="auto"/>
          <w:sz w:val="24"/>
          <w:szCs w:val="24"/>
          <w:highlight w:val="none"/>
          <w:u w:val="single"/>
          <w:lang w:val="hr-HR" w:eastAsia="zh-CN"/>
        </w:rPr>
      </w:pPr>
      <w:r>
        <w:rPr>
          <w:rFonts w:hint="eastAsia" w:ascii="宋体" w:hAnsi="宋体" w:eastAsia="宋体" w:cs="宋体"/>
          <w:i w:val="0"/>
          <w:iCs w:val="0"/>
          <w:color w:val="auto"/>
          <w:sz w:val="24"/>
          <w:szCs w:val="24"/>
          <w:highlight w:val="none"/>
          <w:lang w:val="hr-HR"/>
        </w:rPr>
        <w:t>标项名称：</w:t>
      </w:r>
      <w:r>
        <w:rPr>
          <w:rFonts w:hint="eastAsia" w:cs="宋体"/>
          <w:i w:val="0"/>
          <w:iCs w:val="0"/>
          <w:color w:val="auto"/>
          <w:sz w:val="24"/>
          <w:szCs w:val="24"/>
          <w:highlight w:val="none"/>
          <w:u w:val="none"/>
          <w:lang w:val="hr-HR" w:eastAsia="zh-CN"/>
        </w:rPr>
        <w:t>乌鲁木齐市沙依巴克区炉院街街道办事处后勤保障服务项目(餐饮服务)</w:t>
      </w:r>
    </w:p>
    <w:p w14:paraId="4E49C802">
      <w:pPr>
        <w:ind w:firstLine="480" w:firstLineChars="200"/>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hr-HR"/>
        </w:rPr>
        <w:t> 数量：</w:t>
      </w:r>
      <w:r>
        <w:rPr>
          <w:rFonts w:hint="eastAsia" w:ascii="宋体" w:hAnsi="宋体" w:eastAsia="宋体" w:cs="宋体"/>
          <w:i w:val="0"/>
          <w:iCs w:val="0"/>
          <w:color w:val="auto"/>
          <w:sz w:val="24"/>
          <w:szCs w:val="24"/>
          <w:highlight w:val="none"/>
          <w:u w:val="none"/>
          <w:lang w:val="hr-HR"/>
        </w:rPr>
        <w:t>1</w:t>
      </w:r>
    </w:p>
    <w:p w14:paraId="34F56D0C">
      <w:pPr>
        <w:ind w:firstLine="480" w:firstLineChars="200"/>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hr-HR"/>
        </w:rPr>
        <w:t> 预算金额（元）：</w:t>
      </w:r>
      <w:r>
        <w:rPr>
          <w:rFonts w:hint="eastAsia" w:cs="宋体"/>
          <w:i w:val="0"/>
          <w:iCs w:val="0"/>
          <w:color w:val="auto"/>
          <w:sz w:val="24"/>
          <w:szCs w:val="24"/>
          <w:highlight w:val="none"/>
          <w:lang w:val="hr-HR" w:eastAsia="zh-CN"/>
        </w:rPr>
        <w:t>972576.00</w:t>
      </w:r>
    </w:p>
    <w:p w14:paraId="39EEAD90">
      <w:pPr>
        <w:ind w:firstLine="480" w:firstLineChars="200"/>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hr-HR"/>
        </w:rPr>
        <w:t> 单位：</w:t>
      </w:r>
      <w:r>
        <w:rPr>
          <w:rFonts w:hint="eastAsia" w:ascii="宋体" w:hAnsi="宋体" w:eastAsia="宋体" w:cs="宋体"/>
          <w:i w:val="0"/>
          <w:iCs w:val="0"/>
          <w:color w:val="auto"/>
          <w:sz w:val="24"/>
          <w:szCs w:val="24"/>
          <w:highlight w:val="none"/>
          <w:u w:val="none"/>
          <w:lang w:val="hr-HR"/>
        </w:rPr>
        <w:t>项</w:t>
      </w:r>
    </w:p>
    <w:p w14:paraId="26E4B98E">
      <w:pPr>
        <w:ind w:firstLine="480" w:firstLineChars="200"/>
        <w:rPr>
          <w:rFonts w:hint="eastAsia" w:ascii="宋体" w:hAnsi="宋体" w:eastAsia="宋体" w:cs="宋体"/>
          <w:i w:val="0"/>
          <w:iCs w:val="0"/>
          <w:color w:val="auto"/>
          <w:sz w:val="24"/>
          <w:szCs w:val="24"/>
          <w:highlight w:val="yellow"/>
          <w:u w:val="single"/>
          <w:lang w:val="hr-HR"/>
        </w:rPr>
      </w:pPr>
      <w:r>
        <w:rPr>
          <w:rFonts w:hint="eastAsia" w:ascii="宋体" w:hAnsi="宋体" w:eastAsia="宋体" w:cs="宋体"/>
          <w:i w:val="0"/>
          <w:iCs w:val="0"/>
          <w:color w:val="auto"/>
          <w:sz w:val="24"/>
          <w:szCs w:val="24"/>
          <w:highlight w:val="none"/>
          <w:lang w:val="hr-HR"/>
        </w:rPr>
        <w:t> 简要规格描述：</w:t>
      </w:r>
      <w:r>
        <w:rPr>
          <w:rFonts w:hint="eastAsia" w:cs="宋体"/>
          <w:i w:val="0"/>
          <w:iCs w:val="0"/>
          <w:color w:val="auto"/>
          <w:sz w:val="24"/>
          <w:szCs w:val="24"/>
          <w:highlight w:val="none"/>
          <w:lang w:val="hr-HR" w:eastAsia="zh-CN"/>
        </w:rPr>
        <w:t>为切实改善社区一线工作人员就餐条件，实施社区工作人员餐饮保障项目，做好14个社区及街道办事处员工的午餐服务</w:t>
      </w:r>
      <w:r>
        <w:rPr>
          <w:rFonts w:hint="eastAsia" w:ascii="宋体" w:hAnsi="宋体" w:eastAsia="宋体" w:cs="宋体"/>
          <w:i w:val="0"/>
          <w:iCs w:val="0"/>
          <w:color w:val="auto"/>
          <w:sz w:val="24"/>
          <w:szCs w:val="24"/>
          <w:highlight w:val="none"/>
          <w:lang w:val="hr-HR" w:eastAsia="zh-CN"/>
        </w:rPr>
        <w:t>。</w:t>
      </w:r>
    </w:p>
    <w:p w14:paraId="622CF521">
      <w:pPr>
        <w:pStyle w:val="39"/>
        <w:ind w:firstLine="720" w:firstLineChars="300"/>
        <w:rPr>
          <w:rFonts w:hint="eastAsia" w:ascii="宋体" w:hAnsi="宋体" w:eastAsia="宋体" w:cs="宋体"/>
          <w:i w:val="0"/>
          <w:iCs w:val="0"/>
          <w:color w:val="auto"/>
          <w:kern w:val="2"/>
          <w:sz w:val="24"/>
          <w:szCs w:val="24"/>
          <w:highlight w:val="none"/>
          <w:lang w:val="hr-HR" w:eastAsia="zh-CN" w:bidi="ar-SA"/>
        </w:rPr>
      </w:pPr>
      <w:r>
        <w:rPr>
          <w:rFonts w:hint="eastAsia" w:ascii="宋体" w:hAnsi="宋体" w:eastAsia="宋体" w:cs="宋体"/>
          <w:i w:val="0"/>
          <w:iCs w:val="0"/>
          <w:color w:val="auto"/>
          <w:kern w:val="2"/>
          <w:sz w:val="24"/>
          <w:szCs w:val="24"/>
          <w:highlight w:val="none"/>
          <w:lang w:val="hr-HR" w:eastAsia="zh-CN" w:bidi="ar-SA"/>
        </w:rPr>
        <w:t>备注：</w:t>
      </w:r>
    </w:p>
    <w:p w14:paraId="0EEC1CC3">
      <w:pPr>
        <w:pStyle w:val="41"/>
        <w:keepNext w:val="0"/>
        <w:keepLines w:val="0"/>
        <w:pageBreakBefore w:val="0"/>
        <w:widowControl w:val="0"/>
        <w:kinsoku/>
        <w:wordWrap w:val="0"/>
        <w:overflowPunct/>
        <w:topLinePunct w:val="0"/>
        <w:autoSpaceDE/>
        <w:autoSpaceDN/>
        <w:bidi w:val="0"/>
        <w:adjustRightInd/>
        <w:snapToGrid/>
        <w:ind w:firstLine="482"/>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7</w:t>
      </w:r>
      <w:r>
        <w:rPr>
          <w:rFonts w:hint="eastAsia" w:ascii="宋体" w:hAnsi="宋体" w:eastAsia="宋体" w:cs="宋体"/>
          <w:i w:val="0"/>
          <w:iCs w:val="0"/>
          <w:color w:val="auto"/>
          <w:sz w:val="24"/>
          <w:szCs w:val="24"/>
          <w:highlight w:val="none"/>
        </w:rPr>
        <w:t>.合同</w:t>
      </w:r>
      <w:r>
        <w:rPr>
          <w:rFonts w:hint="eastAsia" w:ascii="宋体" w:hAnsi="宋体" w:eastAsia="宋体" w:cs="宋体"/>
          <w:i w:val="0"/>
          <w:iCs w:val="0"/>
          <w:color w:val="auto"/>
          <w:sz w:val="24"/>
          <w:szCs w:val="24"/>
          <w:highlight w:val="none"/>
          <w:lang w:val="en-US" w:eastAsia="zh-CN"/>
        </w:rPr>
        <w:t>服务</w:t>
      </w:r>
      <w:r>
        <w:rPr>
          <w:rFonts w:hint="eastAsia" w:ascii="宋体" w:hAnsi="宋体" w:eastAsia="宋体" w:cs="宋体"/>
          <w:i w:val="0"/>
          <w:iCs w:val="0"/>
          <w:color w:val="auto"/>
          <w:sz w:val="24"/>
          <w:szCs w:val="24"/>
          <w:highlight w:val="none"/>
        </w:rPr>
        <w:t>履行期限：</w:t>
      </w:r>
      <w:r>
        <w:rPr>
          <w:rFonts w:hint="eastAsia" w:cs="宋体"/>
          <w:i w:val="0"/>
          <w:iCs w:val="0"/>
          <w:color w:val="auto"/>
          <w:sz w:val="24"/>
          <w:szCs w:val="24"/>
          <w:highlight w:val="none"/>
          <w:u w:val="none"/>
          <w:lang w:val="en-US" w:eastAsia="zh-CN"/>
        </w:rPr>
        <w:t>自合同签订之日起1年。</w:t>
      </w:r>
    </w:p>
    <w:p w14:paraId="05003F43">
      <w:pPr>
        <w:pStyle w:val="41"/>
        <w:rPr>
          <w:rFonts w:hint="eastAsia" w:ascii="宋体" w:hAnsi="宋体" w:eastAsia="宋体" w:cs="宋体"/>
          <w:i w:val="0"/>
          <w:iCs w:val="0"/>
          <w:color w:val="auto"/>
          <w:sz w:val="24"/>
          <w:szCs w:val="24"/>
          <w:highlight w:val="none"/>
          <w:lang w:val="en-US" w:eastAsia="zh-CN"/>
        </w:rPr>
      </w:pPr>
      <w:bookmarkStart w:id="17" w:name="_Toc11033"/>
      <w:bookmarkStart w:id="18" w:name="_Toc140132746"/>
      <w:bookmarkStart w:id="19" w:name="_Toc109900249"/>
      <w:bookmarkStart w:id="20" w:name="_Toc109899830"/>
      <w:bookmarkStart w:id="21" w:name="_Toc163492813"/>
      <w:bookmarkStart w:id="22" w:name="_Toc35393799"/>
      <w:bookmarkStart w:id="23" w:name="_Toc35393630"/>
      <w:bookmarkStart w:id="24" w:name="_Toc109899411"/>
      <w:bookmarkStart w:id="25" w:name="_Toc28359090"/>
      <w:bookmarkStart w:id="26" w:name="_Toc28359013"/>
      <w:bookmarkStart w:id="27" w:name="_Toc155185861"/>
      <w:bookmarkStart w:id="28" w:name="_Toc44583629"/>
      <w:r>
        <w:rPr>
          <w:rFonts w:hint="eastAsia" w:ascii="宋体" w:hAnsi="宋体" w:eastAsia="宋体" w:cs="宋体"/>
          <w:i w:val="0"/>
          <w:iCs w:val="0"/>
          <w:color w:val="auto"/>
          <w:sz w:val="24"/>
          <w:szCs w:val="24"/>
          <w:highlight w:val="none"/>
          <w:lang w:val="en-US" w:eastAsia="zh-CN"/>
        </w:rPr>
        <w:t>8.本项目（</w:t>
      </w:r>
      <w:r>
        <w:rPr>
          <w:rFonts w:hint="eastAsia" w:cs="宋体"/>
          <w:i w:val="0"/>
          <w:iCs w:val="0"/>
          <w:color w:val="auto"/>
          <w:sz w:val="24"/>
          <w:szCs w:val="24"/>
          <w:highlight w:val="none"/>
          <w:lang w:val="en-US" w:eastAsia="zh-CN"/>
        </w:rPr>
        <w:t>否</w:t>
      </w:r>
      <w:r>
        <w:rPr>
          <w:rFonts w:hint="eastAsia" w:ascii="宋体" w:hAnsi="宋体" w:eastAsia="宋体" w:cs="宋体"/>
          <w:i w:val="0"/>
          <w:iCs w:val="0"/>
          <w:color w:val="auto"/>
          <w:sz w:val="24"/>
          <w:szCs w:val="24"/>
          <w:highlight w:val="none"/>
          <w:lang w:val="en-US" w:eastAsia="zh-CN"/>
        </w:rPr>
        <w:t>）接受联合体投标。</w:t>
      </w:r>
    </w:p>
    <w:p w14:paraId="230F86F1">
      <w:pPr>
        <w:pStyle w:val="4"/>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r>
        <w:rPr>
          <w:rFonts w:hint="eastAsia" w:ascii="宋体" w:hAnsi="宋体" w:eastAsia="宋体" w:cs="宋体"/>
          <w:b/>
          <w:bCs/>
          <w:i w:val="0"/>
          <w:iCs w:val="0"/>
          <w:color w:val="auto"/>
          <w:kern w:val="2"/>
          <w:sz w:val="24"/>
          <w:szCs w:val="24"/>
          <w:highlight w:val="none"/>
          <w:lang w:val="en-US" w:eastAsia="zh-CN" w:bidi="ar-SA"/>
        </w:rPr>
        <w:t>二、申请人的</w:t>
      </w:r>
      <w:r>
        <w:rPr>
          <w:rFonts w:hint="eastAsia" w:ascii="宋体" w:hAnsi="宋体" w:eastAsia="宋体" w:cs="宋体"/>
          <w:b/>
          <w:bCs/>
          <w:i w:val="0"/>
          <w:iCs w:val="0"/>
          <w:color w:val="auto"/>
          <w:kern w:val="2"/>
          <w:sz w:val="24"/>
          <w:szCs w:val="24"/>
          <w:highlight w:val="none"/>
          <w:lang w:val="hr-HR" w:eastAsia="zh-CN" w:bidi="ar-SA"/>
        </w:rPr>
        <w:t>资格要求</w:t>
      </w:r>
      <w:bookmarkEnd w:id="17"/>
      <w:bookmarkEnd w:id="18"/>
      <w:bookmarkEnd w:id="19"/>
      <w:bookmarkEnd w:id="20"/>
      <w:bookmarkEnd w:id="21"/>
      <w:bookmarkEnd w:id="22"/>
      <w:bookmarkEnd w:id="23"/>
      <w:bookmarkEnd w:id="24"/>
      <w:bookmarkEnd w:id="25"/>
      <w:bookmarkEnd w:id="26"/>
      <w:bookmarkEnd w:id="27"/>
      <w:bookmarkEnd w:id="28"/>
    </w:p>
    <w:p w14:paraId="07EFACFD">
      <w:pPr>
        <w:ind w:firstLine="480" w:firstLineChars="200"/>
        <w:rPr>
          <w:rFonts w:hint="eastAsia" w:ascii="宋体" w:hAnsi="宋体" w:eastAsia="宋体" w:cs="宋体"/>
          <w:i w:val="0"/>
          <w:iCs w:val="0"/>
          <w:strike/>
          <w:dstrike w:val="0"/>
          <w:color w:val="auto"/>
          <w:sz w:val="24"/>
          <w:szCs w:val="24"/>
          <w:highlight w:val="none"/>
          <w:lang w:val="en-US" w:eastAsia="zh-CN"/>
        </w:rPr>
      </w:pPr>
      <w:bookmarkStart w:id="29" w:name="_Toc35393631"/>
      <w:bookmarkStart w:id="30" w:name="_Toc28359091"/>
      <w:bookmarkStart w:id="31" w:name="_Toc44583630"/>
      <w:bookmarkStart w:id="32" w:name="_Toc35393800"/>
      <w:bookmarkStart w:id="33" w:name="_Toc28359014"/>
      <w:r>
        <w:rPr>
          <w:rFonts w:hint="eastAsia" w:ascii="宋体" w:hAnsi="宋体" w:eastAsia="宋体" w:cs="宋体"/>
          <w:i w:val="0"/>
          <w:iCs w:val="0"/>
          <w:color w:val="auto"/>
          <w:sz w:val="24"/>
          <w:szCs w:val="24"/>
          <w:highlight w:val="none"/>
          <w:lang w:val="en-US" w:eastAsia="zh-CN"/>
        </w:rPr>
        <w:t>1. 满足《中华人民共和国政府采购法》第二十二条规定；</w:t>
      </w:r>
    </w:p>
    <w:p w14:paraId="06DDD19C">
      <w:pPr>
        <w:ind w:firstLine="480" w:firstLineChars="200"/>
        <w:rPr>
          <w:rFonts w:hint="eastAsia" w:ascii="宋体" w:hAnsi="宋体" w:eastAsia="宋体" w:cs="宋体"/>
          <w:i w:val="0"/>
          <w:iCs w:val="0"/>
          <w:color w:val="auto"/>
          <w:sz w:val="24"/>
          <w:szCs w:val="24"/>
          <w:highlight w:val="none"/>
          <w:u w:val="none"/>
          <w:lang w:val="en-US" w:eastAsia="zh-CN"/>
        </w:rPr>
      </w:pPr>
      <w:bookmarkStart w:id="34" w:name="_Hlk89807755"/>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.落实政府采购政策需满足的资格要求：</w:t>
      </w:r>
      <w:r>
        <w:rPr>
          <w:rFonts w:hint="eastAsia" w:ascii="宋体" w:hAnsi="宋体" w:eastAsia="宋体" w:cs="宋体"/>
          <w:i w:val="0"/>
          <w:iCs w:val="0"/>
          <w:caps w:val="0"/>
          <w:color w:val="auto"/>
          <w:spacing w:val="0"/>
          <w:sz w:val="24"/>
          <w:szCs w:val="24"/>
          <w:highlight w:val="none"/>
        </w:rPr>
        <w:t>标项1：</w:t>
      </w:r>
      <w:r>
        <w:rPr>
          <w:rFonts w:hint="eastAsia" w:ascii="宋体" w:hAnsi="宋体" w:eastAsia="宋体" w:cs="宋体"/>
          <w:i w:val="0"/>
          <w:iCs w:val="0"/>
          <w:caps w:val="0"/>
          <w:color w:val="auto"/>
          <w:spacing w:val="0"/>
          <w:sz w:val="24"/>
          <w:szCs w:val="24"/>
          <w:highlight w:val="none"/>
          <w:u w:val="none"/>
        </w:rPr>
        <w:t>本项目专门面向</w:t>
      </w:r>
      <w:r>
        <w:rPr>
          <w:rFonts w:hint="eastAsia" w:cs="宋体"/>
          <w:i w:val="0"/>
          <w:iCs w:val="0"/>
          <w:caps w:val="0"/>
          <w:color w:val="auto"/>
          <w:spacing w:val="0"/>
          <w:sz w:val="24"/>
          <w:szCs w:val="24"/>
          <w:highlight w:val="none"/>
          <w:u w:val="none"/>
          <w:lang w:val="en-US" w:eastAsia="zh-CN"/>
        </w:rPr>
        <w:t>中小</w:t>
      </w:r>
      <w:r>
        <w:rPr>
          <w:rFonts w:hint="eastAsia" w:ascii="宋体" w:hAnsi="宋体" w:eastAsia="宋体" w:cs="宋体"/>
          <w:i w:val="0"/>
          <w:iCs w:val="0"/>
          <w:caps w:val="0"/>
          <w:color w:val="auto"/>
          <w:spacing w:val="0"/>
          <w:sz w:val="24"/>
          <w:szCs w:val="24"/>
          <w:highlight w:val="none"/>
          <w:u w:val="none"/>
        </w:rPr>
        <w:t>企业采购，</w:t>
      </w:r>
      <w:r>
        <w:rPr>
          <w:rFonts w:hint="eastAsia" w:cs="宋体"/>
          <w:i w:val="0"/>
          <w:iCs w:val="0"/>
          <w:caps w:val="0"/>
          <w:color w:val="auto"/>
          <w:spacing w:val="0"/>
          <w:sz w:val="24"/>
          <w:szCs w:val="24"/>
          <w:highlight w:val="none"/>
          <w:u w:val="none"/>
          <w:lang w:val="en-US" w:eastAsia="zh-CN"/>
        </w:rPr>
        <w:t>供应商</w:t>
      </w:r>
      <w:r>
        <w:rPr>
          <w:rFonts w:hint="eastAsia" w:ascii="宋体" w:hAnsi="宋体" w:eastAsia="宋体" w:cs="宋体"/>
          <w:i w:val="0"/>
          <w:iCs w:val="0"/>
          <w:caps w:val="0"/>
          <w:color w:val="auto"/>
          <w:spacing w:val="0"/>
          <w:sz w:val="24"/>
          <w:szCs w:val="24"/>
          <w:highlight w:val="none"/>
          <w:u w:val="none"/>
        </w:rPr>
        <w:t>须按照采购文件要求提供《中小企业声明函》</w:t>
      </w:r>
      <w:r>
        <w:rPr>
          <w:rFonts w:hint="eastAsia" w:cs="宋体"/>
          <w:color w:val="auto"/>
          <w:szCs w:val="24"/>
          <w:highlight w:val="none"/>
          <w:u w:val="none"/>
        </w:rPr>
        <w:t>。</w:t>
      </w:r>
    </w:p>
    <w:p w14:paraId="5FC10B48">
      <w:pPr>
        <w:ind w:firstLine="480" w:firstLineChars="200"/>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3.本项目的特定资格要求：</w:t>
      </w:r>
    </w:p>
    <w:p w14:paraId="4335DB38">
      <w:pPr>
        <w:pStyle w:val="41"/>
        <w:ind w:firstLine="480"/>
        <w:rPr>
          <w:rFonts w:hint="eastAsia" w:cs="宋体"/>
          <w:color w:val="auto"/>
          <w:szCs w:val="24"/>
          <w:highlight w:val="none"/>
        </w:rPr>
      </w:pPr>
      <w:r>
        <w:rPr>
          <w:rFonts w:hint="eastAsia" w:ascii="宋体" w:hAnsi="宋体" w:eastAsia="宋体" w:cs="宋体"/>
          <w:i w:val="0"/>
          <w:iCs w:val="0"/>
          <w:caps w:val="0"/>
          <w:color w:val="auto"/>
          <w:spacing w:val="0"/>
          <w:sz w:val="24"/>
          <w:szCs w:val="24"/>
          <w:highlight w:val="none"/>
        </w:rPr>
        <w:t>【标项1】</w:t>
      </w:r>
    </w:p>
    <w:bookmarkEnd w:id="34"/>
    <w:p w14:paraId="675DD47E">
      <w:pPr>
        <w:bidi w:val="0"/>
        <w:ind w:firstLine="480" w:firstLineChars="200"/>
        <w:rPr>
          <w:rFonts w:hint="eastAsia" w:ascii="宋体" w:hAnsi="宋体" w:eastAsia="宋体" w:cs="宋体"/>
          <w:b w:val="0"/>
          <w:bCs w:val="0"/>
          <w:i w:val="0"/>
          <w:iCs w:val="0"/>
          <w:color w:val="auto"/>
          <w:kern w:val="2"/>
          <w:sz w:val="24"/>
          <w:szCs w:val="24"/>
          <w:highlight w:val="none"/>
          <w:lang w:val="en-US" w:eastAsia="zh-CN" w:bidi="ar-SA"/>
        </w:rPr>
      </w:pPr>
      <w:bookmarkStart w:id="35" w:name="_Toc155185862"/>
      <w:bookmarkStart w:id="36" w:name="_Toc140132747"/>
      <w:bookmarkStart w:id="37" w:name="_Toc163492814"/>
      <w:bookmarkStart w:id="38" w:name="_Toc109899831"/>
      <w:bookmarkStart w:id="39" w:name="_Toc109899412"/>
      <w:bookmarkStart w:id="40" w:name="_Toc109900250"/>
      <w:bookmarkStart w:id="41" w:name="_Toc26657"/>
      <w:r>
        <w:rPr>
          <w:rFonts w:hint="eastAsia" w:ascii="宋体" w:hAnsi="宋体" w:eastAsia="宋体" w:cs="宋体"/>
          <w:b w:val="0"/>
          <w:bCs w:val="0"/>
          <w:i w:val="0"/>
          <w:iCs w:val="0"/>
          <w:color w:val="auto"/>
          <w:kern w:val="2"/>
          <w:sz w:val="24"/>
          <w:szCs w:val="24"/>
          <w:lang w:val="en-US" w:eastAsia="zh-CN" w:bidi="ar-SA"/>
        </w:rPr>
        <w:t>(1)具有有效的《食品经营</w:t>
      </w:r>
      <w:r>
        <w:rPr>
          <w:rFonts w:hint="eastAsia" w:ascii="宋体" w:hAnsi="宋体" w:eastAsia="宋体" w:cs="宋体"/>
          <w:b w:val="0"/>
          <w:bCs w:val="0"/>
          <w:i w:val="0"/>
          <w:iCs w:val="0"/>
          <w:color w:val="auto"/>
          <w:kern w:val="2"/>
          <w:sz w:val="24"/>
          <w:szCs w:val="24"/>
          <w:highlight w:val="none"/>
          <w:u w:val="none"/>
          <w:lang w:val="en-US" w:eastAsia="zh-CN" w:bidi="ar-SA"/>
        </w:rPr>
        <w:t>许可证》</w:t>
      </w:r>
      <w:r>
        <w:rPr>
          <w:rFonts w:hint="eastAsia" w:ascii="宋体" w:hAnsi="宋体" w:eastAsia="宋体" w:cs="宋体"/>
          <w:b w:val="0"/>
          <w:bCs w:val="0"/>
          <w:i w:val="0"/>
          <w:iCs w:val="0"/>
          <w:color w:val="auto"/>
          <w:kern w:val="2"/>
          <w:sz w:val="24"/>
          <w:szCs w:val="24"/>
          <w:highlight w:val="none"/>
          <w:lang w:val="en-US" w:eastAsia="zh-CN" w:bidi="ar-SA"/>
        </w:rPr>
        <w:t>。</w:t>
      </w:r>
    </w:p>
    <w:p w14:paraId="274DE2CB">
      <w:pPr>
        <w:keepNext w:val="0"/>
        <w:keepLines w:val="0"/>
        <w:pageBreakBefore w:val="0"/>
        <w:widowControl w:val="0"/>
        <w:numPr>
          <w:ilvl w:val="0"/>
          <w:numId w:val="0"/>
        </w:numPr>
        <w:kinsoku/>
        <w:overflowPunct/>
        <w:topLinePunct w:val="0"/>
        <w:autoSpaceDE/>
        <w:autoSpaceDN/>
        <w:bidi w:val="0"/>
        <w:adjustRightInd/>
        <w:snapToGrid/>
        <w:ind w:left="0" w:leftChars="0" w:firstLine="480" w:firstLineChars="200"/>
        <w:textAlignment w:val="auto"/>
        <w:rPr>
          <w:rFonts w:hint="eastAsia" w:ascii="宋体" w:hAnsi="宋体" w:eastAsia="宋体" w:cs="宋体"/>
          <w:i w:val="0"/>
          <w:iCs w:val="0"/>
          <w:color w:val="auto"/>
          <w:sz w:val="24"/>
          <w:szCs w:val="24"/>
          <w:highlight w:val="none"/>
          <w:u w:val="none"/>
          <w:lang w:val="hr-HR" w:eastAsia="zh-CN"/>
        </w:rPr>
      </w:pPr>
      <w:r>
        <w:rPr>
          <w:rFonts w:hint="default" w:ascii="宋体" w:hAnsi="宋体" w:eastAsia="宋体" w:cs="宋体"/>
          <w:i w:val="0"/>
          <w:iCs w:val="0"/>
          <w:color w:val="auto"/>
          <w:kern w:val="2"/>
          <w:sz w:val="24"/>
          <w:szCs w:val="24"/>
          <w:lang w:val="hr-HR" w:eastAsia="zh-CN" w:bidi="ar-SA"/>
        </w:rPr>
        <w:t>(</w:t>
      </w:r>
      <w:r>
        <w:rPr>
          <w:rFonts w:hint="eastAsia" w:ascii="宋体" w:hAnsi="宋体" w:eastAsia="宋体" w:cs="宋体"/>
          <w:i w:val="0"/>
          <w:iCs w:val="0"/>
          <w:color w:val="auto"/>
          <w:kern w:val="2"/>
          <w:sz w:val="24"/>
          <w:szCs w:val="24"/>
          <w:lang w:val="en-US" w:eastAsia="zh-CN" w:bidi="ar-SA"/>
        </w:rPr>
        <w:t>2</w:t>
      </w:r>
      <w:r>
        <w:rPr>
          <w:rFonts w:hint="default" w:ascii="宋体" w:hAnsi="宋体" w:eastAsia="宋体" w:cs="宋体"/>
          <w:i w:val="0"/>
          <w:iCs w:val="0"/>
          <w:color w:val="auto"/>
          <w:kern w:val="2"/>
          <w:sz w:val="24"/>
          <w:szCs w:val="24"/>
          <w:lang w:val="hr-HR" w:eastAsia="zh-CN" w:bidi="ar-SA"/>
        </w:rPr>
        <w:t>)</w:t>
      </w:r>
      <w:r>
        <w:rPr>
          <w:rFonts w:hint="eastAsia" w:ascii="宋体" w:hAnsi="宋体" w:eastAsia="宋体" w:cs="宋体"/>
          <w:i w:val="0"/>
          <w:iCs w:val="0"/>
          <w:color w:val="auto"/>
          <w:sz w:val="24"/>
          <w:szCs w:val="24"/>
          <w:highlight w:val="none"/>
          <w:u w:val="none"/>
          <w:lang w:val="hr-HR" w:eastAsia="zh-CN"/>
        </w:rPr>
        <w:t>法定代表人或</w:t>
      </w:r>
      <w:r>
        <w:rPr>
          <w:rFonts w:hint="eastAsia" w:ascii="宋体" w:hAnsi="宋体" w:eastAsia="宋体" w:cs="宋体"/>
          <w:i w:val="0"/>
          <w:iCs w:val="0"/>
          <w:color w:val="auto"/>
          <w:sz w:val="24"/>
          <w:szCs w:val="24"/>
          <w:highlight w:val="none"/>
          <w:u w:val="none"/>
          <w:lang w:val="en-US" w:eastAsia="zh-CN"/>
        </w:rPr>
        <w:t>单位</w:t>
      </w:r>
      <w:r>
        <w:rPr>
          <w:rFonts w:hint="eastAsia" w:ascii="宋体" w:hAnsi="宋体" w:eastAsia="宋体" w:cs="宋体"/>
          <w:i w:val="0"/>
          <w:iCs w:val="0"/>
          <w:color w:val="auto"/>
          <w:sz w:val="24"/>
          <w:szCs w:val="24"/>
          <w:highlight w:val="none"/>
          <w:u w:val="none"/>
          <w:lang w:val="hr-HR" w:eastAsia="zh-CN"/>
        </w:rPr>
        <w:t>负责人为同一人或者存在</w:t>
      </w:r>
      <w:r>
        <w:rPr>
          <w:rFonts w:hint="eastAsia" w:ascii="宋体" w:hAnsi="宋体" w:eastAsia="宋体" w:cs="宋体"/>
          <w:i w:val="0"/>
          <w:iCs w:val="0"/>
          <w:color w:val="auto"/>
          <w:sz w:val="24"/>
          <w:szCs w:val="24"/>
          <w:highlight w:val="none"/>
          <w:u w:val="none"/>
          <w:lang w:val="en-US" w:eastAsia="zh-CN"/>
        </w:rPr>
        <w:t>直接</w:t>
      </w:r>
      <w:r>
        <w:rPr>
          <w:rFonts w:hint="eastAsia" w:ascii="宋体" w:hAnsi="宋体" w:eastAsia="宋体" w:cs="宋体"/>
          <w:i w:val="0"/>
          <w:iCs w:val="0"/>
          <w:color w:val="auto"/>
          <w:sz w:val="24"/>
          <w:szCs w:val="24"/>
          <w:highlight w:val="none"/>
          <w:u w:val="none"/>
          <w:lang w:val="hr-HR" w:eastAsia="zh-CN"/>
        </w:rPr>
        <w:t>控股、管理关系的</w:t>
      </w:r>
      <w:r>
        <w:rPr>
          <w:rFonts w:hint="eastAsia" w:ascii="宋体" w:hAnsi="宋体" w:eastAsia="宋体" w:cs="宋体"/>
          <w:i w:val="0"/>
          <w:iCs w:val="0"/>
          <w:color w:val="auto"/>
          <w:sz w:val="24"/>
          <w:szCs w:val="24"/>
          <w:highlight w:val="none"/>
          <w:u w:val="none"/>
          <w:lang w:val="en-US" w:eastAsia="zh-CN"/>
        </w:rPr>
        <w:t>不同供应商</w:t>
      </w:r>
      <w:r>
        <w:rPr>
          <w:rFonts w:hint="eastAsia" w:ascii="宋体" w:hAnsi="宋体" w:eastAsia="宋体" w:cs="宋体"/>
          <w:i w:val="0"/>
          <w:iCs w:val="0"/>
          <w:color w:val="auto"/>
          <w:sz w:val="24"/>
          <w:szCs w:val="24"/>
          <w:highlight w:val="none"/>
          <w:u w:val="none"/>
          <w:lang w:val="hr-HR" w:eastAsia="zh-CN"/>
        </w:rPr>
        <w:t>，不得参加同一合同项下的政府采购活动。</w:t>
      </w:r>
    </w:p>
    <w:p w14:paraId="327FEF43">
      <w:pPr>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宋体"/>
          <w:i w:val="0"/>
          <w:iCs w:val="0"/>
          <w:color w:val="auto"/>
          <w:kern w:val="2"/>
          <w:sz w:val="24"/>
          <w:szCs w:val="24"/>
          <w:highlight w:val="none"/>
          <w:u w:val="none"/>
          <w:lang w:val="hr-HR" w:eastAsia="zh-CN" w:bidi="ar-SA"/>
        </w:rPr>
      </w:pPr>
      <w:r>
        <w:rPr>
          <w:rFonts w:hint="default" w:ascii="宋体" w:hAnsi="宋体" w:eastAsia="宋体" w:cs="宋体"/>
          <w:i w:val="0"/>
          <w:iCs w:val="0"/>
          <w:color w:val="auto"/>
          <w:kern w:val="2"/>
          <w:sz w:val="24"/>
          <w:szCs w:val="24"/>
          <w:lang w:val="hr-HR" w:eastAsia="zh-CN" w:bidi="ar-SA"/>
        </w:rPr>
        <w:t>(</w:t>
      </w:r>
      <w:r>
        <w:rPr>
          <w:rFonts w:hint="eastAsia" w:ascii="宋体" w:hAnsi="宋体" w:eastAsia="宋体" w:cs="宋体"/>
          <w:i w:val="0"/>
          <w:iCs w:val="0"/>
          <w:color w:val="auto"/>
          <w:kern w:val="2"/>
          <w:sz w:val="24"/>
          <w:szCs w:val="24"/>
          <w:lang w:val="en-US" w:eastAsia="zh-CN" w:bidi="ar-SA"/>
        </w:rPr>
        <w:t>3</w:t>
      </w:r>
      <w:r>
        <w:rPr>
          <w:rFonts w:hint="default" w:ascii="宋体" w:hAnsi="宋体" w:eastAsia="宋体" w:cs="宋体"/>
          <w:i w:val="0"/>
          <w:iCs w:val="0"/>
          <w:color w:val="auto"/>
          <w:kern w:val="2"/>
          <w:sz w:val="24"/>
          <w:szCs w:val="24"/>
          <w:lang w:val="hr-HR" w:eastAsia="zh-CN" w:bidi="ar-SA"/>
        </w:rPr>
        <w:t>)</w:t>
      </w:r>
      <w:r>
        <w:rPr>
          <w:rFonts w:hint="eastAsia" w:ascii="宋体" w:hAnsi="宋体" w:eastAsia="宋体" w:cs="宋体"/>
          <w:i w:val="0"/>
          <w:iCs w:val="0"/>
          <w:color w:val="auto"/>
          <w:kern w:val="2"/>
          <w:sz w:val="24"/>
          <w:szCs w:val="24"/>
          <w:highlight w:val="none"/>
          <w:u w:val="none"/>
          <w:lang w:val="hr-HR" w:eastAsia="zh-CN" w:bidi="ar-SA"/>
        </w:rPr>
        <w:t>除单一来源采购项目外，为采购项目提供整体设计、规范编制或者项目管理、监理、检测等服务的供应商，不得再参加该采购项目的其他采购活动。</w:t>
      </w:r>
    </w:p>
    <w:p w14:paraId="46C3A5E2">
      <w:pPr>
        <w:ind w:firstLine="480" w:firstLineChars="200"/>
        <w:rPr>
          <w:rFonts w:hint="eastAsia"/>
          <w:lang w:val="en-US" w:eastAsia="zh-CN"/>
        </w:rPr>
      </w:pPr>
      <w:r>
        <w:rPr>
          <w:rFonts w:hint="eastAsia" w:ascii="宋体" w:hAnsi="宋体" w:eastAsia="宋体" w:cs="宋体"/>
          <w:i w:val="0"/>
          <w:iCs w:val="0"/>
          <w:color w:val="auto"/>
          <w:kern w:val="2"/>
          <w:sz w:val="24"/>
          <w:szCs w:val="24"/>
          <w:lang w:val="hr-HR" w:eastAsia="zh-CN" w:bidi="ar-SA"/>
        </w:rPr>
        <w:t>(</w:t>
      </w:r>
      <w:r>
        <w:rPr>
          <w:rFonts w:hint="eastAsia" w:ascii="宋体" w:hAnsi="宋体" w:eastAsia="宋体" w:cs="宋体"/>
          <w:i w:val="0"/>
          <w:iCs w:val="0"/>
          <w:color w:val="auto"/>
          <w:kern w:val="2"/>
          <w:sz w:val="24"/>
          <w:szCs w:val="24"/>
          <w:lang w:val="en-US" w:eastAsia="zh-CN" w:bidi="ar-SA"/>
        </w:rPr>
        <w:t>4</w:t>
      </w:r>
      <w:r>
        <w:rPr>
          <w:rFonts w:hint="eastAsia" w:ascii="宋体" w:hAnsi="宋体" w:eastAsia="宋体" w:cs="宋体"/>
          <w:i w:val="0"/>
          <w:iCs w:val="0"/>
          <w:color w:val="auto"/>
          <w:kern w:val="2"/>
          <w:sz w:val="24"/>
          <w:szCs w:val="24"/>
          <w:lang w:val="hr-HR" w:eastAsia="zh-CN" w:bidi="ar-SA"/>
        </w:rPr>
        <w:t>)供应商的信用行为：在</w:t>
      </w:r>
      <w:r>
        <w:rPr>
          <w:rFonts w:hint="eastAsia" w:ascii="宋体" w:hAnsi="宋体" w:eastAsia="宋体" w:cs="宋体"/>
          <w:i w:val="0"/>
          <w:iCs w:val="0"/>
          <w:color w:val="auto"/>
          <w:kern w:val="2"/>
          <w:sz w:val="24"/>
          <w:szCs w:val="24"/>
          <w:lang w:val="en-US" w:eastAsia="zh-CN" w:bidi="ar-SA"/>
        </w:rPr>
        <w:t>资格审查阶段经查询</w:t>
      </w:r>
      <w:r>
        <w:rPr>
          <w:rFonts w:hint="eastAsia" w:ascii="宋体" w:hAnsi="宋体" w:eastAsia="宋体" w:cs="宋体"/>
          <w:i w:val="0"/>
          <w:iCs w:val="0"/>
          <w:color w:val="auto"/>
          <w:kern w:val="2"/>
          <w:sz w:val="24"/>
          <w:szCs w:val="24"/>
          <w:lang w:val="hr-HR" w:eastAsia="zh-CN" w:bidi="ar-SA"/>
        </w:rPr>
        <w:t>，</w:t>
      </w:r>
      <w:r>
        <w:rPr>
          <w:rFonts w:hint="eastAsia" w:ascii="宋体" w:hAnsi="宋体" w:eastAsia="宋体" w:cs="宋体"/>
          <w:i w:val="0"/>
          <w:iCs w:val="0"/>
          <w:color w:val="auto"/>
          <w:kern w:val="2"/>
          <w:sz w:val="24"/>
          <w:szCs w:val="24"/>
          <w:lang w:val="en-US" w:eastAsia="zh-CN" w:bidi="ar-SA"/>
        </w:rPr>
        <w:t>未被列入“失信被执行人”、“重大税收违法失信主体”、“政府采购严重违法失信行为记录名单”</w:t>
      </w:r>
      <w:r>
        <w:rPr>
          <w:rFonts w:hint="eastAsia" w:ascii="宋体" w:hAnsi="宋体" w:eastAsia="宋体" w:cs="宋体"/>
          <w:i w:val="0"/>
          <w:iCs w:val="0"/>
          <w:color w:val="auto"/>
          <w:kern w:val="2"/>
          <w:sz w:val="24"/>
          <w:szCs w:val="24"/>
          <w:lang w:val="hr-HR" w:eastAsia="zh-CN" w:bidi="ar-SA"/>
        </w:rPr>
        <w:t>其中之一。如有以上不良信用记录</w:t>
      </w:r>
      <w:r>
        <w:rPr>
          <w:rFonts w:hint="eastAsia" w:ascii="宋体" w:hAnsi="宋体" w:eastAsia="宋体" w:cs="宋体"/>
          <w:i w:val="0"/>
          <w:iCs w:val="0"/>
          <w:color w:val="auto"/>
          <w:kern w:val="2"/>
          <w:sz w:val="24"/>
          <w:szCs w:val="24"/>
          <w:lang w:val="en-US" w:eastAsia="zh-CN" w:bidi="ar-SA"/>
        </w:rPr>
        <w:t>之一的，</w:t>
      </w:r>
      <w:r>
        <w:rPr>
          <w:rFonts w:hint="eastAsia" w:ascii="宋体" w:hAnsi="宋体" w:eastAsia="宋体" w:cs="宋体"/>
          <w:i w:val="0"/>
          <w:iCs w:val="0"/>
          <w:color w:val="auto"/>
          <w:kern w:val="2"/>
          <w:sz w:val="24"/>
          <w:szCs w:val="24"/>
          <w:lang w:val="hr-HR" w:eastAsia="zh-CN" w:bidi="ar-SA"/>
        </w:rPr>
        <w:t>其</w:t>
      </w:r>
      <w:r>
        <w:rPr>
          <w:rFonts w:hint="eastAsia" w:ascii="宋体" w:hAnsi="宋体" w:eastAsia="宋体" w:cs="宋体"/>
          <w:i w:val="0"/>
          <w:iCs w:val="0"/>
          <w:color w:val="auto"/>
          <w:kern w:val="2"/>
          <w:sz w:val="24"/>
          <w:szCs w:val="24"/>
          <w:lang w:val="en-US" w:eastAsia="zh-CN" w:bidi="ar-SA"/>
        </w:rPr>
        <w:t>响应无效</w:t>
      </w:r>
      <w:r>
        <w:rPr>
          <w:rFonts w:hint="eastAsia" w:ascii="宋体" w:hAnsi="宋体" w:eastAsia="宋体" w:cs="宋体"/>
          <w:i w:val="0"/>
          <w:iCs w:val="0"/>
          <w:color w:val="auto"/>
          <w:kern w:val="2"/>
          <w:sz w:val="24"/>
          <w:szCs w:val="24"/>
          <w:lang w:val="hr-HR" w:eastAsia="zh-CN" w:bidi="ar-SA"/>
        </w:rPr>
        <w:t>。</w:t>
      </w:r>
    </w:p>
    <w:p w14:paraId="2CD31818">
      <w:pPr>
        <w:pStyle w:val="4"/>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r>
        <w:rPr>
          <w:rFonts w:hint="eastAsia" w:ascii="宋体" w:hAnsi="宋体" w:eastAsia="宋体" w:cs="宋体"/>
          <w:b/>
          <w:bCs/>
          <w:i w:val="0"/>
          <w:iCs w:val="0"/>
          <w:color w:val="auto"/>
          <w:kern w:val="2"/>
          <w:sz w:val="24"/>
          <w:szCs w:val="24"/>
          <w:highlight w:val="none"/>
          <w:lang w:val="en-US" w:eastAsia="zh-CN" w:bidi="ar-SA"/>
        </w:rPr>
        <w:t>三、</w:t>
      </w:r>
      <w:r>
        <w:rPr>
          <w:rFonts w:hint="eastAsia" w:ascii="宋体" w:hAnsi="宋体" w:eastAsia="宋体" w:cs="宋体"/>
          <w:b/>
          <w:bCs/>
          <w:i w:val="0"/>
          <w:iCs w:val="0"/>
          <w:color w:val="auto"/>
          <w:kern w:val="2"/>
          <w:sz w:val="24"/>
          <w:szCs w:val="24"/>
          <w:highlight w:val="none"/>
          <w:lang w:val="hr-HR" w:eastAsia="zh-CN" w:bidi="ar-SA"/>
        </w:rPr>
        <w:t>获取</w:t>
      </w:r>
      <w:r>
        <w:rPr>
          <w:rFonts w:hint="eastAsia" w:ascii="宋体" w:hAnsi="宋体" w:eastAsia="宋体" w:cs="宋体"/>
          <w:b/>
          <w:bCs/>
          <w:i w:val="0"/>
          <w:iCs w:val="0"/>
          <w:color w:val="auto"/>
          <w:kern w:val="2"/>
          <w:sz w:val="24"/>
          <w:szCs w:val="24"/>
          <w:highlight w:val="none"/>
          <w:lang w:val="en-US" w:eastAsia="zh-CN" w:bidi="ar-SA"/>
        </w:rPr>
        <w:t>采购</w:t>
      </w:r>
      <w:r>
        <w:rPr>
          <w:rFonts w:hint="eastAsia" w:ascii="宋体" w:hAnsi="宋体" w:eastAsia="宋体" w:cs="宋体"/>
          <w:b/>
          <w:bCs/>
          <w:i w:val="0"/>
          <w:iCs w:val="0"/>
          <w:color w:val="auto"/>
          <w:kern w:val="2"/>
          <w:sz w:val="24"/>
          <w:szCs w:val="24"/>
          <w:highlight w:val="none"/>
          <w:lang w:val="hr-HR" w:eastAsia="zh-CN" w:bidi="ar-SA"/>
        </w:rPr>
        <w:t>文件</w:t>
      </w:r>
      <w:bookmarkEnd w:id="29"/>
      <w:bookmarkEnd w:id="30"/>
      <w:bookmarkEnd w:id="31"/>
      <w:bookmarkEnd w:id="32"/>
      <w:bookmarkEnd w:id="33"/>
      <w:bookmarkEnd w:id="35"/>
      <w:bookmarkEnd w:id="36"/>
      <w:bookmarkEnd w:id="37"/>
      <w:bookmarkEnd w:id="38"/>
      <w:bookmarkEnd w:id="39"/>
      <w:bookmarkEnd w:id="40"/>
      <w:bookmarkEnd w:id="41"/>
      <w:r>
        <w:rPr>
          <w:rFonts w:hint="eastAsia" w:ascii="宋体" w:hAnsi="宋体" w:eastAsia="宋体" w:cs="宋体"/>
          <w:b/>
          <w:bCs/>
          <w:i w:val="0"/>
          <w:iCs w:val="0"/>
          <w:color w:val="auto"/>
          <w:kern w:val="2"/>
          <w:sz w:val="24"/>
          <w:szCs w:val="24"/>
          <w:highlight w:val="none"/>
          <w:lang w:val="hr-HR" w:eastAsia="zh-CN" w:bidi="ar-SA"/>
        </w:rPr>
        <w:t xml:space="preserve"> </w:t>
      </w:r>
    </w:p>
    <w:p w14:paraId="0D505180">
      <w:pPr>
        <w:spacing w:line="360" w:lineRule="auto"/>
        <w:ind w:firstLine="540"/>
        <w:rPr>
          <w:rFonts w:hint="eastAsia" w:ascii="宋体" w:hAnsi="宋体" w:eastAsia="宋体" w:cs="宋体"/>
          <w:i w:val="0"/>
          <w:iCs w:val="0"/>
          <w:color w:val="auto"/>
          <w:sz w:val="24"/>
          <w:szCs w:val="24"/>
          <w:highlight w:val="none"/>
          <w:lang w:val="hr-HR" w:eastAsia="zh-CN"/>
        </w:rPr>
      </w:pPr>
      <w:bookmarkStart w:id="42" w:name="_Hlk130457234"/>
      <w:bookmarkStart w:id="43" w:name="_Hlk130457261"/>
      <w:bookmarkStart w:id="44" w:name="_Toc35393801"/>
      <w:bookmarkStart w:id="45" w:name="_Toc28359015"/>
      <w:bookmarkStart w:id="46" w:name="_Toc28359092"/>
      <w:bookmarkStart w:id="47" w:name="_Toc35393632"/>
      <w:bookmarkStart w:id="48" w:name="_Hlk130457327"/>
      <w:r>
        <w:rPr>
          <w:rFonts w:hint="eastAsia" w:ascii="宋体" w:hAnsi="宋体" w:eastAsia="宋体" w:cs="宋体"/>
          <w:i w:val="0"/>
          <w:iCs w:val="0"/>
          <w:color w:val="auto"/>
          <w:sz w:val="24"/>
          <w:szCs w:val="24"/>
          <w:highlight w:val="none"/>
          <w:lang w:val="hr-HR"/>
        </w:rPr>
        <w:t>1.</w:t>
      </w:r>
      <w:bookmarkEnd w:id="42"/>
      <w:bookmarkStart w:id="49" w:name="_Hlk89807779"/>
      <w:r>
        <w:rPr>
          <w:rFonts w:hint="eastAsia" w:cs="宋体"/>
          <w:color w:val="auto"/>
          <w:szCs w:val="24"/>
          <w:highlight w:val="none"/>
          <w:lang w:val="hr-HR"/>
        </w:rPr>
        <w:t>时间：</w:t>
      </w:r>
      <w:r>
        <w:rPr>
          <w:rFonts w:hint="eastAsia" w:cs="宋体"/>
          <w:color w:val="auto"/>
          <w:szCs w:val="24"/>
          <w:highlight w:val="none"/>
          <w:u w:val="single"/>
        </w:rPr>
        <w:t>　202</w:t>
      </w:r>
      <w:r>
        <w:rPr>
          <w:rFonts w:hint="eastAsia" w:cs="宋体"/>
          <w:color w:val="auto"/>
          <w:szCs w:val="24"/>
          <w:highlight w:val="none"/>
          <w:u w:val="single"/>
          <w:lang w:val="en-US" w:eastAsia="zh-CN"/>
        </w:rPr>
        <w:t>6</w:t>
      </w:r>
      <w:r>
        <w:rPr>
          <w:rFonts w:hint="eastAsia" w:cs="宋体"/>
          <w:color w:val="auto"/>
          <w:szCs w:val="24"/>
          <w:highlight w:val="none"/>
          <w:u w:val="single"/>
        </w:rPr>
        <w:t>年</w:t>
      </w:r>
      <w:r>
        <w:rPr>
          <w:rFonts w:hint="eastAsia" w:cs="宋体"/>
          <w:color w:val="auto"/>
          <w:szCs w:val="24"/>
          <w:highlight w:val="none"/>
          <w:u w:val="single"/>
          <w:lang w:val="en-US" w:eastAsia="zh-CN"/>
        </w:rPr>
        <w:t>04</w:t>
      </w:r>
      <w:r>
        <w:rPr>
          <w:rFonts w:hint="eastAsia" w:cs="宋体"/>
          <w:color w:val="auto"/>
          <w:szCs w:val="24"/>
          <w:highlight w:val="none"/>
          <w:u w:val="single"/>
        </w:rPr>
        <w:t>月</w:t>
      </w:r>
      <w:r>
        <w:rPr>
          <w:rFonts w:hint="eastAsia" w:cs="宋体"/>
          <w:color w:val="auto"/>
          <w:szCs w:val="24"/>
          <w:highlight w:val="none"/>
          <w:u w:val="single"/>
          <w:lang w:val="en-US" w:eastAsia="zh-CN"/>
        </w:rPr>
        <w:t>30</w:t>
      </w:r>
      <w:r>
        <w:rPr>
          <w:rFonts w:hint="eastAsia" w:cs="宋体"/>
          <w:color w:val="auto"/>
          <w:szCs w:val="24"/>
          <w:highlight w:val="none"/>
          <w:u w:val="single"/>
        </w:rPr>
        <w:t>日</w:t>
      </w:r>
      <w:r>
        <w:rPr>
          <w:rFonts w:hint="eastAsia" w:cs="宋体"/>
          <w:color w:val="auto"/>
          <w:szCs w:val="24"/>
          <w:highlight w:val="none"/>
        </w:rPr>
        <w:t>至</w:t>
      </w:r>
      <w:r>
        <w:rPr>
          <w:rFonts w:hint="eastAsia" w:cs="宋体"/>
          <w:color w:val="auto"/>
          <w:szCs w:val="24"/>
          <w:highlight w:val="none"/>
          <w:u w:val="single"/>
        </w:rPr>
        <w:t>202</w:t>
      </w:r>
      <w:r>
        <w:rPr>
          <w:rFonts w:hint="eastAsia" w:cs="宋体"/>
          <w:color w:val="auto"/>
          <w:szCs w:val="24"/>
          <w:highlight w:val="none"/>
          <w:u w:val="single"/>
          <w:lang w:val="en-US" w:eastAsia="zh-CN"/>
        </w:rPr>
        <w:t>6</w:t>
      </w:r>
      <w:r>
        <w:rPr>
          <w:rFonts w:hint="eastAsia" w:cs="宋体"/>
          <w:color w:val="auto"/>
          <w:szCs w:val="24"/>
          <w:highlight w:val="none"/>
          <w:u w:val="single"/>
        </w:rPr>
        <w:t>年</w:t>
      </w:r>
      <w:r>
        <w:rPr>
          <w:rFonts w:hint="eastAsia" w:cs="宋体"/>
          <w:color w:val="auto"/>
          <w:szCs w:val="24"/>
          <w:highlight w:val="none"/>
          <w:u w:val="single"/>
          <w:lang w:val="en-US" w:eastAsia="zh-CN"/>
        </w:rPr>
        <w:t>05</w:t>
      </w:r>
      <w:r>
        <w:rPr>
          <w:rFonts w:hint="eastAsia" w:cs="宋体"/>
          <w:color w:val="auto"/>
          <w:szCs w:val="24"/>
          <w:highlight w:val="none"/>
          <w:u w:val="single"/>
        </w:rPr>
        <w:t>月</w:t>
      </w:r>
      <w:r>
        <w:rPr>
          <w:rFonts w:hint="eastAsia" w:cs="宋体"/>
          <w:color w:val="auto"/>
          <w:szCs w:val="24"/>
          <w:highlight w:val="none"/>
          <w:u w:val="single"/>
          <w:lang w:val="en-US" w:eastAsia="zh-CN"/>
        </w:rPr>
        <w:t>11</w:t>
      </w:r>
      <w:r>
        <w:rPr>
          <w:rFonts w:hint="eastAsia" w:cs="宋体"/>
          <w:color w:val="auto"/>
          <w:szCs w:val="24"/>
          <w:highlight w:val="none"/>
          <w:u w:val="single"/>
        </w:rPr>
        <w:t>日</w:t>
      </w:r>
      <w:r>
        <w:rPr>
          <w:rFonts w:hint="eastAsia" w:cs="宋体"/>
          <w:color w:val="auto"/>
          <w:szCs w:val="24"/>
          <w:highlight w:val="none"/>
        </w:rPr>
        <w:t>，每天上午</w:t>
      </w:r>
      <w:r>
        <w:rPr>
          <w:rFonts w:hint="eastAsia" w:cs="宋体"/>
          <w:color w:val="auto"/>
          <w:szCs w:val="24"/>
          <w:highlight w:val="none"/>
          <w:u w:val="single"/>
        </w:rPr>
        <w:t xml:space="preserve">00:00 </w:t>
      </w:r>
      <w:r>
        <w:rPr>
          <w:rFonts w:hint="eastAsia" w:cs="宋体"/>
          <w:color w:val="auto"/>
          <w:szCs w:val="24"/>
          <w:highlight w:val="none"/>
        </w:rPr>
        <w:t>至</w:t>
      </w:r>
      <w:r>
        <w:rPr>
          <w:rFonts w:hint="eastAsia" w:cs="宋体"/>
          <w:color w:val="auto"/>
          <w:szCs w:val="24"/>
          <w:highlight w:val="none"/>
          <w:u w:val="single"/>
        </w:rPr>
        <w:t>1</w:t>
      </w:r>
      <w:r>
        <w:rPr>
          <w:rFonts w:hint="eastAsia" w:cs="宋体"/>
          <w:color w:val="auto"/>
          <w:szCs w:val="24"/>
          <w:highlight w:val="none"/>
          <w:u w:val="single"/>
          <w:lang w:val="en-US" w:eastAsia="zh-CN"/>
        </w:rPr>
        <w:t>4</w:t>
      </w:r>
      <w:r>
        <w:rPr>
          <w:rFonts w:hint="eastAsia" w:cs="宋体"/>
          <w:color w:val="auto"/>
          <w:szCs w:val="24"/>
          <w:highlight w:val="none"/>
          <w:u w:val="single"/>
        </w:rPr>
        <w:t>:00</w:t>
      </w:r>
      <w:r>
        <w:rPr>
          <w:rFonts w:hint="eastAsia" w:cs="宋体"/>
          <w:color w:val="auto"/>
          <w:szCs w:val="24"/>
          <w:highlight w:val="none"/>
        </w:rPr>
        <w:t>，下午</w:t>
      </w:r>
      <w:r>
        <w:rPr>
          <w:rFonts w:hint="eastAsia" w:cs="宋体"/>
          <w:color w:val="auto"/>
          <w:szCs w:val="24"/>
          <w:highlight w:val="none"/>
          <w:u w:val="single"/>
        </w:rPr>
        <w:t>1</w:t>
      </w:r>
      <w:r>
        <w:rPr>
          <w:rFonts w:hint="eastAsia" w:cs="宋体"/>
          <w:color w:val="auto"/>
          <w:szCs w:val="24"/>
          <w:highlight w:val="none"/>
          <w:u w:val="single"/>
          <w:lang w:val="en-US" w:eastAsia="zh-CN"/>
        </w:rPr>
        <w:t>4</w:t>
      </w:r>
      <w:r>
        <w:rPr>
          <w:rFonts w:hint="eastAsia" w:cs="宋体"/>
          <w:color w:val="auto"/>
          <w:szCs w:val="24"/>
          <w:highlight w:val="none"/>
          <w:u w:val="single"/>
        </w:rPr>
        <w:t>:00</w:t>
      </w:r>
      <w:r>
        <w:rPr>
          <w:rFonts w:hint="eastAsia" w:cs="宋体"/>
          <w:color w:val="auto"/>
          <w:szCs w:val="24"/>
          <w:highlight w:val="none"/>
        </w:rPr>
        <w:t>至</w:t>
      </w:r>
      <w:r>
        <w:rPr>
          <w:rFonts w:hint="eastAsia" w:cs="宋体"/>
          <w:color w:val="auto"/>
          <w:szCs w:val="24"/>
          <w:highlight w:val="none"/>
          <w:u w:val="single"/>
        </w:rPr>
        <w:t>23:59</w:t>
      </w:r>
      <w:r>
        <w:rPr>
          <w:rFonts w:hint="eastAsia" w:cs="宋体"/>
          <w:color w:val="auto"/>
          <w:szCs w:val="24"/>
          <w:highlight w:val="none"/>
        </w:rPr>
        <w:t>（北京时间，法定节假日除外）</w:t>
      </w:r>
      <w:r>
        <w:rPr>
          <w:rFonts w:hint="eastAsia" w:ascii="宋体" w:hAnsi="宋体" w:eastAsia="宋体" w:cs="宋体"/>
          <w:i w:val="0"/>
          <w:iCs w:val="0"/>
          <w:color w:val="auto"/>
          <w:sz w:val="24"/>
          <w:szCs w:val="24"/>
          <w:highlight w:val="none"/>
          <w:lang w:eastAsia="zh-CN"/>
        </w:rPr>
        <w:t>。</w:t>
      </w:r>
    </w:p>
    <w:p w14:paraId="3AB8C7D4">
      <w:pPr>
        <w:pStyle w:val="41"/>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hr-HR"/>
        </w:rPr>
        <w:t>2.</w:t>
      </w:r>
      <w:r>
        <w:rPr>
          <w:rFonts w:hint="eastAsia" w:ascii="宋体" w:hAnsi="宋体" w:eastAsia="宋体" w:cs="宋体"/>
          <w:i w:val="0"/>
          <w:iCs w:val="0"/>
          <w:color w:val="auto"/>
          <w:sz w:val="24"/>
          <w:szCs w:val="24"/>
          <w:highlight w:val="none"/>
        </w:rPr>
        <w:t>地点</w:t>
      </w:r>
      <w:r>
        <w:rPr>
          <w:rFonts w:hint="eastAsia" w:ascii="宋体" w:hAnsi="宋体" w:eastAsia="宋体" w:cs="宋体"/>
          <w:i w:val="0"/>
          <w:iCs w:val="0"/>
          <w:color w:val="auto"/>
          <w:sz w:val="24"/>
          <w:szCs w:val="24"/>
          <w:highlight w:val="none"/>
          <w:lang w:val="hr-HR"/>
        </w:rPr>
        <w:t>：政采云平台线上（网址：https://www.zcygov.cn/）</w:t>
      </w:r>
      <w:r>
        <w:rPr>
          <w:rFonts w:hint="eastAsia" w:ascii="宋体" w:hAnsi="宋体" w:eastAsia="宋体" w:cs="宋体"/>
          <w:i w:val="0"/>
          <w:iCs w:val="0"/>
          <w:color w:val="auto"/>
          <w:sz w:val="24"/>
          <w:szCs w:val="24"/>
          <w:highlight w:val="none"/>
        </w:rPr>
        <w:t>。</w:t>
      </w:r>
      <w:bookmarkEnd w:id="49"/>
    </w:p>
    <w:p w14:paraId="26C08C6C">
      <w:pPr>
        <w:pStyle w:val="41"/>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hr-HR"/>
        </w:rPr>
        <w:t>3.</w:t>
      </w:r>
      <w:r>
        <w:rPr>
          <w:rFonts w:hint="eastAsia" w:ascii="宋体" w:hAnsi="宋体" w:eastAsia="宋体" w:cs="宋体"/>
          <w:i w:val="0"/>
          <w:iCs w:val="0"/>
          <w:color w:val="auto"/>
          <w:sz w:val="24"/>
          <w:szCs w:val="24"/>
          <w:highlight w:val="none"/>
        </w:rPr>
        <w:t>方式</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供应商登录政采云平台</w:t>
      </w:r>
      <w:r>
        <w:rPr>
          <w:rFonts w:hint="eastAsia" w:ascii="宋体" w:hAnsi="宋体" w:eastAsia="宋体" w:cs="宋体"/>
          <w:i w:val="0"/>
          <w:iCs w:val="0"/>
          <w:color w:val="auto"/>
          <w:sz w:val="24"/>
          <w:szCs w:val="24"/>
          <w:highlight w:val="none"/>
          <w:lang w:val="hr-HR"/>
        </w:rPr>
        <w:t>https://www.zcygov.cn/</w:t>
      </w:r>
      <w:r>
        <w:rPr>
          <w:rFonts w:hint="eastAsia" w:ascii="宋体" w:hAnsi="宋体" w:eastAsia="宋体" w:cs="宋体"/>
          <w:i w:val="0"/>
          <w:iCs w:val="0"/>
          <w:color w:val="auto"/>
          <w:sz w:val="24"/>
          <w:szCs w:val="24"/>
          <w:highlight w:val="none"/>
          <w:lang w:val="en-US"/>
        </w:rPr>
        <w:t>在线申请</w:t>
      </w:r>
      <w:r>
        <w:rPr>
          <w:rFonts w:hint="eastAsia" w:ascii="宋体" w:hAnsi="宋体" w:eastAsia="宋体" w:cs="宋体"/>
          <w:i w:val="0"/>
          <w:iCs w:val="0"/>
          <w:color w:val="auto"/>
          <w:sz w:val="24"/>
          <w:szCs w:val="24"/>
          <w:highlight w:val="none"/>
          <w:lang w:val="en-US" w:eastAsia="zh-CN"/>
        </w:rPr>
        <w:t>，免费</w:t>
      </w:r>
      <w:r>
        <w:rPr>
          <w:rFonts w:hint="eastAsia" w:ascii="宋体" w:hAnsi="宋体" w:eastAsia="宋体" w:cs="宋体"/>
          <w:i w:val="0"/>
          <w:iCs w:val="0"/>
          <w:color w:val="auto"/>
          <w:sz w:val="24"/>
          <w:szCs w:val="24"/>
          <w:highlight w:val="none"/>
          <w:lang w:val="en-US"/>
        </w:rPr>
        <w:t>获取</w:t>
      </w:r>
      <w:r>
        <w:rPr>
          <w:rFonts w:hint="eastAsia" w:ascii="宋体" w:hAnsi="宋体" w:eastAsia="宋体" w:cs="宋体"/>
          <w:i w:val="0"/>
          <w:iCs w:val="0"/>
          <w:color w:val="auto"/>
          <w:sz w:val="24"/>
          <w:szCs w:val="24"/>
          <w:highlight w:val="none"/>
          <w:lang w:val="en-US" w:eastAsia="zh-CN"/>
        </w:rPr>
        <w:t>电子</w:t>
      </w:r>
      <w:r>
        <w:rPr>
          <w:rFonts w:hint="eastAsia" w:ascii="宋体" w:hAnsi="宋体" w:eastAsia="宋体" w:cs="宋体"/>
          <w:i w:val="0"/>
          <w:iCs w:val="0"/>
          <w:color w:val="auto"/>
          <w:sz w:val="24"/>
          <w:szCs w:val="24"/>
          <w:highlight w:val="none"/>
          <w:lang w:val="en-US"/>
        </w:rPr>
        <w:t>采购文件</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进入</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项目采购</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应用</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在获取采购文件菜单中选择项目</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申请获取采购文件</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w:t>
      </w:r>
      <w:r>
        <w:rPr>
          <w:rFonts w:hint="eastAsia" w:ascii="宋体" w:hAnsi="宋体" w:eastAsia="宋体" w:cs="宋体"/>
          <w:i w:val="0"/>
          <w:iCs w:val="0"/>
          <w:color w:val="auto"/>
          <w:sz w:val="24"/>
          <w:szCs w:val="24"/>
          <w:highlight w:val="none"/>
          <w:lang w:val="hr-HR"/>
        </w:rPr>
        <w:t xml:space="preserve"> </w:t>
      </w:r>
    </w:p>
    <w:p w14:paraId="296B7876">
      <w:pPr>
        <w:pStyle w:val="41"/>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lang w:val="en-US"/>
        </w:rPr>
        <w:t>售价：</w:t>
      </w:r>
      <w:r>
        <w:rPr>
          <w:rFonts w:hint="eastAsia" w:ascii="宋体" w:hAnsi="宋体" w:eastAsia="宋体" w:cs="宋体"/>
          <w:i w:val="0"/>
          <w:iCs w:val="0"/>
          <w:color w:val="auto"/>
          <w:sz w:val="24"/>
          <w:szCs w:val="24"/>
          <w:highlight w:val="none"/>
          <w:lang w:val="en-US" w:eastAsia="zh-CN"/>
        </w:rPr>
        <w:t>0元。</w:t>
      </w:r>
    </w:p>
    <w:bookmarkEnd w:id="43"/>
    <w:bookmarkEnd w:id="44"/>
    <w:bookmarkEnd w:id="45"/>
    <w:bookmarkEnd w:id="46"/>
    <w:bookmarkEnd w:id="47"/>
    <w:bookmarkEnd w:id="48"/>
    <w:p w14:paraId="7A9E6EB9">
      <w:pPr>
        <w:pStyle w:val="4"/>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bookmarkStart w:id="50" w:name="_Toc109900251"/>
      <w:bookmarkStart w:id="51" w:name="_Toc109899832"/>
      <w:bookmarkStart w:id="52" w:name="_Toc140132748"/>
      <w:bookmarkStart w:id="53" w:name="_Toc155185863"/>
      <w:bookmarkStart w:id="54" w:name="_Toc163492815"/>
      <w:bookmarkStart w:id="55" w:name="_Toc109899413"/>
      <w:bookmarkStart w:id="56" w:name="_Toc19038"/>
      <w:r>
        <w:rPr>
          <w:rFonts w:hint="eastAsia" w:ascii="宋体" w:hAnsi="宋体" w:eastAsia="宋体" w:cs="宋体"/>
          <w:b/>
          <w:bCs/>
          <w:i w:val="0"/>
          <w:iCs w:val="0"/>
          <w:color w:val="auto"/>
          <w:kern w:val="2"/>
          <w:sz w:val="24"/>
          <w:szCs w:val="24"/>
          <w:highlight w:val="none"/>
          <w:lang w:val="en-US" w:eastAsia="zh-CN" w:bidi="ar-SA"/>
        </w:rPr>
        <w:t>四、</w:t>
      </w:r>
      <w:bookmarkEnd w:id="50"/>
      <w:bookmarkEnd w:id="51"/>
      <w:bookmarkEnd w:id="52"/>
      <w:bookmarkEnd w:id="53"/>
      <w:bookmarkEnd w:id="54"/>
      <w:bookmarkEnd w:id="55"/>
      <w:r>
        <w:rPr>
          <w:rFonts w:hint="eastAsia" w:ascii="宋体" w:hAnsi="宋体" w:eastAsia="宋体" w:cs="宋体"/>
          <w:b/>
          <w:bCs/>
          <w:i w:val="0"/>
          <w:iCs w:val="0"/>
          <w:color w:val="auto"/>
          <w:spacing w:val="-6"/>
          <w:kern w:val="2"/>
          <w:sz w:val="24"/>
          <w:szCs w:val="24"/>
          <w:highlight w:val="none"/>
          <w:lang w:val="hr-HR" w:eastAsia="zh-CN" w:bidi="ar-SA"/>
        </w:rPr>
        <w:t>响应文件提交</w:t>
      </w:r>
      <w:bookmarkEnd w:id="56"/>
    </w:p>
    <w:p w14:paraId="11AF967C">
      <w:pPr>
        <w:pStyle w:val="41"/>
        <w:rPr>
          <w:rFonts w:hint="eastAsia" w:ascii="宋体" w:hAnsi="宋体" w:eastAsia="宋体" w:cs="宋体"/>
          <w:i w:val="0"/>
          <w:iCs w:val="0"/>
          <w:color w:val="auto"/>
          <w:sz w:val="24"/>
          <w:szCs w:val="24"/>
          <w:highlight w:val="none"/>
          <w:lang w:eastAsia="zh-CN"/>
        </w:rPr>
      </w:pPr>
      <w:bookmarkStart w:id="57" w:name="_Hlk130457395"/>
      <w:bookmarkStart w:id="58" w:name="_Toc28359094"/>
      <w:bookmarkStart w:id="59" w:name="_Toc44583633"/>
      <w:bookmarkStart w:id="60" w:name="_Toc35393634"/>
      <w:bookmarkStart w:id="61" w:name="_Toc28359017"/>
      <w:bookmarkStart w:id="62" w:name="_Toc35393803"/>
      <w:r>
        <w:rPr>
          <w:rFonts w:hint="eastAsia" w:ascii="宋体" w:hAnsi="宋体" w:eastAsia="宋体" w:cs="宋体"/>
          <w:i w:val="0"/>
          <w:iCs w:val="0"/>
          <w:color w:val="auto"/>
          <w:sz w:val="24"/>
          <w:szCs w:val="24"/>
          <w:highlight w:val="none"/>
        </w:rPr>
        <w:t>1.截止时间</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u w:val="single"/>
          <w:lang w:eastAsia="zh-CN"/>
        </w:rPr>
        <w:t>202</w:t>
      </w:r>
      <w:r>
        <w:rPr>
          <w:rFonts w:hint="eastAsia" w:cs="宋体"/>
          <w:i w:val="0"/>
          <w:iCs w:val="0"/>
          <w:color w:val="auto"/>
          <w:sz w:val="24"/>
          <w:szCs w:val="24"/>
          <w:highlight w:val="none"/>
          <w:u w:val="single"/>
          <w:lang w:val="en-US" w:eastAsia="zh-CN"/>
        </w:rPr>
        <w:t>6</w:t>
      </w:r>
      <w:r>
        <w:rPr>
          <w:rFonts w:hint="eastAsia" w:ascii="宋体" w:hAnsi="宋体" w:eastAsia="宋体" w:cs="宋体"/>
          <w:i w:val="0"/>
          <w:iCs w:val="0"/>
          <w:color w:val="auto"/>
          <w:sz w:val="24"/>
          <w:szCs w:val="24"/>
          <w:highlight w:val="none"/>
          <w:u w:val="single"/>
          <w:lang w:eastAsia="zh-CN"/>
        </w:rPr>
        <w:t>年</w:t>
      </w:r>
      <w:r>
        <w:rPr>
          <w:rFonts w:hint="eastAsia" w:cs="宋体"/>
          <w:i w:val="0"/>
          <w:iCs w:val="0"/>
          <w:color w:val="auto"/>
          <w:sz w:val="24"/>
          <w:szCs w:val="24"/>
          <w:highlight w:val="none"/>
          <w:u w:val="single"/>
          <w:lang w:val="en-US" w:eastAsia="zh-CN"/>
        </w:rPr>
        <w:t>05</w:t>
      </w:r>
      <w:r>
        <w:rPr>
          <w:rFonts w:hint="eastAsia" w:ascii="宋体" w:hAnsi="宋体" w:eastAsia="宋体" w:cs="宋体"/>
          <w:i w:val="0"/>
          <w:iCs w:val="0"/>
          <w:color w:val="auto"/>
          <w:sz w:val="24"/>
          <w:szCs w:val="24"/>
          <w:highlight w:val="none"/>
          <w:u w:val="single"/>
          <w:lang w:eastAsia="zh-CN"/>
        </w:rPr>
        <w:t>月</w:t>
      </w:r>
      <w:r>
        <w:rPr>
          <w:rFonts w:hint="eastAsia" w:cs="宋体"/>
          <w:i w:val="0"/>
          <w:iCs w:val="0"/>
          <w:color w:val="auto"/>
          <w:sz w:val="24"/>
          <w:szCs w:val="24"/>
          <w:highlight w:val="none"/>
          <w:u w:val="single"/>
          <w:lang w:val="en-US" w:eastAsia="zh-CN"/>
        </w:rPr>
        <w:t>12</w:t>
      </w:r>
      <w:r>
        <w:rPr>
          <w:rFonts w:hint="eastAsia" w:ascii="宋体" w:hAnsi="宋体" w:eastAsia="宋体" w:cs="宋体"/>
          <w:i w:val="0"/>
          <w:iCs w:val="0"/>
          <w:color w:val="auto"/>
          <w:sz w:val="24"/>
          <w:szCs w:val="24"/>
          <w:highlight w:val="none"/>
          <w:u w:val="single"/>
          <w:lang w:eastAsia="zh-CN"/>
        </w:rPr>
        <w:t>日</w:t>
      </w:r>
      <w:r>
        <w:rPr>
          <w:rFonts w:hint="eastAsia" w:cs="宋体"/>
          <w:i w:val="0"/>
          <w:iCs w:val="0"/>
          <w:color w:val="auto"/>
          <w:sz w:val="24"/>
          <w:szCs w:val="24"/>
          <w:highlight w:val="none"/>
          <w:u w:val="single"/>
          <w:lang w:val="en-US" w:eastAsia="zh-CN"/>
        </w:rPr>
        <w:t>11</w:t>
      </w:r>
      <w:r>
        <w:rPr>
          <w:rFonts w:hint="eastAsia" w:ascii="宋体" w:hAnsi="宋体" w:eastAsia="宋体" w:cs="宋体"/>
          <w:i w:val="0"/>
          <w:iCs w:val="0"/>
          <w:color w:val="auto"/>
          <w:sz w:val="24"/>
          <w:szCs w:val="24"/>
          <w:highlight w:val="none"/>
          <w:u w:val="single"/>
          <w:lang w:eastAsia="zh-CN"/>
        </w:rPr>
        <w:t>时00分</w:t>
      </w:r>
      <w:r>
        <w:rPr>
          <w:rFonts w:hint="eastAsia" w:ascii="宋体" w:hAnsi="宋体" w:eastAsia="宋体" w:cs="宋体"/>
          <w:i w:val="0"/>
          <w:iCs w:val="0"/>
          <w:color w:val="auto"/>
          <w:sz w:val="24"/>
          <w:szCs w:val="24"/>
          <w:highlight w:val="none"/>
          <w:lang w:eastAsia="zh-CN"/>
        </w:rPr>
        <w:t>（北京时间）。</w:t>
      </w:r>
    </w:p>
    <w:p w14:paraId="75BBECBE">
      <w:pPr>
        <w:pStyle w:val="41"/>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eastAsia="zh-CN"/>
        </w:rPr>
        <w:t>2.地点：请登录政采云投标客户端投标</w:t>
      </w:r>
      <w:r>
        <w:rPr>
          <w:rFonts w:hint="eastAsia" w:ascii="宋体" w:hAnsi="宋体" w:eastAsia="宋体" w:cs="宋体"/>
          <w:i w:val="0"/>
          <w:iCs w:val="0"/>
          <w:color w:val="auto"/>
          <w:sz w:val="24"/>
          <w:szCs w:val="24"/>
          <w:highlight w:val="none"/>
        </w:rPr>
        <w:t>。</w:t>
      </w:r>
    </w:p>
    <w:bookmarkEnd w:id="57"/>
    <w:p w14:paraId="490FF7B0">
      <w:pPr>
        <w:pStyle w:val="4"/>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63" w:name="_Toc16856"/>
      <w:bookmarkStart w:id="64" w:name="_Toc109900252"/>
      <w:bookmarkStart w:id="65" w:name="_Toc163492816"/>
      <w:bookmarkStart w:id="66" w:name="_Toc109899833"/>
      <w:bookmarkStart w:id="67" w:name="_Toc140132749"/>
      <w:bookmarkStart w:id="68" w:name="_Toc155185864"/>
      <w:bookmarkStart w:id="69" w:name="_Toc109899414"/>
      <w:r>
        <w:rPr>
          <w:rFonts w:hint="eastAsia" w:ascii="宋体" w:hAnsi="宋体" w:eastAsia="宋体" w:cs="宋体"/>
          <w:b/>
          <w:bCs/>
          <w:i w:val="0"/>
          <w:iCs w:val="0"/>
          <w:color w:val="auto"/>
          <w:kern w:val="2"/>
          <w:sz w:val="24"/>
          <w:szCs w:val="24"/>
          <w:highlight w:val="none"/>
          <w:lang w:val="en-US" w:eastAsia="zh-CN" w:bidi="ar-SA"/>
        </w:rPr>
        <w:t>五、</w:t>
      </w:r>
      <w:r>
        <w:rPr>
          <w:rFonts w:hint="eastAsia" w:ascii="宋体" w:hAnsi="宋体" w:cs="宋体"/>
          <w:b/>
          <w:bCs/>
          <w:i w:val="0"/>
          <w:iCs w:val="0"/>
          <w:color w:val="auto"/>
          <w:kern w:val="2"/>
          <w:sz w:val="24"/>
          <w:szCs w:val="24"/>
          <w:highlight w:val="none"/>
          <w:lang w:val="en-US" w:eastAsia="zh-CN" w:bidi="ar-SA"/>
        </w:rPr>
        <w:t>响应文件</w:t>
      </w:r>
      <w:r>
        <w:rPr>
          <w:rFonts w:hint="eastAsia" w:ascii="宋体" w:hAnsi="宋体" w:eastAsia="宋体" w:cs="宋体"/>
          <w:b/>
          <w:bCs/>
          <w:i w:val="0"/>
          <w:iCs w:val="0"/>
          <w:color w:val="auto"/>
          <w:kern w:val="2"/>
          <w:sz w:val="24"/>
          <w:szCs w:val="24"/>
          <w:highlight w:val="none"/>
          <w:lang w:val="en-US" w:eastAsia="zh-CN" w:bidi="ar-SA"/>
        </w:rPr>
        <w:t>开启</w:t>
      </w:r>
      <w:bookmarkEnd w:id="63"/>
    </w:p>
    <w:p w14:paraId="7B283F65">
      <w:pPr>
        <w:pStyle w:val="41"/>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1.时间：</w:t>
      </w:r>
      <w:r>
        <w:rPr>
          <w:rFonts w:hint="eastAsia" w:ascii="宋体" w:hAnsi="宋体" w:eastAsia="宋体" w:cs="宋体"/>
          <w:i w:val="0"/>
          <w:iCs w:val="0"/>
          <w:color w:val="auto"/>
          <w:sz w:val="24"/>
          <w:szCs w:val="24"/>
          <w:highlight w:val="none"/>
          <w:u w:val="single"/>
          <w:lang w:eastAsia="zh-CN"/>
        </w:rPr>
        <w:t>202</w:t>
      </w:r>
      <w:r>
        <w:rPr>
          <w:rFonts w:hint="eastAsia" w:cs="宋体"/>
          <w:i w:val="0"/>
          <w:iCs w:val="0"/>
          <w:color w:val="auto"/>
          <w:sz w:val="24"/>
          <w:szCs w:val="24"/>
          <w:highlight w:val="none"/>
          <w:u w:val="single"/>
          <w:lang w:val="en-US" w:eastAsia="zh-CN"/>
        </w:rPr>
        <w:t>6</w:t>
      </w:r>
      <w:r>
        <w:rPr>
          <w:rFonts w:hint="eastAsia" w:ascii="宋体" w:hAnsi="宋体" w:eastAsia="宋体" w:cs="宋体"/>
          <w:i w:val="0"/>
          <w:iCs w:val="0"/>
          <w:color w:val="auto"/>
          <w:sz w:val="24"/>
          <w:szCs w:val="24"/>
          <w:highlight w:val="none"/>
          <w:u w:val="single"/>
          <w:lang w:eastAsia="zh-CN"/>
        </w:rPr>
        <w:t>年</w:t>
      </w:r>
      <w:r>
        <w:rPr>
          <w:rFonts w:hint="eastAsia" w:cs="宋体"/>
          <w:i w:val="0"/>
          <w:iCs w:val="0"/>
          <w:color w:val="auto"/>
          <w:sz w:val="24"/>
          <w:szCs w:val="24"/>
          <w:highlight w:val="none"/>
          <w:u w:val="single"/>
          <w:lang w:val="en-US" w:eastAsia="zh-CN"/>
        </w:rPr>
        <w:t>05</w:t>
      </w:r>
      <w:r>
        <w:rPr>
          <w:rFonts w:hint="eastAsia" w:ascii="宋体" w:hAnsi="宋体" w:eastAsia="宋体" w:cs="宋体"/>
          <w:i w:val="0"/>
          <w:iCs w:val="0"/>
          <w:color w:val="auto"/>
          <w:sz w:val="24"/>
          <w:szCs w:val="24"/>
          <w:highlight w:val="none"/>
          <w:u w:val="single"/>
          <w:lang w:eastAsia="zh-CN"/>
        </w:rPr>
        <w:t>月</w:t>
      </w:r>
      <w:r>
        <w:rPr>
          <w:rFonts w:hint="eastAsia" w:cs="宋体"/>
          <w:i w:val="0"/>
          <w:iCs w:val="0"/>
          <w:color w:val="auto"/>
          <w:sz w:val="24"/>
          <w:szCs w:val="24"/>
          <w:highlight w:val="none"/>
          <w:u w:val="single"/>
          <w:lang w:val="en-US" w:eastAsia="zh-CN"/>
        </w:rPr>
        <w:t>12</w:t>
      </w:r>
      <w:r>
        <w:rPr>
          <w:rFonts w:hint="eastAsia" w:ascii="宋体" w:hAnsi="宋体" w:eastAsia="宋体" w:cs="宋体"/>
          <w:i w:val="0"/>
          <w:iCs w:val="0"/>
          <w:color w:val="auto"/>
          <w:sz w:val="24"/>
          <w:szCs w:val="24"/>
          <w:highlight w:val="none"/>
          <w:u w:val="single"/>
          <w:lang w:eastAsia="zh-CN"/>
        </w:rPr>
        <w:t>日</w:t>
      </w:r>
      <w:r>
        <w:rPr>
          <w:rFonts w:hint="eastAsia" w:cs="宋体"/>
          <w:i w:val="0"/>
          <w:iCs w:val="0"/>
          <w:color w:val="auto"/>
          <w:sz w:val="24"/>
          <w:szCs w:val="24"/>
          <w:highlight w:val="none"/>
          <w:u w:val="single"/>
          <w:lang w:val="en-US" w:eastAsia="zh-CN"/>
        </w:rPr>
        <w:t>11</w:t>
      </w:r>
      <w:r>
        <w:rPr>
          <w:rFonts w:hint="eastAsia" w:ascii="宋体" w:hAnsi="宋体" w:eastAsia="宋体" w:cs="宋体"/>
          <w:i w:val="0"/>
          <w:iCs w:val="0"/>
          <w:color w:val="auto"/>
          <w:sz w:val="24"/>
          <w:szCs w:val="24"/>
          <w:highlight w:val="none"/>
          <w:u w:val="single"/>
          <w:lang w:eastAsia="zh-CN"/>
        </w:rPr>
        <w:t>时00分</w:t>
      </w:r>
      <w:r>
        <w:rPr>
          <w:rFonts w:hint="eastAsia" w:ascii="宋体" w:hAnsi="宋体" w:eastAsia="宋体" w:cs="宋体"/>
          <w:i w:val="0"/>
          <w:iCs w:val="0"/>
          <w:color w:val="auto"/>
          <w:sz w:val="24"/>
          <w:szCs w:val="24"/>
          <w:highlight w:val="none"/>
        </w:rPr>
        <w:t>（北京时间）。</w:t>
      </w:r>
    </w:p>
    <w:p w14:paraId="191B5363">
      <w:pPr>
        <w:pStyle w:val="41"/>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rPr>
        <w:t>地点</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rPr>
        <w:t>供应商登录政采云平台https</w:t>
      </w:r>
      <w:r>
        <w:rPr>
          <w:rFonts w:hint="eastAsia" w:ascii="宋体" w:hAnsi="宋体" w:eastAsia="宋体" w:cs="宋体"/>
          <w:i w:val="0"/>
          <w:iCs w:val="0"/>
          <w:color w:val="auto"/>
          <w:sz w:val="24"/>
          <w:szCs w:val="24"/>
          <w:highlight w:val="none"/>
          <w:lang w:val="hr-HR"/>
        </w:rPr>
        <w:t>:</w:t>
      </w:r>
      <w:r>
        <w:rPr>
          <w:rFonts w:hint="eastAsia" w:ascii="宋体" w:hAnsi="宋体" w:eastAsia="宋体" w:cs="宋体"/>
          <w:i w:val="0"/>
          <w:iCs w:val="0"/>
          <w:color w:val="auto"/>
          <w:sz w:val="24"/>
          <w:szCs w:val="24"/>
          <w:highlight w:val="none"/>
          <w:lang w:val="en-US"/>
        </w:rPr>
        <w:t>//www.zcygov.cn/，进入“项目采购-开评标管理-右边选择对应项目点击“进入项目”进入开标大厅</w:t>
      </w:r>
      <w:r>
        <w:rPr>
          <w:rFonts w:hint="eastAsia" w:ascii="宋体" w:hAnsi="宋体" w:eastAsia="宋体" w:cs="宋体"/>
          <w:i w:val="0"/>
          <w:iCs w:val="0"/>
          <w:color w:val="auto"/>
          <w:sz w:val="24"/>
          <w:szCs w:val="24"/>
          <w:highlight w:val="none"/>
        </w:rPr>
        <w:t>。</w:t>
      </w:r>
    </w:p>
    <w:p w14:paraId="74A73B2C">
      <w:pPr>
        <w:pStyle w:val="4"/>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bookmarkStart w:id="70" w:name="_Toc582"/>
      <w:r>
        <w:rPr>
          <w:rFonts w:hint="eastAsia" w:ascii="宋体" w:hAnsi="宋体" w:eastAsia="宋体" w:cs="宋体"/>
          <w:b/>
          <w:bCs/>
          <w:i w:val="0"/>
          <w:iCs w:val="0"/>
          <w:color w:val="auto"/>
          <w:kern w:val="2"/>
          <w:sz w:val="24"/>
          <w:szCs w:val="24"/>
          <w:highlight w:val="none"/>
          <w:lang w:val="en-US" w:eastAsia="zh-CN" w:bidi="ar-SA"/>
        </w:rPr>
        <w:t>六、</w:t>
      </w:r>
      <w:r>
        <w:rPr>
          <w:rFonts w:hint="eastAsia" w:ascii="宋体" w:hAnsi="宋体" w:eastAsia="宋体" w:cs="宋体"/>
          <w:b/>
          <w:bCs/>
          <w:i w:val="0"/>
          <w:iCs w:val="0"/>
          <w:color w:val="auto"/>
          <w:kern w:val="2"/>
          <w:sz w:val="24"/>
          <w:szCs w:val="24"/>
          <w:highlight w:val="none"/>
          <w:lang w:val="hr-HR" w:eastAsia="zh-CN" w:bidi="ar-SA"/>
        </w:rPr>
        <w:t>公告期限</w:t>
      </w:r>
      <w:bookmarkEnd w:id="58"/>
      <w:bookmarkEnd w:id="59"/>
      <w:bookmarkEnd w:id="60"/>
      <w:bookmarkEnd w:id="61"/>
      <w:bookmarkEnd w:id="62"/>
      <w:bookmarkEnd w:id="64"/>
      <w:bookmarkEnd w:id="65"/>
      <w:bookmarkEnd w:id="66"/>
      <w:bookmarkEnd w:id="67"/>
      <w:bookmarkEnd w:id="68"/>
      <w:bookmarkEnd w:id="69"/>
      <w:bookmarkEnd w:id="70"/>
    </w:p>
    <w:p w14:paraId="5FBACFA2">
      <w:pPr>
        <w:pageBreakBefore w:val="0"/>
        <w:kinsoku/>
        <w:wordWrap/>
        <w:overflowPunct/>
        <w:topLinePunct w:val="0"/>
        <w:bidi w:val="0"/>
        <w:snapToGrid w:val="0"/>
        <w:spacing w:line="348" w:lineRule="auto"/>
        <w:ind w:left="0" w:leftChars="0" w:firstLine="480" w:firstLineChars="200"/>
        <w:jc w:val="both"/>
        <w:outlineLvl w:val="9"/>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自本公告发布之日起3个工作日。</w:t>
      </w:r>
      <w:bookmarkStart w:id="71" w:name="_Toc109899415"/>
      <w:bookmarkStart w:id="72" w:name="_Toc109899834"/>
      <w:bookmarkStart w:id="73" w:name="_Toc155185865"/>
      <w:bookmarkStart w:id="74" w:name="_Toc140132750"/>
      <w:bookmarkStart w:id="75" w:name="_Toc109900253"/>
      <w:bookmarkStart w:id="76" w:name="_Toc35393635"/>
      <w:bookmarkStart w:id="77" w:name="_Toc35393804"/>
      <w:bookmarkStart w:id="78" w:name="_Toc44583634"/>
      <w:bookmarkStart w:id="79" w:name="_Toc163492817"/>
    </w:p>
    <w:p w14:paraId="6D737EA0">
      <w:pPr>
        <w:pStyle w:val="4"/>
        <w:bidi w:val="0"/>
        <w:spacing w:before="0" w:after="0" w:line="240" w:lineRule="auto"/>
        <w:rPr>
          <w:rFonts w:hint="eastAsia" w:ascii="宋体" w:hAnsi="宋体" w:eastAsia="宋体" w:cs="宋体"/>
          <w:b w:val="0"/>
          <w:bCs w:val="0"/>
          <w:i w:val="0"/>
          <w:iCs w:val="0"/>
          <w:color w:val="auto"/>
          <w:kern w:val="2"/>
          <w:sz w:val="24"/>
          <w:szCs w:val="24"/>
          <w:highlight w:val="none"/>
          <w:lang w:val="hr-HR" w:eastAsia="zh-CN" w:bidi="ar-SA"/>
        </w:rPr>
      </w:pPr>
      <w:bookmarkStart w:id="80" w:name="_Toc2075"/>
      <w:r>
        <w:rPr>
          <w:rFonts w:hint="eastAsia" w:ascii="宋体" w:hAnsi="宋体" w:eastAsia="宋体" w:cs="宋体"/>
          <w:b/>
          <w:bCs/>
          <w:i w:val="0"/>
          <w:iCs w:val="0"/>
          <w:color w:val="auto"/>
          <w:kern w:val="2"/>
          <w:sz w:val="24"/>
          <w:szCs w:val="24"/>
          <w:highlight w:val="none"/>
          <w:lang w:val="hr-HR" w:eastAsia="zh-CN" w:bidi="ar-SA"/>
        </w:rPr>
        <w:t>七、其他补充事宜</w:t>
      </w:r>
      <w:bookmarkEnd w:id="71"/>
      <w:bookmarkEnd w:id="72"/>
      <w:bookmarkEnd w:id="73"/>
      <w:bookmarkEnd w:id="74"/>
      <w:bookmarkEnd w:id="75"/>
      <w:bookmarkEnd w:id="76"/>
      <w:bookmarkEnd w:id="77"/>
      <w:bookmarkEnd w:id="78"/>
      <w:bookmarkEnd w:id="79"/>
      <w:bookmarkEnd w:id="80"/>
      <w:r>
        <w:rPr>
          <w:rFonts w:hint="eastAsia" w:ascii="宋体" w:hAnsi="宋体" w:cs="宋体"/>
          <w:b w:val="0"/>
          <w:bCs w:val="0"/>
          <w:i w:val="0"/>
          <w:iCs w:val="0"/>
          <w:color w:val="auto"/>
          <w:kern w:val="2"/>
          <w:sz w:val="24"/>
          <w:szCs w:val="24"/>
          <w:highlight w:val="none"/>
          <w:lang w:val="en-US" w:eastAsia="zh-CN" w:bidi="ar-SA"/>
        </w:rPr>
        <w:t xml:space="preserve"> </w:t>
      </w:r>
    </w:p>
    <w:p w14:paraId="44BBE191">
      <w:pPr>
        <w:widowControl/>
        <w:spacing w:line="360" w:lineRule="auto"/>
        <w:ind w:firstLine="480" w:firstLineChars="20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1、本项目实行网上投标，采用电子投标文件。</w:t>
      </w:r>
    </w:p>
    <w:p w14:paraId="7425ED1C">
      <w:pPr>
        <w:widowControl/>
        <w:spacing w:line="360" w:lineRule="auto"/>
        <w:ind w:firstLine="480" w:firstLineChars="20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3ECE8731">
      <w:pPr>
        <w:widowControl/>
        <w:spacing w:line="360" w:lineRule="auto"/>
        <w:ind w:firstLine="480" w:firstLineChars="20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eastAsia="zh-CN"/>
        </w:rPr>
        <w:t>3、供应商将政采云电子交易客户端下载、安装完成后，可通过账号密码或CA登录客户端进行投标文件的制作。在使用政采云投标客户端时，建议使用WIN7及以上操作系统。</w:t>
      </w:r>
    </w:p>
    <w:p w14:paraId="5AA5B76D">
      <w:pPr>
        <w:widowControl/>
        <w:spacing w:line="360" w:lineRule="auto"/>
        <w:ind w:firstLine="482" w:firstLineChars="200"/>
        <w:jc w:val="left"/>
        <w:rPr>
          <w:rFonts w:hint="eastAsia" w:ascii="宋体" w:hAnsi="宋体" w:eastAsia="宋体" w:cs="宋体"/>
          <w:b/>
          <w:bCs/>
          <w:color w:val="auto"/>
          <w:kern w:val="0"/>
          <w:sz w:val="24"/>
          <w:szCs w:val="24"/>
          <w:highlight w:val="none"/>
          <w:lang w:eastAsia="zh-CN"/>
        </w:rPr>
      </w:pPr>
      <w:r>
        <w:rPr>
          <w:rFonts w:hint="eastAsia" w:ascii="宋体" w:hAnsi="宋体" w:eastAsia="宋体" w:cs="宋体"/>
          <w:b/>
          <w:bCs/>
          <w:color w:val="auto"/>
          <w:kern w:val="0"/>
          <w:sz w:val="24"/>
          <w:szCs w:val="24"/>
          <w:highlight w:val="none"/>
          <w:lang w:eastAsia="zh-CN"/>
        </w:rPr>
        <w:t>4、其他事项：</w:t>
      </w:r>
    </w:p>
    <w:p w14:paraId="0F360D7D">
      <w:pPr>
        <w:widowControl/>
        <w:spacing w:line="360" w:lineRule="auto"/>
        <w:ind w:firstLine="480" w:firstLineChars="200"/>
        <w:jc w:val="left"/>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①</w:t>
      </w:r>
      <w:r>
        <w:rPr>
          <w:rFonts w:hint="eastAsia" w:ascii="宋体" w:hAnsi="宋体" w:eastAsia="宋体" w:cs="宋体"/>
          <w:color w:val="auto"/>
          <w:kern w:val="0"/>
          <w:sz w:val="24"/>
          <w:szCs w:val="24"/>
          <w:highlight w:val="none"/>
          <w:lang w:eastAsia="zh-CN"/>
        </w:rPr>
        <w:t>如需咨询，请联系新疆CA服务热线 0991-2819290；</w:t>
      </w:r>
    </w:p>
    <w:p w14:paraId="116D7EF5">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②</w:t>
      </w:r>
      <w:r>
        <w:rPr>
          <w:rFonts w:hint="eastAsia" w:ascii="宋体" w:hAnsi="宋体" w:eastAsia="宋体" w:cs="宋体"/>
          <w:color w:val="auto"/>
          <w:kern w:val="0"/>
          <w:sz w:val="24"/>
          <w:szCs w:val="24"/>
          <w:highlight w:val="none"/>
        </w:rPr>
        <w:t>本项目公告期限为</w:t>
      </w:r>
      <w:r>
        <w:rPr>
          <w:rFonts w:hint="eastAsia" w:ascii="宋体" w:hAnsi="宋体" w:eastAsia="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个工作日，供应商认为采购文件使自己的权益受到损害的，可以自收到采购文件之日（发售截止日之后收到采购文件的，以发售截止日为准）或者采购文件公告期限届满之日起7个工作日内，以书面形式向采购人和采购代理机构提出质疑。分散采购限额标准以上的项目，质疑供应商对采购人、采购代理机构的答复不满意或者采购人、采购代理机构未在规定的时间内作出答复的，可以在答复期满后十五个工作日内向同级政府采购监督管理部门投诉。</w:t>
      </w:r>
    </w:p>
    <w:p w14:paraId="4F2AB33A">
      <w:pPr>
        <w:widowControl/>
        <w:spacing w:line="360" w:lineRule="auto"/>
        <w:ind w:firstLine="480" w:firstLineChars="200"/>
        <w:jc w:val="left"/>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③供应商须注意事项：</w:t>
      </w:r>
      <w:r>
        <w:rPr>
          <w:rFonts w:hint="eastAsia"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en-US" w:eastAsia="zh-CN"/>
        </w:rPr>
        <w:t>本项目实行电子招投标，供应商须登录政采云平台https://www.zcygov.cn/申请获取采购文件，并通过政采云电子投标客户端制作响应文件，同时自行承担与投标有关的一切费用</w:t>
      </w:r>
      <w:r>
        <w:rPr>
          <w:rFonts w:hint="eastAsia" w:cs="宋体"/>
          <w:color w:val="auto"/>
          <w:kern w:val="0"/>
          <w:sz w:val="24"/>
          <w:szCs w:val="24"/>
          <w:highlight w:val="none"/>
          <w:lang w:val="en-US" w:eastAsia="zh-CN"/>
        </w:rPr>
        <w:t>；2）根据国办函〔2019〕41号文促进数字证书（CA）跨平台、跨部门、跨区域互认要求，政府采购云平台目前已支持包括新疆CA、翔晟CA及汇信CA等多家CA的办理及使用。供应商可通过政府采购网-办理指南—供应商—CA证书办理操作指南-进入CA办理界面，按需选择办理任意一家CA厂商的数字证书。CA证书办理操作指南链接：http://u3v.cn/5F3afc；3）客户端请至政采云平台https://www.zcygov.cn/下载专区查看，如有问题可拨打政采云客户服务热线95763进行咨询。如因供应商自身原因导致在规定时间内无法正常解密的（如：浏览器故障、未安装相关驱动、网络故障、加密CA与解密CA不一致等），采购代理机构不予异常处理，视为供应商自动弃标。4）本项目采用不见面开标，供应商须在投标截止时间前通过CA在政采云平台上传加密的电子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3F21DBA7">
      <w:pPr>
        <w:pStyle w:val="39"/>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lang w:val="en-US" w:eastAsia="zh-CN" w:bidi="ar-SA"/>
        </w:rPr>
        <w:t>特别提示：</w:t>
      </w:r>
    </w:p>
    <w:p w14:paraId="67739AD5">
      <w:pPr>
        <w:pStyle w:val="39"/>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lang w:val="en-US" w:eastAsia="zh-CN" w:bidi="ar-SA"/>
        </w:rPr>
        <w:t>1、采购限额标准以上，200万元以下的货物和服务采购项目、400万元以下的工程采购项目，适宜由中小企业提供的，采购人应当专门面向中小企业采购。</w:t>
      </w:r>
    </w:p>
    <w:p w14:paraId="76428DB3">
      <w:pPr>
        <w:pStyle w:val="39"/>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lang w:val="en-US" w:eastAsia="zh-CN" w:bidi="ar-SA"/>
        </w:rPr>
        <w:t>2、超过200万元的货物和服务采购项目，预留该部分采购项目预算总额的30%以上专门面向中小企业采购，其中预留给小微企业的比例不低于60%。</w:t>
      </w:r>
    </w:p>
    <w:p w14:paraId="1F8C12DC">
      <w:pPr>
        <w:pStyle w:val="39"/>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lang w:val="en-US" w:eastAsia="zh-CN" w:bidi="ar-SA"/>
        </w:rPr>
        <w:t>3、超过400万元的工程采购项目中适宜由中小企业提供的，预留该部分采购项目预算总额的40%以上专门面向中小企业采购，其中预留给小微企业的比例不低于60%。</w:t>
      </w:r>
    </w:p>
    <w:p w14:paraId="04913E46">
      <w:pPr>
        <w:pStyle w:val="39"/>
        <w:rPr>
          <w:rFonts w:hint="eastAsia" w:ascii="宋体" w:hAnsi="宋体" w:eastAsia="宋体" w:cs="宋体"/>
          <w:bCs/>
          <w:color w:val="auto"/>
          <w:kern w:val="0"/>
          <w:sz w:val="24"/>
          <w:szCs w:val="24"/>
          <w:highlight w:val="none"/>
          <w:lang w:val="en-US" w:eastAsia="zh-CN" w:bidi="ar-SA"/>
        </w:rPr>
      </w:pPr>
      <w:r>
        <w:rPr>
          <w:rFonts w:hint="eastAsia" w:ascii="宋体" w:hAnsi="宋体" w:eastAsia="宋体" w:cs="宋体"/>
          <w:bCs/>
          <w:color w:val="auto"/>
          <w:kern w:val="0"/>
          <w:sz w:val="24"/>
          <w:szCs w:val="24"/>
          <w:highlight w:val="none"/>
          <w:lang w:val="en-US" w:eastAsia="zh-CN" w:bidi="ar-SA"/>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657951F7">
      <w:pPr>
        <w:pStyle w:val="39"/>
        <w:rPr>
          <w:rFonts w:hint="eastAsia"/>
          <w:color w:val="auto"/>
          <w:highlight w:val="none"/>
          <w:lang w:eastAsia="zh-CN"/>
        </w:rPr>
      </w:pPr>
      <w:r>
        <w:rPr>
          <w:rFonts w:hint="eastAsia" w:ascii="宋体" w:hAnsi="宋体" w:eastAsia="宋体" w:cs="宋体"/>
          <w:bCs/>
          <w:color w:val="auto"/>
          <w:kern w:val="0"/>
          <w:sz w:val="24"/>
          <w:szCs w:val="24"/>
          <w:highlight w:val="none"/>
          <w:lang w:val="en-US" w:eastAsia="zh-CN" w:bidi="ar-SA"/>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5B5DE100">
      <w:pPr>
        <w:pStyle w:val="4"/>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i w:val="0"/>
          <w:iCs w:val="0"/>
          <w:color w:val="auto"/>
          <w:sz w:val="24"/>
          <w:szCs w:val="24"/>
          <w:highlight w:val="none"/>
          <w:lang w:val="hr-HR" w:eastAsia="zh-CN"/>
        </w:rPr>
      </w:pPr>
      <w:bookmarkStart w:id="81" w:name="_Toc11825"/>
      <w:r>
        <w:rPr>
          <w:rFonts w:hint="eastAsia" w:ascii="宋体" w:hAnsi="宋体" w:eastAsia="宋体" w:cs="宋体"/>
          <w:b/>
          <w:bCs/>
          <w:i w:val="0"/>
          <w:iCs w:val="0"/>
          <w:color w:val="auto"/>
          <w:kern w:val="2"/>
          <w:sz w:val="24"/>
          <w:szCs w:val="24"/>
          <w:highlight w:val="none"/>
          <w:lang w:val="en-US" w:eastAsia="zh-CN" w:bidi="ar-SA"/>
        </w:rPr>
        <w:t>八、</w:t>
      </w:r>
      <w:r>
        <w:rPr>
          <w:rFonts w:hint="eastAsia" w:ascii="宋体" w:hAnsi="宋体" w:eastAsia="宋体" w:cs="宋体"/>
          <w:b/>
          <w:bCs/>
          <w:i w:val="0"/>
          <w:iCs w:val="0"/>
          <w:color w:val="auto"/>
          <w:kern w:val="2"/>
          <w:sz w:val="24"/>
          <w:szCs w:val="24"/>
          <w:highlight w:val="none"/>
          <w:lang w:val="hr-HR" w:eastAsia="zh-CN" w:bidi="ar-SA"/>
        </w:rPr>
        <w:t>凡对本次采购提出询问，请按以下方式联系</w:t>
      </w:r>
      <w:bookmarkEnd w:id="81"/>
    </w:p>
    <w:p w14:paraId="09DFEF02">
      <w:pPr>
        <w:widowControl/>
        <w:shd w:val="clear" w:color="auto"/>
        <w:wordWrap w:val="0"/>
        <w:spacing w:line="480" w:lineRule="exact"/>
        <w:ind w:firstLine="480" w:firstLineChars="200"/>
        <w:rPr>
          <w:rFonts w:hint="eastAsia" w:cs="宋体"/>
          <w:bCs/>
          <w:color w:val="auto"/>
          <w:kern w:val="0"/>
          <w:szCs w:val="24"/>
          <w:highlight w:val="none"/>
        </w:rPr>
      </w:pPr>
      <w:r>
        <w:rPr>
          <w:rFonts w:hint="eastAsia" w:cs="宋体"/>
          <w:bCs/>
          <w:color w:val="auto"/>
          <w:kern w:val="0"/>
          <w:szCs w:val="24"/>
          <w:highlight w:val="none"/>
        </w:rPr>
        <w:t>1.采购人信息</w:t>
      </w:r>
    </w:p>
    <w:p w14:paraId="4FF3F410">
      <w:pPr>
        <w:widowControl/>
        <w:shd w:val="clear" w:color="auto"/>
        <w:wordWrap w:val="0"/>
        <w:spacing w:line="480" w:lineRule="exact"/>
        <w:ind w:firstLine="480" w:firstLineChars="200"/>
        <w:rPr>
          <w:rFonts w:hint="eastAsia" w:eastAsia="宋体" w:cs="宋体"/>
          <w:bCs/>
          <w:color w:val="auto"/>
          <w:kern w:val="0"/>
          <w:szCs w:val="24"/>
          <w:highlight w:val="none"/>
          <w:lang w:eastAsia="zh-CN"/>
        </w:rPr>
      </w:pPr>
      <w:r>
        <w:rPr>
          <w:rFonts w:hint="eastAsia" w:cs="宋体"/>
          <w:bCs/>
          <w:color w:val="auto"/>
          <w:kern w:val="0"/>
          <w:szCs w:val="24"/>
          <w:highlight w:val="none"/>
        </w:rPr>
        <w:t>名 称：</w:t>
      </w:r>
      <w:r>
        <w:rPr>
          <w:rFonts w:hint="eastAsia" w:cs="宋体"/>
          <w:bCs/>
          <w:color w:val="auto"/>
          <w:kern w:val="0"/>
          <w:szCs w:val="24"/>
          <w:highlight w:val="none"/>
          <w:lang w:eastAsia="zh-CN"/>
        </w:rPr>
        <w:t>乌鲁木齐市沙依巴克区炉院街街道办事处</w:t>
      </w:r>
    </w:p>
    <w:p w14:paraId="6A908854">
      <w:pPr>
        <w:widowControl/>
        <w:shd w:val="clear" w:color="auto"/>
        <w:wordWrap w:val="0"/>
        <w:spacing w:line="480" w:lineRule="exact"/>
        <w:ind w:firstLine="480" w:firstLineChars="200"/>
        <w:rPr>
          <w:rFonts w:hint="eastAsia" w:eastAsia="宋体" w:cs="宋体"/>
          <w:bCs/>
          <w:color w:val="auto"/>
          <w:kern w:val="0"/>
          <w:szCs w:val="24"/>
          <w:highlight w:val="none"/>
          <w:lang w:eastAsia="zh-CN"/>
        </w:rPr>
      </w:pPr>
      <w:r>
        <w:rPr>
          <w:rFonts w:hint="eastAsia" w:cs="宋体"/>
          <w:bCs/>
          <w:color w:val="auto"/>
          <w:kern w:val="0"/>
          <w:szCs w:val="24"/>
          <w:highlight w:val="none"/>
        </w:rPr>
        <w:t>地 址：</w:t>
      </w:r>
      <w:r>
        <w:rPr>
          <w:rFonts w:hint="eastAsia" w:cs="宋体"/>
          <w:bCs/>
          <w:color w:val="auto"/>
          <w:kern w:val="0"/>
          <w:szCs w:val="24"/>
          <w:highlight w:val="none"/>
          <w:lang w:eastAsia="zh-CN"/>
        </w:rPr>
        <w:t>乌鲁木齐市沙依巴克区炉院街280号</w:t>
      </w:r>
    </w:p>
    <w:p w14:paraId="0BA5D337">
      <w:pPr>
        <w:widowControl/>
        <w:shd w:val="clear" w:color="auto"/>
        <w:wordWrap w:val="0"/>
        <w:spacing w:line="480" w:lineRule="exact"/>
        <w:ind w:firstLine="480" w:firstLineChars="200"/>
        <w:rPr>
          <w:rFonts w:hint="eastAsia" w:eastAsia="宋体" w:cs="宋体"/>
          <w:bCs/>
          <w:color w:val="auto"/>
          <w:kern w:val="0"/>
          <w:szCs w:val="24"/>
          <w:highlight w:val="none"/>
          <w:lang w:eastAsia="zh-CN"/>
        </w:rPr>
      </w:pPr>
      <w:r>
        <w:rPr>
          <w:rFonts w:hint="eastAsia" w:cs="宋体"/>
          <w:bCs/>
          <w:color w:val="auto"/>
          <w:kern w:val="0"/>
          <w:szCs w:val="24"/>
          <w:highlight w:val="none"/>
        </w:rPr>
        <w:t>联系方式：</w:t>
      </w:r>
      <w:r>
        <w:rPr>
          <w:rFonts w:hint="eastAsia" w:cs="宋体"/>
          <w:bCs/>
          <w:color w:val="auto"/>
          <w:kern w:val="0"/>
          <w:szCs w:val="24"/>
          <w:highlight w:val="none"/>
          <w:lang w:eastAsia="zh-CN"/>
        </w:rPr>
        <w:t>0991-5583103</w:t>
      </w:r>
    </w:p>
    <w:p w14:paraId="14CCC2D3">
      <w:pPr>
        <w:widowControl/>
        <w:shd w:val="clear" w:color="auto"/>
        <w:wordWrap w:val="0"/>
        <w:spacing w:line="480" w:lineRule="exact"/>
        <w:ind w:firstLine="480" w:firstLineChars="200"/>
        <w:rPr>
          <w:rFonts w:hint="eastAsia" w:cs="宋体"/>
          <w:bCs/>
          <w:color w:val="auto"/>
          <w:kern w:val="0"/>
          <w:szCs w:val="24"/>
          <w:highlight w:val="none"/>
        </w:rPr>
      </w:pPr>
      <w:r>
        <w:rPr>
          <w:rFonts w:hint="eastAsia" w:cs="宋体"/>
          <w:bCs/>
          <w:color w:val="auto"/>
          <w:kern w:val="0"/>
          <w:szCs w:val="24"/>
          <w:highlight w:val="none"/>
        </w:rPr>
        <w:t>2.采购代理机构信息</w:t>
      </w:r>
    </w:p>
    <w:p w14:paraId="05AE1052">
      <w:pPr>
        <w:widowControl/>
        <w:shd w:val="clear" w:color="auto"/>
        <w:wordWrap w:val="0"/>
        <w:spacing w:line="480" w:lineRule="exact"/>
        <w:ind w:firstLine="480" w:firstLineChars="200"/>
        <w:rPr>
          <w:rFonts w:hint="eastAsia" w:cs="宋体"/>
          <w:bCs/>
          <w:color w:val="auto"/>
          <w:kern w:val="0"/>
          <w:szCs w:val="24"/>
          <w:highlight w:val="none"/>
        </w:rPr>
      </w:pPr>
      <w:r>
        <w:rPr>
          <w:rFonts w:hint="eastAsia" w:cs="宋体"/>
          <w:bCs/>
          <w:color w:val="auto"/>
          <w:kern w:val="0"/>
          <w:szCs w:val="24"/>
          <w:highlight w:val="none"/>
        </w:rPr>
        <w:t>名 称：中招国际招标有限公司</w:t>
      </w:r>
    </w:p>
    <w:p w14:paraId="4C454747">
      <w:pPr>
        <w:widowControl/>
        <w:shd w:val="clear" w:color="auto"/>
        <w:wordWrap w:val="0"/>
        <w:spacing w:line="480" w:lineRule="exact"/>
        <w:ind w:firstLine="480" w:firstLineChars="200"/>
        <w:rPr>
          <w:rFonts w:hint="eastAsia" w:cs="宋体"/>
          <w:bCs/>
          <w:color w:val="auto"/>
          <w:kern w:val="0"/>
          <w:szCs w:val="24"/>
          <w:highlight w:val="none"/>
        </w:rPr>
      </w:pPr>
      <w:r>
        <w:rPr>
          <w:rFonts w:hint="eastAsia" w:cs="宋体"/>
          <w:bCs/>
          <w:color w:val="auto"/>
          <w:kern w:val="0"/>
          <w:szCs w:val="24"/>
          <w:highlight w:val="none"/>
        </w:rPr>
        <w:t>地 址：新疆乌鲁木齐市486号南湖明珠二期十四栋商业写字楼8楼</w:t>
      </w:r>
    </w:p>
    <w:p w14:paraId="55A88025">
      <w:pPr>
        <w:widowControl/>
        <w:shd w:val="clear" w:color="auto"/>
        <w:wordWrap w:val="0"/>
        <w:spacing w:line="480" w:lineRule="exact"/>
        <w:ind w:firstLine="480" w:firstLineChars="200"/>
        <w:rPr>
          <w:rFonts w:hint="eastAsia" w:eastAsia="宋体" w:cs="宋体"/>
          <w:bCs/>
          <w:color w:val="auto"/>
          <w:kern w:val="0"/>
          <w:szCs w:val="24"/>
          <w:highlight w:val="none"/>
          <w:lang w:eastAsia="zh-CN"/>
        </w:rPr>
      </w:pPr>
      <w:r>
        <w:rPr>
          <w:rFonts w:hint="eastAsia" w:cs="宋体"/>
          <w:bCs/>
          <w:color w:val="auto"/>
          <w:kern w:val="0"/>
          <w:szCs w:val="24"/>
          <w:highlight w:val="none"/>
        </w:rPr>
        <w:t>联系方式：</w:t>
      </w:r>
      <w:r>
        <w:rPr>
          <w:rFonts w:hint="eastAsia" w:cs="宋体"/>
          <w:bCs/>
          <w:color w:val="auto"/>
          <w:kern w:val="0"/>
          <w:szCs w:val="24"/>
          <w:highlight w:val="none"/>
          <w:lang w:eastAsia="zh-CN"/>
        </w:rPr>
        <w:t>13009678050</w:t>
      </w:r>
      <w:r>
        <w:rPr>
          <w:rFonts w:hint="eastAsia" w:cs="宋体"/>
          <w:bCs/>
          <w:color w:val="auto"/>
          <w:kern w:val="0"/>
          <w:szCs w:val="24"/>
          <w:highlight w:val="none"/>
        </w:rPr>
        <w:t>、</w:t>
      </w:r>
      <w:r>
        <w:rPr>
          <w:rFonts w:hint="eastAsia" w:cs="宋体"/>
          <w:bCs/>
          <w:color w:val="auto"/>
          <w:kern w:val="0"/>
          <w:szCs w:val="24"/>
          <w:highlight w:val="none"/>
          <w:lang w:eastAsia="zh-CN"/>
        </w:rPr>
        <w:t>0991-2316185</w:t>
      </w:r>
    </w:p>
    <w:p w14:paraId="1779FC08">
      <w:pPr>
        <w:widowControl/>
        <w:shd w:val="clear" w:color="auto"/>
        <w:wordWrap w:val="0"/>
        <w:spacing w:line="480" w:lineRule="exact"/>
        <w:ind w:firstLine="480" w:firstLineChars="200"/>
        <w:rPr>
          <w:rFonts w:hint="eastAsia" w:cs="宋体"/>
          <w:bCs/>
          <w:color w:val="auto"/>
          <w:kern w:val="0"/>
          <w:szCs w:val="24"/>
          <w:highlight w:val="none"/>
        </w:rPr>
      </w:pPr>
      <w:r>
        <w:rPr>
          <w:rFonts w:hint="eastAsia" w:cs="宋体"/>
          <w:bCs/>
          <w:color w:val="auto"/>
          <w:kern w:val="0"/>
          <w:szCs w:val="24"/>
          <w:highlight w:val="none"/>
        </w:rPr>
        <w:t>3.项目联系方式</w:t>
      </w:r>
    </w:p>
    <w:p w14:paraId="6F9E34A4">
      <w:pPr>
        <w:widowControl/>
        <w:shd w:val="clear" w:color="auto"/>
        <w:wordWrap w:val="0"/>
        <w:spacing w:line="480" w:lineRule="exact"/>
        <w:ind w:firstLine="480" w:firstLineChars="200"/>
        <w:rPr>
          <w:rFonts w:hint="default" w:eastAsia="宋体" w:cs="宋体"/>
          <w:bCs/>
          <w:color w:val="auto"/>
          <w:kern w:val="0"/>
          <w:szCs w:val="24"/>
          <w:highlight w:val="none"/>
          <w:lang w:val="en-US" w:eastAsia="zh-CN"/>
        </w:rPr>
      </w:pPr>
      <w:r>
        <w:rPr>
          <w:rFonts w:hint="eastAsia" w:cs="宋体"/>
          <w:bCs/>
          <w:color w:val="auto"/>
          <w:kern w:val="0"/>
          <w:szCs w:val="24"/>
          <w:highlight w:val="none"/>
        </w:rPr>
        <w:t>项目联系人：</w:t>
      </w:r>
      <w:r>
        <w:rPr>
          <w:rFonts w:hint="eastAsia" w:cs="宋体"/>
          <w:bCs/>
          <w:color w:val="auto"/>
          <w:kern w:val="0"/>
          <w:szCs w:val="24"/>
          <w:highlight w:val="none"/>
          <w:lang w:eastAsia="zh-CN"/>
        </w:rPr>
        <w:t>赵雄飞、</w:t>
      </w:r>
      <w:r>
        <w:rPr>
          <w:rFonts w:hint="eastAsia" w:cs="宋体"/>
          <w:bCs/>
          <w:color w:val="auto"/>
          <w:kern w:val="0"/>
          <w:szCs w:val="24"/>
          <w:highlight w:val="none"/>
          <w:lang w:val="en-US" w:eastAsia="zh-CN"/>
        </w:rPr>
        <w:t>侯秀英、张智伟、钱文雅</w:t>
      </w:r>
    </w:p>
    <w:p w14:paraId="58479417">
      <w:pPr>
        <w:widowControl/>
        <w:shd w:val="clear" w:color="auto"/>
        <w:wordWrap w:val="0"/>
        <w:spacing w:line="480" w:lineRule="exact"/>
        <w:ind w:firstLine="480" w:firstLineChars="200"/>
        <w:rPr>
          <w:rFonts w:hint="eastAsia" w:eastAsia="宋体" w:cs="宋体"/>
          <w:bCs/>
          <w:color w:val="auto"/>
          <w:kern w:val="0"/>
          <w:szCs w:val="24"/>
          <w:highlight w:val="none"/>
          <w:lang w:eastAsia="zh-CN"/>
        </w:rPr>
        <w:sectPr>
          <w:footerReference r:id="rId7" w:type="default"/>
          <w:pgSz w:w="11906" w:h="16838"/>
          <w:pgMar w:top="1440" w:right="1800" w:bottom="1440" w:left="1800" w:header="851" w:footer="992" w:gutter="0"/>
          <w:pgNumType w:fmt="decimal" w:start="1"/>
          <w:cols w:space="425" w:num="1"/>
          <w:docGrid w:type="lines" w:linePitch="312" w:charSpace="0"/>
        </w:sectPr>
      </w:pPr>
      <w:r>
        <w:rPr>
          <w:rFonts w:hint="eastAsia" w:cs="宋体"/>
          <w:bCs/>
          <w:color w:val="auto"/>
          <w:kern w:val="0"/>
          <w:szCs w:val="24"/>
          <w:highlight w:val="none"/>
        </w:rPr>
        <w:t>电 话：</w:t>
      </w:r>
      <w:r>
        <w:rPr>
          <w:rFonts w:hint="eastAsia" w:cs="宋体"/>
          <w:bCs/>
          <w:color w:val="auto"/>
          <w:kern w:val="0"/>
          <w:szCs w:val="24"/>
          <w:highlight w:val="none"/>
          <w:lang w:eastAsia="zh-CN"/>
        </w:rPr>
        <w:t>0991-2316185</w:t>
      </w:r>
    </w:p>
    <w:p w14:paraId="231EADD0">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i w:val="0"/>
          <w:iCs w:val="0"/>
          <w:color w:val="auto"/>
          <w:kern w:val="44"/>
          <w:sz w:val="36"/>
          <w:szCs w:val="36"/>
          <w:highlight w:val="none"/>
          <w:lang w:val="en-US" w:eastAsia="zh-CN" w:bidi="ar-SA"/>
        </w:rPr>
      </w:pPr>
      <w:bookmarkStart w:id="82" w:name="_Toc11873"/>
      <w:r>
        <w:rPr>
          <w:rFonts w:hint="eastAsia" w:ascii="宋体" w:hAnsi="宋体" w:eastAsia="宋体" w:cs="宋体"/>
          <w:b/>
          <w:bCs/>
          <w:i w:val="0"/>
          <w:iCs w:val="0"/>
          <w:color w:val="auto"/>
          <w:kern w:val="44"/>
          <w:sz w:val="36"/>
          <w:szCs w:val="36"/>
          <w:highlight w:val="none"/>
          <w:lang w:val="en-US" w:eastAsia="zh-CN" w:bidi="ar-SA"/>
        </w:rPr>
        <w:t>第二章 供应商须知</w:t>
      </w:r>
      <w:bookmarkEnd w:id="82"/>
    </w:p>
    <w:p w14:paraId="69950409">
      <w:pPr>
        <w:pStyle w:val="4"/>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i w:val="0"/>
          <w:iCs w:val="0"/>
          <w:color w:val="auto"/>
          <w:kern w:val="2"/>
          <w:sz w:val="28"/>
          <w:szCs w:val="28"/>
          <w:highlight w:val="none"/>
          <w:lang w:val="en-US" w:eastAsia="zh-CN" w:bidi="ar-SA"/>
        </w:rPr>
      </w:pPr>
      <w:bookmarkStart w:id="83" w:name="_Toc19176"/>
      <w:r>
        <w:rPr>
          <w:rFonts w:hint="eastAsia" w:eastAsia="宋体" w:asciiTheme="majorHAnsi" w:hAnsiTheme="majorHAnsi" w:cstheme="majorBidi"/>
          <w:b/>
          <w:bCs/>
          <w:i w:val="0"/>
          <w:iCs w:val="0"/>
          <w:color w:val="auto"/>
          <w:kern w:val="2"/>
          <w:sz w:val="28"/>
          <w:szCs w:val="28"/>
          <w:highlight w:val="none"/>
          <w:lang w:val="en-US" w:eastAsia="zh-CN" w:bidi="ar-SA"/>
        </w:rPr>
        <w:t>一、供应商须知前附表</w:t>
      </w:r>
      <w:bookmarkEnd w:id="83"/>
    </w:p>
    <w:p w14:paraId="187E6BD3">
      <w:pPr>
        <w:pStyle w:val="41"/>
        <w:ind w:firstLine="480"/>
        <w:rPr>
          <w:i w:val="0"/>
          <w:iCs w:val="0"/>
          <w:color w:val="auto"/>
          <w:highlight w:val="none"/>
        </w:rPr>
      </w:pPr>
      <w:r>
        <w:rPr>
          <w:rFonts w:hint="eastAsia"/>
          <w:i w:val="0"/>
          <w:iCs w:val="0"/>
          <w:color w:val="auto"/>
          <w:highlight w:val="none"/>
        </w:rPr>
        <w:t>磋商供应商应仔细阅读本磋商文件的第二章“供应商须知”，下面所列资料是对“供应商须知”的具体补充和说明。如有矛盾，应以本表为准。</w:t>
      </w:r>
      <w:r>
        <w:rPr>
          <w:rFonts w:hint="eastAsia"/>
          <w:i w:val="0"/>
          <w:iCs w:val="0"/>
          <w:color w:val="auto"/>
          <w:highlight w:val="none"/>
          <w:lang w:val="en-US" w:eastAsia="zh-CN"/>
        </w:rPr>
        <w:t>标记“</w:t>
      </w:r>
      <w:r>
        <w:rPr>
          <w:rFonts w:hint="eastAsia" w:ascii="宋体" w:hAnsi="宋体" w:eastAsia="宋体"/>
          <w:i w:val="0"/>
          <w:iCs w:val="0"/>
          <w:color w:val="auto"/>
          <w:highlight w:val="none"/>
          <w:lang w:val="en-US" w:eastAsia="zh-CN"/>
        </w:rPr>
        <w:t>☑”的选项意为适用于本项目，标记“□”的选项意为不适用于本项目。</w:t>
      </w:r>
    </w:p>
    <w:tbl>
      <w:tblPr>
        <w:tblStyle w:val="32"/>
        <w:tblW w:w="8879" w:type="dxa"/>
        <w:tblInd w:w="-454"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17"/>
        <w:gridCol w:w="1863"/>
        <w:gridCol w:w="6099"/>
      </w:tblGrid>
      <w:tr w14:paraId="0D321B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1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177A0A26">
            <w:pPr>
              <w:pStyle w:val="52"/>
              <w:jc w:val="center"/>
              <w:rPr>
                <w:rFonts w:hint="eastAsia" w:ascii="宋体" w:hAnsi="宋体" w:eastAsia="宋体" w:cs="宋体"/>
                <w:b/>
                <w:bCs/>
                <w:i w:val="0"/>
                <w:iCs w:val="0"/>
                <w:color w:val="auto"/>
                <w:sz w:val="24"/>
                <w:szCs w:val="24"/>
                <w:highlight w:val="none"/>
              </w:rPr>
            </w:pPr>
            <w:bookmarkStart w:id="84" w:name="_Hlk161703381"/>
            <w:r>
              <w:rPr>
                <w:rFonts w:hint="eastAsia" w:ascii="宋体" w:hAnsi="宋体" w:eastAsia="宋体" w:cs="宋体"/>
                <w:b/>
                <w:bCs/>
                <w:i w:val="0"/>
                <w:iCs w:val="0"/>
                <w:color w:val="auto"/>
                <w:sz w:val="24"/>
                <w:szCs w:val="24"/>
                <w:highlight w:val="none"/>
              </w:rPr>
              <w:t>条款号</w:t>
            </w:r>
          </w:p>
        </w:tc>
        <w:tc>
          <w:tcPr>
            <w:tcW w:w="186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40C5315">
            <w:pPr>
              <w:pStyle w:val="52"/>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条款名称</w:t>
            </w:r>
          </w:p>
        </w:tc>
        <w:tc>
          <w:tcPr>
            <w:tcW w:w="6099"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74B5DCFF">
            <w:pPr>
              <w:pStyle w:val="52"/>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内  容</w:t>
            </w:r>
          </w:p>
        </w:tc>
      </w:tr>
      <w:tr w14:paraId="7D4E30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74" w:hRule="atLeast"/>
        </w:trPr>
        <w:tc>
          <w:tcPr>
            <w:tcW w:w="917" w:type="dxa"/>
            <w:tcBorders>
              <w:top w:val="single" w:color="auto" w:sz="2" w:space="0"/>
              <w:left w:val="single" w:color="auto" w:sz="2" w:space="0"/>
              <w:bottom w:val="single" w:color="auto" w:sz="2" w:space="0"/>
              <w:right w:val="single" w:color="auto" w:sz="2" w:space="0"/>
            </w:tcBorders>
            <w:vAlign w:val="center"/>
          </w:tcPr>
          <w:p w14:paraId="6624A578">
            <w:pPr>
              <w:pStyle w:val="52"/>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2.5</w:t>
            </w:r>
          </w:p>
        </w:tc>
        <w:tc>
          <w:tcPr>
            <w:tcW w:w="1863" w:type="dxa"/>
            <w:tcBorders>
              <w:top w:val="single" w:color="auto" w:sz="2" w:space="0"/>
              <w:left w:val="single" w:color="auto" w:sz="2" w:space="0"/>
              <w:bottom w:val="single" w:color="auto" w:sz="2" w:space="0"/>
              <w:right w:val="single" w:color="auto" w:sz="2" w:space="0"/>
            </w:tcBorders>
            <w:vAlign w:val="center"/>
          </w:tcPr>
          <w:p w14:paraId="43465851">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服务内容</w:t>
            </w:r>
          </w:p>
        </w:tc>
        <w:tc>
          <w:tcPr>
            <w:tcW w:w="6099" w:type="dxa"/>
            <w:tcBorders>
              <w:top w:val="single" w:color="auto" w:sz="2" w:space="0"/>
              <w:left w:val="single" w:color="auto" w:sz="2" w:space="0"/>
              <w:bottom w:val="single" w:color="auto" w:sz="2" w:space="0"/>
              <w:right w:val="single" w:color="auto" w:sz="2" w:space="0"/>
            </w:tcBorders>
            <w:vAlign w:val="center"/>
          </w:tcPr>
          <w:p w14:paraId="303BCB86">
            <w:pPr>
              <w:pStyle w:val="52"/>
              <w:rPr>
                <w:rFonts w:hint="eastAsia" w:ascii="宋体" w:hAnsi="宋体" w:eastAsia="宋体" w:cs="宋体"/>
                <w:i w:val="0"/>
                <w:iCs w:val="0"/>
                <w:color w:val="auto"/>
                <w:sz w:val="24"/>
                <w:szCs w:val="24"/>
                <w:highlight w:val="none"/>
                <w:lang w:val="en-US" w:eastAsia="zh-CN"/>
              </w:rPr>
            </w:pPr>
            <w:r>
              <w:rPr>
                <w:rFonts w:hint="eastAsia" w:cs="宋体"/>
                <w:i w:val="0"/>
                <w:iCs w:val="0"/>
                <w:color w:val="auto"/>
                <w:sz w:val="24"/>
                <w:szCs w:val="24"/>
                <w:highlight w:val="none"/>
                <w:lang w:val="en-US" w:eastAsia="zh-CN"/>
              </w:rPr>
              <w:t>为切实改善社区一线工作人员就餐条件，实施社区工作人员餐饮保障项目，做好14个社区及街道办事处近300名员工的午餐服务。</w:t>
            </w:r>
          </w:p>
        </w:tc>
      </w:tr>
      <w:tr w14:paraId="37C9AC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73" w:hRule="atLeast"/>
        </w:trPr>
        <w:tc>
          <w:tcPr>
            <w:tcW w:w="917" w:type="dxa"/>
            <w:tcBorders>
              <w:top w:val="single" w:color="auto" w:sz="2" w:space="0"/>
              <w:left w:val="single" w:color="auto" w:sz="2" w:space="0"/>
              <w:bottom w:val="single" w:color="auto" w:sz="2" w:space="0"/>
              <w:right w:val="single" w:color="auto" w:sz="2" w:space="0"/>
            </w:tcBorders>
            <w:vAlign w:val="center"/>
          </w:tcPr>
          <w:p w14:paraId="110733C5">
            <w:pPr>
              <w:pStyle w:val="52"/>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9</w:t>
            </w:r>
            <w:r>
              <w:rPr>
                <w:rFonts w:hint="eastAsia" w:ascii="宋体" w:hAnsi="宋体" w:eastAsia="宋体" w:cs="宋体"/>
                <w:i w:val="0"/>
                <w:iCs w:val="0"/>
                <w:color w:val="auto"/>
                <w:sz w:val="24"/>
                <w:szCs w:val="24"/>
                <w:highlight w:val="none"/>
                <w:lang w:val="en-US" w:eastAsia="zh-CN"/>
              </w:rPr>
              <w:t>.1</w:t>
            </w:r>
          </w:p>
        </w:tc>
        <w:tc>
          <w:tcPr>
            <w:tcW w:w="1863" w:type="dxa"/>
            <w:tcBorders>
              <w:top w:val="single" w:color="auto" w:sz="2" w:space="0"/>
              <w:left w:val="single" w:color="auto" w:sz="2" w:space="0"/>
              <w:bottom w:val="single" w:color="auto" w:sz="2" w:space="0"/>
              <w:right w:val="single" w:color="auto" w:sz="2" w:space="0"/>
            </w:tcBorders>
            <w:vAlign w:val="center"/>
          </w:tcPr>
          <w:p w14:paraId="1341EE3C">
            <w:pPr>
              <w:pStyle w:val="52"/>
              <w:rPr>
                <w:rFonts w:hint="eastAsia" w:ascii="宋体" w:hAnsi="宋体" w:eastAsia="宋体" w:cs="宋体"/>
                <w:i w:val="0"/>
                <w:iCs w:val="0"/>
                <w:color w:val="auto"/>
                <w:sz w:val="24"/>
                <w:szCs w:val="24"/>
                <w:highlight w:val="none"/>
              </w:rPr>
            </w:pPr>
            <w:bookmarkStart w:id="85" w:name="_Hlk143529175"/>
            <w:r>
              <w:rPr>
                <w:rFonts w:hint="eastAsia" w:ascii="宋体" w:hAnsi="宋体" w:eastAsia="宋体" w:cs="宋体"/>
                <w:i w:val="0"/>
                <w:iCs w:val="0"/>
                <w:color w:val="auto"/>
                <w:sz w:val="24"/>
                <w:szCs w:val="24"/>
                <w:highlight w:val="none"/>
              </w:rPr>
              <w:t>现场考察</w:t>
            </w:r>
            <w:bookmarkEnd w:id="85"/>
          </w:p>
        </w:tc>
        <w:tc>
          <w:tcPr>
            <w:tcW w:w="6099" w:type="dxa"/>
            <w:tcBorders>
              <w:top w:val="single" w:color="auto" w:sz="2" w:space="0"/>
              <w:left w:val="single" w:color="auto" w:sz="2" w:space="0"/>
              <w:bottom w:val="single" w:color="auto" w:sz="2" w:space="0"/>
              <w:right w:val="single" w:color="auto" w:sz="2" w:space="0"/>
            </w:tcBorders>
            <w:vAlign w:val="center"/>
          </w:tcPr>
          <w:p w14:paraId="4CE9F680">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不组织，供应商自行前往</w:t>
            </w:r>
          </w:p>
          <w:p w14:paraId="30BF7EC0">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F0A8"/>
            </w:r>
            <w:r>
              <w:rPr>
                <w:rFonts w:hint="eastAsia" w:ascii="宋体" w:hAnsi="宋体" w:eastAsia="宋体" w:cs="宋体"/>
                <w:i w:val="0"/>
                <w:iCs w:val="0"/>
                <w:color w:val="auto"/>
                <w:sz w:val="24"/>
                <w:szCs w:val="24"/>
                <w:highlight w:val="none"/>
              </w:rPr>
              <w:t>组织</w:t>
            </w:r>
          </w:p>
          <w:p w14:paraId="6A0C7BEB">
            <w:pPr>
              <w:pStyle w:val="52"/>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483F689C">
            <w:pPr>
              <w:pStyle w:val="52"/>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地点：</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tc>
      </w:tr>
      <w:tr w14:paraId="27D2F6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73" w:hRule="atLeast"/>
        </w:trPr>
        <w:tc>
          <w:tcPr>
            <w:tcW w:w="917" w:type="dxa"/>
            <w:tcBorders>
              <w:top w:val="single" w:color="auto" w:sz="2" w:space="0"/>
              <w:left w:val="single" w:color="auto" w:sz="2" w:space="0"/>
              <w:bottom w:val="single" w:color="auto" w:sz="2" w:space="0"/>
              <w:right w:val="single" w:color="auto" w:sz="2" w:space="0"/>
            </w:tcBorders>
            <w:shd w:val="clear" w:color="auto" w:fill="auto"/>
            <w:vAlign w:val="center"/>
          </w:tcPr>
          <w:p w14:paraId="5450FE9C">
            <w:pPr>
              <w:pStyle w:val="52"/>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9.5</w:t>
            </w:r>
          </w:p>
        </w:tc>
        <w:tc>
          <w:tcPr>
            <w:tcW w:w="1863" w:type="dxa"/>
            <w:tcBorders>
              <w:top w:val="single" w:color="auto" w:sz="2" w:space="0"/>
              <w:left w:val="single" w:color="auto" w:sz="2" w:space="0"/>
              <w:bottom w:val="single" w:color="auto" w:sz="2" w:space="0"/>
              <w:right w:val="single" w:color="auto" w:sz="2" w:space="0"/>
            </w:tcBorders>
            <w:shd w:val="clear" w:color="auto" w:fill="auto"/>
            <w:vAlign w:val="center"/>
          </w:tcPr>
          <w:p w14:paraId="305DBDF1">
            <w:pPr>
              <w:pStyle w:val="52"/>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答疑会</w:t>
            </w:r>
          </w:p>
        </w:tc>
        <w:tc>
          <w:tcPr>
            <w:tcW w:w="6099" w:type="dxa"/>
            <w:tcBorders>
              <w:top w:val="single" w:color="auto" w:sz="2" w:space="0"/>
              <w:left w:val="single" w:color="auto" w:sz="2" w:space="0"/>
              <w:bottom w:val="single" w:color="auto" w:sz="2" w:space="0"/>
              <w:right w:val="single" w:color="auto" w:sz="2" w:space="0"/>
            </w:tcBorders>
            <w:shd w:val="clear" w:color="auto" w:fill="auto"/>
            <w:vAlign w:val="center"/>
          </w:tcPr>
          <w:p w14:paraId="1807598A">
            <w:pPr>
              <w:pStyle w:val="52"/>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不组织</w:t>
            </w:r>
          </w:p>
          <w:p w14:paraId="5D5720FD">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组织</w:t>
            </w:r>
          </w:p>
          <w:p w14:paraId="49E74ECC">
            <w:pPr>
              <w:pStyle w:val="52"/>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3DBD95D2">
            <w:pPr>
              <w:pStyle w:val="52"/>
              <w:ind w:firstLine="240" w:firstLineChars="100"/>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地点：</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tc>
      </w:tr>
      <w:tr w14:paraId="5561F5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73" w:hRule="atLeast"/>
        </w:trPr>
        <w:tc>
          <w:tcPr>
            <w:tcW w:w="917" w:type="dxa"/>
            <w:tcBorders>
              <w:top w:val="single" w:color="auto" w:sz="2" w:space="0"/>
              <w:left w:val="single" w:color="auto" w:sz="2" w:space="0"/>
              <w:bottom w:val="single" w:color="auto" w:sz="2" w:space="0"/>
              <w:right w:val="single" w:color="auto" w:sz="2" w:space="0"/>
            </w:tcBorders>
            <w:vAlign w:val="center"/>
          </w:tcPr>
          <w:p w14:paraId="2F8BE67E">
            <w:pPr>
              <w:pStyle w:val="52"/>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.1</w:t>
            </w:r>
          </w:p>
        </w:tc>
        <w:tc>
          <w:tcPr>
            <w:tcW w:w="1863" w:type="dxa"/>
            <w:tcBorders>
              <w:top w:val="single" w:color="auto" w:sz="2" w:space="0"/>
              <w:left w:val="single" w:color="auto" w:sz="2" w:space="0"/>
              <w:bottom w:val="single" w:color="auto" w:sz="2" w:space="0"/>
              <w:right w:val="single" w:color="auto" w:sz="2" w:space="0"/>
            </w:tcBorders>
            <w:vAlign w:val="center"/>
          </w:tcPr>
          <w:p w14:paraId="7EDC63C9">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询问</w:t>
            </w:r>
          </w:p>
        </w:tc>
        <w:tc>
          <w:tcPr>
            <w:tcW w:w="6099" w:type="dxa"/>
            <w:tcBorders>
              <w:top w:val="single" w:color="auto" w:sz="2" w:space="0"/>
              <w:left w:val="single" w:color="auto" w:sz="2" w:space="0"/>
              <w:bottom w:val="single" w:color="auto" w:sz="2" w:space="0"/>
              <w:right w:val="single" w:color="auto" w:sz="2" w:space="0"/>
            </w:tcBorders>
            <w:vAlign w:val="center"/>
          </w:tcPr>
          <w:p w14:paraId="28EA9EDC">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方式：</w:t>
            </w:r>
          </w:p>
          <w:p w14:paraId="2ECE779D">
            <w:pPr>
              <w:pStyle w:val="52"/>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在供应商客户端中按照格式填写询问函，并在生成询问函后加盖电子印章提交</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其他询问方式：</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电话</w:t>
            </w:r>
            <w:r>
              <w:rPr>
                <w:rFonts w:hint="eastAsia" w:cs="宋体"/>
                <w:i w:val="0"/>
                <w:iCs w:val="0"/>
                <w:color w:val="auto"/>
                <w:sz w:val="24"/>
                <w:szCs w:val="24"/>
                <w:highlight w:val="none"/>
                <w:u w:val="single"/>
                <w:lang w:val="en-US" w:eastAsia="zh-CN"/>
              </w:rPr>
              <w:t>咨询</w:t>
            </w:r>
            <w:r>
              <w:rPr>
                <w:rFonts w:hint="eastAsia" w:ascii="宋体" w:hAnsi="宋体" w:eastAsia="宋体" w:cs="宋体"/>
                <w:i w:val="0"/>
                <w:iCs w:val="0"/>
                <w:color w:val="auto"/>
                <w:sz w:val="24"/>
                <w:szCs w:val="24"/>
                <w:highlight w:val="none"/>
              </w:rPr>
              <w:t>。</w:t>
            </w:r>
          </w:p>
          <w:p w14:paraId="716B2B40">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lang w:val="en-US" w:eastAsia="zh-CN"/>
              </w:rPr>
              <w:t>要求</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tc>
      </w:tr>
      <w:tr w14:paraId="5EBABA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66" w:hRule="atLeast"/>
        </w:trPr>
        <w:tc>
          <w:tcPr>
            <w:tcW w:w="917" w:type="dxa"/>
            <w:tcBorders>
              <w:top w:val="single" w:color="auto" w:sz="2" w:space="0"/>
              <w:left w:val="single" w:color="auto" w:sz="2" w:space="0"/>
              <w:bottom w:val="single" w:color="auto" w:sz="2" w:space="0"/>
              <w:right w:val="single" w:color="auto" w:sz="2" w:space="0"/>
            </w:tcBorders>
            <w:vAlign w:val="center"/>
          </w:tcPr>
          <w:p w14:paraId="1BD0EE15">
            <w:pPr>
              <w:pStyle w:val="52"/>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.1</w:t>
            </w:r>
          </w:p>
        </w:tc>
        <w:tc>
          <w:tcPr>
            <w:tcW w:w="1863" w:type="dxa"/>
            <w:tcBorders>
              <w:top w:val="single" w:color="auto" w:sz="2" w:space="0"/>
              <w:left w:val="single" w:color="auto" w:sz="2" w:space="0"/>
              <w:bottom w:val="single" w:color="auto" w:sz="2" w:space="0"/>
              <w:right w:val="single" w:color="auto" w:sz="2" w:space="0"/>
            </w:tcBorders>
            <w:vAlign w:val="center"/>
          </w:tcPr>
          <w:p w14:paraId="042F9C28">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eastAsia="zh-CN"/>
              </w:rPr>
              <w:t>响应文件有效期</w:t>
            </w:r>
          </w:p>
        </w:tc>
        <w:tc>
          <w:tcPr>
            <w:tcW w:w="6099" w:type="dxa"/>
            <w:tcBorders>
              <w:top w:val="single" w:color="auto" w:sz="2" w:space="0"/>
              <w:left w:val="single" w:color="auto" w:sz="2" w:space="0"/>
              <w:bottom w:val="single" w:color="auto" w:sz="2" w:space="0"/>
              <w:right w:val="single" w:color="auto" w:sz="2" w:space="0"/>
            </w:tcBorders>
            <w:vAlign w:val="center"/>
          </w:tcPr>
          <w:p w14:paraId="77535C0F">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响应文件递交截止日期后</w:t>
            </w:r>
            <w:r>
              <w:rPr>
                <w:rFonts w:hint="eastAsia" w:ascii="宋体" w:hAnsi="宋体" w:eastAsia="宋体" w:cs="宋体"/>
                <w:i w:val="0"/>
                <w:iCs w:val="0"/>
                <w:color w:val="auto"/>
                <w:sz w:val="24"/>
                <w:szCs w:val="24"/>
                <w:highlight w:val="none"/>
                <w:u w:val="single"/>
              </w:rPr>
              <w:t>90</w:t>
            </w:r>
            <w:r>
              <w:rPr>
                <w:rFonts w:hint="eastAsia" w:ascii="宋体" w:hAnsi="宋体" w:eastAsia="宋体" w:cs="宋体"/>
                <w:i w:val="0"/>
                <w:iCs w:val="0"/>
                <w:color w:val="auto"/>
                <w:sz w:val="24"/>
                <w:szCs w:val="24"/>
                <w:highlight w:val="none"/>
              </w:rPr>
              <w:t>日历日。</w:t>
            </w:r>
          </w:p>
        </w:tc>
      </w:tr>
      <w:tr w14:paraId="7E16CC1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709" w:hRule="atLeast"/>
        </w:trPr>
        <w:tc>
          <w:tcPr>
            <w:tcW w:w="917" w:type="dxa"/>
            <w:tcBorders>
              <w:top w:val="single" w:color="auto" w:sz="2" w:space="0"/>
              <w:left w:val="single" w:color="auto" w:sz="2" w:space="0"/>
              <w:bottom w:val="single" w:color="auto" w:sz="2" w:space="0"/>
              <w:right w:val="single" w:color="auto" w:sz="2" w:space="0"/>
            </w:tcBorders>
            <w:vAlign w:val="center"/>
          </w:tcPr>
          <w:p w14:paraId="54C73840">
            <w:pPr>
              <w:pStyle w:val="52"/>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17.1</w:t>
            </w:r>
          </w:p>
        </w:tc>
        <w:tc>
          <w:tcPr>
            <w:tcW w:w="1863" w:type="dxa"/>
            <w:tcBorders>
              <w:top w:val="single" w:color="auto" w:sz="2" w:space="0"/>
              <w:left w:val="single" w:color="auto" w:sz="2" w:space="0"/>
              <w:bottom w:val="single" w:color="auto" w:sz="2" w:space="0"/>
              <w:right w:val="single" w:color="auto" w:sz="2" w:space="0"/>
            </w:tcBorders>
            <w:vAlign w:val="center"/>
          </w:tcPr>
          <w:p w14:paraId="6F26E537">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磋商保证金</w:t>
            </w:r>
          </w:p>
        </w:tc>
        <w:tc>
          <w:tcPr>
            <w:tcW w:w="6099" w:type="dxa"/>
            <w:tcBorders>
              <w:top w:val="single" w:color="auto" w:sz="2" w:space="0"/>
              <w:left w:val="single" w:color="auto" w:sz="2" w:space="0"/>
              <w:bottom w:val="single" w:color="auto" w:sz="2" w:space="0"/>
              <w:right w:val="single" w:color="auto" w:sz="2" w:space="0"/>
            </w:tcBorders>
            <w:vAlign w:val="center"/>
          </w:tcPr>
          <w:p w14:paraId="6C54EE34">
            <w:pPr>
              <w:pStyle w:val="62"/>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金额：</w:t>
            </w:r>
          </w:p>
          <w:p w14:paraId="3E23E205">
            <w:pPr>
              <w:pStyle w:val="62"/>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i w:val="0"/>
                <w:iCs w:val="0"/>
                <w:color w:val="auto"/>
                <w:sz w:val="24"/>
                <w:szCs w:val="24"/>
                <w:highlight w:val="none"/>
              </w:rPr>
            </w:pPr>
            <w:r>
              <w:rPr>
                <w:rFonts w:hint="eastAsia" w:ascii="宋体" w:hAnsi="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免收</w:t>
            </w:r>
          </w:p>
          <w:p w14:paraId="27327A97">
            <w:pPr>
              <w:pStyle w:val="62"/>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预算金额</w:t>
            </w:r>
            <w:r>
              <w:rPr>
                <w:rFonts w:hint="eastAsia" w:ascii="宋体" w:hAnsi="宋体" w:eastAsia="宋体" w:cs="宋体"/>
                <w:i w:val="0"/>
                <w:iCs w:val="0"/>
                <w:color w:val="auto"/>
                <w:sz w:val="24"/>
                <w:szCs w:val="24"/>
                <w:highlight w:val="none"/>
              </w:rPr>
              <w:t>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lang w:eastAsia="zh-CN"/>
              </w:rPr>
              <w:t>。</w:t>
            </w:r>
          </w:p>
          <w:p w14:paraId="59C4595E">
            <w:pPr>
              <w:pStyle w:val="62"/>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i w:val="0"/>
                <w:iCs w:val="0"/>
                <w:color w:val="auto"/>
                <w:sz w:val="24"/>
                <w:szCs w:val="24"/>
                <w:highlight w:val="none"/>
                <w:lang w:eastAsia="zh-CN"/>
              </w:rPr>
            </w:pPr>
            <w:r>
              <w:rPr>
                <w:rFonts w:hint="eastAsia" w:ascii="宋体" w:hAnsi="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定额收取：</w:t>
            </w:r>
            <w:r>
              <w:rPr>
                <w:rFonts w:hint="eastAsia" w:ascii="宋体" w:hAnsi="宋体" w:eastAsia="宋体" w:cs="宋体"/>
                <w:i w:val="0"/>
                <w:iCs w:val="0"/>
                <w:color w:val="auto"/>
                <w:sz w:val="24"/>
                <w:szCs w:val="24"/>
                <w:highlight w:val="none"/>
                <w:u w:val="single"/>
              </w:rPr>
              <w:t xml:space="preserve">人民币 </w:t>
            </w:r>
            <w:r>
              <w:rPr>
                <w:rFonts w:hint="eastAsia" w:ascii="宋体" w:hAnsi="宋体"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元</w:t>
            </w:r>
            <w:r>
              <w:rPr>
                <w:rFonts w:hint="eastAsia" w:ascii="宋体" w:hAnsi="宋体" w:cs="宋体"/>
                <w:i w:val="0"/>
                <w:iCs w:val="0"/>
                <w:color w:val="auto"/>
                <w:sz w:val="24"/>
                <w:szCs w:val="24"/>
                <w:highlight w:val="none"/>
                <w:u w:val="single"/>
                <w:lang w:eastAsia="zh-CN"/>
              </w:rPr>
              <w:t>（</w:t>
            </w:r>
            <w:r>
              <w:rPr>
                <w:rFonts w:hint="eastAsia" w:ascii="宋体" w:hAnsi="宋体" w:cs="宋体"/>
                <w:i w:val="0"/>
                <w:iCs w:val="0"/>
                <w:color w:val="auto"/>
                <w:sz w:val="24"/>
                <w:szCs w:val="24"/>
                <w:highlight w:val="none"/>
                <w:u w:val="single"/>
                <w:lang w:val="en-US" w:eastAsia="zh-CN"/>
              </w:rPr>
              <w:t>/元整</w:t>
            </w:r>
            <w:r>
              <w:rPr>
                <w:rFonts w:hint="eastAsia" w:ascii="宋体" w:hAnsi="宋体" w:cs="宋体"/>
                <w:i w:val="0"/>
                <w:iCs w:val="0"/>
                <w:color w:val="auto"/>
                <w:sz w:val="24"/>
                <w:szCs w:val="24"/>
                <w:highlight w:val="none"/>
                <w:u w:val="single"/>
                <w:lang w:eastAsia="zh-CN"/>
              </w:rPr>
              <w:t>）</w:t>
            </w:r>
            <w:r>
              <w:rPr>
                <w:rFonts w:hint="eastAsia" w:ascii="宋体" w:hAnsi="宋体" w:eastAsia="宋体" w:cs="宋体"/>
                <w:i w:val="0"/>
                <w:iCs w:val="0"/>
                <w:color w:val="auto"/>
                <w:sz w:val="24"/>
                <w:szCs w:val="24"/>
                <w:highlight w:val="none"/>
                <w:lang w:eastAsia="zh-CN"/>
              </w:rPr>
              <w:t>。</w:t>
            </w:r>
          </w:p>
          <w:p w14:paraId="2C722AC3">
            <w:pPr>
              <w:pStyle w:val="62"/>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支付方式：</w:t>
            </w:r>
          </w:p>
          <w:p w14:paraId="0D5BB95D">
            <w:pPr>
              <w:pStyle w:val="62"/>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供应商可自主选择以支票、汇票、本票、电汇、转账、网银、保函等非现金形式缴纳或提交保证金。</w:t>
            </w:r>
          </w:p>
          <w:p w14:paraId="6FAB915D">
            <w:pPr>
              <w:pStyle w:val="62"/>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收取单位：</w:t>
            </w:r>
            <w:r>
              <w:rPr>
                <w:rFonts w:hint="eastAsia" w:ascii="宋体" w:hAnsi="宋体" w:cs="宋体"/>
                <w:color w:val="auto"/>
                <w:kern w:val="0"/>
                <w:sz w:val="24"/>
                <w:szCs w:val="24"/>
                <w:highlight w:val="none"/>
              </w:rPr>
              <w:t>中招国际招标有限公司新疆分公司</w:t>
            </w:r>
            <w:r>
              <w:rPr>
                <w:rFonts w:hint="eastAsia" w:ascii="宋体" w:hAnsi="宋体" w:eastAsia="宋体" w:cs="宋体"/>
                <w:i w:val="0"/>
                <w:iCs w:val="0"/>
                <w:color w:val="auto"/>
                <w:sz w:val="24"/>
                <w:szCs w:val="24"/>
                <w:highlight w:val="none"/>
              </w:rPr>
              <w:t xml:space="preserve">                            </w:t>
            </w:r>
          </w:p>
          <w:p w14:paraId="2350A619">
            <w:pPr>
              <w:pStyle w:val="60"/>
              <w:spacing w:line="360" w:lineRule="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4.收取账号：</w:t>
            </w:r>
          </w:p>
          <w:p w14:paraId="033C6F19">
            <w:pPr>
              <w:pStyle w:val="60"/>
              <w:spacing w:line="360" w:lineRule="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中国工商银行股份有限公司南湖北路支行</w:t>
            </w:r>
          </w:p>
          <w:p w14:paraId="69912EA7">
            <w:pPr>
              <w:pStyle w:val="60"/>
              <w:spacing w:line="360" w:lineRule="auto"/>
              <w:rPr>
                <w:rFonts w:hint="eastAsia" w:ascii="宋体" w:hAnsi="宋体" w:eastAsia="宋体" w:cs="宋体"/>
                <w:i w:val="0"/>
                <w:iCs w:val="0"/>
                <w:color w:val="auto"/>
                <w:sz w:val="24"/>
                <w:szCs w:val="24"/>
                <w:highlight w:val="none"/>
              </w:rPr>
            </w:pPr>
            <w:r>
              <w:rPr>
                <w:rFonts w:hint="eastAsia" w:ascii="宋体" w:hAnsi="宋体" w:cs="宋体"/>
                <w:color w:val="auto"/>
                <w:kern w:val="0"/>
                <w:sz w:val="24"/>
                <w:szCs w:val="24"/>
                <w:highlight w:val="none"/>
              </w:rPr>
              <w:t>账号：3002 0128 1910 0057 504</w:t>
            </w:r>
            <w:r>
              <w:rPr>
                <w:rFonts w:hint="eastAsia" w:ascii="宋体" w:hAnsi="宋体" w:eastAsia="宋体" w:cs="宋体"/>
                <w:i w:val="0"/>
                <w:iCs w:val="0"/>
                <w:color w:val="auto"/>
                <w:sz w:val="24"/>
                <w:szCs w:val="24"/>
                <w:highlight w:val="none"/>
              </w:rPr>
              <w:t xml:space="preserve">              </w:t>
            </w:r>
          </w:p>
          <w:p w14:paraId="2A4C24D5">
            <w:pPr>
              <w:pStyle w:val="62"/>
              <w:spacing w:line="340" w:lineRule="exac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退还时间：</w:t>
            </w:r>
            <w:r>
              <w:rPr>
                <w:rFonts w:hint="eastAsia" w:ascii="宋体" w:hAnsi="宋体" w:cs="宋体"/>
                <w:i w:val="0"/>
                <w:iCs w:val="0"/>
                <w:color w:val="auto"/>
                <w:sz w:val="24"/>
                <w:szCs w:val="24"/>
                <w:highlight w:val="none"/>
                <w:lang w:val="en-US" w:eastAsia="zh-CN"/>
              </w:rPr>
              <w:t>自中标（成交）通知书发出之日起5个工作日内退还未中标（成交）人的投磋商保证金，自采购合同签订之日起5个工作日内退还中标（成交）人的投磋商保证金。</w:t>
            </w:r>
          </w:p>
          <w:p w14:paraId="0BF13576">
            <w:pPr>
              <w:pStyle w:val="62"/>
              <w:spacing w:line="340" w:lineRule="exact"/>
              <w:rPr>
                <w:rFonts w:hint="eastAsia"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注意事项：</w:t>
            </w:r>
          </w:p>
          <w:p w14:paraId="3B76FECA">
            <w:pPr>
              <w:pStyle w:val="62"/>
              <w:spacing w:line="340" w:lineRule="exact"/>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1.以上各类机构出具的以担保函、保证保险承担责任的方式均须满足无条件见索即付条件。</w:t>
            </w:r>
          </w:p>
          <w:p w14:paraId="04E079EA">
            <w:pPr>
              <w:pStyle w:val="62"/>
              <w:spacing w:line="340" w:lineRule="exact"/>
              <w:ind w:firstLine="240" w:firstLineChars="100"/>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2.以担保函、保证保险形式缴纳磋商保证金的，受益人和收取单位须为采购人。</w:t>
            </w:r>
            <w:r>
              <w:rPr>
                <w:rFonts w:hint="eastAsia" w:ascii="宋体" w:hAnsi="宋体" w:eastAsia="宋体" w:cs="宋体"/>
                <w:i w:val="0"/>
                <w:iCs w:val="0"/>
                <w:color w:val="auto"/>
                <w:sz w:val="24"/>
                <w:szCs w:val="24"/>
                <w:highlight w:val="none"/>
              </w:rPr>
              <w:br w:type="textWrapping"/>
            </w:r>
            <w:r>
              <w:rPr>
                <w:rFonts w:hint="eastAsia" w:ascii="宋体" w:hAnsi="宋体" w:cs="宋体"/>
                <w:i w:val="0"/>
                <w:iCs w:val="0"/>
                <w:color w:val="auto"/>
                <w:sz w:val="24"/>
                <w:szCs w:val="24"/>
                <w:highlight w:val="none"/>
                <w:lang w:val="en-US" w:eastAsia="zh-CN"/>
              </w:rPr>
              <w:t xml:space="preserve">  </w:t>
            </w:r>
            <w:r>
              <w:rPr>
                <w:rFonts w:hint="eastAsia" w:ascii="宋体" w:hAnsi="宋体" w:cs="宋体"/>
                <w:b/>
                <w:bCs/>
                <w:i w:val="0"/>
                <w:iCs w:val="0"/>
                <w:color w:val="auto"/>
                <w:sz w:val="24"/>
                <w:szCs w:val="24"/>
                <w:highlight w:val="none"/>
                <w:lang w:val="en-US" w:eastAsia="zh-CN"/>
              </w:rPr>
              <w:t>3.供应商</w:t>
            </w:r>
            <w:r>
              <w:rPr>
                <w:rFonts w:hint="eastAsia" w:ascii="宋体" w:hAnsi="宋体" w:eastAsia="宋体" w:cs="宋体"/>
                <w:b/>
                <w:bCs/>
                <w:i w:val="0"/>
                <w:iCs w:val="0"/>
                <w:color w:val="auto"/>
                <w:sz w:val="24"/>
                <w:szCs w:val="24"/>
                <w:highlight w:val="none"/>
              </w:rPr>
              <w:t>以</w:t>
            </w:r>
            <w:r>
              <w:rPr>
                <w:rFonts w:hint="eastAsia" w:ascii="宋体" w:hAnsi="宋体" w:eastAsia="宋体" w:cs="宋体"/>
                <w:b/>
                <w:bCs/>
                <w:i w:val="0"/>
                <w:iCs w:val="0"/>
                <w:color w:val="auto"/>
                <w:sz w:val="24"/>
                <w:szCs w:val="24"/>
                <w:highlight w:val="none"/>
                <w:lang w:val="en-US" w:eastAsia="zh-CN"/>
              </w:rPr>
              <w:t>保证金</w:t>
            </w:r>
            <w:r>
              <w:rPr>
                <w:rFonts w:hint="eastAsia" w:ascii="宋体" w:hAnsi="宋体" w:eastAsia="宋体" w:cs="宋体"/>
                <w:b/>
                <w:bCs/>
                <w:i w:val="0"/>
                <w:iCs w:val="0"/>
                <w:color w:val="auto"/>
                <w:sz w:val="24"/>
                <w:szCs w:val="24"/>
                <w:highlight w:val="none"/>
              </w:rPr>
              <w:t>形式缴纳磋商保证金的</w:t>
            </w:r>
            <w:r>
              <w:rPr>
                <w:rFonts w:hint="eastAsia" w:ascii="宋体" w:hAnsi="宋体" w:cs="宋体"/>
                <w:b/>
                <w:bCs/>
                <w:i w:val="0"/>
                <w:iCs w:val="0"/>
                <w:color w:val="auto"/>
                <w:sz w:val="24"/>
                <w:szCs w:val="24"/>
                <w:highlight w:val="none"/>
                <w:lang w:val="en-US" w:eastAsia="zh-CN"/>
              </w:rPr>
              <w:t>时请在汇款时注明“TC269H0CT磋商保证金”，对因未注明项目简称及汇款事由而造成保证金不能及时到账的，后果由供应商自负。</w:t>
            </w:r>
          </w:p>
        </w:tc>
      </w:tr>
      <w:tr w14:paraId="19DE42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850" w:hRule="atLeast"/>
        </w:trPr>
        <w:tc>
          <w:tcPr>
            <w:tcW w:w="917" w:type="dxa"/>
            <w:tcBorders>
              <w:top w:val="single" w:color="auto" w:sz="2" w:space="0"/>
              <w:left w:val="single" w:color="auto" w:sz="2" w:space="0"/>
              <w:bottom w:val="single" w:color="auto" w:sz="2" w:space="0"/>
              <w:right w:val="single" w:color="auto" w:sz="2" w:space="0"/>
            </w:tcBorders>
            <w:vAlign w:val="center"/>
          </w:tcPr>
          <w:p w14:paraId="1383A7EE">
            <w:pPr>
              <w:pStyle w:val="52"/>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22.1</w:t>
            </w:r>
          </w:p>
        </w:tc>
        <w:tc>
          <w:tcPr>
            <w:tcW w:w="1863" w:type="dxa"/>
            <w:tcBorders>
              <w:top w:val="single" w:color="auto" w:sz="2" w:space="0"/>
              <w:left w:val="single" w:color="auto" w:sz="2" w:space="0"/>
              <w:bottom w:val="single" w:color="auto" w:sz="2" w:space="0"/>
              <w:right w:val="single" w:color="auto" w:sz="2" w:space="0"/>
            </w:tcBorders>
            <w:vAlign w:val="center"/>
          </w:tcPr>
          <w:p w14:paraId="3B08425C">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实物样品</w:t>
            </w:r>
          </w:p>
        </w:tc>
        <w:tc>
          <w:tcPr>
            <w:tcW w:w="6099" w:type="dxa"/>
            <w:tcBorders>
              <w:top w:val="single" w:color="auto" w:sz="2" w:space="0"/>
              <w:left w:val="single" w:color="auto" w:sz="2" w:space="0"/>
              <w:bottom w:val="single" w:color="auto" w:sz="2" w:space="0"/>
              <w:right w:val="single" w:color="auto" w:sz="2" w:space="0"/>
            </w:tcBorders>
            <w:vAlign w:val="center"/>
          </w:tcPr>
          <w:p w14:paraId="69EB2AC9">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磋商样品递交： </w:t>
            </w:r>
          </w:p>
          <w:p w14:paraId="6BD3390F">
            <w:pPr>
              <w:pStyle w:val="52"/>
              <w:ind w:firstLine="240" w:firstLineChars="100"/>
              <w:rPr>
                <w:rFonts w:hint="eastAsia" w:ascii="宋体" w:hAnsi="宋体" w:eastAsia="宋体" w:cs="宋体"/>
                <w:i w:val="0"/>
                <w:iCs w:val="0"/>
                <w:color w:val="auto"/>
                <w:sz w:val="24"/>
                <w:szCs w:val="24"/>
                <w:highlight w:val="none"/>
              </w:rPr>
            </w:pPr>
            <w:r>
              <w:rPr>
                <w:rFonts w:hint="eastAsia"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lang w:val="en-US" w:eastAsia="zh-CN"/>
              </w:rPr>
              <w:t xml:space="preserve">不需要 </w:t>
            </w:r>
          </w:p>
          <w:p w14:paraId="2FFCC72F">
            <w:pPr>
              <w:pStyle w:val="52"/>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□需要，具体要求如下： </w:t>
            </w:r>
          </w:p>
          <w:p w14:paraId="048EFDBE">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1.样品制作的标准和要求：___</w:t>
            </w:r>
            <w:r>
              <w:rPr>
                <w:rFonts w:hint="eastAsia"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lang w:val="en-US" w:eastAsia="zh-CN"/>
              </w:rPr>
              <w:t xml:space="preserve">___； </w:t>
            </w:r>
          </w:p>
          <w:p w14:paraId="5D684CBF">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2.是否需要随样品提交相关检测报告： </w:t>
            </w:r>
          </w:p>
          <w:p w14:paraId="5C4E396A">
            <w:pPr>
              <w:pStyle w:val="52"/>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□不需要 </w:t>
            </w:r>
          </w:p>
          <w:p w14:paraId="1F429D88">
            <w:pPr>
              <w:pStyle w:val="52"/>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□需要 </w:t>
            </w:r>
          </w:p>
          <w:p w14:paraId="3D311747">
            <w:pPr>
              <w:pStyle w:val="52"/>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3.样品递交要求：</w:t>
            </w:r>
          </w:p>
          <w:p w14:paraId="74A4AF24">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递交时间：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w:t>
            </w:r>
          </w:p>
          <w:p w14:paraId="79CB21A7">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递交</w:t>
            </w:r>
            <w:r>
              <w:rPr>
                <w:rFonts w:hint="eastAsia" w:ascii="宋体" w:hAnsi="宋体" w:eastAsia="宋体" w:cs="宋体"/>
                <w:i w:val="0"/>
                <w:iCs w:val="0"/>
                <w:color w:val="auto"/>
                <w:sz w:val="24"/>
                <w:szCs w:val="24"/>
                <w:highlight w:val="none"/>
              </w:rPr>
              <w:t>地点：</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，逾期提供的样品将不予接受。</w:t>
            </w:r>
            <w:r>
              <w:rPr>
                <w:rFonts w:hint="eastAsia" w:ascii="宋体" w:hAnsi="宋体" w:eastAsia="宋体" w:cs="宋体"/>
                <w:i w:val="0"/>
                <w:iCs w:val="0"/>
                <w:color w:val="auto"/>
                <w:sz w:val="24"/>
                <w:szCs w:val="24"/>
                <w:highlight w:val="none"/>
                <w:lang w:val="en-US" w:eastAsia="zh-CN"/>
              </w:rPr>
              <w:t xml:space="preserve"> </w:t>
            </w:r>
          </w:p>
          <w:p w14:paraId="699566AD">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4.未中标人样品退还：</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lang w:val="en-US" w:eastAsia="zh-CN"/>
              </w:rPr>
              <w:t xml:space="preserve">； </w:t>
            </w:r>
          </w:p>
          <w:p w14:paraId="116B4E88">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5.中标人样品保管、封存及退还：</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lang w:val="en-US" w:eastAsia="zh-CN"/>
              </w:rPr>
              <w:t xml:space="preserve">； </w:t>
            </w:r>
          </w:p>
          <w:p w14:paraId="6CE4A4B4">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6.其他要求（如有）：</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lang w:val="en-US" w:eastAsia="zh-CN"/>
              </w:rPr>
              <w:t>。</w:t>
            </w:r>
          </w:p>
        </w:tc>
      </w:tr>
      <w:tr w14:paraId="341F96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84" w:hRule="atLeast"/>
        </w:trPr>
        <w:tc>
          <w:tcPr>
            <w:tcW w:w="917" w:type="dxa"/>
            <w:tcBorders>
              <w:top w:val="single" w:color="auto" w:sz="2" w:space="0"/>
              <w:left w:val="single" w:color="auto" w:sz="2" w:space="0"/>
              <w:bottom w:val="single" w:color="auto" w:sz="2" w:space="0"/>
              <w:right w:val="single" w:color="auto" w:sz="2" w:space="0"/>
            </w:tcBorders>
            <w:vAlign w:val="center"/>
          </w:tcPr>
          <w:p w14:paraId="13C9CC9A">
            <w:pPr>
              <w:pStyle w:val="52"/>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23.1</w:t>
            </w:r>
          </w:p>
        </w:tc>
        <w:tc>
          <w:tcPr>
            <w:tcW w:w="1863" w:type="dxa"/>
            <w:tcBorders>
              <w:top w:val="single" w:color="auto" w:sz="2" w:space="0"/>
              <w:left w:val="single" w:color="auto" w:sz="2" w:space="0"/>
              <w:bottom w:val="single" w:color="auto" w:sz="2" w:space="0"/>
              <w:right w:val="single" w:color="auto" w:sz="2" w:space="0"/>
            </w:tcBorders>
            <w:vAlign w:val="center"/>
          </w:tcPr>
          <w:p w14:paraId="56E0CC39">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演示</w:t>
            </w:r>
          </w:p>
        </w:tc>
        <w:tc>
          <w:tcPr>
            <w:tcW w:w="6099" w:type="dxa"/>
            <w:tcBorders>
              <w:top w:val="single" w:color="auto" w:sz="2" w:space="0"/>
              <w:left w:val="single" w:color="auto" w:sz="2" w:space="0"/>
              <w:bottom w:val="single" w:color="auto" w:sz="2" w:space="0"/>
              <w:right w:val="single" w:color="auto" w:sz="2" w:space="0"/>
            </w:tcBorders>
            <w:vAlign w:val="center"/>
          </w:tcPr>
          <w:p w14:paraId="147F19E8">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不进行</w:t>
            </w:r>
          </w:p>
          <w:p w14:paraId="0C97445D">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进行，远程线上演示/现场演示</w:t>
            </w:r>
          </w:p>
          <w:p w14:paraId="084BE724">
            <w:pPr>
              <w:pStyle w:val="52"/>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1.演示时间不得超过</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分钟。</w:t>
            </w:r>
          </w:p>
          <w:p w14:paraId="7FE9DEBF">
            <w:pPr>
              <w:pStyle w:val="52"/>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2.进行远程线上演示的，供应商应提前自行准备好演示的软硬配置环境和网络环境，做好演示的各项准备工作。因供应商自身原因无法演示或者演示效果不理想的，导致的后果由供应商自行承担。</w:t>
            </w:r>
          </w:p>
          <w:p w14:paraId="1D6B7DCF">
            <w:pPr>
              <w:pStyle w:val="52"/>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3.进行现场演示的，演示人员不得超过</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rPr>
              <w:t>人，演示现场提供</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tc>
      </w:tr>
      <w:tr w14:paraId="152F65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73" w:hRule="atLeast"/>
        </w:trPr>
        <w:tc>
          <w:tcPr>
            <w:tcW w:w="917" w:type="dxa"/>
            <w:tcBorders>
              <w:top w:val="single" w:color="auto" w:sz="2" w:space="0"/>
              <w:left w:val="single" w:color="auto" w:sz="2" w:space="0"/>
              <w:bottom w:val="single" w:color="auto" w:sz="2" w:space="0"/>
              <w:right w:val="single" w:color="auto" w:sz="2" w:space="0"/>
            </w:tcBorders>
            <w:vAlign w:val="center"/>
          </w:tcPr>
          <w:p w14:paraId="61A0C2E9">
            <w:pPr>
              <w:pStyle w:val="52"/>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25.2</w:t>
            </w:r>
          </w:p>
        </w:tc>
        <w:tc>
          <w:tcPr>
            <w:tcW w:w="1863" w:type="dxa"/>
            <w:tcBorders>
              <w:top w:val="single" w:color="auto" w:sz="2" w:space="0"/>
              <w:left w:val="single" w:color="auto" w:sz="2" w:space="0"/>
              <w:bottom w:val="single" w:color="auto" w:sz="2" w:space="0"/>
              <w:right w:val="single" w:color="auto" w:sz="2" w:space="0"/>
            </w:tcBorders>
            <w:vAlign w:val="center"/>
          </w:tcPr>
          <w:p w14:paraId="4C98E43D">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解密响应文件的时限</w:t>
            </w:r>
          </w:p>
        </w:tc>
        <w:tc>
          <w:tcPr>
            <w:tcW w:w="6099" w:type="dxa"/>
            <w:tcBorders>
              <w:top w:val="single" w:color="auto" w:sz="2" w:space="0"/>
              <w:left w:val="single" w:color="auto" w:sz="2" w:space="0"/>
              <w:bottom w:val="single" w:color="auto" w:sz="2" w:space="0"/>
              <w:right w:val="single" w:color="auto" w:sz="2" w:space="0"/>
            </w:tcBorders>
            <w:vAlign w:val="center"/>
          </w:tcPr>
          <w:p w14:paraId="1A0C25CD">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不见面开标默认解密时长：</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30</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分钟</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 xml:space="preserve"> </w:t>
            </w:r>
          </w:p>
          <w:p w14:paraId="144F1202">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eastAsia="zh-CN"/>
              </w:rPr>
              <w:t>注：</w:t>
            </w:r>
            <w:r>
              <w:rPr>
                <w:rFonts w:hint="eastAsia" w:ascii="宋体" w:hAnsi="宋体" w:eastAsia="宋体" w:cs="宋体"/>
                <w:i w:val="0"/>
                <w:iCs w:val="0"/>
                <w:color w:val="auto"/>
                <w:sz w:val="24"/>
                <w:szCs w:val="24"/>
                <w:highlight w:val="none"/>
              </w:rPr>
              <w:t>除因交易平台发生故障导致响应文件无法按时解密外，响应文件未按时解密的，视为未按规定提交响应文件</w:t>
            </w:r>
            <w:r>
              <w:rPr>
                <w:rFonts w:hint="eastAsia" w:ascii="宋体" w:hAnsi="宋体" w:eastAsia="宋体" w:cs="宋体"/>
                <w:i w:val="0"/>
                <w:iCs w:val="0"/>
                <w:color w:val="auto"/>
                <w:sz w:val="24"/>
                <w:szCs w:val="24"/>
                <w:highlight w:val="none"/>
                <w:lang w:eastAsia="zh-CN"/>
              </w:rPr>
              <w:t>，响应无效。</w:t>
            </w:r>
          </w:p>
        </w:tc>
      </w:tr>
      <w:tr w14:paraId="6D9887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75" w:hRule="atLeast"/>
        </w:trPr>
        <w:tc>
          <w:tcPr>
            <w:tcW w:w="917" w:type="dxa"/>
            <w:tcBorders>
              <w:top w:val="single" w:color="auto" w:sz="2" w:space="0"/>
              <w:left w:val="single" w:color="auto" w:sz="2" w:space="0"/>
              <w:bottom w:val="single" w:color="auto" w:sz="2" w:space="0"/>
              <w:right w:val="single" w:color="auto" w:sz="2" w:space="0"/>
            </w:tcBorders>
            <w:vAlign w:val="center"/>
          </w:tcPr>
          <w:p w14:paraId="60585FF6">
            <w:pPr>
              <w:pStyle w:val="52"/>
              <w:jc w:val="center"/>
              <w:rPr>
                <w:rFonts w:hint="eastAsia" w:ascii="宋体" w:hAnsi="宋体" w:eastAsia="宋体" w:cs="宋体"/>
                <w:i w:val="0"/>
                <w:iCs w:val="0"/>
                <w:color w:val="auto"/>
                <w:sz w:val="24"/>
                <w:szCs w:val="24"/>
                <w:highlight w:val="none"/>
                <w:lang w:val="en-US" w:eastAsia="zh-CN"/>
              </w:rPr>
            </w:pPr>
            <w:r>
              <w:rPr>
                <w:rFonts w:hint="eastAsia" w:cs="宋体"/>
                <w:color w:val="auto"/>
                <w:sz w:val="24"/>
                <w:szCs w:val="24"/>
                <w:highlight w:val="none"/>
                <w:lang w:val="en-US" w:eastAsia="zh-CN"/>
              </w:rPr>
              <w:t>29.1</w:t>
            </w:r>
          </w:p>
        </w:tc>
        <w:tc>
          <w:tcPr>
            <w:tcW w:w="1863" w:type="dxa"/>
            <w:tcBorders>
              <w:top w:val="single" w:color="auto" w:sz="2" w:space="0"/>
              <w:left w:val="single" w:color="auto" w:sz="2" w:space="0"/>
              <w:bottom w:val="single" w:color="auto" w:sz="2" w:space="0"/>
              <w:right w:val="single" w:color="auto" w:sz="2" w:space="0"/>
            </w:tcBorders>
            <w:vAlign w:val="center"/>
          </w:tcPr>
          <w:p w14:paraId="3C9FB6DE">
            <w:pPr>
              <w:pStyle w:val="52"/>
              <w:rPr>
                <w:rFonts w:hint="eastAsia" w:ascii="宋体" w:hAnsi="宋体" w:eastAsia="宋体" w:cs="宋体"/>
                <w:i w:val="0"/>
                <w:iCs w:val="0"/>
                <w:color w:val="auto"/>
                <w:sz w:val="24"/>
                <w:szCs w:val="24"/>
                <w:highlight w:val="none"/>
                <w:lang w:val="en-US" w:eastAsia="zh-CN"/>
              </w:rPr>
            </w:pPr>
            <w:r>
              <w:rPr>
                <w:rFonts w:hint="eastAsia" w:cs="宋体"/>
                <w:color w:val="auto"/>
                <w:sz w:val="24"/>
                <w:szCs w:val="24"/>
                <w:highlight w:val="none"/>
                <w:lang w:val="en-US" w:eastAsia="zh-CN"/>
              </w:rPr>
              <w:t>磋商轮次及磋商顺序</w:t>
            </w:r>
          </w:p>
        </w:tc>
        <w:tc>
          <w:tcPr>
            <w:tcW w:w="6099" w:type="dxa"/>
            <w:tcBorders>
              <w:top w:val="single" w:color="auto" w:sz="2" w:space="0"/>
              <w:left w:val="single" w:color="auto" w:sz="2" w:space="0"/>
              <w:bottom w:val="single" w:color="auto" w:sz="2" w:space="0"/>
              <w:right w:val="single" w:color="auto" w:sz="2" w:space="0"/>
            </w:tcBorders>
            <w:vAlign w:val="center"/>
          </w:tcPr>
          <w:p w14:paraId="6257B37B">
            <w:pPr>
              <w:pStyle w:val="52"/>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磋商轮次：</w:t>
            </w:r>
          </w:p>
          <w:p w14:paraId="6F59F110">
            <w:pPr>
              <w:pStyle w:val="52"/>
              <w:ind w:firstLine="240" w:firstLineChars="100"/>
              <w:rPr>
                <w:rFonts w:hint="eastAsia"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A8"/>
            </w:r>
            <w:r>
              <w:rPr>
                <w:rFonts w:hint="eastAsia" w:cs="宋体"/>
                <w:color w:val="auto"/>
                <w:sz w:val="24"/>
                <w:szCs w:val="24"/>
                <w:highlight w:val="none"/>
                <w:lang w:val="en-US" w:eastAsia="zh-CN"/>
              </w:rPr>
              <w:t>本项目共进行</w:t>
            </w:r>
            <w:r>
              <w:rPr>
                <w:rFonts w:hint="eastAsia" w:cs="宋体"/>
                <w:color w:val="auto"/>
                <w:sz w:val="24"/>
                <w:szCs w:val="24"/>
                <w:highlight w:val="none"/>
                <w:u w:val="single"/>
                <w:lang w:val="en-US" w:eastAsia="zh-CN"/>
              </w:rPr>
              <w:t xml:space="preserve">        </w:t>
            </w:r>
            <w:r>
              <w:rPr>
                <w:rFonts w:hint="eastAsia" w:cs="宋体"/>
                <w:color w:val="auto"/>
                <w:sz w:val="24"/>
                <w:szCs w:val="24"/>
                <w:highlight w:val="none"/>
                <w:lang w:val="en-US" w:eastAsia="zh-CN"/>
              </w:rPr>
              <w:t>轮磋商（不含最后报价）。</w:t>
            </w:r>
          </w:p>
          <w:p w14:paraId="542CAC97">
            <w:pPr>
              <w:pStyle w:val="52"/>
              <w:ind w:firstLine="240" w:firstLineChars="100"/>
              <w:rPr>
                <w:rFonts w:hint="eastAsia"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lang w:eastAsia="zh-CN"/>
              </w:rPr>
              <w:t>本项目不事先确定</w:t>
            </w:r>
            <w:r>
              <w:rPr>
                <w:rFonts w:hint="eastAsia"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轮次，</w:t>
            </w:r>
            <w:r>
              <w:rPr>
                <w:rFonts w:hint="eastAsia"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小组根据</w:t>
            </w:r>
            <w:r>
              <w:rPr>
                <w:rFonts w:hint="eastAsia"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情况确定，并在最后一轮</w:t>
            </w:r>
            <w:r>
              <w:rPr>
                <w:rFonts w:hint="eastAsia"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前告知供应商</w:t>
            </w:r>
            <w:r>
              <w:rPr>
                <w:rFonts w:hint="eastAsia" w:cs="宋体"/>
                <w:color w:val="auto"/>
                <w:sz w:val="24"/>
                <w:szCs w:val="24"/>
                <w:highlight w:val="none"/>
                <w:lang w:eastAsia="zh-CN"/>
              </w:rPr>
              <w:t>。</w:t>
            </w:r>
          </w:p>
          <w:p w14:paraId="4E4882A6">
            <w:pPr>
              <w:pStyle w:val="52"/>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cs="宋体"/>
                <w:i w:val="0"/>
                <w:iCs w:val="0"/>
                <w:color w:val="auto"/>
                <w:sz w:val="24"/>
                <w:szCs w:val="24"/>
                <w:highlight w:val="none"/>
                <w:lang w:val="en-US" w:eastAsia="zh-CN"/>
              </w:rPr>
            </w:pPr>
            <w:r>
              <w:rPr>
                <w:rFonts w:hint="eastAsia" w:cs="宋体"/>
                <w:color w:val="auto"/>
                <w:sz w:val="24"/>
                <w:szCs w:val="24"/>
                <w:highlight w:val="none"/>
                <w:lang w:val="en-US" w:eastAsia="zh-CN"/>
              </w:rPr>
              <w:t>磋商顺序：</w:t>
            </w:r>
            <w:r>
              <w:rPr>
                <w:rFonts w:hint="eastAsia" w:cs="宋体"/>
                <w:color w:val="auto"/>
                <w:sz w:val="24"/>
                <w:szCs w:val="24"/>
                <w:highlight w:val="none"/>
                <w:u w:val="single"/>
                <w:lang w:val="en-US" w:eastAsia="zh-CN"/>
              </w:rPr>
              <w:t xml:space="preserve">  按照评审顺序 </w:t>
            </w:r>
            <w:r>
              <w:rPr>
                <w:rFonts w:hint="eastAsia" w:cs="宋体"/>
                <w:color w:val="auto"/>
                <w:sz w:val="24"/>
                <w:szCs w:val="24"/>
                <w:highlight w:val="none"/>
                <w:u w:val="none"/>
                <w:lang w:val="en-US" w:eastAsia="zh-CN"/>
              </w:rPr>
              <w:t>。</w:t>
            </w:r>
          </w:p>
        </w:tc>
      </w:tr>
      <w:tr w14:paraId="5763F3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75" w:hRule="atLeast"/>
        </w:trPr>
        <w:tc>
          <w:tcPr>
            <w:tcW w:w="917" w:type="dxa"/>
            <w:tcBorders>
              <w:top w:val="single" w:color="auto" w:sz="2" w:space="0"/>
              <w:left w:val="single" w:color="auto" w:sz="2" w:space="0"/>
              <w:bottom w:val="single" w:color="auto" w:sz="2" w:space="0"/>
              <w:right w:val="single" w:color="auto" w:sz="2" w:space="0"/>
            </w:tcBorders>
            <w:vAlign w:val="center"/>
          </w:tcPr>
          <w:p w14:paraId="684B2B10">
            <w:pPr>
              <w:pStyle w:val="52"/>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29.2</w:t>
            </w:r>
          </w:p>
        </w:tc>
        <w:tc>
          <w:tcPr>
            <w:tcW w:w="1863" w:type="dxa"/>
            <w:tcBorders>
              <w:top w:val="single" w:color="auto" w:sz="2" w:space="0"/>
              <w:left w:val="single" w:color="auto" w:sz="2" w:space="0"/>
              <w:bottom w:val="single" w:color="auto" w:sz="2" w:space="0"/>
              <w:right w:val="single" w:color="auto" w:sz="2" w:space="0"/>
            </w:tcBorders>
            <w:vAlign w:val="center"/>
          </w:tcPr>
          <w:p w14:paraId="2920E41E">
            <w:pPr>
              <w:pStyle w:val="52"/>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推荐成交候选供应商</w:t>
            </w:r>
          </w:p>
        </w:tc>
        <w:tc>
          <w:tcPr>
            <w:tcW w:w="6099" w:type="dxa"/>
            <w:tcBorders>
              <w:top w:val="single" w:color="auto" w:sz="2" w:space="0"/>
              <w:left w:val="single" w:color="auto" w:sz="2" w:space="0"/>
              <w:bottom w:val="single" w:color="auto" w:sz="2" w:space="0"/>
              <w:right w:val="single" w:color="auto" w:sz="2" w:space="0"/>
            </w:tcBorders>
            <w:vAlign w:val="center"/>
          </w:tcPr>
          <w:p w14:paraId="41A88E39">
            <w:pPr>
              <w:pStyle w:val="52"/>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lang w:val="en-US" w:eastAsia="zh-CN"/>
              </w:rPr>
              <w:t>成交候选供应商数量</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3</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none"/>
                <w:lang w:val="en-US" w:eastAsia="zh-CN"/>
              </w:rPr>
              <w:t>家</w:t>
            </w:r>
          </w:p>
        </w:tc>
      </w:tr>
      <w:tr w14:paraId="77CB39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52" w:hRule="atLeast"/>
        </w:trPr>
        <w:tc>
          <w:tcPr>
            <w:tcW w:w="917" w:type="dxa"/>
            <w:tcBorders>
              <w:top w:val="single" w:color="auto" w:sz="2" w:space="0"/>
              <w:left w:val="single" w:color="auto" w:sz="2" w:space="0"/>
              <w:bottom w:val="single" w:color="auto" w:sz="2" w:space="0"/>
              <w:right w:val="single" w:color="auto" w:sz="2" w:space="0"/>
            </w:tcBorders>
            <w:vAlign w:val="center"/>
          </w:tcPr>
          <w:p w14:paraId="4F185861">
            <w:pPr>
              <w:pStyle w:val="52"/>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30</w:t>
            </w:r>
            <w:r>
              <w:rPr>
                <w:rFonts w:hint="eastAsia" w:ascii="宋体" w:hAnsi="宋体" w:eastAsia="宋体" w:cs="宋体"/>
                <w:i w:val="0"/>
                <w:iCs w:val="0"/>
                <w:color w:val="auto"/>
                <w:sz w:val="24"/>
                <w:szCs w:val="24"/>
                <w:highlight w:val="none"/>
              </w:rPr>
              <w:t>.1</w:t>
            </w:r>
          </w:p>
        </w:tc>
        <w:tc>
          <w:tcPr>
            <w:tcW w:w="1863" w:type="dxa"/>
            <w:tcBorders>
              <w:top w:val="single" w:color="auto" w:sz="2" w:space="0"/>
              <w:left w:val="single" w:color="auto" w:sz="2" w:space="0"/>
              <w:bottom w:val="single" w:color="auto" w:sz="2" w:space="0"/>
              <w:right w:val="single" w:color="auto" w:sz="2" w:space="0"/>
            </w:tcBorders>
            <w:vAlign w:val="center"/>
          </w:tcPr>
          <w:p w14:paraId="0518D756">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确定成交供应商</w:t>
            </w:r>
          </w:p>
        </w:tc>
        <w:tc>
          <w:tcPr>
            <w:tcW w:w="6099" w:type="dxa"/>
            <w:tcBorders>
              <w:top w:val="single" w:color="auto" w:sz="2" w:space="0"/>
              <w:left w:val="single" w:color="auto" w:sz="2" w:space="0"/>
              <w:bottom w:val="single" w:color="auto" w:sz="2" w:space="0"/>
              <w:right w:val="single" w:color="auto" w:sz="2" w:space="0"/>
            </w:tcBorders>
            <w:vAlign w:val="center"/>
          </w:tcPr>
          <w:p w14:paraId="5580D35B">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采购人</w:t>
            </w:r>
            <w:r>
              <w:rPr>
                <w:rFonts w:hint="eastAsia" w:ascii="宋体" w:hAnsi="宋体" w:eastAsia="宋体" w:cs="宋体"/>
                <w:i w:val="0"/>
                <w:iCs w:val="0"/>
                <w:color w:val="auto"/>
                <w:sz w:val="24"/>
                <w:szCs w:val="24"/>
                <w:highlight w:val="none"/>
                <w:lang w:eastAsia="zh-CN"/>
              </w:rPr>
              <w:t>在</w:t>
            </w:r>
            <w:r>
              <w:rPr>
                <w:rFonts w:hint="eastAsia" w:ascii="宋体" w:hAnsi="宋体" w:eastAsia="宋体" w:cs="宋体"/>
                <w:i w:val="0"/>
                <w:iCs w:val="0"/>
                <w:color w:val="auto"/>
                <w:sz w:val="24"/>
                <w:szCs w:val="24"/>
                <w:highlight w:val="none"/>
              </w:rPr>
              <w:t>收到评审报告后5个工作日内，按评审报告中推荐的成交候选人排序确定成交供应商。</w:t>
            </w:r>
          </w:p>
          <w:p w14:paraId="3E93D7EE">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采购人委托磋商小组直接确定成交供应商。</w:t>
            </w:r>
          </w:p>
        </w:tc>
      </w:tr>
      <w:tr w14:paraId="6B8324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253" w:hRule="atLeast"/>
        </w:trPr>
        <w:tc>
          <w:tcPr>
            <w:tcW w:w="917" w:type="dxa"/>
            <w:tcBorders>
              <w:top w:val="single" w:color="auto" w:sz="2" w:space="0"/>
              <w:left w:val="single" w:color="auto" w:sz="2" w:space="0"/>
              <w:bottom w:val="single" w:color="auto" w:sz="2" w:space="0"/>
              <w:right w:val="single" w:color="auto" w:sz="2" w:space="0"/>
            </w:tcBorders>
            <w:vAlign w:val="center"/>
          </w:tcPr>
          <w:p w14:paraId="38E4BDDE">
            <w:pPr>
              <w:pStyle w:val="52"/>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.1</w:t>
            </w:r>
          </w:p>
        </w:tc>
        <w:tc>
          <w:tcPr>
            <w:tcW w:w="1863" w:type="dxa"/>
            <w:tcBorders>
              <w:top w:val="single" w:color="auto" w:sz="2" w:space="0"/>
              <w:left w:val="single" w:color="auto" w:sz="2" w:space="0"/>
              <w:bottom w:val="single" w:color="auto" w:sz="2" w:space="0"/>
              <w:right w:val="single" w:color="auto" w:sz="2" w:space="0"/>
            </w:tcBorders>
            <w:vAlign w:val="center"/>
          </w:tcPr>
          <w:p w14:paraId="0F0DD9B7">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履约保证金</w:t>
            </w:r>
          </w:p>
        </w:tc>
        <w:tc>
          <w:tcPr>
            <w:tcW w:w="6099" w:type="dxa"/>
            <w:tcBorders>
              <w:top w:val="single" w:color="auto" w:sz="2" w:space="0"/>
              <w:left w:val="single" w:color="auto" w:sz="2" w:space="0"/>
              <w:bottom w:val="single" w:color="auto" w:sz="2" w:space="0"/>
              <w:right w:val="single" w:color="auto" w:sz="2" w:space="0"/>
            </w:tcBorders>
            <w:vAlign w:val="center"/>
          </w:tcPr>
          <w:p w14:paraId="51ACC261">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金额：</w:t>
            </w:r>
          </w:p>
          <w:p w14:paraId="55234012">
            <w:pPr>
              <w:pStyle w:val="52"/>
              <w:ind w:firstLine="240" w:firstLineChars="100"/>
              <w:rPr>
                <w:rFonts w:hint="eastAsia" w:ascii="宋体" w:hAnsi="宋体" w:eastAsia="宋体" w:cs="宋体"/>
                <w:i w:val="0"/>
                <w:iCs w:val="0"/>
                <w:color w:val="auto"/>
                <w:sz w:val="24"/>
                <w:szCs w:val="24"/>
                <w:highlight w:val="none"/>
              </w:rPr>
            </w:pPr>
            <w:r>
              <w:rPr>
                <w:rFonts w:hint="eastAsia"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免收</w:t>
            </w:r>
          </w:p>
          <w:p w14:paraId="7820491F">
            <w:pPr>
              <w:pStyle w:val="52"/>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□合同价的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rPr>
              <w:t xml:space="preserve">  %</w:t>
            </w:r>
          </w:p>
          <w:p w14:paraId="7DC8E28B">
            <w:pPr>
              <w:pStyle w:val="52"/>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□定额收取：</w:t>
            </w:r>
            <w:r>
              <w:rPr>
                <w:rFonts w:hint="eastAsia" w:ascii="宋体" w:hAnsi="宋体" w:eastAsia="宋体" w:cs="宋体"/>
                <w:i w:val="0"/>
                <w:iCs w:val="0"/>
                <w:color w:val="auto"/>
                <w:sz w:val="24"/>
                <w:szCs w:val="24"/>
                <w:highlight w:val="none"/>
                <w:u w:val="single"/>
              </w:rPr>
              <w:t xml:space="preserve">人民币   </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元</w:t>
            </w:r>
          </w:p>
          <w:p w14:paraId="5D2FE23B">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支付方式：</w:t>
            </w:r>
          </w:p>
          <w:p w14:paraId="355E9C6D">
            <w:pPr>
              <w:pStyle w:val="62"/>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供应商可自主选择以支票、汇票、本票、电汇、转账、网银、保函等非现金形式缴纳或提交保证金。</w:t>
            </w:r>
          </w:p>
          <w:p w14:paraId="6F737700">
            <w:pPr>
              <w:pStyle w:val="52"/>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3.</w:t>
            </w:r>
            <w:r>
              <w:rPr>
                <w:rFonts w:hint="eastAsia" w:ascii="宋体" w:hAnsi="宋体" w:eastAsia="宋体" w:cs="宋体"/>
                <w:i w:val="0"/>
                <w:iCs w:val="0"/>
                <w:color w:val="auto"/>
                <w:sz w:val="24"/>
                <w:szCs w:val="24"/>
                <w:highlight w:val="none"/>
                <w:u w:val="none"/>
              </w:rPr>
              <w:t>收取单位：</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none"/>
              </w:rPr>
              <w:t xml:space="preserve">                           </w:t>
            </w:r>
          </w:p>
          <w:p w14:paraId="44839345">
            <w:pPr>
              <w:pStyle w:val="52"/>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sz w:val="24"/>
                <w:szCs w:val="24"/>
                <w:highlight w:val="none"/>
                <w:u w:val="none"/>
                <w:lang w:val="en-US" w:eastAsia="zh-CN"/>
              </w:rPr>
              <w:t>4.收取账号：</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none"/>
              </w:rPr>
              <w:t xml:space="preserve">             </w:t>
            </w:r>
          </w:p>
          <w:p w14:paraId="22BA0EB4">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u w:val="none"/>
                <w:lang w:val="en-US" w:eastAsia="zh-CN"/>
              </w:rPr>
              <w:t>5.</w:t>
            </w:r>
            <w:r>
              <w:rPr>
                <w:rFonts w:hint="eastAsia" w:ascii="宋体" w:hAnsi="宋体" w:eastAsia="宋体" w:cs="宋体"/>
                <w:i w:val="0"/>
                <w:iCs w:val="0"/>
                <w:color w:val="auto"/>
                <w:sz w:val="24"/>
                <w:szCs w:val="24"/>
                <w:highlight w:val="none"/>
                <w:u w:val="none"/>
              </w:rPr>
              <w:t>退还时间：</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none"/>
              </w:rPr>
              <w:t xml:space="preserve"> </w:t>
            </w:r>
            <w:r>
              <w:rPr>
                <w:rFonts w:hint="eastAsia" w:ascii="宋体" w:hAnsi="宋体" w:eastAsia="宋体" w:cs="宋体"/>
                <w:i w:val="0"/>
                <w:iCs w:val="0"/>
                <w:color w:val="auto"/>
                <w:sz w:val="24"/>
                <w:szCs w:val="24"/>
                <w:highlight w:val="none"/>
              </w:rPr>
              <w:t xml:space="preserve">           </w:t>
            </w:r>
          </w:p>
          <w:p w14:paraId="2271B19C">
            <w:pPr>
              <w:pStyle w:val="5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注意事项：</w:t>
            </w:r>
          </w:p>
          <w:p w14:paraId="0B147DFC">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以上各类机构出具的以担保函、保证保险承担责任的方式均须满足无条件见索即付条件。</w:t>
            </w:r>
          </w:p>
          <w:p w14:paraId="73EF0EDD">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以担保函、保证保险形式缴纳履约保证金的，受益人和收取单位须为采购人。</w:t>
            </w:r>
          </w:p>
        </w:tc>
      </w:tr>
      <w:tr w14:paraId="23BB8AB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402" w:hRule="atLeast"/>
        </w:trPr>
        <w:tc>
          <w:tcPr>
            <w:tcW w:w="917" w:type="dxa"/>
            <w:tcBorders>
              <w:top w:val="single" w:color="auto" w:sz="2" w:space="0"/>
              <w:left w:val="single" w:color="auto" w:sz="2" w:space="0"/>
              <w:bottom w:val="single" w:color="auto" w:sz="2" w:space="0"/>
              <w:right w:val="single" w:color="auto" w:sz="2" w:space="0"/>
            </w:tcBorders>
            <w:vAlign w:val="center"/>
          </w:tcPr>
          <w:p w14:paraId="495081B1">
            <w:pPr>
              <w:pStyle w:val="52"/>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34.5</w:t>
            </w:r>
          </w:p>
        </w:tc>
        <w:tc>
          <w:tcPr>
            <w:tcW w:w="1863" w:type="dxa"/>
            <w:tcBorders>
              <w:top w:val="single" w:color="auto" w:sz="2" w:space="0"/>
              <w:left w:val="single" w:color="auto" w:sz="2" w:space="0"/>
              <w:bottom w:val="single" w:color="auto" w:sz="2" w:space="0"/>
              <w:right w:val="single" w:color="auto" w:sz="2" w:space="0"/>
            </w:tcBorders>
            <w:vAlign w:val="center"/>
          </w:tcPr>
          <w:p w14:paraId="30F723EB">
            <w:pPr>
              <w:pStyle w:val="52"/>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合同分包</w:t>
            </w:r>
          </w:p>
        </w:tc>
        <w:tc>
          <w:tcPr>
            <w:tcW w:w="6099" w:type="dxa"/>
            <w:tcBorders>
              <w:top w:val="single" w:color="auto" w:sz="2" w:space="0"/>
              <w:left w:val="single" w:color="auto" w:sz="2" w:space="0"/>
              <w:bottom w:val="single" w:color="auto" w:sz="2" w:space="0"/>
              <w:right w:val="single" w:color="auto" w:sz="2" w:space="0"/>
            </w:tcBorders>
            <w:vAlign w:val="center"/>
          </w:tcPr>
          <w:p w14:paraId="0CE07F78">
            <w:pPr>
              <w:pStyle w:val="52"/>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本项目的非主体、非关键性工作是否允许分包： </w:t>
            </w:r>
          </w:p>
          <w:p w14:paraId="73B2E908">
            <w:pPr>
              <w:pStyle w:val="52"/>
              <w:ind w:firstLine="480" w:firstLineChars="200"/>
              <w:rPr>
                <w:rFonts w:hint="eastAsia" w:ascii="宋体" w:hAnsi="宋体" w:eastAsia="宋体" w:cs="宋体"/>
                <w:i w:val="0"/>
                <w:iCs w:val="0"/>
                <w:color w:val="auto"/>
                <w:kern w:val="2"/>
                <w:sz w:val="24"/>
                <w:szCs w:val="24"/>
                <w:highlight w:val="none"/>
                <w:lang w:val="en-US" w:eastAsia="zh-CN" w:bidi="ar-SA"/>
              </w:rPr>
            </w:pPr>
            <w:r>
              <w:rPr>
                <w:rFonts w:hint="eastAsia" w:cs="宋体"/>
                <w:i w:val="0"/>
                <w:iCs w:val="0"/>
                <w:color w:val="auto"/>
                <w:kern w:val="2"/>
                <w:sz w:val="24"/>
                <w:szCs w:val="24"/>
                <w:highlight w:val="none"/>
                <w:lang w:val="en-US" w:eastAsia="zh-CN" w:bidi="ar-SA"/>
              </w:rPr>
              <w:t>☑</w:t>
            </w:r>
            <w:r>
              <w:rPr>
                <w:rFonts w:hint="eastAsia" w:ascii="宋体" w:hAnsi="宋体" w:eastAsia="宋体" w:cs="宋体"/>
                <w:i w:val="0"/>
                <w:iCs w:val="0"/>
                <w:color w:val="auto"/>
                <w:kern w:val="2"/>
                <w:sz w:val="24"/>
                <w:szCs w:val="24"/>
                <w:highlight w:val="none"/>
                <w:lang w:val="en-US" w:eastAsia="zh-CN" w:bidi="ar-SA"/>
              </w:rPr>
              <w:t xml:space="preserve">不允许 </w:t>
            </w:r>
          </w:p>
          <w:p w14:paraId="53976273">
            <w:pPr>
              <w:pStyle w:val="52"/>
              <w:ind w:firstLine="480" w:firstLineChars="200"/>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□允许，具体要求： </w:t>
            </w:r>
          </w:p>
          <w:p w14:paraId="01D2C8DC">
            <w:pPr>
              <w:pStyle w:val="52"/>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     1.可以分包履行的具体内容：</w:t>
            </w:r>
            <w:r>
              <w:rPr>
                <w:rFonts w:hint="eastAsia" w:cs="宋体"/>
                <w:i w:val="0"/>
                <w:iCs w:val="0"/>
                <w:color w:val="auto"/>
                <w:kern w:val="2"/>
                <w:sz w:val="24"/>
                <w:szCs w:val="24"/>
                <w:highlight w:val="none"/>
                <w:u w:val="single"/>
                <w:lang w:val="en-US" w:eastAsia="zh-CN" w:bidi="ar-SA"/>
              </w:rPr>
              <w:t>/</w:t>
            </w:r>
            <w:r>
              <w:rPr>
                <w:rFonts w:hint="eastAsia" w:ascii="宋体" w:hAnsi="宋体" w:eastAsia="宋体" w:cs="宋体"/>
                <w:i w:val="0"/>
                <w:iCs w:val="0"/>
                <w:color w:val="auto"/>
                <w:kern w:val="2"/>
                <w:sz w:val="24"/>
                <w:szCs w:val="24"/>
                <w:highlight w:val="none"/>
                <w:lang w:val="en-US" w:eastAsia="zh-CN" w:bidi="ar-SA"/>
              </w:rPr>
              <w:t xml:space="preserve">； </w:t>
            </w:r>
          </w:p>
          <w:p w14:paraId="2FA9C79B">
            <w:pPr>
              <w:pStyle w:val="52"/>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     2.允许分包的金额或者比例：</w:t>
            </w:r>
            <w:r>
              <w:rPr>
                <w:rFonts w:hint="eastAsia" w:cs="宋体"/>
                <w:i w:val="0"/>
                <w:iCs w:val="0"/>
                <w:color w:val="auto"/>
                <w:kern w:val="2"/>
                <w:sz w:val="24"/>
                <w:szCs w:val="24"/>
                <w:highlight w:val="none"/>
                <w:u w:val="single"/>
                <w:lang w:val="en-US" w:eastAsia="zh-CN" w:bidi="ar-SA"/>
              </w:rPr>
              <w:t>/</w:t>
            </w:r>
            <w:r>
              <w:rPr>
                <w:rFonts w:hint="eastAsia" w:ascii="宋体" w:hAnsi="宋体" w:eastAsia="宋体" w:cs="宋体"/>
                <w:i w:val="0"/>
                <w:iCs w:val="0"/>
                <w:color w:val="auto"/>
                <w:kern w:val="2"/>
                <w:sz w:val="24"/>
                <w:szCs w:val="24"/>
                <w:highlight w:val="none"/>
                <w:lang w:val="en-US" w:eastAsia="zh-CN" w:bidi="ar-SA"/>
              </w:rPr>
              <w:t xml:space="preserve">； </w:t>
            </w:r>
          </w:p>
          <w:p w14:paraId="1116E03A">
            <w:pPr>
              <w:pStyle w:val="52"/>
              <w:ind w:firstLine="480" w:firstLineChars="200"/>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 3.其他要求：</w:t>
            </w:r>
            <w:r>
              <w:rPr>
                <w:rFonts w:hint="eastAsia" w:cs="宋体"/>
                <w:i w:val="0"/>
                <w:iCs w:val="0"/>
                <w:color w:val="auto"/>
                <w:kern w:val="2"/>
                <w:sz w:val="24"/>
                <w:szCs w:val="24"/>
                <w:highlight w:val="none"/>
                <w:u w:val="single"/>
                <w:lang w:val="en-US" w:eastAsia="zh-CN" w:bidi="ar-SA"/>
              </w:rPr>
              <w:t>/</w:t>
            </w:r>
            <w:r>
              <w:rPr>
                <w:rFonts w:hint="eastAsia" w:ascii="宋体" w:hAnsi="宋体" w:eastAsia="宋体" w:cs="宋体"/>
                <w:i w:val="0"/>
                <w:iCs w:val="0"/>
                <w:color w:val="auto"/>
                <w:kern w:val="2"/>
                <w:sz w:val="24"/>
                <w:szCs w:val="24"/>
                <w:highlight w:val="none"/>
                <w:lang w:val="en-US" w:eastAsia="zh-CN" w:bidi="ar-SA"/>
              </w:rPr>
              <w:t>。</w:t>
            </w:r>
          </w:p>
        </w:tc>
      </w:tr>
      <w:tr w14:paraId="43ACB7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135" w:hRule="atLeast"/>
        </w:trPr>
        <w:tc>
          <w:tcPr>
            <w:tcW w:w="917" w:type="dxa"/>
            <w:tcBorders>
              <w:top w:val="single" w:color="auto" w:sz="2" w:space="0"/>
              <w:left w:val="single" w:color="auto" w:sz="2" w:space="0"/>
              <w:bottom w:val="single" w:color="auto" w:sz="2" w:space="0"/>
              <w:right w:val="single" w:color="auto" w:sz="2" w:space="0"/>
            </w:tcBorders>
            <w:vAlign w:val="center"/>
          </w:tcPr>
          <w:p w14:paraId="46B3F581">
            <w:pPr>
              <w:pStyle w:val="52"/>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35.1</w:t>
            </w:r>
          </w:p>
        </w:tc>
        <w:tc>
          <w:tcPr>
            <w:tcW w:w="1863" w:type="dxa"/>
            <w:tcBorders>
              <w:top w:val="single" w:color="auto" w:sz="2" w:space="0"/>
              <w:left w:val="single" w:color="auto" w:sz="2" w:space="0"/>
              <w:bottom w:val="single" w:color="auto" w:sz="2" w:space="0"/>
              <w:right w:val="single" w:color="auto" w:sz="2" w:space="0"/>
            </w:tcBorders>
            <w:vAlign w:val="center"/>
          </w:tcPr>
          <w:p w14:paraId="350BB989">
            <w:pPr>
              <w:pStyle w:val="52"/>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质疑</w:t>
            </w:r>
          </w:p>
        </w:tc>
        <w:tc>
          <w:tcPr>
            <w:tcW w:w="6099" w:type="dxa"/>
            <w:tcBorders>
              <w:top w:val="single" w:color="auto" w:sz="2" w:space="0"/>
              <w:left w:val="single" w:color="auto" w:sz="2" w:space="0"/>
              <w:bottom w:val="single" w:color="auto" w:sz="2" w:space="0"/>
              <w:right w:val="single" w:color="auto" w:sz="2" w:space="0"/>
            </w:tcBorders>
            <w:vAlign w:val="center"/>
          </w:tcPr>
          <w:p w14:paraId="344E9B74">
            <w:pPr>
              <w:pStyle w:val="60"/>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递交方式：</w:t>
            </w:r>
            <w:r>
              <w:rPr>
                <w:rFonts w:hint="eastAsia" w:ascii="宋体" w:eastAsia="宋体" w:cs="宋体"/>
                <w:color w:val="auto"/>
                <w:sz w:val="24"/>
                <w:highlight w:val="none"/>
              </w:rPr>
              <w:t>纸质版盖章</w:t>
            </w:r>
            <w:r>
              <w:rPr>
                <w:rFonts w:hint="eastAsia" w:ascii="宋体" w:eastAsia="宋体" w:cs="宋体"/>
                <w:color w:val="auto"/>
                <w:sz w:val="24"/>
                <w:highlight w:val="none"/>
                <w:lang w:val="en-US" w:eastAsia="zh-CN"/>
              </w:rPr>
              <w:t>质疑</w:t>
            </w:r>
            <w:r>
              <w:rPr>
                <w:rFonts w:hint="eastAsia" w:ascii="宋体" w:eastAsia="宋体" w:cs="宋体"/>
                <w:color w:val="auto"/>
                <w:sz w:val="24"/>
                <w:highlight w:val="none"/>
              </w:rPr>
              <w:t>函</w:t>
            </w:r>
            <w:r>
              <w:rPr>
                <w:rFonts w:hint="eastAsia" w:ascii="宋体" w:eastAsia="宋体" w:cs="宋体"/>
                <w:color w:val="auto"/>
                <w:sz w:val="24"/>
                <w:highlight w:val="none"/>
                <w:lang w:val="en-US" w:eastAsia="zh-CN"/>
              </w:rPr>
              <w:t>原件</w:t>
            </w:r>
            <w:r>
              <w:rPr>
                <w:rFonts w:hint="eastAsia" w:ascii="宋体" w:eastAsia="宋体" w:cs="宋体"/>
                <w:color w:val="auto"/>
                <w:sz w:val="24"/>
                <w:highlight w:val="none"/>
              </w:rPr>
              <w:t>递交至采购代理公司</w:t>
            </w:r>
            <w:r>
              <w:rPr>
                <w:rFonts w:hint="eastAsia" w:ascii="宋体" w:hAnsi="宋体" w:eastAsia="宋体" w:cs="宋体"/>
                <w:i w:val="0"/>
                <w:iCs w:val="0"/>
                <w:color w:val="auto"/>
                <w:kern w:val="2"/>
                <w:sz w:val="24"/>
                <w:szCs w:val="24"/>
                <w:highlight w:val="none"/>
                <w:lang w:val="zh-CN" w:eastAsia="zh-CN" w:bidi="ar-SA"/>
              </w:rPr>
              <w:t xml:space="preserve">              </w:t>
            </w:r>
          </w:p>
          <w:p w14:paraId="3EAFDFD3">
            <w:pPr>
              <w:pStyle w:val="60"/>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接收部门：</w:t>
            </w:r>
            <w:r>
              <w:rPr>
                <w:rFonts w:hint="eastAsia" w:ascii="宋体" w:hAnsi="宋体" w:cs="宋体"/>
                <w:i w:val="0"/>
                <w:iCs w:val="0"/>
                <w:color w:val="auto"/>
                <w:sz w:val="24"/>
                <w:szCs w:val="24"/>
                <w:highlight w:val="none"/>
                <w:u w:val="single"/>
                <w:lang w:val="en-US" w:eastAsia="zh-CN"/>
              </w:rPr>
              <w:t>中招国际招标有限公司</w:t>
            </w:r>
            <w:r>
              <w:rPr>
                <w:rFonts w:hint="eastAsia" w:ascii="宋体" w:hAnsi="宋体" w:eastAsia="宋体" w:cs="宋体"/>
                <w:i w:val="0"/>
                <w:iCs w:val="0"/>
                <w:color w:val="auto"/>
                <w:kern w:val="2"/>
                <w:sz w:val="24"/>
                <w:szCs w:val="24"/>
                <w:highlight w:val="none"/>
                <w:lang w:val="zh-CN" w:eastAsia="zh-CN" w:bidi="ar-SA"/>
              </w:rPr>
              <w:t xml:space="preserve">              </w:t>
            </w:r>
          </w:p>
          <w:p w14:paraId="2680A9E0">
            <w:pPr>
              <w:pStyle w:val="60"/>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联系电话：</w:t>
            </w:r>
            <w:r>
              <w:rPr>
                <w:rFonts w:hint="eastAsia" w:ascii="宋体" w:hAnsi="宋体" w:cs="宋体"/>
                <w:i w:val="0"/>
                <w:iCs w:val="0"/>
                <w:color w:val="auto"/>
                <w:kern w:val="2"/>
                <w:sz w:val="24"/>
                <w:szCs w:val="24"/>
                <w:highlight w:val="none"/>
                <w:lang w:val="zh-CN" w:eastAsia="zh-CN" w:bidi="ar-SA"/>
              </w:rPr>
              <w:t>赵雄飞</w:t>
            </w:r>
            <w:r>
              <w:rPr>
                <w:rFonts w:hint="eastAsia" w:ascii="宋体" w:hAnsi="宋体" w:cs="宋体"/>
                <w:i w:val="0"/>
                <w:iCs w:val="0"/>
                <w:color w:val="auto"/>
                <w:kern w:val="2"/>
                <w:sz w:val="24"/>
                <w:szCs w:val="24"/>
                <w:highlight w:val="none"/>
                <w:lang w:val="en-US" w:eastAsia="zh-CN" w:bidi="ar-SA"/>
              </w:rPr>
              <w:t xml:space="preserve"> </w:t>
            </w:r>
            <w:r>
              <w:rPr>
                <w:rFonts w:hint="eastAsia" w:ascii="宋体" w:hAnsi="宋体" w:cs="宋体"/>
                <w:i w:val="0"/>
                <w:iCs w:val="0"/>
                <w:color w:val="auto"/>
                <w:kern w:val="2"/>
                <w:sz w:val="24"/>
                <w:szCs w:val="24"/>
                <w:highlight w:val="none"/>
                <w:lang w:val="zh-CN" w:eastAsia="zh-CN" w:bidi="ar-SA"/>
              </w:rPr>
              <w:t>13009678050</w:t>
            </w:r>
            <w:r>
              <w:rPr>
                <w:rFonts w:hint="eastAsia" w:ascii="宋体" w:hAnsi="宋体" w:eastAsia="宋体" w:cs="宋体"/>
                <w:i w:val="0"/>
                <w:iCs w:val="0"/>
                <w:color w:val="auto"/>
                <w:kern w:val="2"/>
                <w:sz w:val="24"/>
                <w:szCs w:val="24"/>
                <w:highlight w:val="none"/>
                <w:lang w:val="zh-CN" w:eastAsia="zh-CN" w:bidi="ar-SA"/>
              </w:rPr>
              <w:t>、</w:t>
            </w:r>
            <w:r>
              <w:rPr>
                <w:rFonts w:hint="eastAsia" w:ascii="宋体" w:hAnsi="宋体" w:cs="宋体"/>
                <w:i w:val="0"/>
                <w:iCs w:val="0"/>
                <w:color w:val="auto"/>
                <w:kern w:val="2"/>
                <w:sz w:val="24"/>
                <w:szCs w:val="24"/>
                <w:highlight w:val="none"/>
                <w:lang w:val="zh-CN" w:eastAsia="zh-CN" w:bidi="ar-SA"/>
              </w:rPr>
              <w:t>0991-2316185</w:t>
            </w:r>
            <w:r>
              <w:rPr>
                <w:rFonts w:hint="eastAsia" w:ascii="宋体" w:hAnsi="宋体" w:eastAsia="宋体" w:cs="宋体"/>
                <w:i w:val="0"/>
                <w:iCs w:val="0"/>
                <w:color w:val="auto"/>
                <w:kern w:val="2"/>
                <w:sz w:val="24"/>
                <w:szCs w:val="24"/>
                <w:highlight w:val="none"/>
                <w:lang w:val="zh-CN" w:eastAsia="zh-CN" w:bidi="ar-SA"/>
              </w:rPr>
              <w:t xml:space="preserve">              </w:t>
            </w:r>
          </w:p>
          <w:p w14:paraId="22CBB714">
            <w:pPr>
              <w:pStyle w:val="60"/>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auto"/>
                <w:kern w:val="2"/>
                <w:sz w:val="24"/>
                <w:szCs w:val="24"/>
                <w:highlight w:val="none"/>
                <w:lang w:val="zh-CN" w:eastAsia="zh-CN" w:bidi="ar-SA"/>
              </w:rPr>
              <w:t>通讯地址：</w:t>
            </w:r>
            <w:r>
              <w:rPr>
                <w:rFonts w:ascii="宋体" w:hAnsi="宋体" w:eastAsia="宋体" w:cs="宋体"/>
                <w:color w:val="auto"/>
                <w:kern w:val="0"/>
                <w:sz w:val="24"/>
                <w:szCs w:val="24"/>
                <w:highlight w:val="none"/>
              </w:rPr>
              <w:t>新疆乌鲁木齐市486号南湖明珠二期十四栋商业写字楼8楼</w:t>
            </w:r>
            <w:r>
              <w:rPr>
                <w:rFonts w:hint="eastAsia" w:ascii="宋体" w:hAnsi="宋体" w:eastAsia="宋体" w:cs="宋体"/>
                <w:i w:val="0"/>
                <w:iCs w:val="0"/>
                <w:color w:val="auto"/>
                <w:kern w:val="2"/>
                <w:sz w:val="24"/>
                <w:szCs w:val="24"/>
                <w:highlight w:val="none"/>
                <w:lang w:val="zh-CN" w:eastAsia="zh-CN" w:bidi="ar-SA"/>
              </w:rPr>
              <w:t xml:space="preserve"> </w:t>
            </w:r>
          </w:p>
        </w:tc>
      </w:tr>
      <w:tr w14:paraId="71A518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61" w:hRule="atLeast"/>
        </w:trPr>
        <w:tc>
          <w:tcPr>
            <w:tcW w:w="917" w:type="dxa"/>
            <w:tcBorders>
              <w:top w:val="single" w:color="auto" w:sz="2" w:space="0"/>
              <w:left w:val="single" w:color="auto" w:sz="2" w:space="0"/>
              <w:bottom w:val="single" w:color="auto" w:sz="2" w:space="0"/>
              <w:right w:val="single" w:color="auto" w:sz="2" w:space="0"/>
            </w:tcBorders>
            <w:vAlign w:val="center"/>
          </w:tcPr>
          <w:p w14:paraId="78D87689">
            <w:pPr>
              <w:pStyle w:val="52"/>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.1</w:t>
            </w:r>
          </w:p>
        </w:tc>
        <w:tc>
          <w:tcPr>
            <w:tcW w:w="1863" w:type="dxa"/>
            <w:tcBorders>
              <w:top w:val="single" w:color="auto" w:sz="2" w:space="0"/>
              <w:left w:val="single" w:color="auto" w:sz="2" w:space="0"/>
              <w:bottom w:val="single" w:color="auto" w:sz="2" w:space="0"/>
              <w:right w:val="single" w:color="auto" w:sz="2" w:space="0"/>
            </w:tcBorders>
            <w:vAlign w:val="center"/>
          </w:tcPr>
          <w:p w14:paraId="61FAA63B">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采购代理服务费收取方式和标准</w:t>
            </w:r>
          </w:p>
        </w:tc>
        <w:tc>
          <w:tcPr>
            <w:tcW w:w="6099" w:type="dxa"/>
            <w:tcBorders>
              <w:top w:val="single" w:color="auto" w:sz="2" w:space="0"/>
              <w:left w:val="single" w:color="auto" w:sz="2" w:space="0"/>
              <w:bottom w:val="single" w:color="auto" w:sz="2" w:space="0"/>
              <w:right w:val="single" w:color="auto" w:sz="2" w:space="0"/>
            </w:tcBorders>
            <w:vAlign w:val="center"/>
          </w:tcPr>
          <w:p w14:paraId="0E59731F">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收</w:t>
            </w:r>
            <w:r>
              <w:rPr>
                <w:rFonts w:hint="eastAsia" w:ascii="宋体" w:hAnsi="宋体" w:eastAsia="宋体" w:cs="宋体"/>
                <w:i w:val="0"/>
                <w:iCs w:val="0"/>
                <w:color w:val="auto"/>
                <w:sz w:val="24"/>
                <w:szCs w:val="24"/>
                <w:highlight w:val="none"/>
              </w:rPr>
              <w:t>费</w:t>
            </w:r>
            <w:r>
              <w:rPr>
                <w:rFonts w:hint="eastAsia" w:ascii="宋体" w:hAnsi="宋体" w:eastAsia="宋体" w:cs="宋体"/>
                <w:i w:val="0"/>
                <w:iCs w:val="0"/>
                <w:color w:val="auto"/>
                <w:sz w:val="24"/>
                <w:szCs w:val="24"/>
                <w:highlight w:val="none"/>
                <w:lang w:val="en-US" w:eastAsia="zh-CN"/>
              </w:rPr>
              <w:t>对象</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成交</w:t>
            </w:r>
            <w:r>
              <w:rPr>
                <w:rFonts w:hint="eastAsia"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 xml:space="preserve">支付 </w:t>
            </w:r>
          </w:p>
          <w:p w14:paraId="5B742BCE">
            <w:pPr>
              <w:pStyle w:val="52"/>
              <w:rPr>
                <w:rFonts w:hint="default" w:ascii="宋体" w:hAnsi="宋体" w:eastAsia="宋体" w:cs="宋体"/>
                <w:i w:val="0"/>
                <w:iCs w:val="0"/>
                <w:color w:val="auto"/>
                <w:sz w:val="24"/>
                <w:szCs w:val="24"/>
                <w:highlight w:val="yellow"/>
                <w:lang w:val="en-US" w:eastAsia="zh-CN"/>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收费</w:t>
            </w:r>
            <w:r>
              <w:rPr>
                <w:rFonts w:hint="eastAsia" w:ascii="宋体" w:hAnsi="宋体" w:eastAsia="宋体" w:cs="宋体"/>
                <w:i w:val="0"/>
                <w:iCs w:val="0"/>
                <w:color w:val="auto"/>
                <w:sz w:val="24"/>
                <w:szCs w:val="24"/>
                <w:highlight w:val="none"/>
              </w:rPr>
              <w:t>标准：</w:t>
            </w:r>
            <w:r>
              <w:rPr>
                <w:rFonts w:hint="eastAsia" w:cs="宋体"/>
                <w:i w:val="0"/>
                <w:iCs w:val="0"/>
                <w:color w:val="auto"/>
                <w:sz w:val="24"/>
                <w:szCs w:val="24"/>
                <w:highlight w:val="yellow"/>
                <w:lang w:val="en-US" w:eastAsia="zh-CN"/>
              </w:rPr>
              <w:t>固定金额</w:t>
            </w:r>
            <w:r>
              <w:rPr>
                <w:rFonts w:hint="eastAsia" w:cs="宋体"/>
                <w:color w:val="000000" w:themeColor="text1"/>
                <w:sz w:val="24"/>
                <w:szCs w:val="24"/>
                <w:highlight w:val="yellow"/>
                <w:u w:val="single"/>
                <w:lang w:val="en-US" w:eastAsia="zh-CN"/>
                <w14:textFill>
                  <w14:solidFill>
                    <w14:schemeClr w14:val="tx1"/>
                  </w14:solidFill>
                </w14:textFill>
              </w:rPr>
              <w:t>6000.00元</w:t>
            </w:r>
          </w:p>
          <w:p w14:paraId="5F567DEA">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收取</w:t>
            </w:r>
            <w:r>
              <w:rPr>
                <w:rFonts w:hint="eastAsia" w:ascii="宋体" w:hAnsi="宋体" w:eastAsia="宋体" w:cs="宋体"/>
                <w:i w:val="0"/>
                <w:iCs w:val="0"/>
                <w:color w:val="auto"/>
                <w:sz w:val="24"/>
                <w:szCs w:val="24"/>
                <w:highlight w:val="none"/>
              </w:rPr>
              <w:t>时间：领取成交通知书前</w:t>
            </w:r>
          </w:p>
          <w:p w14:paraId="161528BD">
            <w:pPr>
              <w:pStyle w:val="52"/>
              <w:rPr>
                <w:rFonts w:hint="eastAsia" w:ascii="宋体" w:hAnsi="宋体" w:cs="宋体"/>
                <w:color w:val="auto"/>
                <w:sz w:val="24"/>
                <w:highlight w:val="none"/>
              </w:rPr>
            </w:pPr>
            <w:r>
              <w:rPr>
                <w:rFonts w:hint="eastAsia" w:ascii="宋体" w:hAnsi="宋体" w:eastAsia="宋体" w:cs="宋体"/>
                <w:i w:val="0"/>
                <w:iCs w:val="0"/>
                <w:color w:val="auto"/>
                <w:sz w:val="24"/>
                <w:szCs w:val="24"/>
                <w:highlight w:val="none"/>
              </w:rPr>
              <w:t>4.</w:t>
            </w:r>
            <w:r>
              <w:rPr>
                <w:rFonts w:hint="eastAsia" w:ascii="宋体" w:hAnsi="宋体" w:eastAsia="宋体" w:cs="宋体"/>
                <w:i w:val="0"/>
                <w:iCs w:val="0"/>
                <w:color w:val="auto"/>
                <w:sz w:val="24"/>
                <w:szCs w:val="24"/>
                <w:highlight w:val="none"/>
                <w:lang w:val="en-US" w:eastAsia="zh-CN"/>
              </w:rPr>
              <w:t>收取</w:t>
            </w:r>
            <w:r>
              <w:rPr>
                <w:rFonts w:hint="eastAsia" w:ascii="宋体" w:hAnsi="宋体" w:eastAsia="宋体" w:cs="宋体"/>
                <w:i w:val="0"/>
                <w:iCs w:val="0"/>
                <w:color w:val="auto"/>
                <w:sz w:val="24"/>
                <w:szCs w:val="24"/>
                <w:highlight w:val="none"/>
              </w:rPr>
              <w:t>方式：</w:t>
            </w:r>
            <w:r>
              <w:rPr>
                <w:rFonts w:hint="eastAsia" w:ascii="宋体" w:hAnsi="宋体" w:cs="宋体"/>
                <w:color w:val="auto"/>
                <w:sz w:val="24"/>
                <w:highlight w:val="none"/>
              </w:rPr>
              <w:t>电汇，由</w:t>
            </w:r>
            <w:r>
              <w:rPr>
                <w:rFonts w:hint="eastAsia" w:ascii="宋体" w:hAnsi="宋体" w:cs="宋体"/>
                <w:color w:val="auto"/>
                <w:sz w:val="24"/>
                <w:highlight w:val="none"/>
                <w:lang w:val="en-US" w:eastAsia="zh-CN"/>
              </w:rPr>
              <w:t>中标</w:t>
            </w:r>
            <w:r>
              <w:rPr>
                <w:rFonts w:hint="eastAsia" w:ascii="宋体" w:hAnsi="宋体" w:cs="宋体"/>
                <w:color w:val="auto"/>
                <w:sz w:val="24"/>
                <w:highlight w:val="none"/>
              </w:rPr>
              <w:t>人一次性支付或由招标代理直接在</w:t>
            </w:r>
            <w:r>
              <w:rPr>
                <w:rFonts w:hint="eastAsia" w:ascii="宋体" w:hAnsi="宋体" w:cs="宋体"/>
                <w:color w:val="auto"/>
                <w:sz w:val="24"/>
                <w:highlight w:val="none"/>
                <w:lang w:val="en-US" w:eastAsia="zh-CN"/>
              </w:rPr>
              <w:t>投标</w:t>
            </w:r>
            <w:r>
              <w:rPr>
                <w:rFonts w:hint="eastAsia" w:ascii="宋体" w:hAnsi="宋体" w:cs="宋体"/>
                <w:color w:val="auto"/>
                <w:sz w:val="24"/>
                <w:highlight w:val="none"/>
              </w:rPr>
              <w:t>保证金中扣除</w:t>
            </w:r>
          </w:p>
          <w:p w14:paraId="584C666B">
            <w:pPr>
              <w:pStyle w:val="52"/>
              <w:rPr>
                <w:rFonts w:hint="eastAsia" w:ascii="宋体" w:hAnsi="宋体" w:cs="宋体"/>
                <w:color w:val="auto"/>
                <w:sz w:val="24"/>
                <w:highlight w:val="none"/>
              </w:rPr>
            </w:pPr>
            <w:r>
              <w:rPr>
                <w:rFonts w:hint="eastAsia" w:ascii="宋体" w:hAnsi="宋体" w:cs="宋体"/>
                <w:color w:val="auto"/>
                <w:sz w:val="24"/>
                <w:highlight w:val="none"/>
              </w:rPr>
              <w:t>户名：中招国际招标有限公司新疆分公司</w:t>
            </w:r>
          </w:p>
          <w:p w14:paraId="44C7B70B">
            <w:pPr>
              <w:pStyle w:val="52"/>
              <w:rPr>
                <w:rFonts w:hint="eastAsia" w:ascii="宋体" w:hAnsi="宋体" w:cs="宋体"/>
                <w:color w:val="auto"/>
                <w:sz w:val="24"/>
                <w:highlight w:val="none"/>
              </w:rPr>
            </w:pPr>
            <w:r>
              <w:rPr>
                <w:rFonts w:hint="eastAsia" w:ascii="宋体" w:hAnsi="宋体" w:cs="宋体"/>
                <w:color w:val="auto"/>
                <w:sz w:val="24"/>
                <w:highlight w:val="none"/>
              </w:rPr>
              <w:t>账号：107100142454</w:t>
            </w:r>
          </w:p>
          <w:p w14:paraId="7BFA2C55">
            <w:pPr>
              <w:pStyle w:val="52"/>
              <w:rPr>
                <w:rFonts w:hint="eastAsia" w:ascii="宋体" w:hAnsi="宋体" w:eastAsia="宋体" w:cs="宋体"/>
                <w:i w:val="0"/>
                <w:iCs w:val="0"/>
                <w:color w:val="auto"/>
                <w:sz w:val="24"/>
                <w:szCs w:val="24"/>
                <w:highlight w:val="none"/>
                <w:lang w:eastAsia="zh-CN"/>
              </w:rPr>
            </w:pPr>
            <w:r>
              <w:rPr>
                <w:rFonts w:hint="eastAsia" w:ascii="宋体" w:hAnsi="宋体" w:cs="宋体"/>
                <w:color w:val="auto"/>
                <w:sz w:val="24"/>
                <w:highlight w:val="none"/>
              </w:rPr>
              <w:t>开户行：中国银行股份有限公司乌鲁木齐市南湖北路支行</w:t>
            </w:r>
          </w:p>
        </w:tc>
      </w:tr>
      <w:tr w14:paraId="5C2D1F1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75" w:hRule="atLeast"/>
        </w:trPr>
        <w:tc>
          <w:tcPr>
            <w:tcW w:w="917" w:type="dxa"/>
            <w:tcBorders>
              <w:top w:val="single" w:color="auto" w:sz="2" w:space="0"/>
              <w:left w:val="single" w:color="auto" w:sz="2" w:space="0"/>
              <w:bottom w:val="single" w:color="auto" w:sz="2" w:space="0"/>
              <w:right w:val="single" w:color="auto" w:sz="2" w:space="0"/>
            </w:tcBorders>
            <w:vAlign w:val="center"/>
          </w:tcPr>
          <w:p w14:paraId="09F2E292">
            <w:pPr>
              <w:pStyle w:val="52"/>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41</w:t>
            </w:r>
            <w:r>
              <w:rPr>
                <w:rFonts w:hint="eastAsia" w:ascii="宋体" w:hAnsi="宋体" w:eastAsia="宋体" w:cs="宋体"/>
                <w:i w:val="0"/>
                <w:iCs w:val="0"/>
                <w:color w:val="auto"/>
                <w:sz w:val="24"/>
                <w:szCs w:val="24"/>
                <w:highlight w:val="none"/>
              </w:rPr>
              <w:t>.1</w:t>
            </w:r>
          </w:p>
        </w:tc>
        <w:tc>
          <w:tcPr>
            <w:tcW w:w="1863" w:type="dxa"/>
            <w:tcBorders>
              <w:top w:val="single" w:color="auto" w:sz="2" w:space="0"/>
              <w:left w:val="single" w:color="auto" w:sz="2" w:space="0"/>
              <w:bottom w:val="single" w:color="auto" w:sz="2" w:space="0"/>
              <w:right w:val="single" w:color="auto" w:sz="2" w:space="0"/>
            </w:tcBorders>
            <w:vAlign w:val="center"/>
          </w:tcPr>
          <w:p w14:paraId="01662A2E">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zh-CN"/>
              </w:rPr>
              <w:t>是否接受进口产品</w:t>
            </w:r>
          </w:p>
        </w:tc>
        <w:tc>
          <w:tcPr>
            <w:tcW w:w="6099" w:type="dxa"/>
            <w:tcBorders>
              <w:top w:val="single" w:color="auto" w:sz="2" w:space="0"/>
              <w:left w:val="single" w:color="auto" w:sz="2" w:space="0"/>
              <w:bottom w:val="single" w:color="auto" w:sz="2" w:space="0"/>
              <w:right w:val="single" w:color="auto" w:sz="2" w:space="0"/>
            </w:tcBorders>
            <w:vAlign w:val="center"/>
          </w:tcPr>
          <w:p w14:paraId="49586D8F">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不接受</w:t>
            </w:r>
          </w:p>
          <w:p w14:paraId="40EC89F7">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F0A8"/>
            </w:r>
            <w:r>
              <w:rPr>
                <w:rFonts w:hint="eastAsia" w:ascii="宋体" w:hAnsi="宋体" w:eastAsia="宋体" w:cs="宋体"/>
                <w:i w:val="0"/>
                <w:iCs w:val="0"/>
                <w:color w:val="auto"/>
                <w:sz w:val="24"/>
                <w:szCs w:val="24"/>
                <w:highlight w:val="none"/>
                <w:lang w:val="zh-CN"/>
              </w:rPr>
              <w:t>接受</w:t>
            </w:r>
          </w:p>
        </w:tc>
      </w:tr>
      <w:tr w14:paraId="50A59E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71" w:hRule="atLeast"/>
        </w:trPr>
        <w:tc>
          <w:tcPr>
            <w:tcW w:w="917" w:type="dxa"/>
            <w:tcBorders>
              <w:top w:val="single" w:color="auto" w:sz="2" w:space="0"/>
              <w:left w:val="single" w:color="auto" w:sz="2" w:space="0"/>
              <w:bottom w:val="single" w:color="auto" w:sz="2" w:space="0"/>
              <w:right w:val="single" w:color="auto" w:sz="2" w:space="0"/>
            </w:tcBorders>
            <w:vAlign w:val="center"/>
          </w:tcPr>
          <w:p w14:paraId="7E9014C3">
            <w:pPr>
              <w:pStyle w:val="52"/>
              <w:jc w:val="center"/>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val="en-US" w:eastAsia="zh-CN"/>
              </w:rPr>
              <w:t>42</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2</w:t>
            </w:r>
          </w:p>
        </w:tc>
        <w:tc>
          <w:tcPr>
            <w:tcW w:w="1863" w:type="dxa"/>
            <w:tcBorders>
              <w:top w:val="single" w:color="auto" w:sz="2" w:space="0"/>
              <w:left w:val="single" w:color="auto" w:sz="2" w:space="0"/>
              <w:bottom w:val="single" w:color="auto" w:sz="2" w:space="0"/>
              <w:right w:val="single" w:color="auto" w:sz="2" w:space="0"/>
            </w:tcBorders>
            <w:vAlign w:val="center"/>
          </w:tcPr>
          <w:p w14:paraId="7A58329B">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支持中小企业政策</w:t>
            </w:r>
            <w:r>
              <w:rPr>
                <w:rStyle w:val="35"/>
                <w:rFonts w:hint="eastAsia" w:ascii="宋体" w:hAnsi="宋体" w:eastAsia="宋体" w:cs="宋体"/>
                <w:b w:val="0"/>
                <w:i w:val="0"/>
                <w:iCs w:val="0"/>
                <w:color w:val="auto"/>
                <w:sz w:val="24"/>
                <w:szCs w:val="24"/>
                <w:highlight w:val="none"/>
                <w:lang w:val="en-US" w:eastAsia="zh-CN"/>
              </w:rPr>
              <w:t>（非专门面向中小企业采购项目适用）</w:t>
            </w:r>
          </w:p>
        </w:tc>
        <w:tc>
          <w:tcPr>
            <w:tcW w:w="6099" w:type="dxa"/>
            <w:tcBorders>
              <w:top w:val="single" w:color="auto" w:sz="2" w:space="0"/>
              <w:left w:val="single" w:color="auto" w:sz="2" w:space="0"/>
              <w:bottom w:val="single" w:color="auto" w:sz="2" w:space="0"/>
              <w:right w:val="single" w:color="auto" w:sz="2" w:space="0"/>
            </w:tcBorders>
            <w:vAlign w:val="center"/>
          </w:tcPr>
          <w:p w14:paraId="037BAE96">
            <w:pPr>
              <w:pStyle w:val="65"/>
              <w:widowControl w:val="0"/>
              <w:spacing w:before="0" w:beforeAutospacing="0" w:after="0" w:afterAutospacing="0" w:line="24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1</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小型和微型企业价格扣除：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cs="宋体"/>
                <w:b w:val="0"/>
                <w:i w:val="0"/>
                <w:iCs w:val="0"/>
                <w:color w:val="auto"/>
                <w:sz w:val="24"/>
                <w:szCs w:val="24"/>
                <w:highlight w:val="none"/>
                <w:u w:val="single"/>
                <w:lang w:val="en-US" w:eastAsia="zh-CN"/>
              </w:rPr>
              <w:t>/</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i w:val="0"/>
                <w:iCs w:val="0"/>
                <w:color w:val="auto"/>
                <w:sz w:val="24"/>
                <w:szCs w:val="24"/>
                <w:highlight w:val="none"/>
              </w:rPr>
              <w:t>。</w:t>
            </w:r>
          </w:p>
          <w:p w14:paraId="18DFD5A2">
            <w:pPr>
              <w:pStyle w:val="65"/>
              <w:widowControl w:val="0"/>
              <w:spacing w:before="0" w:beforeAutospacing="0" w:after="0" w:afterAutospacing="0" w:line="24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2</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监狱企业价格扣除：</w:t>
            </w:r>
            <w:r>
              <w:rPr>
                <w:rFonts w:hint="eastAsia" w:ascii="宋体" w:hAnsi="宋体" w:eastAsia="宋体" w:cs="宋体"/>
                <w:b w:val="0"/>
                <w:i w:val="0"/>
                <w:iCs w:val="0"/>
                <w:color w:val="auto"/>
                <w:sz w:val="24"/>
                <w:szCs w:val="24"/>
                <w:highlight w:val="none"/>
                <w:u w:val="none"/>
              </w:rPr>
              <w:t>同小型和微型企业</w:t>
            </w:r>
            <w:r>
              <w:rPr>
                <w:rFonts w:hint="eastAsia" w:ascii="宋体" w:hAnsi="宋体" w:eastAsia="宋体" w:cs="宋体"/>
                <w:b w:val="0"/>
                <w:i w:val="0"/>
                <w:iCs w:val="0"/>
                <w:color w:val="auto"/>
                <w:sz w:val="24"/>
                <w:szCs w:val="24"/>
                <w:highlight w:val="none"/>
              </w:rPr>
              <w:t>。</w:t>
            </w:r>
          </w:p>
          <w:p w14:paraId="568FA892">
            <w:pPr>
              <w:pStyle w:val="65"/>
              <w:widowControl w:val="0"/>
              <w:spacing w:before="0" w:beforeAutospacing="0" w:after="0" w:afterAutospacing="0" w:line="24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3</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残疾人福利性单位价格扣除：</w:t>
            </w:r>
            <w:r>
              <w:rPr>
                <w:rFonts w:hint="eastAsia" w:ascii="宋体" w:hAnsi="宋体" w:eastAsia="宋体" w:cs="宋体"/>
                <w:b w:val="0"/>
                <w:i w:val="0"/>
                <w:iCs w:val="0"/>
                <w:color w:val="auto"/>
                <w:sz w:val="24"/>
                <w:szCs w:val="24"/>
                <w:highlight w:val="none"/>
                <w:u w:val="none"/>
              </w:rPr>
              <w:t>同小型和微型企业</w:t>
            </w:r>
            <w:r>
              <w:rPr>
                <w:rFonts w:hint="eastAsia" w:ascii="宋体" w:hAnsi="宋体" w:eastAsia="宋体" w:cs="宋体"/>
                <w:b w:val="0"/>
                <w:i w:val="0"/>
                <w:iCs w:val="0"/>
                <w:color w:val="auto"/>
                <w:sz w:val="24"/>
                <w:szCs w:val="24"/>
                <w:highlight w:val="none"/>
              </w:rPr>
              <w:t>。</w:t>
            </w:r>
          </w:p>
          <w:p w14:paraId="30B8D435">
            <w:pPr>
              <w:pStyle w:val="65"/>
              <w:widowControl w:val="0"/>
              <w:spacing w:before="0" w:beforeAutospacing="0" w:after="0" w:afterAutospacing="0" w:line="24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4</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符合条件的联合体价格扣除：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cs="宋体"/>
                <w:b w:val="0"/>
                <w:i w:val="0"/>
                <w:iCs w:val="0"/>
                <w:color w:val="auto"/>
                <w:sz w:val="24"/>
                <w:szCs w:val="24"/>
                <w:highlight w:val="none"/>
                <w:u w:val="single"/>
                <w:lang w:val="en-US" w:eastAsia="zh-CN"/>
              </w:rPr>
              <w:t>/</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i w:val="0"/>
                <w:iCs w:val="0"/>
                <w:color w:val="auto"/>
                <w:sz w:val="24"/>
                <w:szCs w:val="24"/>
                <w:highlight w:val="none"/>
              </w:rPr>
              <w:t>。</w:t>
            </w:r>
          </w:p>
          <w:p w14:paraId="27AFEC6B">
            <w:pPr>
              <w:pStyle w:val="65"/>
              <w:widowControl w:val="0"/>
              <w:spacing w:before="0" w:beforeAutospacing="0" w:after="0" w:afterAutospacing="0" w:line="240" w:lineRule="auto"/>
              <w:jc w:val="both"/>
              <w:rPr>
                <w:rFonts w:hint="eastAsia" w:ascii="宋体" w:hAnsi="宋体" w:eastAsia="宋体" w:cs="宋体"/>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5</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符合条件的向小微企业分包的大中型企业价格扣除：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cs="宋体"/>
                <w:b w:val="0"/>
                <w:i w:val="0"/>
                <w:iCs w:val="0"/>
                <w:color w:val="auto"/>
                <w:sz w:val="24"/>
                <w:szCs w:val="24"/>
                <w:highlight w:val="none"/>
                <w:u w:val="single"/>
                <w:lang w:val="en-US" w:eastAsia="zh-CN"/>
              </w:rPr>
              <w:t>/</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i w:val="0"/>
                <w:iCs w:val="0"/>
                <w:color w:val="auto"/>
                <w:sz w:val="24"/>
                <w:szCs w:val="24"/>
                <w:highlight w:val="none"/>
              </w:rPr>
              <w:t>。（允许大中型企业向小微企业分包的项目适用）</w:t>
            </w:r>
          </w:p>
        </w:tc>
      </w:tr>
      <w:tr w14:paraId="637635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88" w:hRule="atLeast"/>
        </w:trPr>
        <w:tc>
          <w:tcPr>
            <w:tcW w:w="917" w:type="dxa"/>
            <w:tcBorders>
              <w:top w:val="single" w:color="auto" w:sz="2" w:space="0"/>
              <w:left w:val="single" w:color="auto" w:sz="2" w:space="0"/>
              <w:bottom w:val="single" w:color="auto" w:sz="2" w:space="0"/>
              <w:right w:val="single" w:color="auto" w:sz="2" w:space="0"/>
            </w:tcBorders>
            <w:vAlign w:val="center"/>
          </w:tcPr>
          <w:p w14:paraId="6FD8FF1E">
            <w:pPr>
              <w:pStyle w:val="52"/>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42.9</w:t>
            </w:r>
          </w:p>
        </w:tc>
        <w:tc>
          <w:tcPr>
            <w:tcW w:w="1863" w:type="dxa"/>
            <w:tcBorders>
              <w:top w:val="single" w:color="auto" w:sz="2" w:space="0"/>
              <w:left w:val="single" w:color="auto" w:sz="2" w:space="0"/>
              <w:bottom w:val="single" w:color="auto" w:sz="2" w:space="0"/>
              <w:right w:val="single" w:color="auto" w:sz="2" w:space="0"/>
            </w:tcBorders>
            <w:vAlign w:val="center"/>
          </w:tcPr>
          <w:p w14:paraId="651E405C">
            <w:pPr>
              <w:pStyle w:val="52"/>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标的所属行业</w:t>
            </w:r>
          </w:p>
          <w:p w14:paraId="36A079A2">
            <w:pPr>
              <w:pStyle w:val="52"/>
              <w:rPr>
                <w:rFonts w:hint="eastAsia" w:ascii="宋体" w:hAnsi="宋体" w:eastAsia="宋体" w:cs="宋体"/>
                <w:i w:val="0"/>
                <w:iCs w:val="0"/>
                <w:color w:val="auto"/>
                <w:sz w:val="24"/>
                <w:szCs w:val="24"/>
                <w:highlight w:val="none"/>
              </w:rPr>
            </w:pPr>
            <w:r>
              <w:rPr>
                <w:rStyle w:val="35"/>
                <w:rFonts w:hint="eastAsia" w:ascii="宋体" w:hAnsi="宋体" w:eastAsia="宋体" w:cs="宋体"/>
                <w:b w:val="0"/>
                <w:i w:val="0"/>
                <w:iCs w:val="0"/>
                <w:color w:val="auto"/>
                <w:sz w:val="24"/>
                <w:szCs w:val="24"/>
                <w:highlight w:val="none"/>
                <w:lang w:val="en-US" w:eastAsia="zh-CN"/>
              </w:rPr>
              <w:t>（参照后附</w:t>
            </w:r>
            <w:r>
              <w:rPr>
                <w:rStyle w:val="35"/>
                <w:rFonts w:hint="eastAsia" w:ascii="宋体" w:hAnsi="宋体" w:eastAsia="宋体" w:cs="宋体"/>
                <w:b w:val="0"/>
                <w:i w:val="0"/>
                <w:iCs w:val="0"/>
                <w:color w:val="auto"/>
                <w:sz w:val="24"/>
                <w:szCs w:val="24"/>
                <w:highlight w:val="none"/>
                <w:lang w:eastAsia="zh-CN"/>
              </w:rPr>
              <w:t>《</w:t>
            </w:r>
            <w:r>
              <w:rPr>
                <w:rStyle w:val="35"/>
                <w:rFonts w:hint="eastAsia" w:ascii="宋体" w:hAnsi="宋体" w:eastAsia="宋体" w:cs="宋体"/>
                <w:b w:val="0"/>
                <w:i w:val="0"/>
                <w:iCs w:val="0"/>
                <w:color w:val="auto"/>
                <w:sz w:val="24"/>
                <w:szCs w:val="24"/>
                <w:highlight w:val="none"/>
              </w:rPr>
              <w:t>工信部联企业〔2011〕300号</w:t>
            </w:r>
            <w:r>
              <w:rPr>
                <w:rStyle w:val="35"/>
                <w:rFonts w:hint="eastAsia" w:ascii="宋体" w:hAnsi="宋体" w:eastAsia="宋体" w:cs="宋体"/>
                <w:b w:val="0"/>
                <w:i w:val="0"/>
                <w:iCs w:val="0"/>
                <w:color w:val="auto"/>
                <w:sz w:val="24"/>
                <w:szCs w:val="24"/>
                <w:highlight w:val="none"/>
                <w:lang w:eastAsia="zh-CN"/>
              </w:rPr>
              <w:t>》）</w:t>
            </w:r>
          </w:p>
        </w:tc>
        <w:tc>
          <w:tcPr>
            <w:tcW w:w="6099" w:type="dxa"/>
            <w:tcBorders>
              <w:top w:val="single" w:color="auto" w:sz="2" w:space="0"/>
              <w:left w:val="single" w:color="auto" w:sz="2" w:space="0"/>
              <w:bottom w:val="single" w:color="auto" w:sz="2" w:space="0"/>
              <w:right w:val="single" w:color="auto" w:sz="2" w:space="0"/>
            </w:tcBorders>
            <w:vAlign w:val="center"/>
          </w:tcPr>
          <w:p w14:paraId="0B712097">
            <w:pPr>
              <w:keepNext w:val="0"/>
              <w:keepLines w:val="0"/>
              <w:widowControl/>
              <w:suppressLineNumbers w:val="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bidi="ar"/>
              </w:rPr>
              <w:t xml:space="preserve">本项目采购标的对应的中小企业划分标准所属行业： </w:t>
            </w:r>
          </w:p>
          <w:tbl>
            <w:tblPr>
              <w:tblStyle w:val="33"/>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2709"/>
              <w:gridCol w:w="2360"/>
            </w:tblGrid>
            <w:tr w14:paraId="20ED2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087" w:type="dxa"/>
                  <w:vAlign w:val="center"/>
                </w:tcPr>
                <w:p w14:paraId="0E15EBC5">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bidi="ar"/>
                    </w:rPr>
                  </w:pPr>
                  <w:r>
                    <w:rPr>
                      <w:rFonts w:hint="eastAsia" w:ascii="宋体" w:hAnsi="宋体" w:eastAsia="宋体" w:cs="宋体"/>
                      <w:i w:val="0"/>
                      <w:iCs w:val="0"/>
                      <w:color w:val="auto"/>
                      <w:kern w:val="0"/>
                      <w:sz w:val="24"/>
                      <w:szCs w:val="24"/>
                      <w:highlight w:val="none"/>
                      <w:lang w:val="en-US" w:eastAsia="zh-CN" w:bidi="ar"/>
                    </w:rPr>
                    <w:t>包号</w:t>
                  </w:r>
                </w:p>
              </w:tc>
              <w:tc>
                <w:tcPr>
                  <w:tcW w:w="2709" w:type="dxa"/>
                  <w:vAlign w:val="center"/>
                </w:tcPr>
                <w:p w14:paraId="29FA63E4">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bidi="ar"/>
                    </w:rPr>
                  </w:pPr>
                  <w:r>
                    <w:rPr>
                      <w:rFonts w:hint="eastAsia" w:ascii="宋体" w:hAnsi="宋体" w:eastAsia="宋体" w:cs="宋体"/>
                      <w:i w:val="0"/>
                      <w:iCs w:val="0"/>
                      <w:color w:val="auto"/>
                      <w:kern w:val="0"/>
                      <w:sz w:val="24"/>
                      <w:szCs w:val="24"/>
                      <w:highlight w:val="none"/>
                      <w:lang w:val="en-US" w:eastAsia="zh-CN" w:bidi="ar"/>
                    </w:rPr>
                    <w:t>标的名称</w:t>
                  </w:r>
                </w:p>
              </w:tc>
              <w:tc>
                <w:tcPr>
                  <w:tcW w:w="2360" w:type="dxa"/>
                  <w:vAlign w:val="center"/>
                </w:tcPr>
                <w:p w14:paraId="1922017C">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bidi="ar"/>
                    </w:rPr>
                  </w:pPr>
                  <w:r>
                    <w:rPr>
                      <w:rFonts w:hint="eastAsia" w:ascii="宋体" w:hAnsi="宋体" w:eastAsia="宋体" w:cs="宋体"/>
                      <w:i w:val="0"/>
                      <w:iCs w:val="0"/>
                      <w:color w:val="auto"/>
                      <w:kern w:val="0"/>
                      <w:sz w:val="24"/>
                      <w:szCs w:val="24"/>
                      <w:highlight w:val="none"/>
                      <w:lang w:val="en-US" w:eastAsia="zh-CN" w:bidi="ar"/>
                    </w:rPr>
                    <w:t>中小企业划分标准所属行业</w:t>
                  </w:r>
                </w:p>
              </w:tc>
            </w:tr>
            <w:tr w14:paraId="5EAC7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29F53102">
                  <w:pPr>
                    <w:keepNext w:val="0"/>
                    <w:keepLines w:val="0"/>
                    <w:widowControl/>
                    <w:suppressLineNumbers w:val="0"/>
                    <w:jc w:val="center"/>
                    <w:rPr>
                      <w:rFonts w:hint="default" w:ascii="宋体" w:hAnsi="宋体" w:eastAsia="宋体" w:cs="宋体"/>
                      <w:i w:val="0"/>
                      <w:iCs w:val="0"/>
                      <w:color w:val="auto"/>
                      <w:kern w:val="0"/>
                      <w:sz w:val="24"/>
                      <w:szCs w:val="24"/>
                      <w:highlight w:val="none"/>
                      <w:vertAlign w:val="baseline"/>
                      <w:lang w:val="en-US" w:eastAsia="zh-CN" w:bidi="ar"/>
                    </w:rPr>
                  </w:pPr>
                  <w:r>
                    <w:rPr>
                      <w:rFonts w:hint="eastAsia" w:cs="宋体"/>
                      <w:i w:val="0"/>
                      <w:iCs w:val="0"/>
                      <w:color w:val="auto"/>
                      <w:kern w:val="0"/>
                      <w:sz w:val="24"/>
                      <w:szCs w:val="24"/>
                      <w:highlight w:val="none"/>
                      <w:vertAlign w:val="baseline"/>
                      <w:lang w:val="en-US" w:eastAsia="zh-CN" w:bidi="ar"/>
                    </w:rPr>
                    <w:t>/</w:t>
                  </w:r>
                </w:p>
              </w:tc>
              <w:tc>
                <w:tcPr>
                  <w:tcW w:w="2709" w:type="dxa"/>
                  <w:vAlign w:val="center"/>
                </w:tcPr>
                <w:p w14:paraId="4DB4AF85">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bidi="ar"/>
                    </w:rPr>
                  </w:pPr>
                  <w:r>
                    <w:rPr>
                      <w:rFonts w:hint="eastAsia" w:cs="宋体"/>
                      <w:i w:val="0"/>
                      <w:iCs w:val="0"/>
                      <w:color w:val="auto"/>
                      <w:kern w:val="0"/>
                      <w:sz w:val="24"/>
                      <w:szCs w:val="24"/>
                      <w:highlight w:val="none"/>
                      <w:vertAlign w:val="baseline"/>
                      <w:lang w:val="en-US" w:eastAsia="zh-CN" w:bidi="ar"/>
                    </w:rPr>
                    <w:t>乌鲁木齐市沙依巴克区炉院街街道办事处后勤保障服务项目(餐饮服务)</w:t>
                  </w:r>
                </w:p>
              </w:tc>
              <w:tc>
                <w:tcPr>
                  <w:tcW w:w="2360" w:type="dxa"/>
                  <w:vAlign w:val="center"/>
                </w:tcPr>
                <w:p w14:paraId="283C12DD">
                  <w:pPr>
                    <w:keepNext w:val="0"/>
                    <w:keepLines w:val="0"/>
                    <w:widowControl/>
                    <w:suppressLineNumbers w:val="0"/>
                    <w:jc w:val="center"/>
                    <w:rPr>
                      <w:rFonts w:hint="default" w:ascii="宋体" w:hAnsi="宋体" w:eastAsia="宋体" w:cs="宋体"/>
                      <w:i w:val="0"/>
                      <w:iCs w:val="0"/>
                      <w:color w:val="auto"/>
                      <w:kern w:val="0"/>
                      <w:sz w:val="24"/>
                      <w:szCs w:val="24"/>
                      <w:highlight w:val="none"/>
                      <w:vertAlign w:val="baseline"/>
                      <w:lang w:val="en-US" w:eastAsia="zh-CN" w:bidi="ar"/>
                    </w:rPr>
                  </w:pPr>
                  <w:r>
                    <w:rPr>
                      <w:rFonts w:hint="eastAsia" w:cs="宋体"/>
                      <w:b/>
                      <w:bCs/>
                      <w:color w:val="auto"/>
                      <w:kern w:val="0"/>
                      <w:sz w:val="24"/>
                      <w:szCs w:val="24"/>
                      <w:highlight w:val="none"/>
                      <w:lang w:val="en-US" w:eastAsia="zh-CN"/>
                    </w:rPr>
                    <w:t>餐饮业</w:t>
                  </w:r>
                </w:p>
              </w:tc>
            </w:tr>
          </w:tbl>
          <w:p w14:paraId="7815B183">
            <w:pPr>
              <w:pStyle w:val="52"/>
              <w:rPr>
                <w:rFonts w:hint="eastAsia" w:ascii="宋体" w:hAnsi="宋体" w:eastAsia="宋体" w:cs="宋体"/>
                <w:i w:val="0"/>
                <w:iCs w:val="0"/>
                <w:color w:val="auto"/>
                <w:sz w:val="24"/>
                <w:szCs w:val="24"/>
                <w:highlight w:val="none"/>
              </w:rPr>
            </w:pPr>
          </w:p>
        </w:tc>
      </w:tr>
      <w:tr w14:paraId="202F4FC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08" w:hRule="atLeast"/>
        </w:trPr>
        <w:tc>
          <w:tcPr>
            <w:tcW w:w="917" w:type="dxa"/>
            <w:tcBorders>
              <w:top w:val="single" w:color="auto" w:sz="2" w:space="0"/>
              <w:left w:val="single" w:color="auto" w:sz="2" w:space="0"/>
              <w:bottom w:val="single" w:color="auto" w:sz="2" w:space="0"/>
              <w:right w:val="single" w:color="auto" w:sz="2" w:space="0"/>
            </w:tcBorders>
            <w:shd w:val="clear" w:color="auto" w:fill="auto"/>
            <w:vAlign w:val="center"/>
          </w:tcPr>
          <w:p w14:paraId="124F09EA">
            <w:pPr>
              <w:pStyle w:val="52"/>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43.5</w:t>
            </w:r>
          </w:p>
        </w:tc>
        <w:tc>
          <w:tcPr>
            <w:tcW w:w="1863" w:type="dxa"/>
            <w:tcBorders>
              <w:top w:val="single" w:color="auto" w:sz="2" w:space="0"/>
              <w:left w:val="single" w:color="auto" w:sz="2" w:space="0"/>
              <w:bottom w:val="single" w:color="auto" w:sz="2" w:space="0"/>
              <w:right w:val="single" w:color="auto" w:sz="2" w:space="0"/>
            </w:tcBorders>
            <w:shd w:val="clear" w:color="auto" w:fill="auto"/>
            <w:vAlign w:val="center"/>
          </w:tcPr>
          <w:p w14:paraId="4E15F4D5">
            <w:pPr>
              <w:pStyle w:val="52"/>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优先采购创新节能环保产品</w:t>
            </w:r>
          </w:p>
        </w:tc>
        <w:tc>
          <w:tcPr>
            <w:tcW w:w="6099" w:type="dxa"/>
            <w:tcBorders>
              <w:top w:val="single" w:color="auto" w:sz="2" w:space="0"/>
              <w:left w:val="single" w:color="auto" w:sz="2" w:space="0"/>
              <w:bottom w:val="single" w:color="auto" w:sz="2" w:space="0"/>
              <w:right w:val="single" w:color="auto" w:sz="2" w:space="0"/>
            </w:tcBorders>
            <w:shd w:val="clear" w:color="auto" w:fill="auto"/>
            <w:vAlign w:val="center"/>
          </w:tcPr>
          <w:p w14:paraId="02FF658C">
            <w:pPr>
              <w:pStyle w:val="52"/>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所</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产品纳入创新产品应用示范推荐目录内企业、所</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产品获得节能产品或环境标志产品认证证书的</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报价给予</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的价格扣除。</w:t>
            </w:r>
          </w:p>
        </w:tc>
      </w:tr>
      <w:tr w14:paraId="4CCF23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466" w:hRule="atLeast"/>
        </w:trPr>
        <w:tc>
          <w:tcPr>
            <w:tcW w:w="917" w:type="dxa"/>
            <w:tcBorders>
              <w:top w:val="single" w:color="auto" w:sz="2" w:space="0"/>
              <w:left w:val="single" w:color="auto" w:sz="2" w:space="0"/>
              <w:bottom w:val="single" w:color="auto" w:sz="2" w:space="0"/>
              <w:right w:val="single" w:color="auto" w:sz="2" w:space="0"/>
            </w:tcBorders>
            <w:shd w:val="clear" w:color="auto" w:fill="auto"/>
            <w:vAlign w:val="center"/>
          </w:tcPr>
          <w:p w14:paraId="1E46FADC">
            <w:pPr>
              <w:pStyle w:val="52"/>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4</w:t>
            </w:r>
            <w:r>
              <w:rPr>
                <w:rFonts w:hint="eastAsia" w:ascii="宋体" w:hAnsi="宋体" w:eastAsia="宋体" w:cs="宋体"/>
                <w:i w:val="0"/>
                <w:iCs w:val="0"/>
                <w:color w:val="auto"/>
                <w:sz w:val="24"/>
                <w:szCs w:val="24"/>
                <w:highlight w:val="none"/>
                <w:lang w:val="en-US" w:eastAsia="zh-CN"/>
              </w:rPr>
              <w:t>7</w:t>
            </w:r>
            <w:r>
              <w:rPr>
                <w:rFonts w:hint="eastAsia" w:ascii="宋体" w:hAnsi="宋体" w:eastAsia="宋体" w:cs="宋体"/>
                <w:i w:val="0"/>
                <w:iCs w:val="0"/>
                <w:color w:val="auto"/>
                <w:sz w:val="24"/>
                <w:szCs w:val="24"/>
                <w:highlight w:val="none"/>
              </w:rPr>
              <w:t>.1</w:t>
            </w:r>
          </w:p>
        </w:tc>
        <w:tc>
          <w:tcPr>
            <w:tcW w:w="1863" w:type="dxa"/>
            <w:tcBorders>
              <w:top w:val="single" w:color="auto" w:sz="2" w:space="0"/>
              <w:left w:val="single" w:color="auto" w:sz="2" w:space="0"/>
              <w:bottom w:val="single" w:color="auto" w:sz="2" w:space="0"/>
              <w:right w:val="single" w:color="auto" w:sz="2" w:space="0"/>
            </w:tcBorders>
            <w:shd w:val="clear" w:color="auto" w:fill="auto"/>
            <w:vAlign w:val="center"/>
          </w:tcPr>
          <w:p w14:paraId="1D7E0E83">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政府采购</w:t>
            </w:r>
          </w:p>
          <w:p w14:paraId="797DD7EE">
            <w:pPr>
              <w:pStyle w:val="52"/>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合同融资政策</w:t>
            </w:r>
          </w:p>
        </w:tc>
        <w:tc>
          <w:tcPr>
            <w:tcW w:w="6099" w:type="dxa"/>
            <w:tcBorders>
              <w:top w:val="single" w:color="auto" w:sz="2" w:space="0"/>
              <w:left w:val="single" w:color="auto" w:sz="2" w:space="0"/>
              <w:bottom w:val="single" w:color="auto" w:sz="2" w:space="0"/>
              <w:right w:val="single" w:color="auto" w:sz="2" w:space="0"/>
            </w:tcBorders>
            <w:shd w:val="clear" w:color="auto" w:fill="auto"/>
            <w:vAlign w:val="center"/>
          </w:tcPr>
          <w:p w14:paraId="17FC93B6">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  1.</w:t>
            </w:r>
            <w:r>
              <w:rPr>
                <w:rFonts w:hint="eastAsia" w:ascii="宋体" w:hAnsi="宋体" w:eastAsia="宋体" w:cs="宋体"/>
                <w:i w:val="0"/>
                <w:iCs w:val="0"/>
                <w:color w:val="auto"/>
                <w:sz w:val="24"/>
                <w:szCs w:val="24"/>
                <w:highlight w:val="none"/>
              </w:rPr>
              <w:t>有融资需求的</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人在获得政府采购</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通知书后，即可向开展“政采贷”业务的金融机构提出申请，金融机构依据政府采购</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通知书和政府采购合同，为中小微企业提供融资服务。</w:t>
            </w:r>
          </w:p>
          <w:p w14:paraId="123A0A39">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渠道和方式：</w:t>
            </w:r>
            <w:r>
              <w:rPr>
                <w:rFonts w:hint="eastAsia" w:ascii="宋体" w:hAnsi="宋体" w:eastAsia="宋体" w:cs="宋体"/>
                <w:i w:val="0"/>
                <w:iCs w:val="0"/>
                <w:color w:val="auto"/>
                <w:sz w:val="24"/>
                <w:szCs w:val="24"/>
                <w:highlight w:val="none"/>
                <w:lang w:val="en-US" w:eastAsia="zh-CN"/>
              </w:rPr>
              <w:t>详见新疆政府采购网</w:t>
            </w:r>
            <w:r>
              <w:rPr>
                <w:rFonts w:hint="eastAsia" w:ascii="宋体" w:hAnsi="宋体" w:eastAsia="宋体" w:cs="宋体"/>
                <w:i w:val="0"/>
                <w:iCs w:val="0"/>
                <w:color w:val="auto"/>
                <w:sz w:val="24"/>
                <w:szCs w:val="24"/>
                <w:highlight w:val="none"/>
              </w:rPr>
              <w:t>。</w:t>
            </w:r>
          </w:p>
          <w:p w14:paraId="004663D4">
            <w:pPr>
              <w:pStyle w:val="52"/>
              <w:ind w:firstLine="240" w:firstLineChars="10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为支持和促进中小企业发展，进一步发挥政府采购政策功能，本采购项目适用于政府采购融资优惠、政采贷、电子保函相关政策，鼓励供应商使用电子保函代替现金缴纳各类保证金，在线完成保函的申请、审核、开票、出函等环节，投标企业注意区分办理保函类型，并确认投标有效期，供应商若想了解或使用相关金融服务，可登录【政府采购网】-顶部通栏【信用融资】、【办事指南】模块查看</w:t>
            </w:r>
            <w:r>
              <w:rPr>
                <w:rFonts w:hint="eastAsia" w:ascii="宋体" w:hAnsi="宋体" w:eastAsia="宋体" w:cs="宋体"/>
                <w:i w:val="0"/>
                <w:iCs w:val="0"/>
                <w:color w:val="auto"/>
                <w:sz w:val="24"/>
                <w:szCs w:val="24"/>
                <w:highlight w:val="none"/>
                <w:lang w:eastAsia="zh-CN"/>
              </w:rPr>
              <w:t>。</w:t>
            </w:r>
          </w:p>
        </w:tc>
      </w:tr>
      <w:tr w14:paraId="4698BB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648" w:hRule="atLeast"/>
        </w:trPr>
        <w:tc>
          <w:tcPr>
            <w:tcW w:w="917" w:type="dxa"/>
            <w:tcBorders>
              <w:top w:val="single" w:color="auto" w:sz="2" w:space="0"/>
              <w:left w:val="single" w:color="auto" w:sz="2" w:space="0"/>
              <w:bottom w:val="single" w:color="auto" w:sz="2" w:space="0"/>
              <w:right w:val="single" w:color="auto" w:sz="4" w:space="0"/>
            </w:tcBorders>
            <w:vAlign w:val="center"/>
          </w:tcPr>
          <w:p w14:paraId="63FEC7A7">
            <w:pPr>
              <w:pStyle w:val="52"/>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.1</w:t>
            </w:r>
          </w:p>
        </w:tc>
        <w:tc>
          <w:tcPr>
            <w:tcW w:w="1863" w:type="dxa"/>
            <w:vMerge w:val="restart"/>
            <w:tcBorders>
              <w:top w:val="single" w:color="auto" w:sz="2" w:space="0"/>
              <w:left w:val="single" w:color="auto" w:sz="2" w:space="0"/>
              <w:right w:val="single" w:color="auto" w:sz="4" w:space="0"/>
            </w:tcBorders>
            <w:vAlign w:val="center"/>
          </w:tcPr>
          <w:p w14:paraId="238B53F8">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需要补充的其他内容</w:t>
            </w:r>
          </w:p>
        </w:tc>
        <w:tc>
          <w:tcPr>
            <w:tcW w:w="6099" w:type="dxa"/>
            <w:tcBorders>
              <w:top w:val="single" w:color="auto" w:sz="2" w:space="0"/>
              <w:left w:val="single" w:color="auto" w:sz="4" w:space="0"/>
              <w:bottom w:val="single" w:color="auto" w:sz="2" w:space="0"/>
              <w:right w:val="single" w:color="auto" w:sz="2" w:space="0"/>
            </w:tcBorders>
            <w:vAlign w:val="center"/>
          </w:tcPr>
          <w:p w14:paraId="007122EF">
            <w:pPr>
              <w:pStyle w:val="52"/>
              <w:numPr>
                <w:ilvl w:val="0"/>
                <w:numId w:val="0"/>
              </w:numPr>
              <w:rPr>
                <w:rFonts w:hint="eastAsia" w:cs="宋体"/>
                <w:i w:val="0"/>
                <w:iCs w:val="0"/>
                <w:color w:val="auto"/>
                <w:sz w:val="24"/>
                <w:szCs w:val="24"/>
                <w:highlight w:val="none"/>
                <w:lang w:val="en-US" w:eastAsia="zh-CN"/>
              </w:rPr>
            </w:pPr>
            <w:r>
              <w:rPr>
                <w:rFonts w:hint="eastAsia" w:ascii="宋体" w:hAnsi="宋体" w:eastAsia="宋体" w:cs="宋体"/>
                <w:i w:val="0"/>
                <w:iCs w:val="0"/>
                <w:color w:val="auto"/>
                <w:kern w:val="2"/>
                <w:sz w:val="24"/>
                <w:szCs w:val="24"/>
                <w:lang w:val="en-US" w:eastAsia="zh-CN" w:bidi="ar-SA"/>
              </w:rPr>
              <w:t>1、</w:t>
            </w:r>
            <w:r>
              <w:rPr>
                <w:rFonts w:hint="eastAsia" w:cs="宋体"/>
                <w:i w:val="0"/>
                <w:iCs w:val="0"/>
                <w:color w:val="auto"/>
                <w:sz w:val="24"/>
                <w:szCs w:val="24"/>
                <w:highlight w:val="none"/>
                <w:lang w:val="en-US" w:eastAsia="zh-CN"/>
              </w:rPr>
              <w:t>电子标书加盖印章的两种方式:一种为电子章;另一种为纸质版盖章后扫描，两种方式的任意一种在评审时均予认可。</w:t>
            </w:r>
          </w:p>
          <w:p w14:paraId="58C8E346">
            <w:pPr>
              <w:pStyle w:val="52"/>
              <w:numPr>
                <w:ilvl w:val="0"/>
                <w:numId w:val="0"/>
              </w:numPr>
              <w:rPr>
                <w:rFonts w:hint="eastAsia" w:cs="宋体"/>
                <w:i w:val="0"/>
                <w:iCs w:val="0"/>
                <w:color w:val="auto"/>
                <w:sz w:val="24"/>
                <w:szCs w:val="24"/>
                <w:highlight w:val="none"/>
                <w:lang w:val="en-US" w:eastAsia="zh-CN"/>
              </w:rPr>
            </w:pPr>
            <w:r>
              <w:rPr>
                <w:rFonts w:hint="eastAsia" w:ascii="宋体" w:hAnsi="宋体" w:eastAsia="宋体" w:cs="宋体"/>
                <w:i w:val="0"/>
                <w:iCs w:val="0"/>
                <w:color w:val="auto"/>
                <w:kern w:val="2"/>
                <w:sz w:val="24"/>
                <w:szCs w:val="24"/>
                <w:lang w:val="en-US" w:eastAsia="zh-CN" w:bidi="ar-SA"/>
              </w:rPr>
              <w:t>2、</w:t>
            </w:r>
            <w:r>
              <w:rPr>
                <w:rFonts w:hint="eastAsia" w:cs="宋体"/>
                <w:i w:val="0"/>
                <w:iCs w:val="0"/>
                <w:color w:val="auto"/>
                <w:sz w:val="24"/>
                <w:szCs w:val="24"/>
                <w:highlight w:val="none"/>
                <w:lang w:val="en-US" w:eastAsia="zh-CN"/>
              </w:rPr>
              <w:t>供应商在上传电子响应文件时，需在“商务技术响应文件”中按响应文件格式要求上传完整的响应文件(从封面开始至最后一页)。</w:t>
            </w:r>
          </w:p>
          <w:p w14:paraId="70C7D0C8">
            <w:pPr>
              <w:pStyle w:val="52"/>
              <w:numPr>
                <w:ilvl w:val="0"/>
                <w:numId w:val="0"/>
              </w:numPr>
              <w:rPr>
                <w:rFonts w:hint="eastAsia" w:cs="宋体"/>
                <w:i w:val="0"/>
                <w:iCs w:val="0"/>
                <w:color w:val="auto"/>
                <w:sz w:val="24"/>
                <w:szCs w:val="24"/>
                <w:highlight w:val="none"/>
                <w:lang w:val="en-US" w:eastAsia="zh-CN"/>
              </w:rPr>
            </w:pPr>
            <w:r>
              <w:rPr>
                <w:rFonts w:hint="eastAsia" w:ascii="宋体" w:hAnsi="宋体" w:eastAsia="宋体" w:cs="宋体"/>
                <w:i w:val="0"/>
                <w:iCs w:val="0"/>
                <w:color w:val="auto"/>
                <w:kern w:val="2"/>
                <w:sz w:val="24"/>
                <w:szCs w:val="24"/>
                <w:lang w:val="en-US" w:eastAsia="zh-CN" w:bidi="ar-SA"/>
              </w:rPr>
              <w:t>3、</w:t>
            </w:r>
            <w:r>
              <w:rPr>
                <w:rFonts w:hint="eastAsia" w:cs="宋体"/>
                <w:i w:val="0"/>
                <w:iCs w:val="0"/>
                <w:color w:val="auto"/>
                <w:sz w:val="24"/>
                <w:szCs w:val="24"/>
                <w:highlight w:val="none"/>
                <w:lang w:val="en-US" w:eastAsia="zh-CN"/>
              </w:rPr>
              <w:t>潜在供应商领取文件须提前完成注册、CA证书和电子签章申领和绑定、下载投标客户端。因未注册入库、未办理CA数字证书、CA证书故障、操作不当等原因造成无法投标或投标失败等后果由供应商自行承担。CA证书办理可通过在线APP“新疆政务通”或新疆CA网点办理CA数字证书和电子签章；若单位已经办理过新疆CA证书且证书符合国产密码算法要求，可直接联系发证机构，申请增加“政采云”招投标电子签章，无需重新办理。</w:t>
            </w:r>
          </w:p>
          <w:p w14:paraId="4DCEF6A4">
            <w:pPr>
              <w:pStyle w:val="52"/>
              <w:numPr>
                <w:ilvl w:val="0"/>
                <w:numId w:val="0"/>
              </w:numPr>
              <w:rPr>
                <w:rFonts w:hint="eastAsia" w:cs="宋体"/>
                <w:i w:val="0"/>
                <w:iCs w:val="0"/>
                <w:color w:val="auto"/>
                <w:sz w:val="24"/>
                <w:szCs w:val="24"/>
                <w:highlight w:val="none"/>
                <w:lang w:val="en-US" w:eastAsia="zh-CN"/>
              </w:rPr>
            </w:pPr>
            <w:r>
              <w:rPr>
                <w:rFonts w:hint="eastAsia" w:cs="宋体"/>
                <w:i w:val="0"/>
                <w:iCs w:val="0"/>
                <w:color w:val="auto"/>
                <w:kern w:val="2"/>
                <w:sz w:val="24"/>
                <w:szCs w:val="24"/>
                <w:lang w:val="en-US" w:eastAsia="zh-CN" w:bidi="ar-SA"/>
              </w:rPr>
              <w:t>4</w:t>
            </w:r>
            <w:r>
              <w:rPr>
                <w:rFonts w:hint="eastAsia" w:ascii="宋体" w:hAnsi="宋体" w:eastAsia="宋体" w:cs="宋体"/>
                <w:i w:val="0"/>
                <w:iCs w:val="0"/>
                <w:color w:val="auto"/>
                <w:kern w:val="2"/>
                <w:sz w:val="24"/>
                <w:szCs w:val="24"/>
                <w:lang w:val="en-US" w:eastAsia="zh-CN" w:bidi="ar-SA"/>
              </w:rPr>
              <w:t>、</w:t>
            </w:r>
            <w:r>
              <w:rPr>
                <w:rFonts w:hint="eastAsia" w:ascii="宋体" w:hAnsi="宋体" w:eastAsia="宋体" w:cs="宋体"/>
                <w:color w:val="auto"/>
                <w:kern w:val="1"/>
                <w:sz w:val="24"/>
                <w:szCs w:val="24"/>
                <w:highlight w:val="none"/>
              </w:rPr>
              <w:t>在评审过程直至签订合同前的任何时间，如经证实发现供应商提供虚假投标资料(包括技术支持资料)或信息骗取成交的，或者未按本竞争性磋商文件要求提交履约保证金的（如有要求），将取消其成交资格，没收其磋商保证金，并报主管部门备案。</w:t>
            </w:r>
          </w:p>
          <w:p w14:paraId="6911415F">
            <w:pPr>
              <w:pStyle w:val="52"/>
              <w:numPr>
                <w:ilvl w:val="0"/>
                <w:numId w:val="0"/>
              </w:numPr>
              <w:rPr>
                <w:rFonts w:hint="eastAsia" w:cs="宋体"/>
                <w:i w:val="0"/>
                <w:iCs w:val="0"/>
                <w:color w:val="auto"/>
                <w:sz w:val="24"/>
                <w:szCs w:val="24"/>
                <w:highlight w:val="none"/>
                <w:lang w:val="en-US" w:eastAsia="zh-CN"/>
              </w:rPr>
            </w:pPr>
            <w:r>
              <w:rPr>
                <w:rFonts w:hint="eastAsia" w:cs="宋体"/>
                <w:i w:val="0"/>
                <w:iCs w:val="0"/>
                <w:color w:val="auto"/>
                <w:kern w:val="2"/>
                <w:sz w:val="24"/>
                <w:szCs w:val="24"/>
                <w:lang w:val="en-US" w:eastAsia="zh-CN" w:bidi="ar-SA"/>
              </w:rPr>
              <w:t>5</w:t>
            </w:r>
            <w:r>
              <w:rPr>
                <w:rFonts w:hint="eastAsia" w:ascii="宋体" w:hAnsi="宋体" w:eastAsia="宋体" w:cs="宋体"/>
                <w:i w:val="0"/>
                <w:iCs w:val="0"/>
                <w:color w:val="auto"/>
                <w:kern w:val="2"/>
                <w:sz w:val="24"/>
                <w:szCs w:val="24"/>
                <w:lang w:val="en-US" w:eastAsia="zh-CN" w:bidi="ar-SA"/>
              </w:rPr>
              <w:t>、</w:t>
            </w:r>
            <w:r>
              <w:rPr>
                <w:rFonts w:hint="eastAsia" w:cs="宋体"/>
                <w:i w:val="0"/>
                <w:iCs w:val="0"/>
                <w:color w:val="auto"/>
                <w:sz w:val="24"/>
                <w:szCs w:val="24"/>
                <w:highlight w:val="none"/>
                <w:lang w:val="en-US" w:eastAsia="zh-CN"/>
              </w:rPr>
              <w:t>供应商操作指南详见新疆政府采购网（http://www.ccgp-xinjiang.gov.cn/）—办事指南—操作指南。</w:t>
            </w:r>
          </w:p>
          <w:p w14:paraId="5A700994">
            <w:pPr>
              <w:pStyle w:val="52"/>
              <w:numPr>
                <w:ilvl w:val="0"/>
                <w:numId w:val="0"/>
              </w:numPr>
              <w:rPr>
                <w:rFonts w:hint="eastAsia" w:cs="宋体"/>
                <w:i w:val="0"/>
                <w:iCs w:val="0"/>
                <w:color w:val="auto"/>
                <w:sz w:val="24"/>
                <w:szCs w:val="24"/>
                <w:highlight w:val="none"/>
                <w:lang w:val="en-US" w:eastAsia="zh-CN"/>
              </w:rPr>
            </w:pPr>
            <w:r>
              <w:rPr>
                <w:rFonts w:hint="eastAsia" w:cs="宋体"/>
                <w:i w:val="0"/>
                <w:iCs w:val="0"/>
                <w:color w:val="auto"/>
                <w:kern w:val="2"/>
                <w:sz w:val="24"/>
                <w:szCs w:val="24"/>
                <w:lang w:val="en-US" w:eastAsia="zh-CN" w:bidi="ar-SA"/>
              </w:rPr>
              <w:t>6</w:t>
            </w:r>
            <w:r>
              <w:rPr>
                <w:rFonts w:hint="eastAsia" w:ascii="宋体" w:hAnsi="宋体" w:eastAsia="宋体" w:cs="宋体"/>
                <w:i w:val="0"/>
                <w:iCs w:val="0"/>
                <w:color w:val="auto"/>
                <w:kern w:val="2"/>
                <w:sz w:val="24"/>
                <w:szCs w:val="24"/>
                <w:lang w:val="en-US" w:eastAsia="zh-CN" w:bidi="ar-SA"/>
              </w:rPr>
              <w:t>、</w:t>
            </w:r>
            <w:r>
              <w:rPr>
                <w:rFonts w:hint="eastAsia" w:cs="宋体"/>
                <w:i w:val="0"/>
                <w:iCs w:val="0"/>
                <w:color w:val="auto"/>
                <w:sz w:val="24"/>
                <w:szCs w:val="24"/>
                <w:highlight w:val="none"/>
                <w:lang w:val="en-US" w:eastAsia="zh-CN"/>
              </w:rPr>
              <w:t>系统操作问题请咨询技术支持电话0991-2899144，CA办理问题请咨询新疆CA服务电话0991-2819290，或加QQ号</w:t>
            </w:r>
            <w:r>
              <w:rPr>
                <w:rFonts w:hint="eastAsia" w:ascii="宋体" w:hAnsi="宋体" w:eastAsia="宋体" w:cs="宋体"/>
                <w:color w:val="auto"/>
                <w:kern w:val="1"/>
                <w:sz w:val="24"/>
                <w:szCs w:val="24"/>
                <w:highlight w:val="none"/>
                <w:lang w:val="en-US" w:eastAsia="zh-CN"/>
              </w:rPr>
              <w:t>800175577。</w:t>
            </w:r>
          </w:p>
          <w:p w14:paraId="65F89C06">
            <w:pPr>
              <w:pStyle w:val="52"/>
              <w:numPr>
                <w:ilvl w:val="0"/>
                <w:numId w:val="0"/>
              </w:numPr>
              <w:rPr>
                <w:rFonts w:hint="eastAsia" w:cs="宋体"/>
                <w:i w:val="0"/>
                <w:iCs w:val="0"/>
                <w:color w:val="auto"/>
                <w:sz w:val="24"/>
                <w:szCs w:val="24"/>
                <w:highlight w:val="none"/>
                <w:lang w:val="en-US" w:eastAsia="zh-CN"/>
              </w:rPr>
            </w:pPr>
            <w:r>
              <w:rPr>
                <w:rFonts w:hint="eastAsia" w:cs="宋体"/>
                <w:i w:val="0"/>
                <w:iCs w:val="0"/>
                <w:color w:val="auto"/>
                <w:kern w:val="2"/>
                <w:sz w:val="24"/>
                <w:szCs w:val="24"/>
                <w:lang w:val="en-US" w:eastAsia="zh-CN" w:bidi="ar-SA"/>
              </w:rPr>
              <w:t>7</w:t>
            </w:r>
            <w:r>
              <w:rPr>
                <w:rFonts w:hint="eastAsia" w:ascii="宋体" w:hAnsi="宋体" w:eastAsia="宋体" w:cs="宋体"/>
                <w:i w:val="0"/>
                <w:iCs w:val="0"/>
                <w:color w:val="auto"/>
                <w:kern w:val="2"/>
                <w:sz w:val="24"/>
                <w:szCs w:val="24"/>
                <w:lang w:val="en-US" w:eastAsia="zh-CN" w:bidi="ar-SA"/>
              </w:rPr>
              <w:t>、</w:t>
            </w:r>
            <w:r>
              <w:rPr>
                <w:rFonts w:hint="eastAsia" w:ascii="宋体" w:hAnsi="宋体" w:eastAsia="宋体" w:cs="宋体"/>
                <w:color w:val="auto"/>
                <w:kern w:val="1"/>
                <w:sz w:val="24"/>
                <w:szCs w:val="24"/>
                <w:highlight w:val="none"/>
                <w:lang w:val="en-US" w:eastAsia="zh-CN"/>
              </w:rPr>
              <w:t>为支持和促进中小企业发展，进一步发挥政府采购政策功能，鼓励金融机构积极开发灵活适用的政府采购金融服务产品，拓宽企业融资渠道。鼓励供应商使用政采云电子保函代替现金缴纳磋</w:t>
            </w:r>
            <w:r>
              <w:rPr>
                <w:rFonts w:hint="eastAsia" w:cs="宋体"/>
                <w:i w:val="0"/>
                <w:iCs w:val="0"/>
                <w:color w:val="auto"/>
                <w:sz w:val="24"/>
                <w:szCs w:val="24"/>
                <w:highlight w:val="none"/>
                <w:lang w:val="en-US" w:eastAsia="zh-CN"/>
              </w:rPr>
              <w:t>商保证金，如履约保证金与预付款保证金等，具体可登录【新疆政府采购网】-【电子保函】模块查看：直达链接：</w:t>
            </w:r>
            <w:r>
              <w:rPr>
                <w:rFonts w:hint="eastAsia" w:cs="宋体"/>
                <w:i w:val="0"/>
                <w:iCs w:val="0"/>
                <w:color w:val="auto"/>
                <w:sz w:val="24"/>
                <w:szCs w:val="24"/>
                <w:highlight w:val="none"/>
                <w:lang w:val="en-US" w:eastAsia="zh-CN"/>
              </w:rPr>
              <w:fldChar w:fldCharType="begin"/>
            </w:r>
            <w:r>
              <w:rPr>
                <w:rFonts w:hint="eastAsia" w:cs="宋体"/>
                <w:i w:val="0"/>
                <w:iCs w:val="0"/>
                <w:color w:val="auto"/>
                <w:sz w:val="24"/>
                <w:szCs w:val="24"/>
                <w:highlight w:val="none"/>
                <w:lang w:val="en-US" w:eastAsia="zh-CN"/>
              </w:rPr>
              <w:instrText xml:space="preserve"> HYPERLINK "https://jinrong.zcygov.cn/luban/finance/letter/xinjiang?pageModelFlag=650000" </w:instrText>
            </w:r>
            <w:r>
              <w:rPr>
                <w:rFonts w:hint="eastAsia" w:cs="宋体"/>
                <w:i w:val="0"/>
                <w:iCs w:val="0"/>
                <w:color w:val="auto"/>
                <w:sz w:val="24"/>
                <w:szCs w:val="24"/>
                <w:highlight w:val="none"/>
                <w:lang w:val="en-US" w:eastAsia="zh-CN"/>
              </w:rPr>
              <w:fldChar w:fldCharType="separate"/>
            </w:r>
            <w:r>
              <w:rPr>
                <w:rStyle w:val="37"/>
                <w:rFonts w:hint="eastAsia" w:cs="宋体"/>
                <w:i w:val="0"/>
                <w:iCs w:val="0"/>
                <w:sz w:val="24"/>
                <w:szCs w:val="24"/>
                <w:highlight w:val="none"/>
                <w:lang w:val="en-US" w:eastAsia="zh-CN"/>
              </w:rPr>
              <w:t>https://jinrong.zcygov.cn/luban/finance/letter/xinjiang?pageModelFlag=650000</w:t>
            </w:r>
            <w:r>
              <w:rPr>
                <w:rFonts w:hint="eastAsia" w:cs="宋体"/>
                <w:i w:val="0"/>
                <w:iCs w:val="0"/>
                <w:color w:val="auto"/>
                <w:sz w:val="24"/>
                <w:szCs w:val="24"/>
                <w:highlight w:val="none"/>
                <w:lang w:val="en-US" w:eastAsia="zh-CN"/>
              </w:rPr>
              <w:fldChar w:fldCharType="end"/>
            </w:r>
          </w:p>
        </w:tc>
      </w:tr>
      <w:tr w14:paraId="4E168F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032" w:hRule="atLeast"/>
        </w:trPr>
        <w:tc>
          <w:tcPr>
            <w:tcW w:w="917" w:type="dxa"/>
            <w:tcBorders>
              <w:top w:val="single" w:color="auto" w:sz="2" w:space="0"/>
              <w:left w:val="single" w:color="auto" w:sz="2" w:space="0"/>
              <w:bottom w:val="single" w:color="auto" w:sz="2" w:space="0"/>
              <w:right w:val="single" w:color="auto" w:sz="4" w:space="0"/>
            </w:tcBorders>
            <w:vAlign w:val="center"/>
          </w:tcPr>
          <w:p w14:paraId="3084AFE2">
            <w:pPr>
              <w:pStyle w:val="52"/>
              <w:jc w:val="center"/>
              <w:rPr>
                <w:rFonts w:hint="eastAsia" w:ascii="宋体" w:hAnsi="宋体" w:eastAsia="宋体" w:cs="宋体"/>
                <w:i w:val="0"/>
                <w:iCs w:val="0"/>
                <w:color w:val="auto"/>
                <w:sz w:val="24"/>
                <w:szCs w:val="24"/>
                <w:highlight w:val="none"/>
              </w:rPr>
            </w:pPr>
          </w:p>
        </w:tc>
        <w:tc>
          <w:tcPr>
            <w:tcW w:w="1863" w:type="dxa"/>
            <w:vMerge w:val="continue"/>
            <w:tcBorders>
              <w:left w:val="single" w:color="auto" w:sz="2" w:space="0"/>
              <w:bottom w:val="single" w:color="auto" w:sz="2" w:space="0"/>
              <w:right w:val="single" w:color="auto" w:sz="4" w:space="0"/>
            </w:tcBorders>
            <w:vAlign w:val="center"/>
          </w:tcPr>
          <w:p w14:paraId="0A8D3CD9">
            <w:pPr>
              <w:pStyle w:val="52"/>
              <w:rPr>
                <w:rFonts w:hint="eastAsia" w:ascii="宋体" w:hAnsi="宋体" w:eastAsia="宋体" w:cs="宋体"/>
                <w:i w:val="0"/>
                <w:iCs w:val="0"/>
                <w:color w:val="auto"/>
                <w:sz w:val="24"/>
                <w:szCs w:val="24"/>
                <w:highlight w:val="none"/>
              </w:rPr>
            </w:pPr>
          </w:p>
        </w:tc>
        <w:tc>
          <w:tcPr>
            <w:tcW w:w="6099" w:type="dxa"/>
            <w:tcBorders>
              <w:top w:val="single" w:color="auto" w:sz="2" w:space="0"/>
              <w:left w:val="single" w:color="auto" w:sz="4" w:space="0"/>
              <w:bottom w:val="single" w:color="auto" w:sz="2" w:space="0"/>
              <w:right w:val="single" w:color="auto" w:sz="2" w:space="0"/>
            </w:tcBorders>
            <w:vAlign w:val="center"/>
          </w:tcPr>
          <w:p w14:paraId="5FD802BB">
            <w:pPr>
              <w:pStyle w:val="52"/>
              <w:numPr>
                <w:ilvl w:val="0"/>
                <w:numId w:val="0"/>
              </w:numPr>
              <w:rPr>
                <w:rFonts w:hint="eastAsia" w:cs="宋体"/>
                <w:i w:val="0"/>
                <w:iCs w:val="0"/>
                <w:color w:val="auto"/>
                <w:kern w:val="2"/>
                <w:sz w:val="24"/>
                <w:szCs w:val="24"/>
                <w:lang w:val="en-US" w:eastAsia="zh-CN" w:bidi="ar-SA"/>
              </w:rPr>
            </w:pPr>
            <w:r>
              <w:rPr>
                <w:rFonts w:hint="eastAsia" w:cs="宋体"/>
                <w:b/>
                <w:bCs/>
                <w:i w:val="0"/>
                <w:iCs w:val="0"/>
                <w:color w:val="auto"/>
                <w:kern w:val="2"/>
                <w:sz w:val="24"/>
                <w:szCs w:val="24"/>
                <w:lang w:val="en-US" w:eastAsia="zh-CN" w:bidi="ar-SA"/>
              </w:rPr>
              <w:t>政府采购异常低价审查</w:t>
            </w:r>
            <w:r>
              <w:rPr>
                <w:rFonts w:hint="eastAsia" w:cs="宋体"/>
                <w:i w:val="0"/>
                <w:iCs w:val="0"/>
                <w:color w:val="auto"/>
                <w:kern w:val="2"/>
                <w:sz w:val="24"/>
                <w:szCs w:val="24"/>
                <w:lang w:val="en-US" w:eastAsia="zh-CN" w:bidi="ar-SA"/>
              </w:rPr>
              <w:t>：</w:t>
            </w:r>
          </w:p>
          <w:p w14:paraId="6F60E7DC">
            <w:pPr>
              <w:pStyle w:val="52"/>
              <w:numPr>
                <w:ilvl w:val="0"/>
                <w:numId w:val="0"/>
              </w:numPr>
              <w:rPr>
                <w:rFonts w:hint="eastAsia" w:cs="宋体"/>
                <w:i w:val="0"/>
                <w:iCs w:val="0"/>
                <w:color w:val="auto"/>
                <w:kern w:val="2"/>
                <w:sz w:val="24"/>
                <w:szCs w:val="24"/>
                <w:lang w:val="en-US" w:eastAsia="zh-CN" w:bidi="ar-SA"/>
              </w:rPr>
            </w:pPr>
            <w:r>
              <w:rPr>
                <w:rFonts w:hint="eastAsia" w:cs="宋体"/>
                <w:i w:val="0"/>
                <w:iCs w:val="0"/>
                <w:color w:val="auto"/>
                <w:kern w:val="2"/>
                <w:sz w:val="24"/>
                <w:szCs w:val="24"/>
                <w:lang w:val="en-US" w:eastAsia="zh-CN" w:bidi="ar-SA"/>
              </w:rPr>
              <w:t>（一）政府采购评审中出现下列情形之一的，评审委员会应当启动异常低价投标（响应）审查程序：</w:t>
            </w:r>
          </w:p>
          <w:p w14:paraId="43B57615">
            <w:pPr>
              <w:pStyle w:val="52"/>
              <w:numPr>
                <w:ilvl w:val="0"/>
                <w:numId w:val="0"/>
              </w:numPr>
              <w:rPr>
                <w:rFonts w:hint="eastAsia" w:cs="宋体"/>
                <w:i w:val="0"/>
                <w:iCs w:val="0"/>
                <w:color w:val="auto"/>
                <w:kern w:val="2"/>
                <w:sz w:val="24"/>
                <w:szCs w:val="24"/>
                <w:lang w:val="en-US" w:eastAsia="zh-CN" w:bidi="ar-SA"/>
              </w:rPr>
            </w:pPr>
            <w:r>
              <w:rPr>
                <w:rFonts w:hint="eastAsia" w:cs="宋体"/>
                <w:i w:val="0"/>
                <w:iCs w:val="0"/>
                <w:color w:val="auto"/>
                <w:kern w:val="2"/>
                <w:sz w:val="24"/>
                <w:szCs w:val="24"/>
                <w:lang w:val="en-US" w:eastAsia="zh-CN" w:bidi="ar-SA"/>
              </w:rPr>
              <w:t>1.投标（响应）报价低于全部通过符合性审查供应商投标（响应）报价平均值50%的，即投标（响应）报价&lt;全部通过符合性审查供应商投标（响应）报价平均值×50%；</w:t>
            </w:r>
          </w:p>
          <w:p w14:paraId="0865D76D">
            <w:pPr>
              <w:pStyle w:val="52"/>
              <w:numPr>
                <w:ilvl w:val="0"/>
                <w:numId w:val="0"/>
              </w:numPr>
              <w:rPr>
                <w:rFonts w:hint="eastAsia" w:cs="宋体"/>
                <w:i w:val="0"/>
                <w:iCs w:val="0"/>
                <w:color w:val="auto"/>
                <w:kern w:val="2"/>
                <w:sz w:val="24"/>
                <w:szCs w:val="24"/>
                <w:lang w:val="en-US" w:eastAsia="zh-CN" w:bidi="ar-SA"/>
              </w:rPr>
            </w:pPr>
            <w:r>
              <w:rPr>
                <w:rFonts w:hint="eastAsia" w:cs="宋体"/>
                <w:i w:val="0"/>
                <w:iCs w:val="0"/>
                <w:color w:val="auto"/>
                <w:kern w:val="2"/>
                <w:sz w:val="24"/>
                <w:szCs w:val="24"/>
                <w:lang w:val="en-US" w:eastAsia="zh-CN" w:bidi="ar-SA"/>
              </w:rPr>
              <w:t>2.投标（响应）报价低于通过符合性审查的次低报价供应商投标（响应）报价50%的，即投标（响应）报价&lt;通过符合性审查的次低报价供应商投标（响应）报价×50%；</w:t>
            </w:r>
          </w:p>
          <w:p w14:paraId="704D6036">
            <w:pPr>
              <w:pStyle w:val="52"/>
              <w:numPr>
                <w:ilvl w:val="0"/>
                <w:numId w:val="0"/>
              </w:numPr>
              <w:rPr>
                <w:rFonts w:hint="eastAsia" w:cs="宋体"/>
                <w:i w:val="0"/>
                <w:iCs w:val="0"/>
                <w:color w:val="auto"/>
                <w:kern w:val="2"/>
                <w:sz w:val="24"/>
                <w:szCs w:val="24"/>
                <w:lang w:val="en-US" w:eastAsia="zh-CN" w:bidi="ar-SA"/>
              </w:rPr>
            </w:pPr>
            <w:r>
              <w:rPr>
                <w:rFonts w:hint="eastAsia" w:cs="宋体"/>
                <w:i w:val="0"/>
                <w:iCs w:val="0"/>
                <w:color w:val="auto"/>
                <w:kern w:val="2"/>
                <w:sz w:val="24"/>
                <w:szCs w:val="24"/>
                <w:lang w:val="en-US" w:eastAsia="zh-CN" w:bidi="ar-SA"/>
              </w:rPr>
              <w:t>3.投标（响应）报价低于采购项目最高限价45%的，即投标（响应）报价&lt;采购项目最高限价×45%；</w:t>
            </w:r>
          </w:p>
          <w:p w14:paraId="4FA8D1CD">
            <w:pPr>
              <w:pStyle w:val="52"/>
              <w:numPr>
                <w:ilvl w:val="0"/>
                <w:numId w:val="0"/>
              </w:numPr>
              <w:rPr>
                <w:rFonts w:hint="eastAsia" w:cs="宋体"/>
                <w:i w:val="0"/>
                <w:iCs w:val="0"/>
                <w:color w:val="auto"/>
                <w:kern w:val="2"/>
                <w:sz w:val="24"/>
                <w:szCs w:val="24"/>
                <w:lang w:val="en-US" w:eastAsia="zh-CN" w:bidi="ar-SA"/>
              </w:rPr>
            </w:pPr>
            <w:r>
              <w:rPr>
                <w:rFonts w:hint="eastAsia" w:cs="宋体"/>
                <w:i w:val="0"/>
                <w:iCs w:val="0"/>
                <w:color w:val="auto"/>
                <w:kern w:val="2"/>
                <w:sz w:val="24"/>
                <w:szCs w:val="24"/>
                <w:lang w:val="en-US" w:eastAsia="zh-CN" w:bidi="ar-SA"/>
              </w:rPr>
              <w:t>4.评审委员会基于专业判断，认为供应商报价过低，有可能影响产品质量或者不能诚信履约的其他情形。</w:t>
            </w:r>
          </w:p>
          <w:p w14:paraId="7177AA52">
            <w:pPr>
              <w:pStyle w:val="52"/>
              <w:numPr>
                <w:ilvl w:val="0"/>
                <w:numId w:val="0"/>
              </w:numPr>
              <w:rPr>
                <w:rFonts w:hint="eastAsia" w:cs="宋体"/>
                <w:i w:val="0"/>
                <w:iCs w:val="0"/>
                <w:color w:val="auto"/>
                <w:kern w:val="2"/>
                <w:sz w:val="24"/>
                <w:szCs w:val="24"/>
                <w:lang w:val="en-US" w:eastAsia="zh-CN" w:bidi="ar-SA"/>
              </w:rPr>
            </w:pPr>
            <w:r>
              <w:rPr>
                <w:rFonts w:hint="eastAsia" w:cs="宋体"/>
                <w:i w:val="0"/>
                <w:iCs w:val="0"/>
                <w:color w:val="auto"/>
                <w:kern w:val="2"/>
                <w:sz w:val="24"/>
                <w:szCs w:val="24"/>
                <w:lang w:val="en-US" w:eastAsia="zh-CN" w:bidi="ar-SA"/>
              </w:rPr>
              <w:t>（二）评审委员会启动异常低价投标（响应）审查后，属于前述第1项至第4项情形的，应当要求相关供应商在评审现场合理的时间（30分钟）内对投标（响应）价格作出解释，提供项目具体成本测算等与报价合理性相关的书面说明及必要的证明材料，包括但不限于原材料成本、人工成本、制造费用等。其中，属于第3项情形，供应商已随投标（响应）文件一并提交相关书面说明及必要的证明材料的，在评审现场可不再重复提交。</w:t>
            </w:r>
          </w:p>
          <w:p w14:paraId="3AB5942C">
            <w:pPr>
              <w:pStyle w:val="52"/>
              <w:numPr>
                <w:ilvl w:val="0"/>
                <w:numId w:val="0"/>
              </w:numPr>
              <w:rPr>
                <w:rFonts w:hint="eastAsia" w:cs="宋体"/>
                <w:i w:val="0"/>
                <w:iCs w:val="0"/>
                <w:color w:val="auto"/>
                <w:kern w:val="2"/>
                <w:sz w:val="24"/>
                <w:szCs w:val="24"/>
                <w:lang w:val="en-US" w:eastAsia="zh-CN" w:bidi="ar-SA"/>
              </w:rPr>
            </w:pPr>
            <w:r>
              <w:rPr>
                <w:rFonts w:hint="eastAsia" w:cs="宋体"/>
                <w:i w:val="0"/>
                <w:iCs w:val="0"/>
                <w:color w:val="auto"/>
                <w:kern w:val="2"/>
                <w:sz w:val="24"/>
                <w:szCs w:val="24"/>
                <w:lang w:val="en-US" w:eastAsia="zh-CN" w:bidi="ar-SA"/>
              </w:rPr>
              <w:t>（三）投标（响应）供应商不能提供书面说明、证明材料，或者提供的书面说明、证明材料不能证明其报价合理性的，评审委员会应当将其作为无效投标（响应）处理。</w:t>
            </w:r>
          </w:p>
        </w:tc>
      </w:tr>
      <w:tr w14:paraId="2FD7B5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74" w:hRule="atLeast"/>
        </w:trPr>
        <w:tc>
          <w:tcPr>
            <w:tcW w:w="8879" w:type="dxa"/>
            <w:gridSpan w:val="3"/>
            <w:tcBorders>
              <w:top w:val="single" w:color="auto" w:sz="2" w:space="0"/>
              <w:left w:val="single" w:color="auto" w:sz="2" w:space="0"/>
              <w:bottom w:val="single" w:color="auto" w:sz="2" w:space="0"/>
              <w:right w:val="single" w:color="auto" w:sz="2" w:space="0"/>
            </w:tcBorders>
            <w:vAlign w:val="center"/>
          </w:tcPr>
          <w:p w14:paraId="5B1D7000">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 除本竞争性磋商文件另有规定外，竞争性磋商文件中出现的类似于“近三年”或“前三年”、“近五年”或“前五年”均指递交响应文件时间以前三年或前五年，以此类推。如：递交响应文件时间为</w:t>
            </w:r>
            <w:r>
              <w:rPr>
                <w:rFonts w:hint="eastAsia" w:cs="宋体"/>
                <w:i w:val="0"/>
                <w:iCs w:val="0"/>
                <w:color w:val="auto"/>
                <w:sz w:val="24"/>
                <w:szCs w:val="24"/>
                <w:highlight w:val="none"/>
                <w:lang w:val="en-US" w:eastAsia="zh-CN"/>
              </w:rPr>
              <w:t>2025</w:t>
            </w:r>
            <w:r>
              <w:rPr>
                <w:rFonts w:hint="eastAsia" w:ascii="宋体" w:hAnsi="宋体" w:eastAsia="宋体" w:cs="宋体"/>
                <w:i w:val="0"/>
                <w:iCs w:val="0"/>
                <w:color w:val="auto"/>
                <w:sz w:val="24"/>
                <w:szCs w:val="24"/>
                <w:highlight w:val="none"/>
              </w:rPr>
              <w:t>年</w:t>
            </w:r>
            <w:r>
              <w:rPr>
                <w:rFonts w:hint="eastAsia"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月</w:t>
            </w:r>
            <w:r>
              <w:rPr>
                <w:rFonts w:hint="eastAsia"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日，则“近三年”是指</w:t>
            </w:r>
            <w:r>
              <w:rPr>
                <w:rFonts w:hint="eastAsia" w:cs="宋体"/>
                <w:i w:val="0"/>
                <w:iCs w:val="0"/>
                <w:color w:val="auto"/>
                <w:sz w:val="24"/>
                <w:szCs w:val="24"/>
                <w:highlight w:val="none"/>
                <w:lang w:val="en-US" w:eastAsia="zh-CN"/>
              </w:rPr>
              <w:t>2022</w:t>
            </w:r>
            <w:r>
              <w:rPr>
                <w:rFonts w:hint="eastAsia" w:ascii="宋体" w:hAnsi="宋体" w:eastAsia="宋体" w:cs="宋体"/>
                <w:i w:val="0"/>
                <w:iCs w:val="0"/>
                <w:color w:val="auto"/>
                <w:sz w:val="24"/>
                <w:szCs w:val="24"/>
                <w:highlight w:val="none"/>
              </w:rPr>
              <w:t>年</w:t>
            </w:r>
            <w:r>
              <w:rPr>
                <w:rFonts w:hint="eastAsia"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月</w:t>
            </w:r>
            <w:r>
              <w:rPr>
                <w:rFonts w:hint="eastAsia"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日至</w:t>
            </w:r>
            <w:r>
              <w:rPr>
                <w:rFonts w:hint="eastAsia" w:cs="宋体"/>
                <w:i w:val="0"/>
                <w:iCs w:val="0"/>
                <w:color w:val="auto"/>
                <w:sz w:val="24"/>
                <w:szCs w:val="24"/>
                <w:highlight w:val="none"/>
                <w:lang w:val="en-US" w:eastAsia="zh-CN"/>
              </w:rPr>
              <w:t>2025</w:t>
            </w:r>
            <w:r>
              <w:rPr>
                <w:rFonts w:hint="eastAsia" w:ascii="宋体" w:hAnsi="宋体" w:eastAsia="宋体" w:cs="宋体"/>
                <w:i w:val="0"/>
                <w:iCs w:val="0"/>
                <w:color w:val="auto"/>
                <w:sz w:val="24"/>
                <w:szCs w:val="24"/>
                <w:highlight w:val="none"/>
              </w:rPr>
              <w:t>年</w:t>
            </w:r>
            <w:r>
              <w:rPr>
                <w:rFonts w:hint="eastAsia"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月</w:t>
            </w:r>
            <w:r>
              <w:rPr>
                <w:rFonts w:hint="eastAsia"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日。</w:t>
            </w:r>
          </w:p>
          <w:p w14:paraId="28F83114">
            <w:pPr>
              <w:pStyle w:val="5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 本竞争性磋商文件所称的“以上”、“以下”、“内”、“以内”，包括本数；所称的“不足”，不包括本数。</w:t>
            </w:r>
          </w:p>
        </w:tc>
      </w:tr>
      <w:bookmarkEnd w:id="84"/>
    </w:tbl>
    <w:p w14:paraId="32F33C84">
      <w:pPr>
        <w:rPr>
          <w:rFonts w:hint="eastAsia" w:eastAsia="宋体" w:asciiTheme="majorHAnsi" w:hAnsiTheme="majorHAnsi" w:cstheme="majorBidi"/>
          <w:b/>
          <w:bCs/>
          <w:i w:val="0"/>
          <w:iCs w:val="0"/>
          <w:color w:val="auto"/>
          <w:kern w:val="2"/>
          <w:sz w:val="28"/>
          <w:szCs w:val="28"/>
          <w:highlight w:val="none"/>
          <w:lang w:val="en-US" w:eastAsia="zh-CN" w:bidi="ar-SA"/>
        </w:rPr>
      </w:pPr>
      <w:bookmarkStart w:id="86" w:name="_Toc185"/>
      <w:r>
        <w:rPr>
          <w:rFonts w:hint="eastAsia" w:eastAsia="宋体" w:asciiTheme="majorHAnsi" w:hAnsiTheme="majorHAnsi" w:cstheme="majorBidi"/>
          <w:b/>
          <w:bCs/>
          <w:i w:val="0"/>
          <w:iCs w:val="0"/>
          <w:color w:val="auto"/>
          <w:kern w:val="2"/>
          <w:sz w:val="28"/>
          <w:szCs w:val="28"/>
          <w:highlight w:val="none"/>
          <w:lang w:val="en-US" w:eastAsia="zh-CN" w:bidi="ar-SA"/>
        </w:rPr>
        <w:br w:type="page"/>
      </w:r>
    </w:p>
    <w:p w14:paraId="5654F204">
      <w:pPr>
        <w:pStyle w:val="4"/>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i w:val="0"/>
          <w:iCs w:val="0"/>
          <w:color w:val="auto"/>
          <w:kern w:val="2"/>
          <w:sz w:val="28"/>
          <w:szCs w:val="28"/>
          <w:highlight w:val="none"/>
          <w:lang w:val="en-US" w:eastAsia="zh-CN" w:bidi="ar-SA"/>
        </w:rPr>
      </w:pPr>
      <w:r>
        <w:rPr>
          <w:rFonts w:hint="eastAsia" w:eastAsia="宋体" w:asciiTheme="majorHAnsi" w:hAnsiTheme="majorHAnsi" w:cstheme="majorBidi"/>
          <w:b/>
          <w:bCs/>
          <w:i w:val="0"/>
          <w:iCs w:val="0"/>
          <w:color w:val="auto"/>
          <w:kern w:val="2"/>
          <w:sz w:val="28"/>
          <w:szCs w:val="28"/>
          <w:highlight w:val="none"/>
          <w:lang w:val="en-US" w:eastAsia="zh-CN" w:bidi="ar-SA"/>
        </w:rPr>
        <w:t>二、供应商须知</w:t>
      </w:r>
      <w:bookmarkEnd w:id="86"/>
    </w:p>
    <w:p w14:paraId="4D1347CC">
      <w:pPr>
        <w:pStyle w:val="5"/>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87" w:name="_Toc109897433"/>
      <w:bookmarkStart w:id="88" w:name="_Toc109899951"/>
      <w:bookmarkStart w:id="89" w:name="_Toc21767"/>
      <w:bookmarkStart w:id="90" w:name="_Toc163493611"/>
      <w:bookmarkStart w:id="91" w:name="_Toc46771638"/>
      <w:bookmarkStart w:id="92" w:name="_Toc109899532"/>
      <w:bookmarkStart w:id="93" w:name="_Toc109900370"/>
      <w:bookmarkStart w:id="94" w:name="_Toc470172694"/>
      <w:r>
        <w:rPr>
          <w:rFonts w:hint="eastAsia" w:ascii="宋体" w:hAnsi="宋体" w:eastAsia="宋体" w:cs="宋体"/>
          <w:b/>
          <w:bCs/>
          <w:i w:val="0"/>
          <w:iCs w:val="0"/>
          <w:color w:val="auto"/>
          <w:kern w:val="2"/>
          <w:sz w:val="24"/>
          <w:szCs w:val="24"/>
          <w:highlight w:val="none"/>
          <w:lang w:val="en-US" w:eastAsia="zh-CN" w:bidi="ar-SA"/>
        </w:rPr>
        <w:t>（一）总则</w:t>
      </w:r>
      <w:bookmarkEnd w:id="87"/>
      <w:bookmarkEnd w:id="88"/>
      <w:bookmarkEnd w:id="89"/>
      <w:bookmarkEnd w:id="90"/>
      <w:bookmarkEnd w:id="91"/>
      <w:bookmarkEnd w:id="92"/>
      <w:bookmarkEnd w:id="93"/>
    </w:p>
    <w:p w14:paraId="3F181F20">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95" w:name="_Toc470172664"/>
      <w:bookmarkStart w:id="96" w:name="_Toc46771639"/>
      <w:bookmarkStart w:id="97" w:name="_Toc48688788"/>
      <w:bookmarkStart w:id="98" w:name="_Toc109899533"/>
      <w:bookmarkStart w:id="99" w:name="_Toc109897434"/>
      <w:bookmarkStart w:id="100" w:name="_Toc46772240"/>
      <w:bookmarkStart w:id="101" w:name="_Toc48846108"/>
      <w:bookmarkStart w:id="102" w:name="_Toc109900371"/>
      <w:bookmarkStart w:id="103" w:name="_Toc109899952"/>
      <w:bookmarkStart w:id="104" w:name="_Toc27243"/>
      <w:bookmarkStart w:id="105" w:name="_Toc52960552"/>
      <w:bookmarkStart w:id="106" w:name="_Toc52962726"/>
      <w:bookmarkStart w:id="107" w:name="_Toc51674210"/>
      <w:r>
        <w:rPr>
          <w:rFonts w:hint="eastAsia" w:ascii="宋体" w:hAnsi="宋体" w:eastAsia="宋体" w:cs="宋体"/>
          <w:b/>
          <w:bCs/>
          <w:i w:val="0"/>
          <w:iCs w:val="0"/>
          <w:color w:val="auto"/>
          <w:kern w:val="2"/>
          <w:sz w:val="24"/>
          <w:szCs w:val="24"/>
          <w:highlight w:val="none"/>
          <w:lang w:val="en-US" w:eastAsia="zh-CN" w:bidi="ar-SA"/>
        </w:rPr>
        <w:t>1.适用范围</w:t>
      </w:r>
      <w:bookmarkEnd w:id="95"/>
      <w:bookmarkEnd w:id="96"/>
      <w:bookmarkEnd w:id="97"/>
      <w:bookmarkEnd w:id="98"/>
      <w:bookmarkEnd w:id="99"/>
      <w:bookmarkEnd w:id="100"/>
      <w:bookmarkEnd w:id="101"/>
      <w:bookmarkEnd w:id="102"/>
      <w:bookmarkEnd w:id="103"/>
      <w:bookmarkEnd w:id="104"/>
      <w:bookmarkEnd w:id="105"/>
      <w:bookmarkEnd w:id="106"/>
      <w:bookmarkEnd w:id="107"/>
    </w:p>
    <w:p w14:paraId="70FD0CDE">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rPr>
        <w:t>1.1本竞争性磋商文件（也称磋商文件或采购文件）仅适用于本次竞争性磋商中所述项目的采购活动。</w:t>
      </w:r>
    </w:p>
    <w:p w14:paraId="1EB15B5C">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108" w:name="_Toc163492824"/>
      <w:r>
        <w:rPr>
          <w:rFonts w:hint="eastAsia" w:ascii="宋体" w:hAnsi="宋体" w:eastAsia="宋体" w:cs="宋体"/>
          <w:b/>
          <w:bCs/>
          <w:i w:val="0"/>
          <w:iCs w:val="0"/>
          <w:color w:val="auto"/>
          <w:kern w:val="2"/>
          <w:sz w:val="24"/>
          <w:szCs w:val="24"/>
          <w:highlight w:val="none"/>
          <w:lang w:val="en-US" w:eastAsia="zh-CN" w:bidi="ar-SA"/>
        </w:rPr>
        <w:t>2.基本定义</w:t>
      </w:r>
      <w:bookmarkEnd w:id="108"/>
    </w:p>
    <w:p w14:paraId="1BF6CDB2">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2.1根据《中华人民共和国政府采购法》及其实施条例等有关法律、法规和规章的规定，制定本竞争性磋商文件。</w:t>
      </w:r>
    </w:p>
    <w:p w14:paraId="4D3583DD">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2.2采购人：</w:t>
      </w:r>
      <w:r>
        <w:rPr>
          <w:rFonts w:hint="eastAsia" w:ascii="宋体" w:hAnsi="宋体" w:eastAsia="宋体" w:cs="宋体"/>
          <w:i w:val="0"/>
          <w:iCs w:val="0"/>
          <w:color w:val="auto"/>
          <w:kern w:val="0"/>
          <w:sz w:val="24"/>
          <w:szCs w:val="24"/>
          <w:highlight w:val="none"/>
          <w:lang w:val="en-US" w:eastAsia="zh-CN" w:bidi="ar"/>
        </w:rPr>
        <w:t>指依法进行政府采购的国家机关、事业单位、团体组织</w:t>
      </w:r>
      <w:r>
        <w:rPr>
          <w:rFonts w:hint="eastAsia" w:ascii="宋体" w:hAnsi="宋体" w:eastAsia="宋体" w:cs="宋体"/>
          <w:i w:val="0"/>
          <w:iCs w:val="0"/>
          <w:color w:val="auto"/>
          <w:sz w:val="24"/>
          <w:szCs w:val="24"/>
          <w:highlight w:val="none"/>
        </w:rPr>
        <w:t>。</w:t>
      </w:r>
    </w:p>
    <w:p w14:paraId="239101B4">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2.3采购代理机构：</w:t>
      </w:r>
      <w:r>
        <w:rPr>
          <w:rFonts w:hint="eastAsia" w:ascii="宋体" w:hAnsi="宋体" w:eastAsia="宋体" w:cs="宋体"/>
          <w:i w:val="0"/>
          <w:iCs w:val="0"/>
          <w:color w:val="auto"/>
          <w:kern w:val="0"/>
          <w:sz w:val="24"/>
          <w:szCs w:val="24"/>
          <w:highlight w:val="none"/>
          <w:lang w:val="en-US" w:eastAsia="zh-CN" w:bidi="ar"/>
        </w:rPr>
        <w:t>指依法进行政府采购的国家机关、事业单位、团体组织</w:t>
      </w:r>
      <w:r>
        <w:rPr>
          <w:rFonts w:hint="eastAsia" w:ascii="宋体" w:hAnsi="宋体" w:eastAsia="宋体" w:cs="宋体"/>
          <w:i w:val="0"/>
          <w:iCs w:val="0"/>
          <w:color w:val="auto"/>
          <w:sz w:val="24"/>
          <w:szCs w:val="24"/>
          <w:highlight w:val="none"/>
          <w:lang w:val="en-US" w:eastAsia="zh-CN"/>
        </w:rPr>
        <w:t>委托的采购代理机构</w:t>
      </w:r>
      <w:r>
        <w:rPr>
          <w:rFonts w:hint="eastAsia" w:ascii="宋体" w:hAnsi="宋体" w:eastAsia="宋体" w:cs="宋体"/>
          <w:i w:val="0"/>
          <w:iCs w:val="0"/>
          <w:color w:val="auto"/>
          <w:sz w:val="24"/>
          <w:szCs w:val="24"/>
          <w:highlight w:val="none"/>
        </w:rPr>
        <w:t>。</w:t>
      </w:r>
    </w:p>
    <w:p w14:paraId="4EC71008">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3CB3D33D">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2.5 服务内容见</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须知前附表”</w:t>
      </w:r>
      <w:r>
        <w:rPr>
          <w:rFonts w:hint="eastAsia" w:ascii="宋体" w:hAnsi="宋体" w:eastAsia="宋体" w:cs="宋体"/>
          <w:i w:val="0"/>
          <w:iCs w:val="0"/>
          <w:color w:val="auto"/>
          <w:sz w:val="24"/>
          <w:szCs w:val="24"/>
          <w:highlight w:val="none"/>
          <w:lang w:val="en-US" w:eastAsia="zh-CN"/>
        </w:rPr>
        <w:t>。</w:t>
      </w:r>
    </w:p>
    <w:p w14:paraId="0E64CAAC">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2.6供应商（也称“申请人”）：指向采购人提供货物、工程或者服务的法人、其他组织或者自然人。</w:t>
      </w:r>
      <w:r>
        <w:rPr>
          <w:rFonts w:hint="eastAsia" w:ascii="宋体" w:hAnsi="宋体" w:eastAsia="宋体" w:cs="宋体"/>
          <w:i w:val="0"/>
          <w:iCs w:val="0"/>
          <w:color w:val="auto"/>
          <w:sz w:val="24"/>
          <w:szCs w:val="24"/>
          <w:highlight w:val="none"/>
        </w:rPr>
        <w:t>分支机构不得参加政府采购活动，但银行、保险、石油石化、电力、电信等</w:t>
      </w:r>
      <w:r>
        <w:rPr>
          <w:rFonts w:hint="eastAsia" w:ascii="宋体" w:hAnsi="宋体" w:eastAsia="宋体" w:cs="宋体"/>
          <w:i w:val="0"/>
          <w:iCs w:val="0"/>
          <w:color w:val="auto"/>
          <w:sz w:val="24"/>
          <w:szCs w:val="24"/>
          <w:highlight w:val="none"/>
          <w:lang w:val="en-US" w:eastAsia="zh-CN"/>
        </w:rPr>
        <w:t>有</w:t>
      </w:r>
      <w:r>
        <w:rPr>
          <w:rFonts w:hint="eastAsia" w:ascii="宋体" w:hAnsi="宋体" w:eastAsia="宋体" w:cs="宋体"/>
          <w:i w:val="0"/>
          <w:iCs w:val="0"/>
          <w:color w:val="auto"/>
          <w:sz w:val="24"/>
          <w:szCs w:val="24"/>
          <w:highlight w:val="none"/>
        </w:rPr>
        <w:t>行业特殊</w:t>
      </w:r>
      <w:r>
        <w:rPr>
          <w:rFonts w:hint="eastAsia" w:ascii="宋体" w:hAnsi="宋体" w:eastAsia="宋体" w:cs="宋体"/>
          <w:i w:val="0"/>
          <w:iCs w:val="0"/>
          <w:color w:val="auto"/>
          <w:sz w:val="24"/>
          <w:szCs w:val="24"/>
          <w:highlight w:val="none"/>
          <w:lang w:val="en-US" w:eastAsia="zh-CN"/>
        </w:rPr>
        <w:t>情况的</w:t>
      </w:r>
      <w:r>
        <w:rPr>
          <w:rFonts w:hint="eastAsia" w:ascii="宋体" w:hAnsi="宋体" w:eastAsia="宋体" w:cs="宋体"/>
          <w:i w:val="0"/>
          <w:iCs w:val="0"/>
          <w:color w:val="auto"/>
          <w:sz w:val="24"/>
          <w:szCs w:val="24"/>
          <w:highlight w:val="none"/>
        </w:rPr>
        <w:t>除外。本项目的</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须满足以下条件：</w:t>
      </w:r>
    </w:p>
    <w:p w14:paraId="7DC6AC8D">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具备《中华人民共和国政府采购法》第二十二条规定的</w:t>
      </w:r>
      <w:r>
        <w:rPr>
          <w:rFonts w:hint="eastAsia" w:ascii="宋体" w:hAnsi="宋体" w:eastAsia="宋体" w:cs="宋体"/>
          <w:i w:val="0"/>
          <w:iCs w:val="0"/>
          <w:color w:val="auto"/>
          <w:sz w:val="24"/>
          <w:szCs w:val="24"/>
          <w:highlight w:val="none"/>
          <w:lang w:val="en-US" w:eastAsia="zh-CN"/>
        </w:rPr>
        <w:t>条件</w:t>
      </w:r>
      <w:r>
        <w:rPr>
          <w:rFonts w:hint="eastAsia" w:ascii="宋体" w:hAnsi="宋体" w:eastAsia="宋体" w:cs="宋体"/>
          <w:i w:val="0"/>
          <w:iCs w:val="0"/>
          <w:color w:val="auto"/>
          <w:sz w:val="24"/>
          <w:szCs w:val="24"/>
          <w:highlight w:val="none"/>
        </w:rPr>
        <w:t>，遵守本项目采购人本级和上级财政部门政府采购的有关规定。</w:t>
      </w:r>
    </w:p>
    <w:p w14:paraId="1163F2DC">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以</w:t>
      </w:r>
      <w:r>
        <w:rPr>
          <w:rFonts w:hint="eastAsia" w:ascii="宋体" w:hAnsi="宋体" w:eastAsia="宋体" w:cs="宋体"/>
          <w:i w:val="0"/>
          <w:iCs w:val="0"/>
          <w:color w:val="auto"/>
          <w:sz w:val="24"/>
          <w:szCs w:val="24"/>
          <w:highlight w:val="none"/>
          <w:lang w:val="en-US" w:eastAsia="zh-CN"/>
        </w:rPr>
        <w:t>竞争性磋商公告中发布</w:t>
      </w:r>
      <w:r>
        <w:rPr>
          <w:rFonts w:hint="eastAsia" w:ascii="宋体" w:hAnsi="宋体" w:eastAsia="宋体" w:cs="宋体"/>
          <w:i w:val="0"/>
          <w:iCs w:val="0"/>
          <w:color w:val="auto"/>
          <w:sz w:val="24"/>
          <w:szCs w:val="24"/>
          <w:highlight w:val="none"/>
        </w:rPr>
        <w:t>的方式</w:t>
      </w:r>
      <w:r>
        <w:rPr>
          <w:rFonts w:hint="eastAsia" w:ascii="宋体" w:hAnsi="宋体" w:eastAsia="宋体" w:cs="宋体"/>
          <w:i w:val="0"/>
          <w:iCs w:val="0"/>
          <w:color w:val="auto"/>
          <w:sz w:val="24"/>
          <w:szCs w:val="24"/>
          <w:highlight w:val="none"/>
          <w:lang w:eastAsia="zh-CN"/>
        </w:rPr>
        <w:t>依法</w:t>
      </w:r>
      <w:r>
        <w:rPr>
          <w:rFonts w:hint="eastAsia" w:ascii="宋体" w:hAnsi="宋体" w:eastAsia="宋体" w:cs="宋体"/>
          <w:i w:val="0"/>
          <w:iCs w:val="0"/>
          <w:color w:val="auto"/>
          <w:sz w:val="24"/>
          <w:szCs w:val="24"/>
          <w:highlight w:val="none"/>
        </w:rPr>
        <w:t>获得了本项目的</w:t>
      </w:r>
      <w:r>
        <w:rPr>
          <w:rFonts w:hint="eastAsia" w:ascii="宋体" w:hAnsi="宋体" w:eastAsia="宋体" w:cs="宋体"/>
          <w:i w:val="0"/>
          <w:iCs w:val="0"/>
          <w:color w:val="auto"/>
          <w:sz w:val="24"/>
          <w:szCs w:val="24"/>
          <w:highlight w:val="none"/>
          <w:lang w:val="en-US" w:eastAsia="zh-CN"/>
        </w:rPr>
        <w:t>竞争性磋商</w:t>
      </w:r>
      <w:r>
        <w:rPr>
          <w:rFonts w:hint="eastAsia" w:ascii="宋体" w:hAnsi="宋体" w:eastAsia="宋体" w:cs="宋体"/>
          <w:i w:val="0"/>
          <w:iCs w:val="0"/>
          <w:color w:val="auto"/>
          <w:sz w:val="24"/>
          <w:szCs w:val="24"/>
          <w:highlight w:val="none"/>
        </w:rPr>
        <w:t>文件。</w:t>
      </w:r>
    </w:p>
    <w:p w14:paraId="79128D4B">
      <w:pPr>
        <w:ind w:firstLine="480" w:firstLineChars="20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2.6.3符合本磋商文件规定并参加磋商的供应商。</w:t>
      </w:r>
    </w:p>
    <w:p w14:paraId="21D0CC67">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2.7</w:t>
      </w:r>
      <w:r>
        <w:rPr>
          <w:rFonts w:hint="eastAsia" w:ascii="宋体" w:hAnsi="宋体" w:eastAsia="宋体" w:cs="宋体"/>
          <w:i w:val="0"/>
          <w:iCs w:val="0"/>
          <w:color w:val="auto"/>
          <w:sz w:val="24"/>
          <w:szCs w:val="24"/>
          <w:highlight w:val="none"/>
          <w:shd w:val="clear" w:color="auto" w:fill="FFFFFF" w:themeFill="background1"/>
        </w:rPr>
        <w:t>潜在供应商</w:t>
      </w:r>
      <w:r>
        <w:rPr>
          <w:rFonts w:hint="eastAsia" w:ascii="宋体" w:hAnsi="宋体" w:eastAsia="宋体" w:cs="宋体"/>
          <w:i w:val="0"/>
          <w:iCs w:val="0"/>
          <w:color w:val="auto"/>
          <w:sz w:val="24"/>
          <w:szCs w:val="24"/>
          <w:highlight w:val="none"/>
          <w:shd w:val="clear" w:color="auto" w:fill="FFFFFF" w:themeFill="background1"/>
          <w:lang w:eastAsia="zh-CN"/>
        </w:rPr>
        <w:t>：</w:t>
      </w:r>
      <w:r>
        <w:rPr>
          <w:rFonts w:hint="eastAsia" w:ascii="宋体" w:hAnsi="宋体" w:eastAsia="宋体" w:cs="宋体"/>
          <w:i w:val="0"/>
          <w:iCs w:val="0"/>
          <w:color w:val="auto"/>
          <w:sz w:val="24"/>
          <w:szCs w:val="24"/>
          <w:highlight w:val="none"/>
          <w:shd w:val="clear" w:color="auto" w:fill="FFFFFF" w:themeFill="background1"/>
          <w:lang w:val="en-US" w:eastAsia="zh-CN"/>
        </w:rPr>
        <w:t>指</w:t>
      </w:r>
      <w:r>
        <w:rPr>
          <w:rFonts w:hint="eastAsia" w:ascii="宋体" w:hAnsi="宋体" w:eastAsia="宋体" w:cs="宋体"/>
          <w:i w:val="0"/>
          <w:iCs w:val="0"/>
          <w:color w:val="auto"/>
          <w:sz w:val="24"/>
          <w:szCs w:val="24"/>
          <w:highlight w:val="none"/>
          <w:lang w:val="en-US" w:eastAsia="zh-CN"/>
        </w:rPr>
        <w:t>符合本磋商文件规定的供应商</w:t>
      </w:r>
      <w:r>
        <w:rPr>
          <w:rFonts w:hint="eastAsia" w:ascii="宋体" w:hAnsi="宋体" w:eastAsia="宋体" w:cs="宋体"/>
          <w:i w:val="0"/>
          <w:iCs w:val="0"/>
          <w:color w:val="auto"/>
          <w:sz w:val="24"/>
          <w:szCs w:val="24"/>
          <w:highlight w:val="none"/>
        </w:rPr>
        <w:t>。</w:t>
      </w:r>
    </w:p>
    <w:p w14:paraId="158CA1C3">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109" w:name="_Toc9974"/>
      <w:bookmarkStart w:id="110" w:name="_Toc109900374"/>
      <w:bookmarkStart w:id="111" w:name="_Toc470172667"/>
      <w:bookmarkStart w:id="112" w:name="_Toc48688791"/>
      <w:bookmarkStart w:id="113" w:name="_Toc109897437"/>
      <w:bookmarkStart w:id="114" w:name="_Toc46771642"/>
      <w:bookmarkStart w:id="115" w:name="_Toc51674213"/>
      <w:bookmarkStart w:id="116" w:name="_Toc46772243"/>
      <w:bookmarkStart w:id="117" w:name="_Toc109899955"/>
      <w:bookmarkStart w:id="118" w:name="_Toc52962729"/>
      <w:bookmarkStart w:id="119" w:name="_Toc109899536"/>
      <w:bookmarkStart w:id="120" w:name="_Toc52960555"/>
      <w:bookmarkStart w:id="121" w:name="_Toc48846111"/>
      <w:r>
        <w:rPr>
          <w:rFonts w:hint="eastAsia" w:ascii="宋体" w:hAnsi="宋体" w:eastAsia="宋体" w:cs="宋体"/>
          <w:b/>
          <w:bCs/>
          <w:i w:val="0"/>
          <w:iCs w:val="0"/>
          <w:color w:val="auto"/>
          <w:kern w:val="2"/>
          <w:sz w:val="24"/>
          <w:szCs w:val="24"/>
          <w:highlight w:val="none"/>
          <w:lang w:val="en-US" w:eastAsia="zh-CN" w:bidi="ar-SA"/>
        </w:rPr>
        <w:t>3.资金来源</w:t>
      </w:r>
    </w:p>
    <w:p w14:paraId="0911D260">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3.1资金来源：</w:t>
      </w:r>
      <w:r>
        <w:rPr>
          <w:rFonts w:hint="eastAsia" w:ascii="宋体" w:hAnsi="宋体" w:eastAsia="宋体" w:cs="宋体"/>
          <w:i w:val="0"/>
          <w:iCs w:val="0"/>
          <w:color w:val="auto"/>
          <w:sz w:val="24"/>
          <w:szCs w:val="24"/>
          <w:highlight w:val="none"/>
          <w:lang w:val="en-US" w:eastAsia="zh-CN"/>
        </w:rPr>
        <w:t>为财政性资金即</w:t>
      </w:r>
      <w:r>
        <w:rPr>
          <w:rFonts w:hint="eastAsia" w:ascii="宋体" w:hAnsi="宋体" w:eastAsia="宋体" w:cs="宋体"/>
          <w:i w:val="0"/>
          <w:iCs w:val="0"/>
          <w:color w:val="auto"/>
          <w:sz w:val="24"/>
          <w:szCs w:val="24"/>
          <w:highlight w:val="none"/>
        </w:rPr>
        <w:t>纳入预算管理的资金</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以财政性资金作为还款来源的借贷资金，视同财政性资金。财政性资金与非财政性资金无法分割采购的，统一适用《中华人民共和国政府采购法》及其实施条例。</w:t>
      </w:r>
    </w:p>
    <w:p w14:paraId="663B780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4.供应商资格要求</w:t>
      </w:r>
    </w:p>
    <w:p w14:paraId="32C68D1A">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4.1</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资格要求：见“</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color w:val="auto"/>
          <w:sz w:val="24"/>
          <w:szCs w:val="24"/>
          <w:highlight w:val="none"/>
        </w:rPr>
        <w:t>”；</w:t>
      </w:r>
    </w:p>
    <w:p w14:paraId="511E1218">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color w:val="auto"/>
          <w:sz w:val="24"/>
          <w:szCs w:val="24"/>
          <w:highlight w:val="none"/>
          <w:lang w:val="zh-CN" w:eastAsia="zh-CN"/>
        </w:rPr>
        <w:t>”规定接受联合体</w:t>
      </w:r>
      <w:r>
        <w:rPr>
          <w:rFonts w:hint="eastAsia" w:ascii="宋体" w:hAnsi="宋体" w:eastAsia="宋体"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lang w:val="zh-CN" w:eastAsia="zh-CN"/>
        </w:rPr>
        <w:t>的，还应遵守以下规定：</w:t>
      </w:r>
    </w:p>
    <w:p w14:paraId="46DFEF13">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kern w:val="2"/>
          <w:sz w:val="24"/>
          <w:szCs w:val="24"/>
          <w:highlight w:val="none"/>
          <w:shd w:val="clear" w:color="auto" w:fill="FFFFFF" w:themeFill="background1"/>
          <w:lang w:val="zh-CN" w:eastAsia="zh-CN" w:bidi="ar-SA"/>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val="zh-CN" w:eastAsia="zh-CN"/>
        </w:rPr>
        <w:t>1两个以上的自然人、法人或者其他组织可以组成一个联合体，以一个供应商的身份共同参加政府采购。</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以联合体形式进行政府采购的，参加联合体的供应商均应当具备《政府采购法》第二十二条规定的条件。</w:t>
      </w:r>
    </w:p>
    <w:p w14:paraId="1DD06BCB">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kern w:val="2"/>
          <w:sz w:val="24"/>
          <w:szCs w:val="24"/>
          <w:highlight w:val="none"/>
          <w:shd w:val="clear" w:color="auto" w:fill="FFFFFF" w:themeFill="background1"/>
          <w:lang w:val="zh-CN"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4</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2.2</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联合体各方应按竞争性磋商文件提供的格式签订联合</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体</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协议</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书</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，明确约定联合体各方承担的工作和相应的责任，并将联合</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体</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协议</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书</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作为</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响应</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文件的一部分提交，该协议书对联合</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体所有成员</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均具有法律约束力。</w:t>
      </w:r>
    </w:p>
    <w:p w14:paraId="502F019C">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kern w:val="2"/>
          <w:sz w:val="24"/>
          <w:szCs w:val="24"/>
          <w:highlight w:val="none"/>
          <w:shd w:val="clear" w:color="auto" w:fill="FFFFFF" w:themeFill="background1"/>
          <w:lang w:val="zh-CN"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4.2.3</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联合体中有同类资质的供应商按照联合体分工承担相同工作的，应当按照资质等级较低的供应商确定资质等级。</w:t>
      </w:r>
    </w:p>
    <w:p w14:paraId="0E43C72C">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kern w:val="2"/>
          <w:sz w:val="24"/>
          <w:szCs w:val="24"/>
          <w:highlight w:val="none"/>
          <w:shd w:val="clear" w:color="auto" w:fill="FFFFFF" w:themeFill="background1"/>
          <w:lang w:val="zh-CN"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4.2</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4</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以联合体形式参加政府采购活动的，联合体各方不得再单独参加或者与其他供应商另外组成联合体参加</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同一合同项下的磋商</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，否则相关</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响应</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将被认定为</w:t>
      </w:r>
      <w:r>
        <w:rPr>
          <w:rFonts w:hint="eastAsia" w:ascii="宋体" w:hAnsi="宋体" w:eastAsia="宋体" w:cs="宋体"/>
          <w:b/>
          <w:bCs/>
          <w:i w:val="0"/>
          <w:iCs w:val="0"/>
          <w:color w:val="auto"/>
          <w:kern w:val="2"/>
          <w:sz w:val="24"/>
          <w:szCs w:val="24"/>
          <w:highlight w:val="none"/>
          <w:shd w:val="clear" w:color="auto" w:fill="FFFFFF" w:themeFill="background1"/>
          <w:lang w:val="en-US" w:eastAsia="zh-CN" w:bidi="ar-SA"/>
        </w:rPr>
        <w:t>响应</w:t>
      </w:r>
      <w:r>
        <w:rPr>
          <w:rFonts w:hint="eastAsia" w:ascii="宋体" w:hAnsi="宋体" w:eastAsia="宋体" w:cs="宋体"/>
          <w:b/>
          <w:bCs/>
          <w:i w:val="0"/>
          <w:iCs w:val="0"/>
          <w:color w:val="auto"/>
          <w:kern w:val="2"/>
          <w:sz w:val="24"/>
          <w:szCs w:val="24"/>
          <w:highlight w:val="none"/>
          <w:shd w:val="clear" w:color="auto" w:fill="FFFFFF" w:themeFill="background1"/>
          <w:lang w:val="zh-CN" w:eastAsia="zh-CN" w:bidi="ar-SA"/>
        </w:rPr>
        <w:t>无效</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w:t>
      </w:r>
    </w:p>
    <w:p w14:paraId="0134D268">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kern w:val="2"/>
          <w:sz w:val="24"/>
          <w:szCs w:val="24"/>
          <w:highlight w:val="none"/>
          <w:shd w:val="clear" w:color="auto" w:fill="FFFFFF" w:themeFill="background1"/>
          <w:lang w:val="zh-CN"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4.2</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.5大中型企业、其他自然人、法人或者非法人组织与小型、微型企业组成联合体共同参加</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磋商的</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，联合</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体</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协议</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书</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中应写明小型、微型企业的合同金额占到联合</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体磋商合同</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总金额的比例。</w:t>
      </w:r>
    </w:p>
    <w:p w14:paraId="3B787BEF">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kern w:val="2"/>
          <w:sz w:val="24"/>
          <w:szCs w:val="24"/>
          <w:highlight w:val="none"/>
          <w:shd w:val="clear" w:color="auto" w:fill="FFFFFF" w:themeFill="background1"/>
          <w:lang w:val="zh-CN" w:eastAsia="zh-CN" w:bidi="ar-SA"/>
        </w:rPr>
      </w:pP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4.2</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.6</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联合体</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成交</w:t>
      </w:r>
      <w:r>
        <w:rPr>
          <w:rFonts w:hint="eastAsia" w:ascii="宋体" w:hAnsi="宋体" w:eastAsia="宋体" w:cs="宋体"/>
          <w:i w:val="0"/>
          <w:iCs w:val="0"/>
          <w:color w:val="auto"/>
          <w:kern w:val="2"/>
          <w:sz w:val="24"/>
          <w:szCs w:val="24"/>
          <w:highlight w:val="none"/>
          <w:u w:val="none"/>
          <w:shd w:val="clear" w:color="auto" w:fill="FFFFFF" w:themeFill="background1"/>
          <w:lang w:val="en-US" w:eastAsia="zh-CN" w:bidi="ar-SA"/>
        </w:rPr>
        <w:t>的</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采购</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合同应由</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联合体</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各成员的合法授权代表签字</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及</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加盖</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联合体</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各成员公章，</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并</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52BD9F05">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kern w:val="2"/>
          <w:sz w:val="24"/>
          <w:szCs w:val="24"/>
          <w:highlight w:val="none"/>
          <w:shd w:val="clear" w:color="auto" w:fill="FFFFFF" w:themeFill="background1"/>
          <w:lang w:val="zh-CN" w:eastAsia="zh-CN" w:bidi="ar-SA"/>
        </w:rPr>
      </w:pP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4.2</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.7</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联合体或其成员不得将其在合同项下的权利或义务全部或部分转让给第三人，有关分包事项须事先取得采购</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人</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书面同意并且须遵守相关法律、法规、本次</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磋商</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的全部相关规定。</w:t>
      </w:r>
    </w:p>
    <w:p w14:paraId="1AC091F5">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kern w:val="2"/>
          <w:sz w:val="24"/>
          <w:szCs w:val="24"/>
          <w:highlight w:val="none"/>
          <w:shd w:val="clear" w:color="auto" w:fill="FFFFFF" w:themeFill="background1"/>
          <w:lang w:val="zh-CN"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4.2</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8</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对联合体</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磋商</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的其他资格要求见“</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第一章 竞争性磋商公告</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中的“二、供应商的</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资格</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要求”</w:t>
      </w:r>
      <w:r>
        <w:rPr>
          <w:rFonts w:hint="eastAsia" w:ascii="宋体" w:hAnsi="宋体" w:eastAsia="宋体" w:cs="宋体"/>
          <w:i w:val="0"/>
          <w:iCs w:val="0"/>
          <w:color w:val="auto"/>
          <w:kern w:val="2"/>
          <w:sz w:val="24"/>
          <w:szCs w:val="24"/>
          <w:highlight w:val="none"/>
          <w:shd w:val="clear" w:color="auto" w:fill="FFFFFF" w:themeFill="background1"/>
          <w:lang w:val="zh-CN" w:eastAsia="zh-CN" w:bidi="ar-SA"/>
        </w:rPr>
        <w:t>。</w:t>
      </w:r>
    </w:p>
    <w:p w14:paraId="25DBBDA4">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5.费用</w:t>
      </w:r>
      <w:bookmarkEnd w:id="109"/>
      <w:bookmarkEnd w:id="110"/>
      <w:bookmarkEnd w:id="111"/>
      <w:bookmarkEnd w:id="112"/>
      <w:bookmarkEnd w:id="113"/>
      <w:bookmarkEnd w:id="114"/>
      <w:bookmarkEnd w:id="115"/>
      <w:bookmarkEnd w:id="116"/>
      <w:bookmarkEnd w:id="117"/>
      <w:bookmarkEnd w:id="118"/>
      <w:bookmarkEnd w:id="119"/>
      <w:bookmarkEnd w:id="120"/>
      <w:bookmarkEnd w:id="121"/>
      <w:r>
        <w:rPr>
          <w:rFonts w:hint="eastAsia" w:ascii="宋体" w:hAnsi="宋体" w:eastAsia="宋体" w:cs="宋体"/>
          <w:b/>
          <w:bCs/>
          <w:i w:val="0"/>
          <w:iCs w:val="0"/>
          <w:color w:val="auto"/>
          <w:kern w:val="2"/>
          <w:sz w:val="24"/>
          <w:szCs w:val="24"/>
          <w:highlight w:val="none"/>
          <w:lang w:val="en-US" w:eastAsia="zh-CN" w:bidi="ar-SA"/>
        </w:rPr>
        <w:t>承担</w:t>
      </w:r>
    </w:p>
    <w:p w14:paraId="56B22290">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5.1</w:t>
      </w:r>
      <w:r>
        <w:rPr>
          <w:rFonts w:hint="eastAsia" w:ascii="宋体" w:hAnsi="宋体" w:eastAsia="宋体" w:cs="宋体"/>
          <w:i w:val="0"/>
          <w:iCs w:val="0"/>
          <w:snapToGrid w:val="0"/>
          <w:color w:val="auto"/>
          <w:sz w:val="24"/>
          <w:szCs w:val="24"/>
          <w:highlight w:val="none"/>
          <w:lang w:val="zh-CN" w:eastAsia="zh-CN"/>
        </w:rPr>
        <w:t>不论</w:t>
      </w:r>
      <w:r>
        <w:rPr>
          <w:rFonts w:hint="eastAsia" w:ascii="宋体" w:hAnsi="宋体" w:eastAsia="宋体" w:cs="宋体"/>
          <w:i w:val="0"/>
          <w:iCs w:val="0"/>
          <w:snapToGrid w:val="0"/>
          <w:color w:val="auto"/>
          <w:sz w:val="24"/>
          <w:szCs w:val="24"/>
          <w:highlight w:val="none"/>
          <w:lang w:val="en-US" w:eastAsia="zh-CN"/>
        </w:rPr>
        <w:t>磋商</w:t>
      </w:r>
      <w:r>
        <w:rPr>
          <w:rFonts w:hint="eastAsia" w:ascii="宋体" w:hAnsi="宋体" w:eastAsia="宋体" w:cs="宋体"/>
          <w:i w:val="0"/>
          <w:iCs w:val="0"/>
          <w:snapToGrid w:val="0"/>
          <w:color w:val="auto"/>
          <w:sz w:val="24"/>
          <w:szCs w:val="24"/>
          <w:highlight w:val="none"/>
          <w:lang w:val="zh-CN" w:eastAsia="zh-CN"/>
        </w:rPr>
        <w:t>的结果如何，</w:t>
      </w:r>
      <w:r>
        <w:rPr>
          <w:rFonts w:hint="eastAsia" w:ascii="宋体" w:hAnsi="宋体" w:eastAsia="宋体" w:cs="宋体"/>
          <w:i w:val="0"/>
          <w:iCs w:val="0"/>
          <w:snapToGrid w:val="0"/>
          <w:color w:val="auto"/>
          <w:sz w:val="24"/>
          <w:szCs w:val="24"/>
          <w:highlight w:val="none"/>
          <w:lang w:val="en-US" w:eastAsia="zh-CN"/>
        </w:rPr>
        <w:t>供应商</w:t>
      </w:r>
      <w:r>
        <w:rPr>
          <w:rFonts w:hint="eastAsia" w:ascii="宋体" w:hAnsi="宋体" w:eastAsia="宋体" w:cs="宋体"/>
          <w:i w:val="0"/>
          <w:iCs w:val="0"/>
          <w:snapToGrid w:val="0"/>
          <w:color w:val="auto"/>
          <w:sz w:val="24"/>
          <w:szCs w:val="24"/>
          <w:highlight w:val="none"/>
          <w:lang w:val="zh-CN" w:eastAsia="zh-CN"/>
        </w:rPr>
        <w:t>应承担所有与准备和参加</w:t>
      </w:r>
      <w:r>
        <w:rPr>
          <w:rFonts w:hint="eastAsia" w:ascii="宋体" w:hAnsi="宋体" w:eastAsia="宋体" w:cs="宋体"/>
          <w:i w:val="0"/>
          <w:iCs w:val="0"/>
          <w:snapToGrid w:val="0"/>
          <w:color w:val="auto"/>
          <w:sz w:val="24"/>
          <w:szCs w:val="24"/>
          <w:highlight w:val="none"/>
          <w:lang w:val="en-US" w:eastAsia="zh-CN"/>
        </w:rPr>
        <w:t>磋商</w:t>
      </w:r>
      <w:r>
        <w:rPr>
          <w:rFonts w:hint="eastAsia" w:ascii="宋体" w:hAnsi="宋体" w:eastAsia="宋体" w:cs="宋体"/>
          <w:i w:val="0"/>
          <w:iCs w:val="0"/>
          <w:snapToGrid w:val="0"/>
          <w:color w:val="auto"/>
          <w:sz w:val="24"/>
          <w:szCs w:val="24"/>
          <w:highlight w:val="none"/>
          <w:lang w:val="zh-CN" w:eastAsia="zh-CN"/>
        </w:rPr>
        <w:t>有关的费用。</w:t>
      </w:r>
    </w:p>
    <w:p w14:paraId="40A7693A">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122" w:name="_Toc140132761"/>
      <w:bookmarkStart w:id="123" w:name="_Toc161600293"/>
      <w:r>
        <w:rPr>
          <w:rFonts w:hint="eastAsia" w:ascii="宋体" w:hAnsi="宋体" w:eastAsia="宋体" w:cs="宋体"/>
          <w:b/>
          <w:bCs/>
          <w:i w:val="0"/>
          <w:iCs w:val="0"/>
          <w:color w:val="auto"/>
          <w:kern w:val="2"/>
          <w:sz w:val="24"/>
          <w:szCs w:val="24"/>
          <w:highlight w:val="none"/>
          <w:lang w:val="en-US" w:eastAsia="zh-CN" w:bidi="ar-SA"/>
        </w:rPr>
        <w:t>6.保密</w:t>
      </w:r>
      <w:bookmarkEnd w:id="122"/>
      <w:bookmarkEnd w:id="123"/>
    </w:p>
    <w:p w14:paraId="5FC446EC">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6.1</w:t>
      </w: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参与磋商活动的各方应对竞争</w:t>
      </w:r>
      <w:r>
        <w:rPr>
          <w:rFonts w:hint="eastAsia" w:ascii="宋体" w:hAnsi="宋体" w:eastAsia="宋体" w:cs="宋体"/>
          <w:i w:val="0"/>
          <w:iCs w:val="0"/>
          <w:color w:val="auto"/>
          <w:sz w:val="24"/>
          <w:szCs w:val="24"/>
          <w:highlight w:val="none"/>
          <w:lang w:val="en-US" w:eastAsia="zh-CN"/>
        </w:rPr>
        <w:t>性</w:t>
      </w:r>
      <w:r>
        <w:rPr>
          <w:rFonts w:hint="eastAsia" w:ascii="宋体" w:hAnsi="宋体" w:eastAsia="宋体" w:cs="宋体"/>
          <w:i w:val="0"/>
          <w:iCs w:val="0"/>
          <w:color w:val="auto"/>
          <w:sz w:val="24"/>
          <w:szCs w:val="24"/>
          <w:highlight w:val="none"/>
        </w:rPr>
        <w:t>磋商文件和响应文件中的商业和技术等秘密保密，否则应承担相应的法律责任。</w:t>
      </w:r>
    </w:p>
    <w:p w14:paraId="00571342">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color w:val="auto"/>
          <w:kern w:val="2"/>
          <w:sz w:val="24"/>
          <w:szCs w:val="24"/>
          <w:highlight w:val="none"/>
          <w:lang w:val="en-US" w:eastAsia="zh-CN"/>
        </w:rPr>
        <w:t>6</w:t>
      </w:r>
      <w:r>
        <w:rPr>
          <w:rFonts w:hint="eastAsia" w:ascii="宋体" w:hAnsi="宋体" w:eastAsia="宋体" w:cs="宋体"/>
          <w:i w:val="0"/>
          <w:iCs w:val="0"/>
          <w:color w:val="auto"/>
          <w:kern w:val="2"/>
          <w:sz w:val="24"/>
          <w:szCs w:val="24"/>
          <w:highlight w:val="none"/>
        </w:rPr>
        <w:t>.</w:t>
      </w:r>
      <w:r>
        <w:rPr>
          <w:rFonts w:hint="eastAsia" w:ascii="宋体" w:hAnsi="宋体" w:eastAsia="宋体" w:cs="宋体"/>
          <w:i w:val="0"/>
          <w:iCs w:val="0"/>
          <w:color w:val="auto"/>
          <w:kern w:val="2"/>
          <w:sz w:val="24"/>
          <w:szCs w:val="24"/>
          <w:highlight w:val="none"/>
          <w:lang w:val="en-US" w:eastAsia="zh-CN"/>
        </w:rPr>
        <w:t>2 供应商</w:t>
      </w:r>
      <w:r>
        <w:rPr>
          <w:rFonts w:hint="eastAsia" w:ascii="宋体" w:hAnsi="宋体" w:eastAsia="宋体" w:cs="宋体"/>
          <w:i w:val="0"/>
          <w:iCs w:val="0"/>
          <w:color w:val="auto"/>
          <w:kern w:val="2"/>
          <w:sz w:val="24"/>
          <w:szCs w:val="24"/>
          <w:highlight w:val="none"/>
        </w:rPr>
        <w:t>自领取竞争</w:t>
      </w:r>
      <w:r>
        <w:rPr>
          <w:rFonts w:hint="eastAsia" w:ascii="宋体" w:hAnsi="宋体" w:eastAsia="宋体" w:cs="宋体"/>
          <w:i w:val="0"/>
          <w:iCs w:val="0"/>
          <w:color w:val="auto"/>
          <w:kern w:val="2"/>
          <w:sz w:val="24"/>
          <w:szCs w:val="24"/>
          <w:highlight w:val="none"/>
          <w:lang w:val="en-US" w:eastAsia="zh-CN"/>
        </w:rPr>
        <w:t>性</w:t>
      </w:r>
      <w:r>
        <w:rPr>
          <w:rFonts w:hint="eastAsia" w:ascii="宋体" w:hAnsi="宋体" w:eastAsia="宋体" w:cs="宋体"/>
          <w:i w:val="0"/>
          <w:iCs w:val="0"/>
          <w:color w:val="auto"/>
          <w:kern w:val="2"/>
          <w:sz w:val="24"/>
          <w:szCs w:val="24"/>
          <w:highlight w:val="none"/>
        </w:rPr>
        <w:t>磋商文件之日起，须承担本竞争</w:t>
      </w:r>
      <w:r>
        <w:rPr>
          <w:rFonts w:hint="eastAsia" w:ascii="宋体" w:hAnsi="宋体" w:eastAsia="宋体" w:cs="宋体"/>
          <w:i w:val="0"/>
          <w:iCs w:val="0"/>
          <w:color w:val="auto"/>
          <w:kern w:val="2"/>
          <w:sz w:val="24"/>
          <w:szCs w:val="24"/>
          <w:highlight w:val="none"/>
          <w:lang w:val="en-US" w:eastAsia="zh-CN"/>
        </w:rPr>
        <w:t>性</w:t>
      </w:r>
      <w:r>
        <w:rPr>
          <w:rFonts w:hint="eastAsia" w:ascii="宋体" w:hAnsi="宋体" w:eastAsia="宋体" w:cs="宋体"/>
          <w:i w:val="0"/>
          <w:iCs w:val="0"/>
          <w:color w:val="auto"/>
          <w:kern w:val="2"/>
          <w:sz w:val="24"/>
          <w:szCs w:val="24"/>
          <w:highlight w:val="none"/>
        </w:rPr>
        <w:t>磋商项目保密义务，不得将因本次竞争</w:t>
      </w:r>
      <w:r>
        <w:rPr>
          <w:rFonts w:hint="eastAsia" w:ascii="宋体" w:hAnsi="宋体" w:eastAsia="宋体" w:cs="宋体"/>
          <w:i w:val="0"/>
          <w:iCs w:val="0"/>
          <w:color w:val="auto"/>
          <w:kern w:val="2"/>
          <w:sz w:val="24"/>
          <w:szCs w:val="24"/>
          <w:highlight w:val="none"/>
          <w:lang w:val="en-US" w:eastAsia="zh-CN"/>
        </w:rPr>
        <w:t>性</w:t>
      </w:r>
      <w:r>
        <w:rPr>
          <w:rFonts w:hint="eastAsia" w:ascii="宋体" w:hAnsi="宋体" w:eastAsia="宋体" w:cs="宋体"/>
          <w:i w:val="0"/>
          <w:iCs w:val="0"/>
          <w:color w:val="auto"/>
          <w:kern w:val="2"/>
          <w:sz w:val="24"/>
          <w:szCs w:val="24"/>
          <w:highlight w:val="none"/>
        </w:rPr>
        <w:t>磋商获得的信息向第三人外传。由采购人向</w:t>
      </w:r>
      <w:r>
        <w:rPr>
          <w:rFonts w:hint="eastAsia" w:ascii="宋体" w:hAnsi="宋体" w:eastAsia="宋体" w:cs="宋体"/>
          <w:i w:val="0"/>
          <w:iCs w:val="0"/>
          <w:color w:val="auto"/>
          <w:kern w:val="2"/>
          <w:sz w:val="24"/>
          <w:szCs w:val="24"/>
          <w:highlight w:val="none"/>
          <w:lang w:val="en-US" w:eastAsia="zh-CN"/>
        </w:rPr>
        <w:t>供应商</w:t>
      </w:r>
      <w:r>
        <w:rPr>
          <w:rFonts w:hint="eastAsia" w:ascii="宋体" w:hAnsi="宋体" w:eastAsia="宋体" w:cs="宋体"/>
          <w:i w:val="0"/>
          <w:iCs w:val="0"/>
          <w:color w:val="auto"/>
          <w:kern w:val="2"/>
          <w:sz w:val="24"/>
          <w:szCs w:val="24"/>
          <w:highlight w:val="none"/>
        </w:rPr>
        <w:t>提供的图纸、详细资料、样品、模型、模件和所有其它资料，被视为保密资料，仅被用于它所规定的用途。除非得到采购人的同意，不能向任何第三方透露。竞争</w:t>
      </w:r>
      <w:r>
        <w:rPr>
          <w:rFonts w:hint="eastAsia" w:ascii="宋体" w:hAnsi="宋体" w:eastAsia="宋体" w:cs="宋体"/>
          <w:i w:val="0"/>
          <w:iCs w:val="0"/>
          <w:color w:val="auto"/>
          <w:kern w:val="2"/>
          <w:sz w:val="24"/>
          <w:szCs w:val="24"/>
          <w:highlight w:val="none"/>
          <w:lang w:val="en-US" w:eastAsia="zh-CN"/>
        </w:rPr>
        <w:t>性</w:t>
      </w:r>
      <w:r>
        <w:rPr>
          <w:rFonts w:hint="eastAsia" w:ascii="宋体" w:hAnsi="宋体" w:eastAsia="宋体" w:cs="宋体"/>
          <w:i w:val="0"/>
          <w:iCs w:val="0"/>
          <w:color w:val="auto"/>
          <w:kern w:val="2"/>
          <w:sz w:val="24"/>
          <w:szCs w:val="24"/>
          <w:highlight w:val="none"/>
        </w:rPr>
        <w:t>磋商结束后，应采购人要求，</w:t>
      </w:r>
      <w:r>
        <w:rPr>
          <w:rFonts w:hint="eastAsia" w:ascii="宋体" w:hAnsi="宋体" w:eastAsia="宋体" w:cs="宋体"/>
          <w:i w:val="0"/>
          <w:iCs w:val="0"/>
          <w:color w:val="auto"/>
          <w:kern w:val="2"/>
          <w:sz w:val="24"/>
          <w:szCs w:val="24"/>
          <w:highlight w:val="none"/>
          <w:lang w:val="en-US" w:eastAsia="zh-CN"/>
        </w:rPr>
        <w:t>供应商</w:t>
      </w:r>
      <w:r>
        <w:rPr>
          <w:rFonts w:hint="eastAsia" w:ascii="宋体" w:hAnsi="宋体" w:eastAsia="宋体" w:cs="宋体"/>
          <w:i w:val="0"/>
          <w:iCs w:val="0"/>
          <w:color w:val="auto"/>
          <w:kern w:val="2"/>
          <w:sz w:val="24"/>
          <w:szCs w:val="24"/>
          <w:highlight w:val="none"/>
        </w:rPr>
        <w:t>应归还所有从采购人处获得的保密资料。</w:t>
      </w:r>
    </w:p>
    <w:p w14:paraId="38CAE872">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color w:val="auto"/>
          <w:kern w:val="2"/>
          <w:sz w:val="24"/>
          <w:szCs w:val="24"/>
          <w:highlight w:val="none"/>
          <w:lang w:val="en-US" w:eastAsia="zh-CN"/>
        </w:rPr>
        <w:t>6</w:t>
      </w:r>
      <w:r>
        <w:rPr>
          <w:rFonts w:hint="eastAsia" w:ascii="宋体" w:hAnsi="宋体" w:eastAsia="宋体" w:cs="宋体"/>
          <w:i w:val="0"/>
          <w:iCs w:val="0"/>
          <w:color w:val="auto"/>
          <w:kern w:val="2"/>
          <w:sz w:val="24"/>
          <w:szCs w:val="24"/>
          <w:highlight w:val="none"/>
        </w:rPr>
        <w:t>.</w:t>
      </w:r>
      <w:r>
        <w:rPr>
          <w:rFonts w:hint="eastAsia" w:ascii="宋体" w:hAnsi="宋体" w:eastAsia="宋体" w:cs="宋体"/>
          <w:i w:val="0"/>
          <w:iCs w:val="0"/>
          <w:color w:val="auto"/>
          <w:kern w:val="2"/>
          <w:sz w:val="24"/>
          <w:szCs w:val="24"/>
          <w:highlight w:val="none"/>
          <w:lang w:val="en-US" w:eastAsia="zh-CN"/>
        </w:rPr>
        <w:t xml:space="preserve">3 </w:t>
      </w:r>
      <w:r>
        <w:rPr>
          <w:rFonts w:hint="eastAsia" w:ascii="宋体" w:hAnsi="宋体" w:eastAsia="宋体" w:cs="宋体"/>
          <w:i w:val="0"/>
          <w:iCs w:val="0"/>
          <w:color w:val="auto"/>
          <w:kern w:val="2"/>
          <w:sz w:val="24"/>
          <w:szCs w:val="24"/>
          <w:highlight w:val="none"/>
        </w:rPr>
        <w:t>采购代理机构有权将</w:t>
      </w:r>
      <w:r>
        <w:rPr>
          <w:rFonts w:hint="eastAsia" w:ascii="宋体" w:hAnsi="宋体" w:eastAsia="宋体" w:cs="宋体"/>
          <w:i w:val="0"/>
          <w:iCs w:val="0"/>
          <w:color w:val="auto"/>
          <w:kern w:val="2"/>
          <w:sz w:val="24"/>
          <w:szCs w:val="24"/>
          <w:highlight w:val="none"/>
          <w:lang w:val="en-US" w:eastAsia="zh-CN"/>
        </w:rPr>
        <w:t>供应商</w:t>
      </w:r>
      <w:r>
        <w:rPr>
          <w:rFonts w:hint="eastAsia" w:ascii="宋体" w:hAnsi="宋体" w:eastAsia="宋体" w:cs="宋体"/>
          <w:i w:val="0"/>
          <w:iCs w:val="0"/>
          <w:color w:val="auto"/>
          <w:kern w:val="2"/>
          <w:sz w:val="24"/>
          <w:szCs w:val="24"/>
          <w:highlight w:val="none"/>
        </w:rPr>
        <w:t>提供的所有资料向有关政府部门或竞争</w:t>
      </w:r>
      <w:r>
        <w:rPr>
          <w:rFonts w:hint="eastAsia" w:ascii="宋体" w:hAnsi="宋体" w:eastAsia="宋体" w:cs="宋体"/>
          <w:i w:val="0"/>
          <w:iCs w:val="0"/>
          <w:color w:val="auto"/>
          <w:kern w:val="2"/>
          <w:sz w:val="24"/>
          <w:szCs w:val="24"/>
          <w:highlight w:val="none"/>
          <w:lang w:val="en-US" w:eastAsia="zh-CN"/>
        </w:rPr>
        <w:t>性</w:t>
      </w:r>
      <w:r>
        <w:rPr>
          <w:rFonts w:hint="eastAsia" w:ascii="宋体" w:hAnsi="宋体" w:eastAsia="宋体" w:cs="宋体"/>
          <w:i w:val="0"/>
          <w:iCs w:val="0"/>
          <w:color w:val="auto"/>
          <w:kern w:val="2"/>
          <w:sz w:val="24"/>
          <w:szCs w:val="24"/>
          <w:highlight w:val="none"/>
        </w:rPr>
        <w:t>磋商的有关人员披露。</w:t>
      </w:r>
    </w:p>
    <w:p w14:paraId="6010BD30">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2"/>
          <w:sz w:val="24"/>
          <w:szCs w:val="24"/>
          <w:highlight w:val="none"/>
          <w:lang w:val="en-US" w:eastAsia="zh-CN"/>
        </w:rPr>
        <w:t>6</w:t>
      </w:r>
      <w:r>
        <w:rPr>
          <w:rFonts w:hint="eastAsia" w:ascii="宋体" w:hAnsi="宋体" w:eastAsia="宋体" w:cs="宋体"/>
          <w:i w:val="0"/>
          <w:iCs w:val="0"/>
          <w:color w:val="auto"/>
          <w:kern w:val="2"/>
          <w:sz w:val="24"/>
          <w:szCs w:val="24"/>
          <w:highlight w:val="none"/>
        </w:rPr>
        <w:t>.</w:t>
      </w:r>
      <w:r>
        <w:rPr>
          <w:rFonts w:hint="eastAsia" w:ascii="宋体" w:hAnsi="宋体" w:eastAsia="宋体" w:cs="宋体"/>
          <w:i w:val="0"/>
          <w:iCs w:val="0"/>
          <w:color w:val="auto"/>
          <w:kern w:val="2"/>
          <w:sz w:val="24"/>
          <w:szCs w:val="24"/>
          <w:highlight w:val="none"/>
          <w:lang w:val="en-US" w:eastAsia="zh-CN"/>
        </w:rPr>
        <w:t>4 各级人民政府财政部门对政府采购活动进行监督检查，有权查阅、复制有关文件、资料，相关单位和人员应当予以配合</w:t>
      </w:r>
      <w:r>
        <w:rPr>
          <w:rFonts w:hint="eastAsia" w:ascii="宋体" w:hAnsi="宋体" w:eastAsia="宋体" w:cs="宋体"/>
          <w:i w:val="0"/>
          <w:iCs w:val="0"/>
          <w:color w:val="auto"/>
          <w:kern w:val="2"/>
          <w:sz w:val="24"/>
          <w:szCs w:val="24"/>
          <w:highlight w:val="none"/>
        </w:rPr>
        <w:t>。</w:t>
      </w:r>
      <w:r>
        <w:rPr>
          <w:rFonts w:hint="eastAsia" w:ascii="宋体" w:hAnsi="宋体" w:eastAsia="宋体" w:cs="宋体"/>
          <w:i w:val="0"/>
          <w:iCs w:val="0"/>
          <w:color w:val="auto"/>
          <w:sz w:val="24"/>
          <w:szCs w:val="24"/>
          <w:highlight w:val="none"/>
        </w:rPr>
        <w:t xml:space="preserve"> </w:t>
      </w:r>
    </w:p>
    <w:p w14:paraId="2B2FFAF8">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124" w:name="_Toc161600294"/>
      <w:bookmarkStart w:id="125" w:name="_Toc140132762"/>
      <w:r>
        <w:rPr>
          <w:rFonts w:hint="eastAsia" w:ascii="宋体" w:hAnsi="宋体" w:eastAsia="宋体" w:cs="宋体"/>
          <w:b/>
          <w:bCs/>
          <w:i w:val="0"/>
          <w:iCs w:val="0"/>
          <w:color w:val="auto"/>
          <w:kern w:val="2"/>
          <w:sz w:val="24"/>
          <w:szCs w:val="24"/>
          <w:highlight w:val="none"/>
          <w:lang w:val="en-US" w:eastAsia="zh-CN" w:bidi="ar-SA"/>
        </w:rPr>
        <w:t>7.语言文字</w:t>
      </w:r>
      <w:bookmarkEnd w:id="124"/>
      <w:bookmarkEnd w:id="125"/>
    </w:p>
    <w:p w14:paraId="50AD2F57">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7.1竞争</w:t>
      </w:r>
      <w:r>
        <w:rPr>
          <w:rFonts w:hint="eastAsia" w:ascii="宋体" w:hAnsi="宋体" w:eastAsia="宋体" w:cs="宋体"/>
          <w:i w:val="0"/>
          <w:iCs w:val="0"/>
          <w:color w:val="auto"/>
          <w:sz w:val="24"/>
          <w:szCs w:val="24"/>
          <w:highlight w:val="none"/>
          <w:lang w:val="en-US" w:eastAsia="zh-CN"/>
        </w:rPr>
        <w:t>性</w:t>
      </w:r>
      <w:r>
        <w:rPr>
          <w:rFonts w:hint="eastAsia" w:ascii="宋体" w:hAnsi="宋体" w:eastAsia="宋体" w:cs="宋体"/>
          <w:i w:val="0"/>
          <w:iCs w:val="0"/>
          <w:color w:val="auto"/>
          <w:sz w:val="24"/>
          <w:szCs w:val="24"/>
          <w:highlight w:val="none"/>
        </w:rPr>
        <w:t>磋商</w:t>
      </w:r>
      <w:r>
        <w:rPr>
          <w:rFonts w:hint="eastAsia" w:ascii="宋体" w:hAnsi="宋体" w:eastAsia="宋体" w:cs="宋体"/>
          <w:i w:val="0"/>
          <w:iCs w:val="0"/>
          <w:color w:val="auto"/>
          <w:sz w:val="24"/>
          <w:szCs w:val="24"/>
          <w:highlight w:val="none"/>
          <w:lang w:val="en-US" w:eastAsia="zh-CN"/>
        </w:rPr>
        <w:t>文件及响应</w:t>
      </w:r>
      <w:r>
        <w:rPr>
          <w:rFonts w:hint="eastAsia" w:ascii="宋体" w:hAnsi="宋体" w:eastAsia="宋体" w:cs="宋体"/>
          <w:i w:val="0"/>
          <w:iCs w:val="0"/>
          <w:color w:val="auto"/>
          <w:sz w:val="24"/>
          <w:szCs w:val="24"/>
          <w:highlight w:val="none"/>
        </w:rPr>
        <w:t>文件使用的语言文字为中文。专用术语使用外文的，应附有中文注释。</w:t>
      </w:r>
      <w:r>
        <w:rPr>
          <w:rFonts w:hint="eastAsia" w:ascii="宋体" w:hAnsi="宋体" w:eastAsia="宋体" w:cs="宋体"/>
          <w:i w:val="0"/>
          <w:iCs w:val="0"/>
          <w:color w:val="auto"/>
          <w:sz w:val="24"/>
          <w:szCs w:val="24"/>
          <w:highlight w:val="none"/>
          <w:lang w:val="en-US" w:eastAsia="zh-CN"/>
        </w:rPr>
        <w:t>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72F741B9">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126" w:name="_Toc140132763"/>
      <w:bookmarkStart w:id="127" w:name="_Toc161600295"/>
      <w:r>
        <w:rPr>
          <w:rFonts w:hint="eastAsia" w:ascii="宋体" w:hAnsi="宋体" w:eastAsia="宋体" w:cs="宋体"/>
          <w:b/>
          <w:bCs/>
          <w:i w:val="0"/>
          <w:iCs w:val="0"/>
          <w:color w:val="auto"/>
          <w:kern w:val="2"/>
          <w:sz w:val="24"/>
          <w:szCs w:val="24"/>
          <w:highlight w:val="none"/>
          <w:lang w:val="en-US" w:eastAsia="zh-CN" w:bidi="ar-SA"/>
        </w:rPr>
        <w:t>8.计量单位</w:t>
      </w:r>
      <w:bookmarkEnd w:id="126"/>
      <w:bookmarkEnd w:id="127"/>
    </w:p>
    <w:p w14:paraId="2A6A80CC">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8.1所有计量均采用中华人民共和国法定计量单位。</w:t>
      </w:r>
    </w:p>
    <w:p w14:paraId="27AC1C14">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128" w:name="_Toc140132764"/>
      <w:bookmarkStart w:id="129" w:name="_Toc161600296"/>
      <w:r>
        <w:rPr>
          <w:rFonts w:hint="eastAsia" w:ascii="宋体" w:hAnsi="宋体" w:eastAsia="宋体" w:cs="宋体"/>
          <w:b/>
          <w:bCs/>
          <w:i w:val="0"/>
          <w:iCs w:val="0"/>
          <w:color w:val="auto"/>
          <w:kern w:val="2"/>
          <w:sz w:val="24"/>
          <w:szCs w:val="24"/>
          <w:highlight w:val="none"/>
          <w:lang w:val="en-US" w:eastAsia="zh-CN" w:bidi="ar-SA"/>
        </w:rPr>
        <w:t>9.现场考察和答疑会</w:t>
      </w:r>
      <w:bookmarkEnd w:id="128"/>
      <w:bookmarkEnd w:id="129"/>
    </w:p>
    <w:p w14:paraId="2AA6D6A7">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bookmarkStart w:id="130" w:name="_Hlk143529198"/>
      <w:r>
        <w:rPr>
          <w:rFonts w:hint="eastAsia" w:ascii="宋体" w:hAnsi="宋体" w:eastAsia="宋体" w:cs="宋体"/>
          <w:i w:val="0"/>
          <w:iCs w:val="0"/>
          <w:color w:val="auto"/>
          <w:sz w:val="24"/>
          <w:szCs w:val="24"/>
          <w:highlight w:val="none"/>
        </w:rPr>
        <w:t xml:space="preserve">9.1 “供应商须知前附表”规定组织现场考察的，采购代理机构按“供应商须知前附表”规定的时间、地点组织供应商项目现场考察。 </w:t>
      </w:r>
    </w:p>
    <w:p w14:paraId="6304272F">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9.2 供应商现场考察发生的费用自理。</w:t>
      </w:r>
    </w:p>
    <w:p w14:paraId="68DC2403">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9.3 在现场考察中，因供应商自身原因发生的人员伤亡和财产损失，由供应商自行负责。</w:t>
      </w:r>
    </w:p>
    <w:p w14:paraId="63618E52">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9.4 采购人在现场考察中介绍的项目场地和相关的周边环境情况，仅供供应商在编制响应文件时参考，采购人和采购代理机构不对供应商据此作出的判断和决策负责。</w:t>
      </w:r>
    </w:p>
    <w:p w14:paraId="2C69C25C">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9.5 “供应商须知前附表”规定召开答疑会的，采购代理机构按“供应商须知前附表”规定的时间和地点召开答疑会，澄清供应商提出的问题。</w:t>
      </w:r>
    </w:p>
    <w:p w14:paraId="3DB9C37A">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9.6 由于未参加现场考察或未参加答疑会而导致对项目实际情况不了解，影响响应文件编制、磋商报价准确性、综合因素响应不全面等问题的，由供应商自行承担不利评审后果。</w:t>
      </w:r>
    </w:p>
    <w:bookmarkEnd w:id="130"/>
    <w:p w14:paraId="2D004615">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131" w:name="_Toc161600298"/>
      <w:bookmarkStart w:id="132" w:name="_Toc155185858"/>
      <w:r>
        <w:rPr>
          <w:rFonts w:hint="eastAsia" w:ascii="宋体" w:hAnsi="宋体" w:eastAsia="宋体" w:cs="宋体"/>
          <w:b/>
          <w:bCs/>
          <w:i w:val="0"/>
          <w:iCs w:val="0"/>
          <w:color w:val="auto"/>
          <w:kern w:val="2"/>
          <w:sz w:val="24"/>
          <w:szCs w:val="24"/>
          <w:highlight w:val="none"/>
          <w:lang w:val="en-US" w:eastAsia="zh-CN" w:bidi="ar-SA"/>
        </w:rPr>
        <w:t>10.电子标说明</w:t>
      </w:r>
      <w:bookmarkEnd w:id="131"/>
      <w:bookmarkEnd w:id="132"/>
    </w:p>
    <w:p w14:paraId="392B2A40">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10.1 本次采购采用电子交易方式，电子交易平台为</w:t>
      </w:r>
      <w:r>
        <w:rPr>
          <w:rFonts w:hint="eastAsia" w:cs="宋体"/>
          <w:i w:val="0"/>
          <w:iCs w:val="0"/>
          <w:color w:val="auto"/>
          <w:sz w:val="24"/>
          <w:szCs w:val="24"/>
          <w:highlight w:val="none"/>
          <w:lang w:val="en-US" w:eastAsia="zh-CN"/>
        </w:rPr>
        <w:t>新疆</w:t>
      </w:r>
      <w:r>
        <w:rPr>
          <w:rFonts w:hint="eastAsia" w:ascii="宋体" w:hAnsi="宋体" w:eastAsia="宋体" w:cs="宋体"/>
          <w:i w:val="0"/>
          <w:iCs w:val="0"/>
          <w:color w:val="auto"/>
          <w:sz w:val="24"/>
          <w:szCs w:val="24"/>
          <w:highlight w:val="none"/>
          <w:lang w:val="en-US" w:eastAsia="zh-CN"/>
        </w:rPr>
        <w:t>政府采购电子交易云平台（网址：https://www.zcygov.cn/）。供应商参与本项目电子交易活动前，</w:t>
      </w:r>
      <w:r>
        <w:rPr>
          <w:rFonts w:hint="eastAsia" w:ascii="宋体" w:hAnsi="宋体" w:eastAsia="宋体" w:cs="宋体"/>
          <w:i w:val="0"/>
          <w:iCs w:val="0"/>
          <w:color w:val="auto"/>
          <w:sz w:val="24"/>
          <w:szCs w:val="24"/>
          <w:highlight w:val="none"/>
        </w:rPr>
        <w:t>应</w:t>
      </w:r>
      <w:r>
        <w:rPr>
          <w:rFonts w:hint="eastAsia" w:ascii="宋体" w:hAnsi="宋体" w:eastAsia="宋体" w:cs="宋体"/>
          <w:i w:val="0"/>
          <w:iCs w:val="0"/>
          <w:color w:val="auto"/>
          <w:sz w:val="24"/>
          <w:szCs w:val="24"/>
          <w:highlight w:val="none"/>
          <w:lang w:val="en-US" w:eastAsia="zh-CN"/>
        </w:rPr>
        <w:t>在</w:t>
      </w:r>
      <w:r>
        <w:rPr>
          <w:rFonts w:hint="eastAsia" w:ascii="宋体" w:hAnsi="宋体" w:eastAsia="宋体" w:cs="宋体"/>
          <w:i w:val="0"/>
          <w:iCs w:val="0"/>
          <w:color w:val="auto"/>
          <w:sz w:val="24"/>
          <w:szCs w:val="24"/>
          <w:highlight w:val="none"/>
        </w:rPr>
        <w:t>政</w:t>
      </w:r>
      <w:r>
        <w:rPr>
          <w:rFonts w:hint="eastAsia" w:ascii="宋体" w:hAnsi="宋体" w:eastAsia="宋体" w:cs="宋体"/>
          <w:i w:val="0"/>
          <w:iCs w:val="0"/>
          <w:color w:val="auto"/>
          <w:sz w:val="24"/>
          <w:szCs w:val="24"/>
          <w:highlight w:val="none"/>
          <w:lang w:val="en-US" w:eastAsia="zh-CN"/>
        </w:rPr>
        <w:t>采</w:t>
      </w:r>
      <w:r>
        <w:rPr>
          <w:rFonts w:hint="eastAsia" w:ascii="宋体" w:hAnsi="宋体" w:eastAsia="宋体" w:cs="宋体"/>
          <w:i w:val="0"/>
          <w:iCs w:val="0"/>
          <w:color w:val="auto"/>
          <w:sz w:val="24"/>
          <w:szCs w:val="24"/>
          <w:highlight w:val="none"/>
          <w:lang w:val="en-US"/>
        </w:rPr>
        <w:t>云</w:t>
      </w:r>
      <w:r>
        <w:rPr>
          <w:rFonts w:hint="eastAsia" w:ascii="宋体" w:hAnsi="宋体" w:eastAsia="宋体" w:cs="宋体"/>
          <w:i w:val="0"/>
          <w:iCs w:val="0"/>
          <w:color w:val="auto"/>
          <w:sz w:val="24"/>
          <w:szCs w:val="24"/>
          <w:highlight w:val="none"/>
        </w:rPr>
        <w:t>平台</w:t>
      </w:r>
      <w:r>
        <w:rPr>
          <w:rFonts w:hint="eastAsia" w:ascii="宋体" w:hAnsi="宋体" w:eastAsia="宋体" w:cs="宋体"/>
          <w:i w:val="0"/>
          <w:iCs w:val="0"/>
          <w:color w:val="auto"/>
          <w:sz w:val="24"/>
          <w:szCs w:val="24"/>
          <w:highlight w:val="none"/>
          <w:lang w:val="en-US" w:eastAsia="zh-CN"/>
        </w:rPr>
        <w:t>上</w:t>
      </w:r>
      <w:r>
        <w:rPr>
          <w:rFonts w:hint="eastAsia" w:ascii="宋体" w:hAnsi="宋体" w:eastAsia="宋体" w:cs="宋体"/>
          <w:i w:val="0"/>
          <w:iCs w:val="0"/>
          <w:color w:val="auto"/>
          <w:sz w:val="24"/>
          <w:szCs w:val="24"/>
          <w:highlight w:val="none"/>
        </w:rPr>
        <w:t>注册</w:t>
      </w:r>
      <w:r>
        <w:rPr>
          <w:rFonts w:hint="eastAsia" w:ascii="宋体" w:hAnsi="宋体" w:eastAsia="宋体" w:cs="宋体"/>
          <w:i w:val="0"/>
          <w:iCs w:val="0"/>
          <w:color w:val="auto"/>
          <w:sz w:val="24"/>
          <w:szCs w:val="24"/>
          <w:highlight w:val="none"/>
          <w:lang w:val="en-US" w:eastAsia="zh-CN"/>
        </w:rPr>
        <w:t>供应商账号</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编制电子响应文件前还需申领CA证书并绑定帐号。供应商应充分考虑完成平台注册、申领CA证书等所需的时间。潜在供应商领取文件须提前完成注册、CA证书和电子签章申领和绑定、下载投标客户端。因未办理CA数字证书、CA证书故障、操作不当等原因造成无法磋商或磋商失败等后果由供应商自行承担。供应商登录</w:t>
      </w:r>
      <w:r>
        <w:rPr>
          <w:rFonts w:hint="eastAsia" w:cs="宋体"/>
          <w:i w:val="0"/>
          <w:iCs w:val="0"/>
          <w:color w:val="auto"/>
          <w:sz w:val="24"/>
          <w:szCs w:val="24"/>
          <w:highlight w:val="none"/>
          <w:lang w:val="en-US" w:eastAsia="zh-CN"/>
        </w:rPr>
        <w:t>新疆</w:t>
      </w:r>
      <w:r>
        <w:rPr>
          <w:rFonts w:hint="eastAsia" w:ascii="宋体" w:hAnsi="宋体" w:eastAsia="宋体" w:cs="宋体"/>
          <w:i w:val="0"/>
          <w:iCs w:val="0"/>
          <w:color w:val="auto"/>
          <w:sz w:val="24"/>
          <w:szCs w:val="24"/>
          <w:highlight w:val="none"/>
          <w:lang w:val="en-US" w:eastAsia="zh-CN"/>
        </w:rPr>
        <w:t>政府采购网“供应商</w:t>
      </w:r>
      <w:r>
        <w:rPr>
          <w:rFonts w:hint="eastAsia" w:cs="宋体"/>
          <w:i w:val="0"/>
          <w:iCs w:val="0"/>
          <w:color w:val="auto"/>
          <w:sz w:val="24"/>
          <w:szCs w:val="24"/>
          <w:highlight w:val="none"/>
          <w:lang w:val="en-US" w:eastAsia="zh-CN"/>
        </w:rPr>
        <w:t>免费</w:t>
      </w:r>
      <w:r>
        <w:rPr>
          <w:rFonts w:hint="eastAsia" w:ascii="宋体" w:hAnsi="宋体" w:eastAsia="宋体" w:cs="宋体"/>
          <w:i w:val="0"/>
          <w:iCs w:val="0"/>
          <w:color w:val="auto"/>
          <w:sz w:val="24"/>
          <w:szCs w:val="24"/>
          <w:highlight w:val="none"/>
          <w:lang w:val="en-US" w:eastAsia="zh-CN"/>
        </w:rPr>
        <w:t>注册”—“</w:t>
      </w:r>
      <w:r>
        <w:rPr>
          <w:rFonts w:hint="eastAsia" w:cs="宋体"/>
          <w:i w:val="0"/>
          <w:iCs w:val="0"/>
          <w:color w:val="auto"/>
          <w:sz w:val="24"/>
          <w:szCs w:val="24"/>
          <w:highlight w:val="none"/>
          <w:lang w:val="en-US" w:eastAsia="zh-CN"/>
        </w:rPr>
        <w:t>新疆维吾尔自治区</w:t>
      </w:r>
      <w:r>
        <w:rPr>
          <w:rFonts w:hint="eastAsia" w:ascii="宋体" w:hAnsi="宋体" w:eastAsia="宋体" w:cs="宋体"/>
          <w:i w:val="0"/>
          <w:iCs w:val="0"/>
          <w:color w:val="auto"/>
          <w:sz w:val="24"/>
          <w:szCs w:val="24"/>
          <w:highlight w:val="none"/>
          <w:lang w:val="en-US" w:eastAsia="zh-CN"/>
        </w:rPr>
        <w:t>供应商入驻登记”—“立即登记”进行自助注册绑定。</w:t>
      </w:r>
    </w:p>
    <w:p w14:paraId="1E592AE0">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10.2 供应商将</w:t>
      </w:r>
      <w:r>
        <w:rPr>
          <w:rFonts w:hint="eastAsia" w:cs="宋体"/>
          <w:i w:val="0"/>
          <w:iCs w:val="0"/>
          <w:color w:val="auto"/>
          <w:sz w:val="24"/>
          <w:szCs w:val="24"/>
          <w:highlight w:val="none"/>
          <w:lang w:val="en-US" w:eastAsia="zh-CN"/>
        </w:rPr>
        <w:t>新疆</w:t>
      </w:r>
      <w:r>
        <w:rPr>
          <w:rFonts w:hint="eastAsia" w:ascii="宋体" w:hAnsi="宋体" w:eastAsia="宋体" w:cs="宋体"/>
          <w:i w:val="0"/>
          <w:iCs w:val="0"/>
          <w:color w:val="auto"/>
          <w:sz w:val="24"/>
          <w:szCs w:val="24"/>
          <w:highlight w:val="none"/>
          <w:lang w:val="en-US" w:eastAsia="zh-CN"/>
        </w:rPr>
        <w:t>政府采购电子交易云平台电子交易客户端下载、安装完成后，可通过账号密码或CA登录客户端进行响应文件制作。在使用政采云投标客户端时，建议使用WIN7及以上操作系统。供应商登录</w:t>
      </w:r>
      <w:r>
        <w:rPr>
          <w:rFonts w:hint="eastAsia" w:cs="宋体"/>
          <w:i w:val="0"/>
          <w:iCs w:val="0"/>
          <w:color w:val="auto"/>
          <w:sz w:val="24"/>
          <w:szCs w:val="24"/>
          <w:highlight w:val="none"/>
          <w:lang w:val="en-US" w:eastAsia="zh-CN"/>
        </w:rPr>
        <w:t>新疆</w:t>
      </w:r>
      <w:r>
        <w:rPr>
          <w:rFonts w:hint="eastAsia" w:ascii="宋体" w:hAnsi="宋体" w:eastAsia="宋体" w:cs="宋体"/>
          <w:i w:val="0"/>
          <w:iCs w:val="0"/>
          <w:color w:val="auto"/>
          <w:sz w:val="24"/>
          <w:szCs w:val="24"/>
          <w:highlight w:val="none"/>
          <w:lang w:val="en-US" w:eastAsia="zh-CN"/>
        </w:rPr>
        <w:t>政府采购网“下载专区”—“新疆维吾尔自治区全流程电子招投标项目管理系统--供应商客户端”下载相关客户端，如有问题可拨打政采云客户服务热线95763进行咨询。</w:t>
      </w:r>
    </w:p>
    <w:p w14:paraId="43BE3FD6">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10.3 加密的电子响应文件应在响应文件递交截止时间前通过政采云平台上传完成。逾期上传或者未上传指定地点的响应文件，不予受理。</w:t>
      </w:r>
    </w:p>
    <w:p w14:paraId="1DAB0F1C">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10.4 供应商在磋商前须提前配置好电脑及浏览器，磋商时请使用制作加密电子响应文件的CA锁进行解密及报价确认。本项目响应文件解密时间详“供应商须知前附表”，如因自身原因导致无法正常解密，后果由供应商自行承担。</w:t>
      </w:r>
    </w:p>
    <w:p w14:paraId="26F9656F">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10.5 如遇“</w:t>
      </w:r>
      <w:r>
        <w:rPr>
          <w:rFonts w:hint="eastAsia" w:cs="宋体"/>
          <w:i w:val="0"/>
          <w:iCs w:val="0"/>
          <w:color w:val="auto"/>
          <w:sz w:val="24"/>
          <w:szCs w:val="24"/>
          <w:highlight w:val="none"/>
          <w:lang w:val="en-US" w:eastAsia="zh-CN"/>
        </w:rPr>
        <w:t>新疆</w:t>
      </w:r>
      <w:r>
        <w:rPr>
          <w:rFonts w:hint="eastAsia" w:ascii="宋体" w:hAnsi="宋体" w:eastAsia="宋体" w:cs="宋体"/>
          <w:i w:val="0"/>
          <w:iCs w:val="0"/>
          <w:color w:val="auto"/>
          <w:sz w:val="24"/>
          <w:szCs w:val="24"/>
          <w:highlight w:val="none"/>
          <w:lang w:val="en-US" w:eastAsia="zh-CN"/>
        </w:rPr>
        <w:t>政府采购电子交易云平台（网址：https://www.zcygov.cn/）”电子交易规则调整，以最新要求为准。</w:t>
      </w:r>
    </w:p>
    <w:p w14:paraId="0210B2F5">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10.6 电子交易系统咨询：供应商应当充分考虑到电子响应可能会发生的各种问题和风险，特别是响应文件签署、提交等问题，可按照“第一章 竞争性磋商公告”的联系方式咨询相关人员。</w:t>
      </w:r>
    </w:p>
    <w:p w14:paraId="33A86F68">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10.7 由于本项目采用电子磋商方式，潜在供应商的名单将在递交响应文件截止时间后才会解密。因此，采购人或采购代理机构无法通过传统的传真或邮件方式，将竞争性磋商文件的澄清或修改内容逐一通知到每位已获取竞争性磋商文件的潜在供应商。为确保信息的及时性和准确性，澄清或修改的内容将仅在政采云平台以更正公告的形式发布。潜在供应商需密切关注该网站，及时查看并下载相关更正公告。若因潜在供应商未能及时查看或下载相关更正公告，而导致的一切后果，将由潜在供应商自行承担。</w:t>
      </w:r>
    </w:p>
    <w:p w14:paraId="10E71399">
      <w:pPr>
        <w:pStyle w:val="5"/>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133" w:name="_Toc470172668"/>
      <w:bookmarkStart w:id="134" w:name="_Toc163493612"/>
      <w:bookmarkStart w:id="135" w:name="_Toc46771643"/>
      <w:bookmarkStart w:id="136" w:name="_Toc109900375"/>
      <w:bookmarkStart w:id="137" w:name="_Toc109899537"/>
      <w:bookmarkStart w:id="138" w:name="_Toc109897438"/>
      <w:bookmarkStart w:id="139" w:name="_Toc28430"/>
      <w:bookmarkStart w:id="140" w:name="_Toc109899956"/>
      <w:r>
        <w:rPr>
          <w:rFonts w:hint="eastAsia" w:ascii="宋体" w:hAnsi="宋体" w:eastAsia="宋体" w:cs="宋体"/>
          <w:b/>
          <w:bCs/>
          <w:i w:val="0"/>
          <w:iCs w:val="0"/>
          <w:color w:val="auto"/>
          <w:kern w:val="2"/>
          <w:sz w:val="24"/>
          <w:szCs w:val="24"/>
          <w:highlight w:val="none"/>
          <w:lang w:val="en-US" w:eastAsia="zh-CN" w:bidi="ar-SA"/>
        </w:rPr>
        <w:t>（二）磋商文件</w:t>
      </w:r>
      <w:bookmarkEnd w:id="133"/>
      <w:bookmarkEnd w:id="134"/>
      <w:bookmarkEnd w:id="135"/>
      <w:bookmarkEnd w:id="136"/>
      <w:bookmarkEnd w:id="137"/>
      <w:bookmarkEnd w:id="138"/>
      <w:bookmarkEnd w:id="139"/>
      <w:bookmarkEnd w:id="140"/>
    </w:p>
    <w:p w14:paraId="37BA1323">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141" w:name="_Toc46772245"/>
      <w:bookmarkStart w:id="142" w:name="_Toc109899538"/>
      <w:bookmarkStart w:id="143" w:name="_Toc4547"/>
      <w:bookmarkStart w:id="144" w:name="_Toc48846113"/>
      <w:bookmarkStart w:id="145" w:name="_Toc109897439"/>
      <w:bookmarkStart w:id="146" w:name="_Toc52962731"/>
      <w:bookmarkStart w:id="147" w:name="_Toc52960557"/>
      <w:bookmarkStart w:id="148" w:name="_Toc51674215"/>
      <w:bookmarkStart w:id="149" w:name="_Toc109899957"/>
      <w:bookmarkStart w:id="150" w:name="_Toc470172669"/>
      <w:bookmarkStart w:id="151" w:name="_Toc109900376"/>
      <w:bookmarkStart w:id="152" w:name="_Toc46771644"/>
      <w:bookmarkStart w:id="153" w:name="_Toc48688793"/>
      <w:r>
        <w:rPr>
          <w:rFonts w:hint="eastAsia" w:ascii="宋体" w:hAnsi="宋体" w:eastAsia="宋体" w:cs="宋体"/>
          <w:b/>
          <w:bCs/>
          <w:i w:val="0"/>
          <w:iCs w:val="0"/>
          <w:color w:val="auto"/>
          <w:kern w:val="2"/>
          <w:sz w:val="24"/>
          <w:szCs w:val="24"/>
          <w:highlight w:val="none"/>
          <w:lang w:val="en-US" w:eastAsia="zh-CN" w:bidi="ar-SA"/>
        </w:rPr>
        <w:t>11.磋商文件的构成</w:t>
      </w:r>
      <w:bookmarkEnd w:id="141"/>
      <w:bookmarkEnd w:id="142"/>
      <w:bookmarkEnd w:id="143"/>
      <w:bookmarkEnd w:id="144"/>
      <w:bookmarkEnd w:id="145"/>
      <w:bookmarkEnd w:id="146"/>
      <w:bookmarkEnd w:id="147"/>
      <w:bookmarkEnd w:id="148"/>
      <w:bookmarkEnd w:id="149"/>
      <w:bookmarkEnd w:id="150"/>
      <w:bookmarkEnd w:id="151"/>
      <w:bookmarkEnd w:id="152"/>
      <w:bookmarkEnd w:id="153"/>
    </w:p>
    <w:p w14:paraId="4ED08B47">
      <w:pPr>
        <w:keepNext w:val="0"/>
        <w:keepLines w:val="0"/>
        <w:pageBreakBefore w:val="0"/>
        <w:widowControl w:val="0"/>
        <w:kinsoku/>
        <w:overflowPunct/>
        <w:topLinePunct w:val="0"/>
        <w:bidi w:val="0"/>
        <w:ind w:firstLine="480" w:firstLineChars="200"/>
        <w:textAlignment w:val="auto"/>
        <w:rPr>
          <w:rFonts w:hint="eastAsia" w:ascii="宋体" w:hAnsi="宋体" w:eastAsia="宋体" w:cs="宋体"/>
          <w:i w:val="0"/>
          <w:iCs w:val="0"/>
          <w:color w:val="auto"/>
          <w:sz w:val="24"/>
          <w:szCs w:val="24"/>
          <w:highlight w:val="none"/>
          <w:lang w:eastAsia="zh-CN"/>
        </w:rPr>
      </w:pPr>
      <w:bookmarkStart w:id="154" w:name="_Toc109900377"/>
      <w:bookmarkStart w:id="155" w:name="_Toc109899539"/>
      <w:bookmarkStart w:id="156" w:name="_Toc46771645"/>
      <w:bookmarkStart w:id="157" w:name="_Toc48846114"/>
      <w:bookmarkStart w:id="158" w:name="_Toc52960558"/>
      <w:bookmarkStart w:id="159" w:name="_Toc109899958"/>
      <w:bookmarkStart w:id="160" w:name="_Toc48688794"/>
      <w:bookmarkStart w:id="161" w:name="_Toc51674216"/>
      <w:bookmarkStart w:id="162" w:name="_Toc478415174"/>
      <w:bookmarkStart w:id="163" w:name="_Toc52962732"/>
      <w:bookmarkStart w:id="164" w:name="_Toc46772246"/>
      <w:bookmarkStart w:id="165" w:name="_Toc109897440"/>
      <w:r>
        <w:rPr>
          <w:rFonts w:hint="eastAsia" w:ascii="宋体" w:hAnsi="宋体" w:eastAsia="宋体" w:cs="宋体"/>
          <w:i w:val="0"/>
          <w:iCs w:val="0"/>
          <w:color w:val="auto"/>
          <w:sz w:val="24"/>
          <w:szCs w:val="24"/>
          <w:highlight w:val="none"/>
        </w:rPr>
        <w:t>第一章 竞争性磋商</w:t>
      </w:r>
      <w:r>
        <w:rPr>
          <w:rFonts w:hint="eastAsia" w:ascii="宋体" w:hAnsi="宋体" w:eastAsia="宋体" w:cs="宋体"/>
          <w:i w:val="0"/>
          <w:iCs w:val="0"/>
          <w:color w:val="auto"/>
          <w:sz w:val="24"/>
          <w:szCs w:val="24"/>
          <w:highlight w:val="none"/>
          <w:lang w:val="en-US" w:eastAsia="zh-CN"/>
        </w:rPr>
        <w:t>公告</w:t>
      </w:r>
    </w:p>
    <w:p w14:paraId="52B4B900">
      <w:pPr>
        <w:keepNext w:val="0"/>
        <w:keepLines w:val="0"/>
        <w:pageBreakBefore w:val="0"/>
        <w:widowControl w:val="0"/>
        <w:kinsoku/>
        <w:overflowPunct/>
        <w:topLinePunct w:val="0"/>
        <w:bidi w:val="0"/>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第二章 供应商须知</w:t>
      </w:r>
    </w:p>
    <w:p w14:paraId="60BAAA28">
      <w:pPr>
        <w:keepNext w:val="0"/>
        <w:keepLines w:val="0"/>
        <w:pageBreakBefore w:val="0"/>
        <w:widowControl w:val="0"/>
        <w:kinsoku/>
        <w:overflowPunct/>
        <w:topLinePunct w:val="0"/>
        <w:bidi w:val="0"/>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p>
    <w:p w14:paraId="72071CC7">
      <w:pPr>
        <w:keepNext w:val="0"/>
        <w:keepLines w:val="0"/>
        <w:pageBreakBefore w:val="0"/>
        <w:widowControl w:val="0"/>
        <w:kinsoku/>
        <w:overflowPunct/>
        <w:topLinePunct w:val="0"/>
        <w:bidi w:val="0"/>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第四章 评审</w:t>
      </w:r>
      <w:r>
        <w:rPr>
          <w:rFonts w:hint="eastAsia" w:ascii="宋体" w:hAnsi="宋体" w:eastAsia="宋体" w:cs="宋体"/>
          <w:i w:val="0"/>
          <w:iCs w:val="0"/>
          <w:color w:val="auto"/>
          <w:sz w:val="24"/>
          <w:szCs w:val="24"/>
          <w:highlight w:val="none"/>
          <w:lang w:val="en-US" w:eastAsia="zh-CN"/>
        </w:rPr>
        <w:t>方</w:t>
      </w:r>
      <w:r>
        <w:rPr>
          <w:rFonts w:hint="eastAsia" w:ascii="宋体" w:hAnsi="宋体" w:eastAsia="宋体" w:cs="宋体"/>
          <w:i w:val="0"/>
          <w:iCs w:val="0"/>
          <w:color w:val="auto"/>
          <w:sz w:val="24"/>
          <w:szCs w:val="24"/>
          <w:highlight w:val="none"/>
        </w:rPr>
        <w:t>法及标准</w:t>
      </w:r>
    </w:p>
    <w:p w14:paraId="0C1C9E13">
      <w:pPr>
        <w:keepNext w:val="0"/>
        <w:keepLines w:val="0"/>
        <w:pageBreakBefore w:val="0"/>
        <w:widowControl w:val="0"/>
        <w:kinsoku/>
        <w:overflowPunct/>
        <w:topLinePunct w:val="0"/>
        <w:bidi w:val="0"/>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第五章 合同草案</w:t>
      </w:r>
    </w:p>
    <w:p w14:paraId="1FAD37F0">
      <w:pPr>
        <w:keepNext w:val="0"/>
        <w:keepLines w:val="0"/>
        <w:pageBreakBefore w:val="0"/>
        <w:widowControl w:val="0"/>
        <w:kinsoku/>
        <w:overflowPunct/>
        <w:topLinePunct w:val="0"/>
        <w:bidi w:val="0"/>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第六章 响应文件的格式</w:t>
      </w:r>
    </w:p>
    <w:p w14:paraId="49F7FF65">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12.磋商文件的澄清或修改</w:t>
      </w:r>
      <w:bookmarkEnd w:id="154"/>
      <w:bookmarkEnd w:id="155"/>
      <w:bookmarkEnd w:id="156"/>
      <w:bookmarkEnd w:id="157"/>
      <w:bookmarkEnd w:id="158"/>
      <w:bookmarkEnd w:id="159"/>
      <w:bookmarkEnd w:id="160"/>
      <w:bookmarkEnd w:id="161"/>
      <w:bookmarkEnd w:id="162"/>
      <w:bookmarkEnd w:id="163"/>
      <w:bookmarkEnd w:id="164"/>
      <w:bookmarkEnd w:id="165"/>
    </w:p>
    <w:p w14:paraId="635A264C">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.1 供应商对采购项目有疑问的，可以按照“供应商须知前附表”中的规定提出询问。提出后，请供应商及时通过交易平台“答疑文件下载”栏目查看答疑文件或澄清文件。必要时，采购代理机构将组织相关专家召开答疑会，如召开，答疑会安排另行通知。采购人或采购代理机构将在收到询问后依法予以答复。对竞争性</w:t>
      </w:r>
      <w:r>
        <w:rPr>
          <w:rFonts w:hint="eastAsia" w:ascii="宋体" w:hAnsi="宋体" w:eastAsia="宋体"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rPr>
        <w:t>文件询问的答复，在必要时将以澄清形式推送给每个获取竞争性</w:t>
      </w:r>
      <w:r>
        <w:rPr>
          <w:rFonts w:hint="eastAsia" w:ascii="宋体" w:hAnsi="宋体" w:eastAsia="宋体"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rPr>
        <w:t>文件的潜在</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(答复中不包括问题的来源)。</w:t>
      </w:r>
    </w:p>
    <w:p w14:paraId="11FB40EC">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供应商在规定的时间内未对竞争性</w:t>
      </w:r>
      <w:r>
        <w:rPr>
          <w:rFonts w:hint="eastAsia" w:ascii="宋体" w:hAnsi="宋体" w:eastAsia="宋体"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rPr>
        <w:t>文件提出疑问或要求澄清的，采购代理机构将视其为同意，对在“供应商须知前附表”中“</w:t>
      </w:r>
      <w:r>
        <w:rPr>
          <w:rFonts w:hint="eastAsia" w:ascii="宋体" w:hAnsi="宋体" w:eastAsia="宋体" w:cs="宋体"/>
          <w:i w:val="0"/>
          <w:iCs w:val="0"/>
          <w:color w:val="auto"/>
          <w:sz w:val="24"/>
          <w:szCs w:val="24"/>
          <w:highlight w:val="none"/>
          <w:lang w:val="en-US" w:eastAsia="zh-CN"/>
        </w:rPr>
        <w:t>提出询问的</w:t>
      </w: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lang w:val="en-US" w:eastAsia="zh-CN"/>
        </w:rPr>
        <w:t>要求</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之</w:t>
      </w:r>
      <w:r>
        <w:rPr>
          <w:rFonts w:hint="eastAsia" w:ascii="宋体" w:hAnsi="宋体" w:eastAsia="宋体" w:cs="宋体"/>
          <w:i w:val="0"/>
          <w:iCs w:val="0"/>
          <w:color w:val="auto"/>
          <w:sz w:val="24"/>
          <w:szCs w:val="24"/>
          <w:highlight w:val="none"/>
        </w:rPr>
        <w:t>后就竞争性</w:t>
      </w:r>
      <w:r>
        <w:rPr>
          <w:rFonts w:hint="eastAsia" w:ascii="宋体" w:hAnsi="宋体" w:eastAsia="宋体"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rPr>
        <w:t>文件内容提出的疑问及澄清要求将不予受理。</w:t>
      </w:r>
    </w:p>
    <w:p w14:paraId="0ECEC52B">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.2 采购人或者采购代理机构可以对已发出的竞争性</w:t>
      </w:r>
      <w:r>
        <w:rPr>
          <w:rFonts w:hint="eastAsia" w:ascii="宋体" w:hAnsi="宋体" w:eastAsia="宋体"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rPr>
        <w:t>文件进行必要的澄清或者修改。澄清或修改的内容为竞争性</w:t>
      </w:r>
      <w:r>
        <w:rPr>
          <w:rFonts w:hint="eastAsia" w:ascii="宋体" w:hAnsi="宋体" w:eastAsia="宋体"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rPr>
        <w:t>文件的组成部分，并对所有获取竞争性</w:t>
      </w:r>
      <w:r>
        <w:rPr>
          <w:rFonts w:hint="eastAsia" w:ascii="宋体" w:hAnsi="宋体" w:eastAsia="宋体"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rPr>
        <w:t>文件的潜在供应商具有约束力。</w:t>
      </w:r>
    </w:p>
    <w:p w14:paraId="22A671E2">
      <w:pPr>
        <w:keepNext w:val="0"/>
        <w:keepLines w:val="0"/>
        <w:pageBreakBefore w:val="0"/>
        <w:widowControl w:val="0"/>
        <w:kinsoku/>
        <w:overflowPunct/>
        <w:topLinePunct w:val="0"/>
        <w:bidi w:val="0"/>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.3 竞争性磋商文件的澄清或者修</w:t>
      </w:r>
      <w:r>
        <w:rPr>
          <w:rFonts w:hint="eastAsia" w:ascii="宋体" w:hAnsi="宋体" w:eastAsia="宋体" w:cs="宋体"/>
          <w:i w:val="0"/>
          <w:iCs w:val="0"/>
          <w:snapToGrid w:val="0"/>
          <w:color w:val="auto"/>
          <w:sz w:val="24"/>
          <w:szCs w:val="24"/>
          <w:highlight w:val="none"/>
          <w:lang w:val="zh-CN"/>
        </w:rPr>
        <w:t>改以当面交接、邮寄、传真或电子邮件、网站披露等其中至少一种方式，发给所有领取竞争性磋商文件的供应商，但不包括问题的来源。对磋商文件澄清或者修改的内容可能影响响应文件编制的，采购人、采购代理机构或者磋商小组应当在提交首次响应文件截止之日5日前，以书面形式通知所有接收</w:t>
      </w:r>
      <w:r>
        <w:rPr>
          <w:rFonts w:hint="eastAsia" w:ascii="宋体" w:hAnsi="宋体" w:eastAsia="宋体" w:cs="宋体"/>
          <w:i w:val="0"/>
          <w:iCs w:val="0"/>
          <w:color w:val="auto"/>
          <w:sz w:val="24"/>
          <w:szCs w:val="24"/>
          <w:highlight w:val="none"/>
        </w:rPr>
        <w:t>竞争性</w:t>
      </w:r>
      <w:r>
        <w:rPr>
          <w:rFonts w:hint="eastAsia" w:ascii="宋体" w:hAnsi="宋体" w:eastAsia="宋体" w:cs="宋体"/>
          <w:i w:val="0"/>
          <w:iCs w:val="0"/>
          <w:snapToGrid w:val="0"/>
          <w:color w:val="auto"/>
          <w:sz w:val="24"/>
          <w:szCs w:val="24"/>
          <w:highlight w:val="none"/>
          <w:lang w:val="zh-CN"/>
        </w:rPr>
        <w:t>磋商文件的供应商，不足5日的，应当顺延提交首次响应文件</w:t>
      </w:r>
      <w:r>
        <w:rPr>
          <w:rFonts w:hint="eastAsia" w:ascii="宋体" w:hAnsi="宋体" w:eastAsia="宋体" w:cs="宋体"/>
          <w:i w:val="0"/>
          <w:iCs w:val="0"/>
          <w:snapToGrid w:val="0"/>
          <w:color w:val="auto"/>
          <w:sz w:val="24"/>
          <w:szCs w:val="24"/>
          <w:highlight w:val="none"/>
          <w:lang w:val="en-US" w:eastAsia="zh-CN"/>
        </w:rPr>
        <w:t>的</w:t>
      </w:r>
      <w:r>
        <w:rPr>
          <w:rFonts w:hint="eastAsia" w:ascii="宋体" w:hAnsi="宋体" w:eastAsia="宋体" w:cs="宋体"/>
          <w:i w:val="0"/>
          <w:iCs w:val="0"/>
          <w:snapToGrid w:val="0"/>
          <w:color w:val="auto"/>
          <w:sz w:val="24"/>
          <w:szCs w:val="24"/>
          <w:highlight w:val="none"/>
          <w:lang w:val="zh-CN"/>
        </w:rPr>
        <w:t>截止时间</w:t>
      </w:r>
      <w:r>
        <w:rPr>
          <w:rFonts w:hint="eastAsia" w:ascii="宋体" w:hAnsi="宋体" w:eastAsia="宋体" w:cs="宋体"/>
          <w:i w:val="0"/>
          <w:iCs w:val="0"/>
          <w:color w:val="auto"/>
          <w:sz w:val="24"/>
          <w:szCs w:val="24"/>
          <w:highlight w:val="none"/>
        </w:rPr>
        <w:t>。</w:t>
      </w:r>
    </w:p>
    <w:p w14:paraId="14731A74">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 xml:space="preserve">.4 </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须知”所称“书面形式”包括系统消息、政府采购</w:t>
      </w:r>
      <w:r>
        <w:rPr>
          <w:rFonts w:hint="eastAsia" w:ascii="宋体" w:hAnsi="宋体" w:eastAsia="宋体" w:cs="宋体"/>
          <w:i w:val="0"/>
          <w:iCs w:val="0"/>
          <w:color w:val="auto"/>
          <w:sz w:val="24"/>
          <w:szCs w:val="24"/>
          <w:highlight w:val="none"/>
          <w:lang w:val="en-US" w:eastAsia="zh-CN"/>
        </w:rPr>
        <w:t>云平台</w:t>
      </w:r>
      <w:r>
        <w:rPr>
          <w:rFonts w:hint="eastAsia" w:ascii="宋体" w:hAnsi="宋体" w:eastAsia="宋体" w:cs="宋体"/>
          <w:i w:val="0"/>
          <w:iCs w:val="0"/>
          <w:color w:val="auto"/>
          <w:sz w:val="24"/>
          <w:szCs w:val="24"/>
          <w:highlight w:val="none"/>
        </w:rPr>
        <w:t>发布的公告。</w:t>
      </w:r>
    </w:p>
    <w:p w14:paraId="4448E002">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color w:val="auto"/>
          <w:kern w:val="2"/>
          <w:sz w:val="24"/>
          <w:szCs w:val="24"/>
          <w:highlight w:val="none"/>
        </w:rPr>
        <w:t>1</w:t>
      </w:r>
      <w:r>
        <w:rPr>
          <w:rFonts w:hint="eastAsia" w:ascii="宋体" w:hAnsi="宋体" w:eastAsia="宋体" w:cs="宋体"/>
          <w:i w:val="0"/>
          <w:iCs w:val="0"/>
          <w:color w:val="auto"/>
          <w:kern w:val="2"/>
          <w:sz w:val="24"/>
          <w:szCs w:val="24"/>
          <w:highlight w:val="none"/>
          <w:lang w:val="en-US" w:eastAsia="zh-CN"/>
        </w:rPr>
        <w:t>2</w:t>
      </w:r>
      <w:r>
        <w:rPr>
          <w:rFonts w:hint="eastAsia" w:ascii="宋体" w:hAnsi="宋体" w:eastAsia="宋体" w:cs="宋体"/>
          <w:i w:val="0"/>
          <w:iCs w:val="0"/>
          <w:color w:val="auto"/>
          <w:kern w:val="2"/>
          <w:sz w:val="24"/>
          <w:szCs w:val="24"/>
          <w:highlight w:val="none"/>
        </w:rPr>
        <w:t>.</w:t>
      </w:r>
      <w:r>
        <w:rPr>
          <w:rFonts w:hint="eastAsia" w:ascii="宋体" w:hAnsi="宋体" w:eastAsia="宋体" w:cs="宋体"/>
          <w:i w:val="0"/>
          <w:iCs w:val="0"/>
          <w:color w:val="auto"/>
          <w:kern w:val="2"/>
          <w:sz w:val="24"/>
          <w:szCs w:val="24"/>
          <w:highlight w:val="none"/>
          <w:lang w:val="en-US" w:eastAsia="zh-CN"/>
        </w:rPr>
        <w:t>5</w:t>
      </w:r>
      <w:r>
        <w:rPr>
          <w:rFonts w:hint="eastAsia" w:ascii="宋体" w:hAnsi="宋体" w:eastAsia="宋体" w:cs="宋体"/>
          <w:i w:val="0"/>
          <w:iCs w:val="0"/>
          <w:color w:val="auto"/>
          <w:kern w:val="2"/>
          <w:sz w:val="24"/>
          <w:szCs w:val="24"/>
          <w:highlight w:val="none"/>
        </w:rPr>
        <w:t>采购代理机构一旦对竞争性</w:t>
      </w:r>
      <w:r>
        <w:rPr>
          <w:rFonts w:hint="eastAsia" w:ascii="宋体" w:hAnsi="宋体" w:eastAsia="宋体" w:cs="宋体"/>
          <w:i w:val="0"/>
          <w:iCs w:val="0"/>
          <w:color w:val="auto"/>
          <w:kern w:val="2"/>
          <w:sz w:val="24"/>
          <w:szCs w:val="24"/>
          <w:highlight w:val="none"/>
          <w:lang w:val="zh-CN"/>
        </w:rPr>
        <w:t>磋商</w:t>
      </w:r>
      <w:r>
        <w:rPr>
          <w:rFonts w:hint="eastAsia" w:ascii="宋体" w:hAnsi="宋体" w:eastAsia="宋体" w:cs="宋体"/>
          <w:i w:val="0"/>
          <w:iCs w:val="0"/>
          <w:color w:val="auto"/>
          <w:kern w:val="2"/>
          <w:sz w:val="24"/>
          <w:szCs w:val="24"/>
          <w:highlight w:val="none"/>
        </w:rPr>
        <w:t>文件作出了澄清、修改，即刻发生效力，采购代理机构有关的澄清、修改文件，将作为竞争性</w:t>
      </w:r>
      <w:r>
        <w:rPr>
          <w:rFonts w:hint="eastAsia" w:ascii="宋体" w:hAnsi="宋体" w:eastAsia="宋体" w:cs="宋体"/>
          <w:i w:val="0"/>
          <w:iCs w:val="0"/>
          <w:color w:val="auto"/>
          <w:kern w:val="2"/>
          <w:sz w:val="24"/>
          <w:szCs w:val="24"/>
          <w:highlight w:val="none"/>
          <w:lang w:val="zh-CN"/>
        </w:rPr>
        <w:t>磋商</w:t>
      </w:r>
      <w:r>
        <w:rPr>
          <w:rFonts w:hint="eastAsia" w:ascii="宋体" w:hAnsi="宋体" w:eastAsia="宋体" w:cs="宋体"/>
          <w:i w:val="0"/>
          <w:iCs w:val="0"/>
          <w:color w:val="auto"/>
          <w:kern w:val="2"/>
          <w:sz w:val="24"/>
          <w:szCs w:val="24"/>
          <w:highlight w:val="none"/>
        </w:rPr>
        <w:t>文件的组成部分，对所有现实的或潜在的</w:t>
      </w:r>
      <w:r>
        <w:rPr>
          <w:rFonts w:hint="eastAsia" w:ascii="宋体" w:hAnsi="宋体" w:eastAsia="宋体" w:cs="宋体"/>
          <w:i w:val="0"/>
          <w:iCs w:val="0"/>
          <w:color w:val="auto"/>
          <w:kern w:val="2"/>
          <w:sz w:val="24"/>
          <w:szCs w:val="24"/>
          <w:highlight w:val="none"/>
          <w:lang w:val="en-US" w:eastAsia="zh-CN"/>
        </w:rPr>
        <w:t>供应商</w:t>
      </w:r>
      <w:r>
        <w:rPr>
          <w:rFonts w:hint="eastAsia" w:ascii="宋体" w:hAnsi="宋体" w:eastAsia="宋体" w:cs="宋体"/>
          <w:i w:val="0"/>
          <w:iCs w:val="0"/>
          <w:color w:val="auto"/>
          <w:kern w:val="2"/>
          <w:sz w:val="24"/>
          <w:szCs w:val="24"/>
          <w:highlight w:val="none"/>
        </w:rPr>
        <w:t>均具有约束力，而无论是否已经实际收到上述文件。同时，采购代理机构和</w:t>
      </w:r>
      <w:r>
        <w:rPr>
          <w:rFonts w:hint="eastAsia" w:ascii="宋体" w:hAnsi="宋体" w:eastAsia="宋体" w:cs="宋体"/>
          <w:i w:val="0"/>
          <w:iCs w:val="0"/>
          <w:color w:val="auto"/>
          <w:kern w:val="2"/>
          <w:sz w:val="24"/>
          <w:szCs w:val="24"/>
          <w:highlight w:val="none"/>
          <w:lang w:val="en-US" w:eastAsia="zh-CN"/>
        </w:rPr>
        <w:t>供应商</w:t>
      </w:r>
      <w:r>
        <w:rPr>
          <w:rFonts w:hint="eastAsia" w:ascii="宋体" w:hAnsi="宋体" w:eastAsia="宋体" w:cs="宋体"/>
          <w:i w:val="0"/>
          <w:iCs w:val="0"/>
          <w:color w:val="auto"/>
          <w:kern w:val="2"/>
          <w:sz w:val="24"/>
          <w:szCs w:val="24"/>
          <w:highlight w:val="none"/>
        </w:rPr>
        <w:t>的权利及义务将受到新的截止期的约束。</w:t>
      </w:r>
    </w:p>
    <w:p w14:paraId="6E6D7F4C">
      <w:pPr>
        <w:keepNext w:val="0"/>
        <w:keepLines w:val="0"/>
        <w:pageBreakBefore w:val="0"/>
        <w:widowControl w:val="0"/>
        <w:kinsoku/>
        <w:overflowPunct/>
        <w:topLinePunct w:val="0"/>
        <w:bidi w:val="0"/>
        <w:ind w:firstLine="480" w:firstLineChars="200"/>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color w:val="auto"/>
          <w:kern w:val="2"/>
          <w:sz w:val="24"/>
          <w:szCs w:val="24"/>
          <w:highlight w:val="none"/>
        </w:rPr>
        <w:t>1</w:t>
      </w:r>
      <w:r>
        <w:rPr>
          <w:rFonts w:hint="eastAsia" w:ascii="宋体" w:hAnsi="宋体" w:eastAsia="宋体" w:cs="宋体"/>
          <w:i w:val="0"/>
          <w:iCs w:val="0"/>
          <w:color w:val="auto"/>
          <w:kern w:val="2"/>
          <w:sz w:val="24"/>
          <w:szCs w:val="24"/>
          <w:highlight w:val="none"/>
          <w:lang w:val="en-US" w:eastAsia="zh-CN"/>
        </w:rPr>
        <w:t>2</w:t>
      </w:r>
      <w:r>
        <w:rPr>
          <w:rFonts w:hint="eastAsia" w:ascii="宋体" w:hAnsi="宋体" w:eastAsia="宋体" w:cs="宋体"/>
          <w:i w:val="0"/>
          <w:iCs w:val="0"/>
          <w:color w:val="auto"/>
          <w:kern w:val="2"/>
          <w:sz w:val="24"/>
          <w:szCs w:val="24"/>
          <w:highlight w:val="none"/>
        </w:rPr>
        <w:t>.</w:t>
      </w:r>
      <w:r>
        <w:rPr>
          <w:rFonts w:hint="eastAsia" w:ascii="宋体" w:hAnsi="宋体" w:eastAsia="宋体" w:cs="宋体"/>
          <w:i w:val="0"/>
          <w:iCs w:val="0"/>
          <w:color w:val="auto"/>
          <w:kern w:val="2"/>
          <w:sz w:val="24"/>
          <w:szCs w:val="24"/>
          <w:highlight w:val="none"/>
          <w:lang w:val="en-US" w:eastAsia="zh-CN"/>
        </w:rPr>
        <w:t>6</w:t>
      </w:r>
      <w:r>
        <w:rPr>
          <w:rFonts w:hint="eastAsia" w:ascii="宋体" w:hAnsi="宋体" w:eastAsia="宋体" w:cs="宋体"/>
          <w:i w:val="0"/>
          <w:iCs w:val="0"/>
          <w:color w:val="auto"/>
          <w:kern w:val="2"/>
          <w:sz w:val="24"/>
          <w:szCs w:val="24"/>
          <w:highlight w:val="none"/>
        </w:rPr>
        <w:t>采购代理机构对竞争性</w:t>
      </w:r>
      <w:r>
        <w:rPr>
          <w:rFonts w:hint="eastAsia" w:ascii="宋体" w:hAnsi="宋体" w:eastAsia="宋体" w:cs="宋体"/>
          <w:i w:val="0"/>
          <w:iCs w:val="0"/>
          <w:color w:val="auto"/>
          <w:kern w:val="2"/>
          <w:sz w:val="24"/>
          <w:szCs w:val="24"/>
          <w:highlight w:val="none"/>
          <w:lang w:val="zh-CN"/>
        </w:rPr>
        <w:t>磋商</w:t>
      </w:r>
      <w:r>
        <w:rPr>
          <w:rFonts w:hint="eastAsia" w:ascii="宋体" w:hAnsi="宋体" w:eastAsia="宋体" w:cs="宋体"/>
          <w:i w:val="0"/>
          <w:iCs w:val="0"/>
          <w:color w:val="auto"/>
          <w:kern w:val="2"/>
          <w:sz w:val="24"/>
          <w:szCs w:val="24"/>
          <w:highlight w:val="none"/>
        </w:rPr>
        <w:t>文件作出的澄清、修改在平台内进行披露，请</w:t>
      </w:r>
      <w:r>
        <w:rPr>
          <w:rFonts w:hint="eastAsia" w:ascii="宋体" w:hAnsi="宋体" w:eastAsia="宋体" w:cs="宋体"/>
          <w:i w:val="0"/>
          <w:iCs w:val="0"/>
          <w:color w:val="auto"/>
          <w:kern w:val="2"/>
          <w:sz w:val="24"/>
          <w:szCs w:val="24"/>
          <w:highlight w:val="none"/>
          <w:lang w:val="en-US" w:eastAsia="zh-CN"/>
        </w:rPr>
        <w:t>供应商</w:t>
      </w:r>
      <w:r>
        <w:rPr>
          <w:rFonts w:hint="eastAsia" w:ascii="宋体" w:hAnsi="宋体" w:eastAsia="宋体" w:cs="宋体"/>
          <w:i w:val="0"/>
          <w:iCs w:val="0"/>
          <w:color w:val="auto"/>
          <w:kern w:val="2"/>
          <w:sz w:val="24"/>
          <w:szCs w:val="24"/>
          <w:highlight w:val="none"/>
        </w:rPr>
        <w:t>及时关注并获取相关资料。因登记有误、线路故障或其它任何意外情形，导致</w:t>
      </w:r>
      <w:r>
        <w:rPr>
          <w:rFonts w:hint="eastAsia" w:ascii="宋体" w:hAnsi="宋体" w:eastAsia="宋体" w:cs="宋体"/>
          <w:i w:val="0"/>
          <w:iCs w:val="0"/>
          <w:color w:val="auto"/>
          <w:kern w:val="2"/>
          <w:sz w:val="24"/>
          <w:szCs w:val="24"/>
          <w:highlight w:val="none"/>
          <w:lang w:val="en-US" w:eastAsia="zh-CN"/>
        </w:rPr>
        <w:t>供应商</w:t>
      </w:r>
      <w:r>
        <w:rPr>
          <w:rFonts w:hint="eastAsia" w:ascii="宋体" w:hAnsi="宋体" w:eastAsia="宋体" w:cs="宋体"/>
          <w:i w:val="0"/>
          <w:iCs w:val="0"/>
          <w:color w:val="auto"/>
          <w:kern w:val="2"/>
          <w:sz w:val="24"/>
          <w:szCs w:val="24"/>
          <w:highlight w:val="none"/>
        </w:rPr>
        <w:t>未及时获取的，采购代理机构不因此承担任何责任，且有关的</w:t>
      </w:r>
      <w:r>
        <w:rPr>
          <w:rFonts w:hint="eastAsia" w:ascii="宋体" w:hAnsi="宋体" w:eastAsia="宋体" w:cs="宋体"/>
          <w:i w:val="0"/>
          <w:iCs w:val="0"/>
          <w:color w:val="auto"/>
          <w:kern w:val="2"/>
          <w:sz w:val="24"/>
          <w:szCs w:val="24"/>
          <w:highlight w:val="none"/>
          <w:lang w:val="en-US" w:eastAsia="zh-CN"/>
        </w:rPr>
        <w:t>磋商</w:t>
      </w:r>
      <w:r>
        <w:rPr>
          <w:rFonts w:hint="eastAsia" w:ascii="宋体" w:hAnsi="宋体" w:eastAsia="宋体" w:cs="宋体"/>
          <w:i w:val="0"/>
          <w:iCs w:val="0"/>
          <w:color w:val="auto"/>
          <w:kern w:val="2"/>
          <w:sz w:val="24"/>
          <w:szCs w:val="24"/>
          <w:highlight w:val="none"/>
        </w:rPr>
        <w:t>活动继续有效地进行。当竞争性</w:t>
      </w:r>
      <w:r>
        <w:rPr>
          <w:rFonts w:hint="eastAsia" w:ascii="宋体" w:hAnsi="宋体" w:eastAsia="宋体" w:cs="宋体"/>
          <w:i w:val="0"/>
          <w:iCs w:val="0"/>
          <w:color w:val="auto"/>
          <w:kern w:val="2"/>
          <w:sz w:val="24"/>
          <w:szCs w:val="24"/>
          <w:highlight w:val="none"/>
          <w:lang w:val="zh-CN"/>
        </w:rPr>
        <w:t>磋商</w:t>
      </w:r>
      <w:r>
        <w:rPr>
          <w:rFonts w:hint="eastAsia" w:ascii="宋体" w:hAnsi="宋体" w:eastAsia="宋体" w:cs="宋体"/>
          <w:i w:val="0"/>
          <w:iCs w:val="0"/>
          <w:color w:val="auto"/>
          <w:kern w:val="2"/>
          <w:sz w:val="24"/>
          <w:szCs w:val="24"/>
          <w:highlight w:val="none"/>
        </w:rPr>
        <w:t>文件的澄清、修改及进行其他答复等就同一内容的表述不一致时，以最后发布的内容为准。</w:t>
      </w:r>
    </w:p>
    <w:p w14:paraId="78253819">
      <w:pPr>
        <w:pStyle w:val="5"/>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166" w:name="_Toc109900379"/>
      <w:bookmarkStart w:id="167" w:name="_Toc163493613"/>
      <w:bookmarkStart w:id="168" w:name="_Toc46771647"/>
      <w:bookmarkStart w:id="169" w:name="_Toc109899541"/>
      <w:bookmarkStart w:id="170" w:name="_Toc109897442"/>
      <w:bookmarkStart w:id="171" w:name="_Toc13211"/>
      <w:bookmarkStart w:id="172" w:name="_Toc470172672"/>
      <w:bookmarkStart w:id="173" w:name="_Toc109899960"/>
      <w:r>
        <w:rPr>
          <w:rFonts w:hint="eastAsia" w:ascii="宋体" w:hAnsi="宋体" w:eastAsia="宋体" w:cs="宋体"/>
          <w:b/>
          <w:bCs/>
          <w:i w:val="0"/>
          <w:iCs w:val="0"/>
          <w:color w:val="auto"/>
          <w:kern w:val="2"/>
          <w:sz w:val="24"/>
          <w:szCs w:val="24"/>
          <w:highlight w:val="none"/>
          <w:lang w:val="en-US" w:eastAsia="zh-CN" w:bidi="ar-SA"/>
        </w:rPr>
        <w:t>（三）响应文件</w:t>
      </w:r>
      <w:bookmarkEnd w:id="166"/>
      <w:bookmarkEnd w:id="167"/>
      <w:bookmarkEnd w:id="168"/>
      <w:bookmarkEnd w:id="169"/>
      <w:bookmarkEnd w:id="170"/>
      <w:bookmarkEnd w:id="171"/>
      <w:bookmarkEnd w:id="172"/>
      <w:bookmarkEnd w:id="173"/>
    </w:p>
    <w:p w14:paraId="15FB4EBA">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174" w:name="_Toc52960562"/>
      <w:bookmarkStart w:id="175" w:name="_Toc48688798"/>
      <w:bookmarkStart w:id="176" w:name="_Toc46772250"/>
      <w:bookmarkStart w:id="177" w:name="_Toc32272"/>
      <w:bookmarkStart w:id="178" w:name="_Toc52962736"/>
      <w:bookmarkStart w:id="179" w:name="_Toc470172674"/>
      <w:bookmarkStart w:id="180" w:name="_Toc109900381"/>
      <w:bookmarkStart w:id="181" w:name="_Toc46771649"/>
      <w:bookmarkStart w:id="182" w:name="_Toc51674220"/>
      <w:bookmarkStart w:id="183" w:name="_Toc109899543"/>
      <w:bookmarkStart w:id="184" w:name="_Toc48846118"/>
      <w:bookmarkStart w:id="185" w:name="_Toc109899962"/>
      <w:bookmarkStart w:id="186" w:name="_Toc109897444"/>
      <w:r>
        <w:rPr>
          <w:rFonts w:hint="eastAsia" w:ascii="宋体" w:hAnsi="宋体" w:eastAsia="宋体" w:cs="宋体"/>
          <w:b/>
          <w:bCs/>
          <w:i w:val="0"/>
          <w:iCs w:val="0"/>
          <w:color w:val="auto"/>
          <w:kern w:val="2"/>
          <w:sz w:val="24"/>
          <w:szCs w:val="24"/>
          <w:highlight w:val="none"/>
          <w:lang w:val="en-US" w:eastAsia="zh-CN" w:bidi="ar-SA"/>
        </w:rPr>
        <w:t>13.响应文件的</w:t>
      </w:r>
      <w:bookmarkEnd w:id="174"/>
      <w:bookmarkEnd w:id="175"/>
      <w:bookmarkEnd w:id="176"/>
      <w:bookmarkEnd w:id="177"/>
      <w:bookmarkEnd w:id="178"/>
      <w:bookmarkEnd w:id="179"/>
      <w:bookmarkEnd w:id="180"/>
      <w:bookmarkEnd w:id="181"/>
      <w:bookmarkEnd w:id="182"/>
      <w:bookmarkEnd w:id="183"/>
      <w:bookmarkEnd w:id="184"/>
      <w:bookmarkEnd w:id="185"/>
      <w:bookmarkEnd w:id="186"/>
      <w:r>
        <w:rPr>
          <w:rFonts w:hint="eastAsia" w:ascii="宋体" w:hAnsi="宋体" w:eastAsia="宋体" w:cs="宋体"/>
          <w:b/>
          <w:bCs/>
          <w:i w:val="0"/>
          <w:iCs w:val="0"/>
          <w:color w:val="auto"/>
          <w:kern w:val="2"/>
          <w:sz w:val="24"/>
          <w:szCs w:val="24"/>
          <w:highlight w:val="none"/>
          <w:lang w:val="en-US" w:eastAsia="zh-CN" w:bidi="ar-SA"/>
        </w:rPr>
        <w:t>组成</w:t>
      </w:r>
    </w:p>
    <w:p w14:paraId="0A28FBDE">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color w:val="auto"/>
          <w:kern w:val="2"/>
          <w:sz w:val="24"/>
          <w:szCs w:val="24"/>
          <w:highlight w:val="none"/>
          <w:lang w:val="en-US" w:eastAsia="zh-CN"/>
        </w:rPr>
        <w:t>13</w:t>
      </w:r>
      <w:r>
        <w:rPr>
          <w:rFonts w:hint="eastAsia" w:ascii="宋体" w:hAnsi="宋体" w:eastAsia="宋体" w:cs="宋体"/>
          <w:i w:val="0"/>
          <w:iCs w:val="0"/>
          <w:color w:val="auto"/>
          <w:kern w:val="2"/>
          <w:sz w:val="24"/>
          <w:szCs w:val="24"/>
          <w:highlight w:val="none"/>
        </w:rPr>
        <w:t>.1</w:t>
      </w:r>
      <w:r>
        <w:rPr>
          <w:rFonts w:hint="eastAsia" w:ascii="宋体" w:hAnsi="宋体" w:eastAsia="宋体" w:cs="宋体"/>
          <w:i w:val="0"/>
          <w:iCs w:val="0"/>
          <w:color w:val="auto"/>
          <w:kern w:val="2"/>
          <w:sz w:val="24"/>
          <w:szCs w:val="24"/>
          <w:highlight w:val="none"/>
          <w:lang w:val="en-US" w:eastAsia="zh-CN"/>
        </w:rPr>
        <w:t>供应商</w:t>
      </w:r>
      <w:r>
        <w:rPr>
          <w:rFonts w:hint="eastAsia" w:ascii="宋体" w:hAnsi="宋体" w:eastAsia="宋体" w:cs="宋体"/>
          <w:i w:val="0"/>
          <w:iCs w:val="0"/>
          <w:color w:val="auto"/>
          <w:kern w:val="2"/>
          <w:sz w:val="24"/>
          <w:szCs w:val="24"/>
          <w:highlight w:val="none"/>
        </w:rPr>
        <w:t>应完整地按竞争性</w:t>
      </w:r>
      <w:r>
        <w:rPr>
          <w:rFonts w:hint="eastAsia" w:ascii="宋体" w:hAnsi="宋体" w:eastAsia="宋体" w:cs="宋体"/>
          <w:i w:val="0"/>
          <w:iCs w:val="0"/>
          <w:color w:val="auto"/>
          <w:kern w:val="2"/>
          <w:sz w:val="24"/>
          <w:szCs w:val="24"/>
          <w:highlight w:val="none"/>
          <w:lang w:val="zh-CN"/>
        </w:rPr>
        <w:t>磋商</w:t>
      </w:r>
      <w:r>
        <w:rPr>
          <w:rFonts w:hint="eastAsia" w:ascii="宋体" w:hAnsi="宋体" w:eastAsia="宋体" w:cs="宋体"/>
          <w:i w:val="0"/>
          <w:iCs w:val="0"/>
          <w:color w:val="auto"/>
          <w:kern w:val="2"/>
          <w:sz w:val="24"/>
          <w:szCs w:val="24"/>
          <w:highlight w:val="none"/>
        </w:rPr>
        <w:t>文件提供的</w:t>
      </w:r>
      <w:r>
        <w:rPr>
          <w:rFonts w:hint="eastAsia" w:ascii="宋体" w:hAnsi="宋体" w:eastAsia="宋体" w:cs="宋体"/>
          <w:i w:val="0"/>
          <w:iCs w:val="0"/>
          <w:color w:val="auto"/>
          <w:kern w:val="2"/>
          <w:sz w:val="24"/>
          <w:szCs w:val="24"/>
          <w:highlight w:val="none"/>
          <w:lang w:val="en-US" w:eastAsia="zh-CN"/>
        </w:rPr>
        <w:t>响应</w:t>
      </w:r>
      <w:r>
        <w:rPr>
          <w:rFonts w:hint="eastAsia" w:ascii="宋体" w:hAnsi="宋体" w:eastAsia="宋体" w:cs="宋体"/>
          <w:i w:val="0"/>
          <w:iCs w:val="0"/>
          <w:color w:val="auto"/>
          <w:kern w:val="2"/>
          <w:sz w:val="24"/>
          <w:szCs w:val="24"/>
          <w:highlight w:val="none"/>
        </w:rPr>
        <w:t>文件格式及要求编写</w:t>
      </w:r>
      <w:r>
        <w:rPr>
          <w:rFonts w:hint="eastAsia" w:ascii="宋体" w:hAnsi="宋体" w:eastAsia="宋体" w:cs="宋体"/>
          <w:i w:val="0"/>
          <w:iCs w:val="0"/>
          <w:color w:val="auto"/>
          <w:kern w:val="2"/>
          <w:sz w:val="24"/>
          <w:szCs w:val="24"/>
          <w:highlight w:val="none"/>
          <w:lang w:val="en-US" w:eastAsia="zh-CN"/>
        </w:rPr>
        <w:t>响应</w:t>
      </w:r>
      <w:r>
        <w:rPr>
          <w:rFonts w:hint="eastAsia" w:ascii="宋体" w:hAnsi="宋体" w:eastAsia="宋体" w:cs="宋体"/>
          <w:i w:val="0"/>
          <w:iCs w:val="0"/>
          <w:color w:val="auto"/>
          <w:kern w:val="2"/>
          <w:sz w:val="24"/>
          <w:szCs w:val="24"/>
          <w:highlight w:val="none"/>
        </w:rPr>
        <w:t>文件，具体内容详见</w:t>
      </w:r>
      <w:r>
        <w:rPr>
          <w:rFonts w:hint="eastAsia" w:ascii="宋体" w:hAnsi="宋体" w:eastAsia="宋体" w:cs="宋体"/>
          <w:i w:val="0"/>
          <w:iCs w:val="0"/>
          <w:color w:val="auto"/>
          <w:kern w:val="2"/>
          <w:sz w:val="24"/>
          <w:szCs w:val="24"/>
          <w:highlight w:val="none"/>
          <w:lang w:eastAsia="zh-CN"/>
        </w:rPr>
        <w:t>“</w:t>
      </w:r>
      <w:r>
        <w:rPr>
          <w:rFonts w:hint="eastAsia" w:ascii="宋体" w:hAnsi="宋体" w:eastAsia="宋体" w:cs="宋体"/>
          <w:i w:val="0"/>
          <w:iCs w:val="0"/>
          <w:color w:val="auto"/>
          <w:kern w:val="2"/>
          <w:sz w:val="24"/>
          <w:szCs w:val="24"/>
          <w:highlight w:val="none"/>
          <w:lang w:val="en-US" w:eastAsia="zh-CN"/>
        </w:rPr>
        <w:t>第六章 响应</w:t>
      </w:r>
      <w:r>
        <w:rPr>
          <w:rFonts w:hint="eastAsia" w:ascii="宋体" w:hAnsi="宋体" w:eastAsia="宋体" w:cs="宋体"/>
          <w:i w:val="0"/>
          <w:iCs w:val="0"/>
          <w:color w:val="auto"/>
          <w:kern w:val="2"/>
          <w:sz w:val="24"/>
          <w:szCs w:val="24"/>
          <w:highlight w:val="none"/>
        </w:rPr>
        <w:t>文件</w:t>
      </w:r>
      <w:r>
        <w:rPr>
          <w:rFonts w:hint="eastAsia" w:ascii="宋体" w:hAnsi="宋体" w:eastAsia="宋体" w:cs="宋体"/>
          <w:i w:val="0"/>
          <w:iCs w:val="0"/>
          <w:color w:val="auto"/>
          <w:kern w:val="2"/>
          <w:sz w:val="24"/>
          <w:szCs w:val="24"/>
          <w:highlight w:val="none"/>
          <w:lang w:val="en-US" w:eastAsia="zh-CN"/>
        </w:rPr>
        <w:t>的</w:t>
      </w:r>
      <w:r>
        <w:rPr>
          <w:rFonts w:hint="eastAsia" w:ascii="宋体" w:hAnsi="宋体" w:eastAsia="宋体" w:cs="宋体"/>
          <w:i w:val="0"/>
          <w:iCs w:val="0"/>
          <w:color w:val="auto"/>
          <w:kern w:val="2"/>
          <w:sz w:val="24"/>
          <w:szCs w:val="24"/>
          <w:highlight w:val="none"/>
        </w:rPr>
        <w:t>格式</w:t>
      </w:r>
      <w:r>
        <w:rPr>
          <w:rFonts w:hint="eastAsia" w:ascii="宋体" w:hAnsi="宋体" w:eastAsia="宋体" w:cs="宋体"/>
          <w:i w:val="0"/>
          <w:iCs w:val="0"/>
          <w:color w:val="auto"/>
          <w:kern w:val="2"/>
          <w:sz w:val="24"/>
          <w:szCs w:val="24"/>
          <w:highlight w:val="none"/>
          <w:lang w:eastAsia="zh-CN"/>
        </w:rPr>
        <w:t>”</w:t>
      </w:r>
      <w:r>
        <w:rPr>
          <w:rFonts w:hint="eastAsia" w:ascii="宋体" w:hAnsi="宋体" w:eastAsia="宋体" w:cs="宋体"/>
          <w:i w:val="0"/>
          <w:iCs w:val="0"/>
          <w:color w:val="auto"/>
          <w:kern w:val="2"/>
          <w:sz w:val="24"/>
          <w:szCs w:val="24"/>
          <w:highlight w:val="none"/>
        </w:rPr>
        <w:t>的相关内容。</w:t>
      </w:r>
    </w:p>
    <w:p w14:paraId="15FE94B6">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13.2供应商</w:t>
      </w:r>
      <w:r>
        <w:rPr>
          <w:rFonts w:hint="eastAsia" w:ascii="宋体" w:hAnsi="宋体" w:eastAsia="宋体" w:cs="宋体"/>
          <w:i w:val="0"/>
          <w:iCs w:val="0"/>
          <w:color w:val="auto"/>
          <w:kern w:val="2"/>
          <w:sz w:val="24"/>
          <w:szCs w:val="24"/>
          <w:highlight w:val="none"/>
        </w:rPr>
        <w:t>应提交竞争性</w:t>
      </w:r>
      <w:r>
        <w:rPr>
          <w:rFonts w:hint="eastAsia" w:ascii="宋体" w:hAnsi="宋体" w:eastAsia="宋体" w:cs="宋体"/>
          <w:i w:val="0"/>
          <w:iCs w:val="0"/>
          <w:color w:val="auto"/>
          <w:kern w:val="2"/>
          <w:sz w:val="24"/>
          <w:szCs w:val="24"/>
          <w:highlight w:val="none"/>
          <w:lang w:val="zh-CN"/>
        </w:rPr>
        <w:t>磋商</w:t>
      </w:r>
      <w:r>
        <w:rPr>
          <w:rFonts w:hint="eastAsia" w:ascii="宋体" w:hAnsi="宋体" w:eastAsia="宋体" w:cs="宋体"/>
          <w:i w:val="0"/>
          <w:iCs w:val="0"/>
          <w:color w:val="auto"/>
          <w:kern w:val="2"/>
          <w:sz w:val="24"/>
          <w:szCs w:val="24"/>
          <w:highlight w:val="none"/>
        </w:rPr>
        <w:t>文件要求的证明文件，证明其</w:t>
      </w:r>
      <w:r>
        <w:rPr>
          <w:rFonts w:hint="eastAsia" w:ascii="宋体" w:hAnsi="宋体" w:eastAsia="宋体" w:cs="宋体"/>
          <w:i w:val="0"/>
          <w:iCs w:val="0"/>
          <w:color w:val="auto"/>
          <w:kern w:val="2"/>
          <w:sz w:val="24"/>
          <w:szCs w:val="24"/>
          <w:highlight w:val="none"/>
          <w:lang w:val="en-US" w:eastAsia="zh-CN"/>
        </w:rPr>
        <w:t>响应</w:t>
      </w:r>
      <w:r>
        <w:rPr>
          <w:rFonts w:hint="eastAsia" w:ascii="宋体" w:hAnsi="宋体" w:eastAsia="宋体" w:cs="宋体"/>
          <w:i w:val="0"/>
          <w:iCs w:val="0"/>
          <w:color w:val="auto"/>
          <w:kern w:val="2"/>
          <w:sz w:val="24"/>
          <w:szCs w:val="24"/>
          <w:highlight w:val="none"/>
        </w:rPr>
        <w:t>内容符合竞争性</w:t>
      </w:r>
      <w:r>
        <w:rPr>
          <w:rFonts w:hint="eastAsia" w:ascii="宋体" w:hAnsi="宋体" w:eastAsia="宋体" w:cs="宋体"/>
          <w:i w:val="0"/>
          <w:iCs w:val="0"/>
          <w:color w:val="auto"/>
          <w:kern w:val="2"/>
          <w:sz w:val="24"/>
          <w:szCs w:val="24"/>
          <w:highlight w:val="none"/>
          <w:lang w:val="zh-CN"/>
        </w:rPr>
        <w:t>磋商</w:t>
      </w:r>
      <w:r>
        <w:rPr>
          <w:rFonts w:hint="eastAsia" w:ascii="宋体" w:hAnsi="宋体" w:eastAsia="宋体" w:cs="宋体"/>
          <w:i w:val="0"/>
          <w:iCs w:val="0"/>
          <w:color w:val="auto"/>
          <w:kern w:val="2"/>
          <w:sz w:val="24"/>
          <w:szCs w:val="24"/>
          <w:highlight w:val="none"/>
        </w:rPr>
        <w:t>文件规定</w:t>
      </w:r>
      <w:r>
        <w:rPr>
          <w:rFonts w:hint="eastAsia" w:ascii="宋体" w:hAnsi="宋体" w:eastAsia="宋体" w:cs="宋体"/>
          <w:i w:val="0"/>
          <w:iCs w:val="0"/>
          <w:color w:val="auto"/>
          <w:kern w:val="2"/>
          <w:sz w:val="24"/>
          <w:szCs w:val="24"/>
          <w:highlight w:val="none"/>
          <w:lang w:eastAsia="zh-CN"/>
        </w:rPr>
        <w:t>，</w:t>
      </w:r>
      <w:r>
        <w:rPr>
          <w:rFonts w:hint="eastAsia" w:ascii="宋体" w:hAnsi="宋体" w:eastAsia="宋体" w:cs="宋体"/>
          <w:i w:val="0"/>
          <w:iCs w:val="0"/>
          <w:color w:val="auto"/>
          <w:kern w:val="2"/>
          <w:sz w:val="24"/>
          <w:szCs w:val="24"/>
          <w:highlight w:val="none"/>
        </w:rPr>
        <w:t>该证明文件是</w:t>
      </w:r>
      <w:r>
        <w:rPr>
          <w:rFonts w:hint="eastAsia" w:ascii="宋体" w:hAnsi="宋体" w:eastAsia="宋体" w:cs="宋体"/>
          <w:i w:val="0"/>
          <w:iCs w:val="0"/>
          <w:color w:val="auto"/>
          <w:kern w:val="2"/>
          <w:sz w:val="24"/>
          <w:szCs w:val="24"/>
          <w:highlight w:val="none"/>
          <w:lang w:val="en-US" w:eastAsia="zh-CN"/>
        </w:rPr>
        <w:t>响应</w:t>
      </w:r>
      <w:r>
        <w:rPr>
          <w:rFonts w:hint="eastAsia" w:ascii="宋体" w:hAnsi="宋体" w:eastAsia="宋体" w:cs="宋体"/>
          <w:i w:val="0"/>
          <w:iCs w:val="0"/>
          <w:color w:val="auto"/>
          <w:kern w:val="2"/>
          <w:sz w:val="24"/>
          <w:szCs w:val="24"/>
          <w:highlight w:val="none"/>
        </w:rPr>
        <w:t>文件的一部分</w:t>
      </w:r>
      <w:r>
        <w:rPr>
          <w:rFonts w:hint="eastAsia" w:ascii="宋体" w:hAnsi="宋体" w:eastAsia="宋体" w:cs="宋体"/>
          <w:i w:val="0"/>
          <w:iCs w:val="0"/>
          <w:color w:val="auto"/>
          <w:kern w:val="2"/>
          <w:sz w:val="24"/>
          <w:szCs w:val="24"/>
          <w:highlight w:val="none"/>
          <w:lang w:eastAsia="zh-CN"/>
        </w:rPr>
        <w:t>。</w:t>
      </w:r>
      <w:r>
        <w:rPr>
          <w:rFonts w:hint="eastAsia" w:ascii="宋体" w:hAnsi="宋体" w:eastAsia="宋体" w:cs="宋体"/>
          <w:i w:val="0"/>
          <w:iCs w:val="0"/>
          <w:color w:val="auto"/>
          <w:kern w:val="2"/>
          <w:sz w:val="24"/>
          <w:szCs w:val="24"/>
          <w:highlight w:val="none"/>
        </w:rPr>
        <w:t>证明文件</w:t>
      </w:r>
      <w:r>
        <w:rPr>
          <w:rFonts w:hint="eastAsia" w:ascii="宋体" w:hAnsi="宋体" w:eastAsia="宋体" w:cs="宋体"/>
          <w:i w:val="0"/>
          <w:iCs w:val="0"/>
          <w:color w:val="auto"/>
          <w:kern w:val="2"/>
          <w:sz w:val="24"/>
          <w:szCs w:val="24"/>
          <w:highlight w:val="none"/>
          <w:lang w:val="en-US" w:eastAsia="zh-CN"/>
        </w:rPr>
        <w:t>形式</w:t>
      </w:r>
      <w:r>
        <w:rPr>
          <w:rFonts w:hint="eastAsia" w:ascii="宋体" w:hAnsi="宋体" w:eastAsia="宋体" w:cs="宋体"/>
          <w:i w:val="0"/>
          <w:iCs w:val="0"/>
          <w:color w:val="auto"/>
          <w:kern w:val="2"/>
          <w:sz w:val="24"/>
          <w:szCs w:val="24"/>
          <w:highlight w:val="none"/>
        </w:rPr>
        <w:t>可以是文字资料、图纸和数据</w:t>
      </w:r>
      <w:bookmarkStart w:id="187" w:name="_Hlk11703583"/>
      <w:r>
        <w:rPr>
          <w:rFonts w:hint="eastAsia" w:ascii="宋体" w:hAnsi="宋体" w:eastAsia="宋体" w:cs="宋体"/>
          <w:i w:val="0"/>
          <w:iCs w:val="0"/>
          <w:color w:val="auto"/>
          <w:kern w:val="2"/>
          <w:sz w:val="24"/>
          <w:szCs w:val="24"/>
          <w:highlight w:val="none"/>
          <w:lang w:val="en-US" w:eastAsia="zh-CN"/>
        </w:rPr>
        <w:t>等。</w:t>
      </w:r>
    </w:p>
    <w:bookmarkEnd w:id="187"/>
    <w:p w14:paraId="5D48E686">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13.3</w:t>
      </w:r>
      <w:r>
        <w:rPr>
          <w:rFonts w:hint="eastAsia" w:ascii="宋体" w:hAnsi="宋体" w:eastAsia="宋体" w:cs="宋体"/>
          <w:i w:val="0"/>
          <w:iCs w:val="0"/>
          <w:color w:val="auto"/>
          <w:kern w:val="2"/>
          <w:sz w:val="24"/>
          <w:szCs w:val="24"/>
          <w:highlight w:val="none"/>
        </w:rPr>
        <w:t>为保证公平公正，除非</w:t>
      </w:r>
      <w:r>
        <w:rPr>
          <w:rFonts w:hint="eastAsia" w:ascii="宋体" w:hAnsi="宋体" w:eastAsia="宋体" w:cs="宋体"/>
          <w:i w:val="0"/>
          <w:iCs w:val="0"/>
          <w:color w:val="auto"/>
          <w:kern w:val="2"/>
          <w:sz w:val="24"/>
          <w:szCs w:val="24"/>
          <w:highlight w:val="none"/>
          <w:lang w:val="en-US" w:eastAsia="zh-CN"/>
        </w:rPr>
        <w:t>本磋商文件</w:t>
      </w:r>
      <w:r>
        <w:rPr>
          <w:rFonts w:hint="eastAsia" w:ascii="宋体" w:hAnsi="宋体" w:eastAsia="宋体" w:cs="宋体"/>
          <w:i w:val="0"/>
          <w:iCs w:val="0"/>
          <w:color w:val="auto"/>
          <w:kern w:val="2"/>
          <w:sz w:val="24"/>
          <w:szCs w:val="24"/>
          <w:highlight w:val="none"/>
        </w:rPr>
        <w:t>另有规定或说明，</w:t>
      </w:r>
      <w:r>
        <w:rPr>
          <w:rFonts w:hint="eastAsia" w:ascii="宋体" w:hAnsi="宋体" w:eastAsia="宋体" w:cs="宋体"/>
          <w:i w:val="0"/>
          <w:iCs w:val="0"/>
          <w:color w:val="auto"/>
          <w:kern w:val="2"/>
          <w:sz w:val="24"/>
          <w:szCs w:val="24"/>
          <w:highlight w:val="none"/>
          <w:lang w:val="en-US" w:eastAsia="zh-CN"/>
        </w:rPr>
        <w:t>供应商</w:t>
      </w:r>
      <w:r>
        <w:rPr>
          <w:rFonts w:hint="eastAsia" w:ascii="宋体" w:hAnsi="宋体" w:eastAsia="宋体" w:cs="宋体"/>
          <w:i w:val="0"/>
          <w:iCs w:val="0"/>
          <w:color w:val="auto"/>
          <w:kern w:val="2"/>
          <w:sz w:val="24"/>
          <w:szCs w:val="24"/>
          <w:highlight w:val="none"/>
        </w:rPr>
        <w:t>对同一项目</w:t>
      </w:r>
      <w:r>
        <w:rPr>
          <w:rFonts w:hint="eastAsia" w:ascii="宋体" w:hAnsi="宋体" w:eastAsia="宋体" w:cs="宋体"/>
          <w:i w:val="0"/>
          <w:iCs w:val="0"/>
          <w:color w:val="auto"/>
          <w:kern w:val="2"/>
          <w:sz w:val="24"/>
          <w:szCs w:val="24"/>
          <w:highlight w:val="none"/>
          <w:lang w:val="en-US" w:eastAsia="zh-CN"/>
        </w:rPr>
        <w:t>响应</w:t>
      </w:r>
      <w:r>
        <w:rPr>
          <w:rFonts w:hint="eastAsia" w:ascii="宋体" w:hAnsi="宋体" w:eastAsia="宋体" w:cs="宋体"/>
          <w:i w:val="0"/>
          <w:iCs w:val="0"/>
          <w:color w:val="auto"/>
          <w:kern w:val="2"/>
          <w:sz w:val="24"/>
          <w:szCs w:val="24"/>
          <w:highlight w:val="none"/>
        </w:rPr>
        <w:t>时，不得同时提供备选</w:t>
      </w:r>
      <w:r>
        <w:rPr>
          <w:rFonts w:hint="eastAsia" w:ascii="宋体" w:hAnsi="宋体" w:eastAsia="宋体" w:cs="宋体"/>
          <w:i w:val="0"/>
          <w:iCs w:val="0"/>
          <w:color w:val="auto"/>
          <w:kern w:val="2"/>
          <w:sz w:val="24"/>
          <w:szCs w:val="24"/>
          <w:highlight w:val="none"/>
          <w:lang w:val="en-US" w:eastAsia="zh-CN"/>
        </w:rPr>
        <w:t>响应</w:t>
      </w:r>
      <w:r>
        <w:rPr>
          <w:rFonts w:hint="eastAsia" w:ascii="宋体" w:hAnsi="宋体" w:eastAsia="宋体" w:cs="宋体"/>
          <w:i w:val="0"/>
          <w:iCs w:val="0"/>
          <w:color w:val="auto"/>
          <w:kern w:val="2"/>
          <w:sz w:val="24"/>
          <w:szCs w:val="24"/>
          <w:highlight w:val="none"/>
        </w:rPr>
        <w:t>方案。</w:t>
      </w:r>
    </w:p>
    <w:p w14:paraId="507859E9">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188" w:name="_Toc24544"/>
      <w:bookmarkStart w:id="189" w:name="_Toc109900383"/>
      <w:bookmarkStart w:id="190" w:name="_Toc48846120"/>
      <w:bookmarkStart w:id="191" w:name="_Toc46772252"/>
      <w:bookmarkStart w:id="192" w:name="_Toc109897446"/>
      <w:bookmarkStart w:id="193" w:name="_Toc51674222"/>
      <w:bookmarkStart w:id="194" w:name="_Toc46771651"/>
      <w:bookmarkStart w:id="195" w:name="_Toc48688800"/>
      <w:bookmarkStart w:id="196" w:name="_Toc109899545"/>
      <w:bookmarkStart w:id="197" w:name="_Toc109899964"/>
      <w:bookmarkStart w:id="198" w:name="_Toc52962738"/>
      <w:bookmarkStart w:id="199" w:name="_Toc470172676"/>
      <w:bookmarkStart w:id="200" w:name="_Toc52960564"/>
      <w:bookmarkStart w:id="201" w:name="_Toc109900382"/>
      <w:bookmarkStart w:id="202" w:name="_Toc48688799"/>
      <w:bookmarkStart w:id="203" w:name="_Toc46771650"/>
      <w:bookmarkStart w:id="204" w:name="_Toc52960563"/>
      <w:bookmarkStart w:id="205" w:name="_Toc109899544"/>
      <w:bookmarkStart w:id="206" w:name="_Toc48846119"/>
      <w:bookmarkStart w:id="207" w:name="_Toc109899963"/>
      <w:bookmarkStart w:id="208" w:name="_Toc46772251"/>
      <w:bookmarkStart w:id="209" w:name="_Toc109897445"/>
      <w:bookmarkStart w:id="210" w:name="_Toc51674221"/>
      <w:bookmarkStart w:id="211" w:name="_Toc25217"/>
      <w:bookmarkStart w:id="212" w:name="_Toc470172675"/>
      <w:bookmarkStart w:id="213" w:name="_Toc52962737"/>
      <w:r>
        <w:rPr>
          <w:rFonts w:hint="eastAsia" w:ascii="宋体" w:hAnsi="宋体" w:eastAsia="宋体" w:cs="宋体"/>
          <w:b/>
          <w:bCs/>
          <w:i w:val="0"/>
          <w:iCs w:val="0"/>
          <w:color w:val="auto"/>
          <w:kern w:val="2"/>
          <w:sz w:val="24"/>
          <w:szCs w:val="24"/>
          <w:highlight w:val="none"/>
          <w:lang w:val="en-US" w:eastAsia="zh-CN" w:bidi="ar-SA"/>
        </w:rPr>
        <w:t>14.磋商报价</w:t>
      </w:r>
      <w:bookmarkEnd w:id="188"/>
      <w:bookmarkEnd w:id="189"/>
      <w:bookmarkEnd w:id="190"/>
      <w:bookmarkEnd w:id="191"/>
      <w:bookmarkEnd w:id="192"/>
      <w:bookmarkEnd w:id="193"/>
      <w:bookmarkEnd w:id="194"/>
      <w:bookmarkEnd w:id="195"/>
      <w:bookmarkEnd w:id="196"/>
      <w:bookmarkEnd w:id="197"/>
      <w:bookmarkEnd w:id="198"/>
      <w:bookmarkEnd w:id="199"/>
      <w:bookmarkEnd w:id="200"/>
    </w:p>
    <w:p w14:paraId="6EB3FF2F">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.1磋商供应商的报价均应以人民币报价。磋商报价包括磋商供应商在首次提交的响应文件中的报价、磋商过程中的报价和最后报价，</w:t>
      </w:r>
      <w:r>
        <w:rPr>
          <w:rFonts w:hint="eastAsia" w:ascii="宋体" w:hAnsi="宋体" w:eastAsia="宋体" w:cs="宋体"/>
          <w:i w:val="0"/>
          <w:iCs w:val="0"/>
          <w:snapToGrid w:val="0"/>
          <w:color w:val="auto"/>
          <w:sz w:val="24"/>
          <w:szCs w:val="24"/>
          <w:highlight w:val="none"/>
          <w:lang w:val="en-US" w:eastAsia="zh-CN"/>
        </w:rPr>
        <w:t>且均</w:t>
      </w:r>
      <w:r>
        <w:rPr>
          <w:rFonts w:hint="eastAsia" w:ascii="宋体" w:hAnsi="宋体" w:eastAsia="宋体" w:cs="宋体"/>
          <w:i w:val="0"/>
          <w:iCs w:val="0"/>
          <w:color w:val="auto"/>
          <w:sz w:val="24"/>
          <w:szCs w:val="24"/>
          <w:highlight w:val="none"/>
        </w:rPr>
        <w:t>不得超过</w:t>
      </w:r>
      <w:bookmarkStart w:id="214" w:name="_Hlk161703672"/>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color w:val="auto"/>
          <w:sz w:val="24"/>
          <w:szCs w:val="24"/>
          <w:highlight w:val="none"/>
        </w:rPr>
        <w:t>”中规定</w:t>
      </w:r>
      <w:bookmarkEnd w:id="214"/>
      <w:r>
        <w:rPr>
          <w:rFonts w:hint="eastAsia" w:ascii="宋体" w:hAnsi="宋体" w:eastAsia="宋体" w:cs="宋体"/>
          <w:i w:val="0"/>
          <w:iCs w:val="0"/>
          <w:color w:val="auto"/>
          <w:sz w:val="24"/>
          <w:szCs w:val="24"/>
          <w:highlight w:val="none"/>
        </w:rPr>
        <w:t>的</w:t>
      </w:r>
      <w:r>
        <w:rPr>
          <w:rFonts w:hint="eastAsia" w:ascii="宋体" w:hAnsi="宋体" w:eastAsia="宋体" w:cs="宋体"/>
          <w:i w:val="0"/>
          <w:iCs w:val="0"/>
          <w:color w:val="auto"/>
          <w:sz w:val="24"/>
          <w:szCs w:val="24"/>
          <w:highlight w:val="none"/>
          <w:lang w:val="en-US" w:eastAsia="zh-CN"/>
        </w:rPr>
        <w:t>最高限价或者预算金额</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snapToGrid w:val="0"/>
          <w:color w:val="auto"/>
          <w:sz w:val="24"/>
          <w:szCs w:val="24"/>
          <w:highlight w:val="none"/>
          <w:lang w:val="zh-CN"/>
        </w:rPr>
        <w:t>否则其响应文件将被视为</w:t>
      </w:r>
      <w:r>
        <w:rPr>
          <w:rFonts w:hint="eastAsia" w:ascii="宋体" w:hAnsi="宋体" w:eastAsia="宋体" w:cs="宋体"/>
          <w:b/>
          <w:bCs/>
          <w:i w:val="0"/>
          <w:iCs w:val="0"/>
          <w:snapToGrid w:val="0"/>
          <w:color w:val="auto"/>
          <w:sz w:val="24"/>
          <w:szCs w:val="24"/>
          <w:highlight w:val="none"/>
          <w:lang w:val="zh-CN"/>
        </w:rPr>
        <w:t>无效文件</w:t>
      </w:r>
      <w:r>
        <w:rPr>
          <w:rFonts w:hint="eastAsia" w:ascii="宋体" w:hAnsi="宋体" w:eastAsia="宋体" w:cs="宋体"/>
          <w:i w:val="0"/>
          <w:iCs w:val="0"/>
          <w:snapToGrid w:val="0"/>
          <w:color w:val="auto"/>
          <w:sz w:val="24"/>
          <w:szCs w:val="24"/>
          <w:highlight w:val="none"/>
          <w:lang w:val="zh-CN"/>
        </w:rPr>
        <w:t>。</w:t>
      </w:r>
    </w:p>
    <w:p w14:paraId="2F35A86F">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2供应商应按照本磋商文件规定的采购需求及合同条款进行报价，并按磋商文件确定的格式报出。报价中不得包含磋商文件要求以外的内容，否则，在评审时不予核减。报价中也不得缺漏磋商文件所要求的内容，否则，其响应文件将被视为</w:t>
      </w:r>
      <w:r>
        <w:rPr>
          <w:rFonts w:hint="eastAsia" w:ascii="宋体" w:hAnsi="宋体" w:eastAsia="宋体" w:cs="宋体"/>
          <w:b/>
          <w:bCs/>
          <w:i w:val="0"/>
          <w:iCs w:val="0"/>
          <w:snapToGrid w:val="0"/>
          <w:color w:val="auto"/>
          <w:sz w:val="24"/>
          <w:szCs w:val="24"/>
          <w:highlight w:val="none"/>
          <w:lang w:val="zh-CN"/>
        </w:rPr>
        <w:t>无效文件</w:t>
      </w:r>
      <w:r>
        <w:rPr>
          <w:rFonts w:hint="eastAsia" w:ascii="宋体" w:hAnsi="宋体" w:eastAsia="宋体" w:cs="宋体"/>
          <w:i w:val="0"/>
          <w:iCs w:val="0"/>
          <w:snapToGrid w:val="0"/>
          <w:color w:val="auto"/>
          <w:sz w:val="24"/>
          <w:szCs w:val="24"/>
          <w:highlight w:val="none"/>
          <w:lang w:val="zh-CN"/>
        </w:rPr>
        <w:t>。</w:t>
      </w:r>
    </w:p>
    <w:p w14:paraId="2920C377">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snapToGrid w:val="0"/>
          <w:color w:val="auto"/>
          <w:sz w:val="24"/>
          <w:szCs w:val="24"/>
          <w:highlight w:val="none"/>
          <w:lang w:val="en-US" w:eastAsia="zh-CN"/>
        </w:rPr>
        <w:t>14.3</w:t>
      </w:r>
      <w:r>
        <w:rPr>
          <w:rFonts w:hint="eastAsia" w:ascii="宋体" w:hAnsi="宋体" w:eastAsia="宋体" w:cs="宋体"/>
          <w:i w:val="0"/>
          <w:iCs w:val="0"/>
          <w:snapToGrid w:val="0"/>
          <w:color w:val="auto"/>
          <w:sz w:val="24"/>
          <w:szCs w:val="24"/>
          <w:highlight w:val="none"/>
          <w:lang w:val="zh-CN"/>
        </w:rPr>
        <w:t>供应商</w:t>
      </w:r>
      <w:r>
        <w:rPr>
          <w:rFonts w:hint="eastAsia" w:ascii="宋体" w:hAnsi="宋体" w:eastAsia="宋体" w:cs="宋体"/>
          <w:i w:val="0"/>
          <w:iCs w:val="0"/>
          <w:color w:val="auto"/>
          <w:kern w:val="2"/>
          <w:sz w:val="24"/>
          <w:szCs w:val="24"/>
          <w:highlight w:val="none"/>
          <w:lang w:val="en-US" w:eastAsia="zh-CN"/>
        </w:rPr>
        <w:t>的报价应包括为完成本项目所发生的一切费用和税费，采购人将不再支付报价以外的任何费用。</w:t>
      </w:r>
      <w:r>
        <w:rPr>
          <w:rFonts w:hint="eastAsia" w:ascii="宋体" w:hAnsi="宋体" w:eastAsia="宋体" w:cs="宋体"/>
          <w:i w:val="0"/>
          <w:iCs w:val="0"/>
          <w:color w:val="auto"/>
          <w:kern w:val="2"/>
          <w:sz w:val="24"/>
          <w:szCs w:val="24"/>
          <w:highlight w:val="none"/>
        </w:rPr>
        <w:t>只要投报了一个确定数额的总价，无论分项价格是否全部填报了相应的金额或免费字样，</w:t>
      </w:r>
      <w:r>
        <w:rPr>
          <w:rFonts w:hint="eastAsia" w:ascii="宋体" w:hAnsi="宋体" w:eastAsia="宋体" w:cs="宋体"/>
          <w:i w:val="0"/>
          <w:iCs w:val="0"/>
          <w:color w:val="auto"/>
          <w:kern w:val="2"/>
          <w:sz w:val="24"/>
          <w:szCs w:val="24"/>
          <w:highlight w:val="none"/>
          <w:lang w:val="en-US" w:eastAsia="zh-CN"/>
        </w:rPr>
        <w:t>报价应被视为已经包含了但并不限于本次招标全部采购需求所应提供的服务，以及伴随的货物和工程等的费用和所需缴纳的所有价格、税、费。在其他情况下，由于分项报价填报不完整、不清楚或存在其他任何失误，所导致的任何不利后果均应当由投标人自行承担</w:t>
      </w:r>
      <w:r>
        <w:rPr>
          <w:rFonts w:hint="eastAsia" w:ascii="宋体" w:hAnsi="宋体" w:eastAsia="宋体" w:cs="宋体"/>
          <w:i w:val="0"/>
          <w:iCs w:val="0"/>
          <w:color w:val="auto"/>
          <w:kern w:val="2"/>
          <w:sz w:val="24"/>
          <w:szCs w:val="24"/>
          <w:highlight w:val="none"/>
        </w:rPr>
        <w:t>。</w:t>
      </w:r>
    </w:p>
    <w:p w14:paraId="2375AB76">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color w:val="auto"/>
          <w:kern w:val="2"/>
          <w:sz w:val="24"/>
          <w:szCs w:val="24"/>
          <w:highlight w:val="none"/>
          <w:lang w:val="en-US" w:eastAsia="zh-CN" w:bidi="ar-SA"/>
        </w:rPr>
        <w:t>14.4供应商的报价应包括但不限于按照竞争性磋商文件要求完成本项目的全部相关费用</w:t>
      </w:r>
      <w:r>
        <w:rPr>
          <w:rFonts w:hint="eastAsia" w:ascii="宋体" w:hAnsi="宋体" w:eastAsia="宋体" w:cs="宋体"/>
          <w:i w:val="0"/>
          <w:iCs w:val="0"/>
          <w:color w:val="auto"/>
          <w:kern w:val="2"/>
          <w:sz w:val="24"/>
          <w:szCs w:val="24"/>
          <w:highlight w:val="none"/>
          <w:lang w:val="en-US" w:eastAsia="zh-CN"/>
        </w:rPr>
        <w:t>。</w:t>
      </w:r>
    </w:p>
    <w:p w14:paraId="33CE580E">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w:t>
      </w:r>
      <w:r>
        <w:rPr>
          <w:rFonts w:hint="eastAsia" w:ascii="宋体" w:hAnsi="宋体" w:eastAsia="宋体" w:cs="宋体"/>
          <w:i w:val="0"/>
          <w:iCs w:val="0"/>
          <w:snapToGrid w:val="0"/>
          <w:color w:val="auto"/>
          <w:sz w:val="24"/>
          <w:szCs w:val="24"/>
          <w:highlight w:val="none"/>
          <w:lang w:val="en-US" w:eastAsia="zh-CN"/>
        </w:rPr>
        <w:t>5供应商须严格按照分项报价表规定的内容填写服务单价以及其他事项。供应商应根据本</w:t>
      </w:r>
      <w:r>
        <w:rPr>
          <w:rFonts w:hint="eastAsia" w:ascii="宋体" w:hAnsi="宋体" w:eastAsia="宋体" w:cs="宋体"/>
          <w:i w:val="0"/>
          <w:iCs w:val="0"/>
          <w:color w:val="auto"/>
          <w:kern w:val="2"/>
          <w:sz w:val="24"/>
          <w:szCs w:val="24"/>
          <w:highlight w:val="none"/>
          <w:lang w:val="en-US" w:eastAsia="zh-CN" w:bidi="ar-SA"/>
        </w:rPr>
        <w:t>竞争性磋商</w:t>
      </w:r>
      <w:r>
        <w:rPr>
          <w:rFonts w:hint="eastAsia" w:ascii="宋体" w:hAnsi="宋体" w:eastAsia="宋体" w:cs="宋体"/>
          <w:i w:val="0"/>
          <w:iCs w:val="0"/>
          <w:snapToGrid w:val="0"/>
          <w:color w:val="auto"/>
          <w:sz w:val="24"/>
          <w:szCs w:val="24"/>
          <w:highlight w:val="none"/>
          <w:lang w:val="en-US" w:eastAsia="zh-CN"/>
        </w:rPr>
        <w:t>文件的规定和要求、市场价格水平及其走势、供应商的管理水平、供应商的方案和由这些因素决定的供应商之于本项目的成本水平等提出自己的报价。报价应合理，并包含完成本</w:t>
      </w:r>
      <w:r>
        <w:rPr>
          <w:rFonts w:hint="eastAsia" w:ascii="宋体" w:hAnsi="宋体" w:eastAsia="宋体" w:cs="宋体"/>
          <w:i w:val="0"/>
          <w:iCs w:val="0"/>
          <w:color w:val="auto"/>
          <w:kern w:val="2"/>
          <w:sz w:val="24"/>
          <w:szCs w:val="24"/>
          <w:highlight w:val="none"/>
          <w:lang w:val="en-US" w:eastAsia="zh-CN" w:bidi="ar-SA"/>
        </w:rPr>
        <w:t>竞争性磋商</w:t>
      </w:r>
      <w:r>
        <w:rPr>
          <w:rFonts w:hint="eastAsia" w:ascii="宋体" w:hAnsi="宋体" w:eastAsia="宋体" w:cs="宋体"/>
          <w:i w:val="0"/>
          <w:iCs w:val="0"/>
          <w:snapToGrid w:val="0"/>
          <w:color w:val="auto"/>
          <w:sz w:val="24"/>
          <w:szCs w:val="24"/>
          <w:highlight w:val="none"/>
          <w:lang w:val="en-US" w:eastAsia="zh-CN"/>
        </w:rPr>
        <w:t>文件采购需求全部内容的所有费用，所有根据本</w:t>
      </w:r>
      <w:r>
        <w:rPr>
          <w:rFonts w:hint="eastAsia" w:ascii="宋体" w:hAnsi="宋体" w:eastAsia="宋体" w:cs="宋体"/>
          <w:i w:val="0"/>
          <w:iCs w:val="0"/>
          <w:color w:val="auto"/>
          <w:kern w:val="2"/>
          <w:sz w:val="24"/>
          <w:szCs w:val="24"/>
          <w:highlight w:val="none"/>
          <w:lang w:val="en-US" w:eastAsia="zh-CN" w:bidi="ar-SA"/>
        </w:rPr>
        <w:t>竞争性磋商</w:t>
      </w:r>
      <w:r>
        <w:rPr>
          <w:rFonts w:hint="eastAsia" w:ascii="宋体" w:hAnsi="宋体" w:eastAsia="宋体" w:cs="宋体"/>
          <w:i w:val="0"/>
          <w:iCs w:val="0"/>
          <w:snapToGrid w:val="0"/>
          <w:color w:val="auto"/>
          <w:sz w:val="24"/>
          <w:szCs w:val="24"/>
          <w:highlight w:val="none"/>
          <w:lang w:val="en-US" w:eastAsia="zh-CN"/>
        </w:rPr>
        <w:t>文件或其它原因应由供应商支付的税款和其他应交纳的费用都应包括在供应商提交的响应报价中</w:t>
      </w:r>
      <w:r>
        <w:rPr>
          <w:rFonts w:hint="eastAsia" w:ascii="宋体" w:hAnsi="宋体" w:eastAsia="宋体" w:cs="宋体"/>
          <w:i w:val="0"/>
          <w:iCs w:val="0"/>
          <w:snapToGrid w:val="0"/>
          <w:color w:val="auto"/>
          <w:sz w:val="24"/>
          <w:szCs w:val="24"/>
          <w:highlight w:val="none"/>
          <w:lang w:val="zh-CN"/>
        </w:rPr>
        <w:t>。</w:t>
      </w:r>
    </w:p>
    <w:p w14:paraId="6B16430D">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w:t>
      </w:r>
      <w:r>
        <w:rPr>
          <w:rFonts w:hint="eastAsia" w:ascii="宋体" w:hAnsi="宋体" w:eastAsia="宋体" w:cs="宋体"/>
          <w:i w:val="0"/>
          <w:iCs w:val="0"/>
          <w:snapToGrid w:val="0"/>
          <w:color w:val="auto"/>
          <w:sz w:val="24"/>
          <w:szCs w:val="24"/>
          <w:highlight w:val="none"/>
          <w:lang w:val="en-US" w:eastAsia="zh-CN"/>
        </w:rPr>
        <w:t>6</w:t>
      </w:r>
      <w:r>
        <w:rPr>
          <w:rFonts w:hint="eastAsia" w:ascii="宋体" w:hAnsi="宋体" w:eastAsia="宋体" w:cs="宋体"/>
          <w:i w:val="0"/>
          <w:iCs w:val="0"/>
          <w:snapToGrid w:val="0"/>
          <w:color w:val="auto"/>
          <w:sz w:val="24"/>
          <w:szCs w:val="24"/>
          <w:highlight w:val="none"/>
          <w:lang w:val="zh-CN"/>
        </w:rPr>
        <w:t>供应商在响应文件中注明免费的项目将视为包含在报价中。</w:t>
      </w:r>
    </w:p>
    <w:p w14:paraId="459982E4">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w:t>
      </w:r>
      <w:r>
        <w:rPr>
          <w:rFonts w:hint="eastAsia" w:ascii="宋体" w:hAnsi="宋体" w:eastAsia="宋体" w:cs="宋体"/>
          <w:i w:val="0"/>
          <w:iCs w:val="0"/>
          <w:snapToGrid w:val="0"/>
          <w:color w:val="auto"/>
          <w:sz w:val="24"/>
          <w:szCs w:val="24"/>
          <w:highlight w:val="none"/>
          <w:lang w:val="en-US" w:eastAsia="zh-CN"/>
        </w:rPr>
        <w:t>7</w:t>
      </w:r>
      <w:r>
        <w:rPr>
          <w:rFonts w:hint="eastAsia" w:ascii="宋体" w:hAnsi="宋体" w:eastAsia="宋体" w:cs="宋体"/>
          <w:i w:val="0"/>
          <w:iCs w:val="0"/>
          <w:snapToGrid w:val="0"/>
          <w:color w:val="auto"/>
          <w:sz w:val="24"/>
          <w:szCs w:val="24"/>
          <w:highlight w:val="none"/>
          <w:lang w:val="zh-CN"/>
        </w:rPr>
        <w:t>每一种采购内容只允许有一个报价，否则其响应文件将被视为</w:t>
      </w:r>
      <w:r>
        <w:rPr>
          <w:rFonts w:hint="eastAsia" w:ascii="宋体" w:hAnsi="宋体" w:eastAsia="宋体" w:cs="宋体"/>
          <w:b/>
          <w:bCs/>
          <w:i w:val="0"/>
          <w:iCs w:val="0"/>
          <w:snapToGrid w:val="0"/>
          <w:color w:val="auto"/>
          <w:sz w:val="24"/>
          <w:szCs w:val="24"/>
          <w:highlight w:val="none"/>
          <w:lang w:val="zh-CN"/>
        </w:rPr>
        <w:t>无效文件</w:t>
      </w:r>
      <w:r>
        <w:rPr>
          <w:rFonts w:hint="eastAsia" w:ascii="宋体" w:hAnsi="宋体" w:eastAsia="宋体" w:cs="宋体"/>
          <w:i w:val="0"/>
          <w:iCs w:val="0"/>
          <w:snapToGrid w:val="0"/>
          <w:color w:val="auto"/>
          <w:sz w:val="24"/>
          <w:szCs w:val="24"/>
          <w:highlight w:val="none"/>
          <w:lang w:val="zh-CN"/>
        </w:rPr>
        <w:t>。</w:t>
      </w:r>
      <w:r>
        <w:rPr>
          <w:rFonts w:hint="eastAsia" w:ascii="宋体" w:hAnsi="宋体" w:eastAsia="宋体" w:cs="宋体"/>
          <w:i w:val="0"/>
          <w:iCs w:val="0"/>
          <w:color w:val="auto"/>
          <w:kern w:val="2"/>
          <w:sz w:val="24"/>
          <w:szCs w:val="24"/>
          <w:highlight w:val="none"/>
        </w:rPr>
        <w:t>除非</w:t>
      </w:r>
      <w:r>
        <w:rPr>
          <w:rFonts w:hint="eastAsia" w:ascii="宋体" w:hAnsi="宋体" w:eastAsia="宋体" w:cs="宋体"/>
          <w:i w:val="0"/>
          <w:iCs w:val="0"/>
          <w:color w:val="auto"/>
          <w:kern w:val="2"/>
          <w:sz w:val="24"/>
          <w:szCs w:val="24"/>
          <w:highlight w:val="none"/>
          <w:lang w:val="en-US" w:eastAsia="zh-CN"/>
        </w:rPr>
        <w:t>磋商</w:t>
      </w:r>
      <w:r>
        <w:rPr>
          <w:rFonts w:hint="eastAsia" w:ascii="宋体" w:hAnsi="宋体" w:eastAsia="宋体" w:cs="宋体"/>
          <w:i w:val="0"/>
          <w:iCs w:val="0"/>
          <w:color w:val="auto"/>
          <w:kern w:val="2"/>
          <w:sz w:val="24"/>
          <w:szCs w:val="24"/>
          <w:highlight w:val="none"/>
        </w:rPr>
        <w:t>文件另有规定，不接受可选择或可调整的</w:t>
      </w:r>
      <w:r>
        <w:rPr>
          <w:rFonts w:hint="eastAsia" w:ascii="宋体" w:hAnsi="宋体" w:eastAsia="宋体" w:cs="宋体"/>
          <w:i w:val="0"/>
          <w:iCs w:val="0"/>
          <w:color w:val="auto"/>
          <w:kern w:val="2"/>
          <w:sz w:val="24"/>
          <w:szCs w:val="24"/>
          <w:highlight w:val="none"/>
          <w:lang w:val="en-US" w:eastAsia="zh-CN"/>
        </w:rPr>
        <w:t>磋商</w:t>
      </w:r>
      <w:r>
        <w:rPr>
          <w:rFonts w:hint="eastAsia" w:ascii="宋体" w:hAnsi="宋体" w:eastAsia="宋体" w:cs="宋体"/>
          <w:i w:val="0"/>
          <w:iCs w:val="0"/>
          <w:color w:val="auto"/>
          <w:kern w:val="2"/>
          <w:sz w:val="24"/>
          <w:szCs w:val="24"/>
          <w:highlight w:val="none"/>
        </w:rPr>
        <w:t>方案和报价，任何有选择的或可调整的</w:t>
      </w:r>
      <w:r>
        <w:rPr>
          <w:rFonts w:hint="eastAsia" w:ascii="宋体" w:hAnsi="宋体" w:eastAsia="宋体" w:cs="宋体"/>
          <w:i w:val="0"/>
          <w:iCs w:val="0"/>
          <w:color w:val="auto"/>
          <w:kern w:val="2"/>
          <w:sz w:val="24"/>
          <w:szCs w:val="24"/>
          <w:highlight w:val="none"/>
          <w:lang w:val="en-US" w:eastAsia="zh-CN"/>
        </w:rPr>
        <w:t>磋商</w:t>
      </w:r>
      <w:r>
        <w:rPr>
          <w:rFonts w:hint="eastAsia" w:ascii="宋体" w:hAnsi="宋体" w:eastAsia="宋体" w:cs="宋体"/>
          <w:i w:val="0"/>
          <w:iCs w:val="0"/>
          <w:color w:val="auto"/>
          <w:kern w:val="2"/>
          <w:sz w:val="24"/>
          <w:szCs w:val="24"/>
          <w:highlight w:val="none"/>
        </w:rPr>
        <w:t>方案和报价将被视为非响应性</w:t>
      </w:r>
      <w:r>
        <w:rPr>
          <w:rFonts w:hint="eastAsia" w:ascii="宋体" w:hAnsi="宋体" w:eastAsia="宋体" w:cs="宋体"/>
          <w:i w:val="0"/>
          <w:iCs w:val="0"/>
          <w:color w:val="auto"/>
          <w:kern w:val="2"/>
          <w:sz w:val="24"/>
          <w:szCs w:val="24"/>
          <w:highlight w:val="none"/>
          <w:lang w:val="en-US" w:eastAsia="zh-CN"/>
        </w:rPr>
        <w:t>磋商</w:t>
      </w:r>
      <w:r>
        <w:rPr>
          <w:rFonts w:hint="eastAsia" w:ascii="宋体" w:hAnsi="宋体" w:eastAsia="宋体" w:cs="宋体"/>
          <w:i w:val="0"/>
          <w:iCs w:val="0"/>
          <w:color w:val="auto"/>
          <w:kern w:val="2"/>
          <w:sz w:val="24"/>
          <w:szCs w:val="24"/>
          <w:highlight w:val="none"/>
        </w:rPr>
        <w:t>而被拒绝。</w:t>
      </w:r>
    </w:p>
    <w:p w14:paraId="63B0ABF4">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color w:val="auto"/>
          <w:kern w:val="2"/>
          <w:sz w:val="24"/>
          <w:szCs w:val="24"/>
          <w:highlight w:val="none"/>
        </w:rPr>
        <w:t>1</w:t>
      </w:r>
      <w:r>
        <w:rPr>
          <w:rFonts w:hint="eastAsia" w:ascii="宋体" w:hAnsi="宋体" w:eastAsia="宋体" w:cs="宋体"/>
          <w:i w:val="0"/>
          <w:iCs w:val="0"/>
          <w:color w:val="auto"/>
          <w:kern w:val="2"/>
          <w:sz w:val="24"/>
          <w:szCs w:val="24"/>
          <w:highlight w:val="none"/>
          <w:lang w:val="en-US" w:eastAsia="zh-CN"/>
        </w:rPr>
        <w:t>4</w:t>
      </w:r>
      <w:r>
        <w:rPr>
          <w:rFonts w:hint="eastAsia" w:ascii="宋体" w:hAnsi="宋体" w:eastAsia="宋体" w:cs="宋体"/>
          <w:i w:val="0"/>
          <w:iCs w:val="0"/>
          <w:color w:val="auto"/>
          <w:kern w:val="2"/>
          <w:sz w:val="24"/>
          <w:szCs w:val="24"/>
          <w:highlight w:val="none"/>
        </w:rPr>
        <w:t>.</w:t>
      </w:r>
      <w:r>
        <w:rPr>
          <w:rFonts w:hint="eastAsia" w:ascii="宋体" w:hAnsi="宋体" w:eastAsia="宋体" w:cs="宋体"/>
          <w:i w:val="0"/>
          <w:iCs w:val="0"/>
          <w:color w:val="auto"/>
          <w:kern w:val="2"/>
          <w:sz w:val="24"/>
          <w:szCs w:val="24"/>
          <w:highlight w:val="none"/>
          <w:lang w:val="en-US" w:eastAsia="zh-CN"/>
        </w:rPr>
        <w:t xml:space="preserve">8 </w:t>
      </w:r>
      <w:r>
        <w:rPr>
          <w:rFonts w:hint="eastAsia" w:ascii="宋体" w:hAnsi="宋体" w:eastAsia="宋体" w:cs="宋体"/>
          <w:i w:val="0"/>
          <w:iCs w:val="0"/>
          <w:color w:val="auto"/>
          <w:kern w:val="2"/>
          <w:sz w:val="24"/>
          <w:szCs w:val="24"/>
          <w:highlight w:val="none"/>
          <w:lang w:val="zh-CN" w:eastAsia="zh-CN"/>
        </w:rPr>
        <w:t>供应商</w:t>
      </w:r>
      <w:r>
        <w:rPr>
          <w:rFonts w:hint="eastAsia" w:ascii="宋体" w:hAnsi="宋体" w:eastAsia="宋体" w:cs="宋体"/>
          <w:i w:val="0"/>
          <w:iCs w:val="0"/>
          <w:color w:val="auto"/>
          <w:kern w:val="2"/>
          <w:sz w:val="24"/>
          <w:szCs w:val="24"/>
          <w:highlight w:val="none"/>
          <w:lang w:val="en-US" w:eastAsia="zh-CN"/>
        </w:rPr>
        <w:t>对磋商</w:t>
      </w:r>
      <w:r>
        <w:rPr>
          <w:rFonts w:hint="eastAsia" w:ascii="宋体" w:hAnsi="宋体" w:eastAsia="宋体" w:cs="宋体"/>
          <w:i w:val="0"/>
          <w:iCs w:val="0"/>
          <w:color w:val="auto"/>
          <w:kern w:val="2"/>
          <w:sz w:val="24"/>
          <w:szCs w:val="24"/>
          <w:highlight w:val="none"/>
        </w:rPr>
        <w:t>报价若有说明应在</w:t>
      </w:r>
      <w:r>
        <w:rPr>
          <w:rFonts w:hint="eastAsia" w:ascii="宋体" w:hAnsi="宋体" w:eastAsia="宋体" w:cs="宋体"/>
          <w:i w:val="0"/>
          <w:iCs w:val="0"/>
          <w:color w:val="auto"/>
          <w:kern w:val="2"/>
          <w:sz w:val="24"/>
          <w:szCs w:val="24"/>
          <w:highlight w:val="none"/>
          <w:lang w:val="en-US" w:eastAsia="zh-CN"/>
        </w:rPr>
        <w:t>响应</w:t>
      </w:r>
      <w:r>
        <w:rPr>
          <w:rFonts w:hint="eastAsia" w:ascii="宋体" w:hAnsi="宋体" w:eastAsia="宋体" w:cs="宋体"/>
          <w:i w:val="0"/>
          <w:iCs w:val="0"/>
          <w:color w:val="auto"/>
          <w:kern w:val="2"/>
          <w:sz w:val="24"/>
          <w:szCs w:val="24"/>
          <w:highlight w:val="none"/>
        </w:rPr>
        <w:t>文件中显著处注明。</w:t>
      </w:r>
    </w:p>
    <w:p w14:paraId="11F3D751">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color w:val="auto"/>
          <w:kern w:val="2"/>
          <w:sz w:val="24"/>
          <w:szCs w:val="24"/>
          <w:highlight w:val="none"/>
        </w:rPr>
        <w:t>除政策性文件规定以外，</w:t>
      </w:r>
      <w:r>
        <w:rPr>
          <w:rFonts w:hint="eastAsia" w:ascii="宋体" w:hAnsi="宋体" w:eastAsia="宋体" w:cs="宋体"/>
          <w:i w:val="0"/>
          <w:iCs w:val="0"/>
          <w:color w:val="auto"/>
          <w:kern w:val="2"/>
          <w:sz w:val="24"/>
          <w:szCs w:val="24"/>
          <w:highlight w:val="none"/>
          <w:lang w:val="zh-CN"/>
        </w:rPr>
        <w:t>供应商</w:t>
      </w:r>
      <w:r>
        <w:rPr>
          <w:rFonts w:hint="eastAsia" w:ascii="宋体" w:hAnsi="宋体" w:eastAsia="宋体" w:cs="宋体"/>
          <w:i w:val="0"/>
          <w:iCs w:val="0"/>
          <w:color w:val="auto"/>
          <w:kern w:val="2"/>
          <w:sz w:val="24"/>
          <w:szCs w:val="24"/>
          <w:highlight w:val="none"/>
        </w:rPr>
        <w:t>所报价格在合同实施期间不因市场变化因素而变动。</w:t>
      </w:r>
    </w:p>
    <w:p w14:paraId="3B13C461">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color w:val="auto"/>
          <w:kern w:val="2"/>
          <w:sz w:val="24"/>
          <w:szCs w:val="24"/>
          <w:highlight w:val="none"/>
        </w:rPr>
        <w:t>1</w:t>
      </w:r>
      <w:r>
        <w:rPr>
          <w:rFonts w:hint="eastAsia" w:ascii="宋体" w:hAnsi="宋体" w:eastAsia="宋体" w:cs="宋体"/>
          <w:i w:val="0"/>
          <w:iCs w:val="0"/>
          <w:color w:val="auto"/>
          <w:kern w:val="2"/>
          <w:sz w:val="24"/>
          <w:szCs w:val="24"/>
          <w:highlight w:val="none"/>
          <w:lang w:val="en-US" w:eastAsia="zh-CN"/>
        </w:rPr>
        <w:t>4</w:t>
      </w:r>
      <w:r>
        <w:rPr>
          <w:rFonts w:hint="eastAsia" w:ascii="宋体" w:hAnsi="宋体" w:eastAsia="宋体" w:cs="宋体"/>
          <w:i w:val="0"/>
          <w:iCs w:val="0"/>
          <w:color w:val="auto"/>
          <w:kern w:val="2"/>
          <w:sz w:val="24"/>
          <w:szCs w:val="24"/>
          <w:highlight w:val="none"/>
        </w:rPr>
        <w:t>.</w:t>
      </w:r>
      <w:r>
        <w:rPr>
          <w:rFonts w:hint="eastAsia" w:ascii="宋体" w:hAnsi="宋体" w:eastAsia="宋体" w:cs="宋体"/>
          <w:i w:val="0"/>
          <w:iCs w:val="0"/>
          <w:color w:val="auto"/>
          <w:kern w:val="2"/>
          <w:sz w:val="24"/>
          <w:szCs w:val="24"/>
          <w:highlight w:val="none"/>
          <w:lang w:val="en-US" w:eastAsia="zh-CN"/>
        </w:rPr>
        <w:t xml:space="preserve">9 </w:t>
      </w:r>
      <w:r>
        <w:rPr>
          <w:rFonts w:hint="eastAsia" w:ascii="宋体" w:hAnsi="宋体" w:eastAsia="宋体" w:cs="宋体"/>
          <w:i w:val="0"/>
          <w:iCs w:val="0"/>
          <w:color w:val="auto"/>
          <w:kern w:val="2"/>
          <w:sz w:val="24"/>
          <w:szCs w:val="24"/>
          <w:highlight w:val="none"/>
        </w:rPr>
        <w:t>最低报价不能作为</w:t>
      </w:r>
      <w:r>
        <w:rPr>
          <w:rFonts w:hint="eastAsia" w:ascii="宋体" w:hAnsi="宋体" w:eastAsia="宋体" w:cs="宋体"/>
          <w:i w:val="0"/>
          <w:iCs w:val="0"/>
          <w:color w:val="auto"/>
          <w:kern w:val="2"/>
          <w:sz w:val="24"/>
          <w:szCs w:val="24"/>
          <w:highlight w:val="none"/>
          <w:lang w:val="en-US" w:eastAsia="zh-CN"/>
        </w:rPr>
        <w:t>成交</w:t>
      </w:r>
      <w:r>
        <w:rPr>
          <w:rFonts w:hint="eastAsia" w:ascii="宋体" w:hAnsi="宋体" w:eastAsia="宋体" w:cs="宋体"/>
          <w:i w:val="0"/>
          <w:iCs w:val="0"/>
          <w:color w:val="auto"/>
          <w:kern w:val="2"/>
          <w:sz w:val="24"/>
          <w:szCs w:val="24"/>
          <w:highlight w:val="none"/>
        </w:rPr>
        <w:t>的保证。</w:t>
      </w:r>
    </w:p>
    <w:p w14:paraId="5A75C854">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kern w:val="0"/>
          <w:sz w:val="24"/>
          <w:szCs w:val="24"/>
          <w:highlight w:val="none"/>
          <w:lang w:val="en-US" w:eastAsia="zh-CN" w:bidi="ar"/>
        </w:rPr>
      </w:pPr>
      <w:r>
        <w:rPr>
          <w:rFonts w:hint="eastAsia" w:ascii="宋体" w:hAnsi="宋体" w:eastAsia="宋体" w:cs="宋体"/>
          <w:i w:val="0"/>
          <w:iCs w:val="0"/>
          <w:color w:val="auto"/>
          <w:kern w:val="2"/>
          <w:sz w:val="24"/>
          <w:szCs w:val="24"/>
          <w:highlight w:val="none"/>
          <w:lang w:val="en-US" w:eastAsia="zh-CN"/>
        </w:rPr>
        <w:t>14.10</w:t>
      </w:r>
      <w:r>
        <w:rPr>
          <w:rFonts w:hint="eastAsia" w:ascii="宋体" w:hAnsi="宋体" w:eastAsia="宋体" w:cs="宋体"/>
          <w:i w:val="0"/>
          <w:iCs w:val="0"/>
          <w:color w:val="auto"/>
          <w:kern w:val="0"/>
          <w:sz w:val="24"/>
          <w:szCs w:val="24"/>
          <w:highlight w:val="none"/>
          <w:lang w:val="en-US" w:eastAsia="zh-CN" w:bidi="ar"/>
        </w:rPr>
        <w:t>采购人不得向供应商索要或者接受其给予的赠品、回扣或者与采购无关的其他商品、服务。</w:t>
      </w:r>
    </w:p>
    <w:p w14:paraId="0509ADBD">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lang w:val="en-US" w:eastAsia="zh-CN" w:bidi="ar"/>
        </w:rPr>
        <w:t>14.11供应商不能提供任何有选择性或可调整的报价（磋商文件另有规定的除外），否则其</w:t>
      </w:r>
      <w:r>
        <w:rPr>
          <w:rFonts w:hint="eastAsia" w:ascii="宋体" w:hAnsi="宋体" w:eastAsia="宋体" w:cs="宋体"/>
          <w:b/>
          <w:bCs/>
          <w:i w:val="0"/>
          <w:iCs w:val="0"/>
          <w:color w:val="auto"/>
          <w:kern w:val="0"/>
          <w:sz w:val="24"/>
          <w:szCs w:val="24"/>
          <w:highlight w:val="none"/>
          <w:lang w:val="en-US" w:eastAsia="zh-CN" w:bidi="ar"/>
        </w:rPr>
        <w:t>响应无效</w:t>
      </w:r>
      <w:r>
        <w:rPr>
          <w:rFonts w:hint="eastAsia" w:ascii="宋体" w:hAnsi="宋体" w:eastAsia="宋体" w:cs="宋体"/>
          <w:i w:val="0"/>
          <w:iCs w:val="0"/>
          <w:color w:val="auto"/>
          <w:kern w:val="0"/>
          <w:sz w:val="24"/>
          <w:szCs w:val="24"/>
          <w:highlight w:val="none"/>
          <w:lang w:val="en-US" w:eastAsia="zh-CN" w:bidi="ar"/>
        </w:rPr>
        <w:t>。</w:t>
      </w:r>
    </w:p>
    <w:p w14:paraId="1573923D">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215" w:name="_Toc46771657"/>
      <w:bookmarkStart w:id="216" w:name="_Toc109900388"/>
      <w:bookmarkStart w:id="217" w:name="_Toc109899969"/>
      <w:bookmarkStart w:id="218" w:name="_Toc46772258"/>
      <w:bookmarkStart w:id="219" w:name="_Toc48846126"/>
      <w:bookmarkStart w:id="220" w:name="_Toc109897451"/>
      <w:bookmarkStart w:id="221" w:name="_Toc5668"/>
      <w:bookmarkStart w:id="222" w:name="_Toc52962744"/>
      <w:bookmarkStart w:id="223" w:name="_Toc109899550"/>
      <w:bookmarkStart w:id="224" w:name="_Toc51674228"/>
      <w:bookmarkStart w:id="225" w:name="_Toc48688806"/>
      <w:bookmarkStart w:id="226" w:name="_Toc52960570"/>
      <w:bookmarkStart w:id="227" w:name="_Toc470172682"/>
      <w:bookmarkStart w:id="228" w:name="_Toc109899966"/>
      <w:bookmarkStart w:id="229" w:name="_Toc51674224"/>
      <w:bookmarkStart w:id="230" w:name="_Toc52962740"/>
      <w:bookmarkStart w:id="231" w:name="_Toc48846122"/>
      <w:bookmarkStart w:id="232" w:name="_Toc109899547"/>
      <w:bookmarkStart w:id="233" w:name="_Toc109897448"/>
      <w:bookmarkStart w:id="234" w:name="_Toc46771653"/>
      <w:bookmarkStart w:id="235" w:name="_Toc46772254"/>
      <w:bookmarkStart w:id="236" w:name="_Toc48688802"/>
      <w:bookmarkStart w:id="237" w:name="_Toc52960566"/>
      <w:bookmarkStart w:id="238" w:name="_Toc109900385"/>
      <w:bookmarkStart w:id="239" w:name="_Toc3324"/>
      <w:bookmarkStart w:id="240" w:name="_Toc470172678"/>
      <w:r>
        <w:rPr>
          <w:rFonts w:hint="eastAsia" w:ascii="宋体" w:hAnsi="宋体" w:eastAsia="宋体" w:cs="宋体"/>
          <w:b/>
          <w:bCs/>
          <w:i w:val="0"/>
          <w:iCs w:val="0"/>
          <w:color w:val="auto"/>
          <w:kern w:val="2"/>
          <w:sz w:val="24"/>
          <w:szCs w:val="24"/>
          <w:highlight w:val="none"/>
          <w:lang w:val="en-US" w:eastAsia="zh-CN" w:bidi="ar-SA"/>
        </w:rPr>
        <w:t>15.响应文件有效期</w:t>
      </w:r>
      <w:bookmarkEnd w:id="215"/>
      <w:bookmarkEnd w:id="216"/>
      <w:bookmarkEnd w:id="217"/>
      <w:bookmarkEnd w:id="218"/>
      <w:bookmarkEnd w:id="219"/>
      <w:bookmarkEnd w:id="220"/>
      <w:bookmarkEnd w:id="221"/>
      <w:bookmarkEnd w:id="222"/>
      <w:bookmarkEnd w:id="223"/>
      <w:bookmarkEnd w:id="224"/>
      <w:bookmarkEnd w:id="225"/>
      <w:bookmarkEnd w:id="226"/>
      <w:bookmarkEnd w:id="227"/>
    </w:p>
    <w:p w14:paraId="648DA0B4">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5</w:t>
      </w: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供应商提交的</w:t>
      </w:r>
      <w:r>
        <w:rPr>
          <w:rFonts w:hint="eastAsia" w:ascii="宋体" w:hAnsi="宋体" w:eastAsia="宋体" w:cs="宋体"/>
          <w:i w:val="0"/>
          <w:iCs w:val="0"/>
          <w:snapToGrid w:val="0"/>
          <w:color w:val="auto"/>
          <w:sz w:val="24"/>
          <w:szCs w:val="24"/>
          <w:highlight w:val="none"/>
          <w:lang w:val="zh-CN"/>
        </w:rPr>
        <w:t>响应文件有效期见“供应商须知前附表”，磋商供应商承诺的响应文件</w:t>
      </w:r>
      <w:r>
        <w:rPr>
          <w:rFonts w:hint="eastAsia" w:ascii="宋体" w:hAnsi="宋体" w:eastAsia="宋体" w:cs="宋体"/>
          <w:i w:val="0"/>
          <w:iCs w:val="0"/>
          <w:snapToGrid w:val="0"/>
          <w:color w:val="auto"/>
          <w:sz w:val="24"/>
          <w:szCs w:val="24"/>
          <w:highlight w:val="none"/>
          <w:lang w:val="zh-CN" w:eastAsia="zh-CN"/>
        </w:rPr>
        <w:t>有效期少于</w:t>
      </w:r>
      <w:r>
        <w:rPr>
          <w:rFonts w:hint="eastAsia" w:ascii="宋体" w:hAnsi="宋体" w:eastAsia="宋体" w:cs="宋体"/>
          <w:i w:val="0"/>
          <w:iCs w:val="0"/>
          <w:snapToGrid w:val="0"/>
          <w:color w:val="auto"/>
          <w:sz w:val="24"/>
          <w:szCs w:val="24"/>
          <w:highlight w:val="none"/>
          <w:lang w:val="en-US" w:eastAsia="zh-CN"/>
        </w:rPr>
        <w:t>磋商</w:t>
      </w:r>
      <w:r>
        <w:rPr>
          <w:rFonts w:hint="eastAsia" w:ascii="宋体" w:hAnsi="宋体" w:eastAsia="宋体" w:cs="宋体"/>
          <w:i w:val="0"/>
          <w:iCs w:val="0"/>
          <w:snapToGrid w:val="0"/>
          <w:color w:val="auto"/>
          <w:sz w:val="24"/>
          <w:szCs w:val="24"/>
          <w:highlight w:val="none"/>
          <w:lang w:val="zh-CN" w:eastAsia="zh-CN"/>
        </w:rPr>
        <w:t>文件规定期限的，其</w:t>
      </w:r>
      <w:r>
        <w:rPr>
          <w:rFonts w:hint="eastAsia" w:ascii="宋体" w:hAnsi="宋体" w:eastAsia="宋体" w:cs="宋体"/>
          <w:b/>
          <w:bCs/>
          <w:i w:val="0"/>
          <w:iCs w:val="0"/>
          <w:snapToGrid w:val="0"/>
          <w:color w:val="auto"/>
          <w:sz w:val="24"/>
          <w:szCs w:val="24"/>
          <w:highlight w:val="none"/>
          <w:lang w:val="en-US" w:eastAsia="zh-CN"/>
        </w:rPr>
        <w:t>响应</w:t>
      </w:r>
      <w:r>
        <w:rPr>
          <w:rFonts w:hint="eastAsia" w:ascii="宋体" w:hAnsi="宋体" w:eastAsia="宋体" w:cs="宋体"/>
          <w:b/>
          <w:bCs/>
          <w:i w:val="0"/>
          <w:iCs w:val="0"/>
          <w:snapToGrid w:val="0"/>
          <w:color w:val="auto"/>
          <w:sz w:val="24"/>
          <w:szCs w:val="24"/>
          <w:highlight w:val="none"/>
          <w:lang w:val="zh-CN" w:eastAsia="zh-CN"/>
        </w:rPr>
        <w:t>无效</w:t>
      </w:r>
      <w:r>
        <w:rPr>
          <w:rFonts w:hint="eastAsia" w:ascii="宋体" w:hAnsi="宋体" w:eastAsia="宋体" w:cs="宋体"/>
          <w:i w:val="0"/>
          <w:iCs w:val="0"/>
          <w:snapToGrid w:val="0"/>
          <w:color w:val="auto"/>
          <w:sz w:val="24"/>
          <w:szCs w:val="24"/>
          <w:highlight w:val="none"/>
          <w:lang w:val="zh-CN" w:eastAsia="zh-CN"/>
        </w:rPr>
        <w:t>。</w:t>
      </w:r>
    </w:p>
    <w:p w14:paraId="6617F752">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i w:val="0"/>
          <w:iCs w:val="0"/>
          <w:snapToGrid w:val="0"/>
          <w:color w:val="auto"/>
          <w:kern w:val="2"/>
          <w:sz w:val="24"/>
          <w:szCs w:val="24"/>
          <w:highlight w:val="none"/>
          <w:lang w:val="en-US" w:eastAsia="zh-CN" w:bidi="ar-SA"/>
        </w:rPr>
      </w:pPr>
      <w:r>
        <w:rPr>
          <w:rFonts w:hint="eastAsia" w:ascii="宋体" w:hAnsi="宋体" w:eastAsia="宋体" w:cs="宋体"/>
          <w:i w:val="0"/>
          <w:iCs w:val="0"/>
          <w:snapToGrid w:val="0"/>
          <w:color w:val="auto"/>
          <w:kern w:val="2"/>
          <w:sz w:val="24"/>
          <w:szCs w:val="24"/>
          <w:highlight w:val="none"/>
          <w:lang w:val="en-US" w:eastAsia="zh-CN" w:bidi="ar-SA"/>
        </w:rPr>
        <w:t>15.2 响应文件有效期从递交响应文件的截止之日起算。响应文件中承诺的有效期应当不少于竞争性磋商文件中载明的响应文件有效期。响应文件有效期内供应商撤销响应文件的，采购人或者采购代理机构可以不退还磋商保证金。</w:t>
      </w:r>
    </w:p>
    <w:p w14:paraId="4838F07D">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kern w:val="2"/>
          <w:sz w:val="24"/>
          <w:szCs w:val="24"/>
          <w:highlight w:val="none"/>
          <w:lang w:val="zh-CN" w:eastAsia="zh-CN" w:bidi="ar-SA"/>
        </w:rPr>
        <w:t>1</w:t>
      </w:r>
      <w:r>
        <w:rPr>
          <w:rFonts w:hint="eastAsia" w:ascii="宋体" w:hAnsi="宋体" w:eastAsia="宋体" w:cs="宋体"/>
          <w:i w:val="0"/>
          <w:iCs w:val="0"/>
          <w:snapToGrid w:val="0"/>
          <w:color w:val="auto"/>
          <w:kern w:val="2"/>
          <w:sz w:val="24"/>
          <w:szCs w:val="24"/>
          <w:highlight w:val="none"/>
          <w:lang w:val="en-US" w:eastAsia="zh-CN" w:bidi="ar-SA"/>
        </w:rPr>
        <w:t>5</w:t>
      </w:r>
      <w:r>
        <w:rPr>
          <w:rFonts w:hint="eastAsia" w:ascii="宋体" w:hAnsi="宋体" w:eastAsia="宋体" w:cs="宋体"/>
          <w:i w:val="0"/>
          <w:iCs w:val="0"/>
          <w:snapToGrid w:val="0"/>
          <w:color w:val="auto"/>
          <w:kern w:val="2"/>
          <w:sz w:val="24"/>
          <w:szCs w:val="24"/>
          <w:highlight w:val="none"/>
          <w:lang w:val="zh-CN" w:eastAsia="zh-CN" w:bidi="ar-SA"/>
        </w:rPr>
        <w:t>.</w:t>
      </w:r>
      <w:r>
        <w:rPr>
          <w:rFonts w:hint="eastAsia" w:ascii="宋体" w:hAnsi="宋体" w:eastAsia="宋体" w:cs="宋体"/>
          <w:i w:val="0"/>
          <w:iCs w:val="0"/>
          <w:snapToGrid w:val="0"/>
          <w:color w:val="auto"/>
          <w:kern w:val="2"/>
          <w:sz w:val="24"/>
          <w:szCs w:val="24"/>
          <w:highlight w:val="none"/>
          <w:lang w:val="en-US" w:eastAsia="zh-CN" w:bidi="ar-SA"/>
        </w:rPr>
        <w:t>3</w:t>
      </w:r>
      <w:r>
        <w:rPr>
          <w:rFonts w:hint="eastAsia" w:ascii="宋体" w:hAnsi="宋体" w:eastAsia="宋体" w:cs="宋体"/>
          <w:i w:val="0"/>
          <w:iCs w:val="0"/>
          <w:snapToGrid w:val="0"/>
          <w:color w:val="auto"/>
          <w:kern w:val="2"/>
          <w:sz w:val="24"/>
          <w:szCs w:val="24"/>
          <w:highlight w:val="none"/>
          <w:lang w:val="zh-CN" w:eastAsia="zh-CN" w:bidi="ar-SA"/>
        </w:rPr>
        <w:t>特殊情况下，在原响应文件有效期截止之前，采购代理机构或采购人</w:t>
      </w:r>
      <w:r>
        <w:rPr>
          <w:rFonts w:hint="eastAsia" w:ascii="宋体" w:hAnsi="宋体" w:eastAsia="宋体" w:cs="宋体"/>
          <w:i w:val="0"/>
          <w:iCs w:val="0"/>
          <w:snapToGrid w:val="0"/>
          <w:color w:val="auto"/>
          <w:sz w:val="24"/>
          <w:szCs w:val="24"/>
          <w:highlight w:val="none"/>
          <w:lang w:val="zh-CN"/>
        </w:rPr>
        <w:t>可要求供应商延长响应文件有效期。需要延长响应文件有效期时，采购代理机构或采购人将以书面形式通知所有磋商供应商，供应商应以书面形式答复是否同意延长响应文件有效期。</w:t>
      </w:r>
    </w:p>
    <w:p w14:paraId="13A29EBD">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5</w:t>
      </w:r>
      <w:r>
        <w:rPr>
          <w:rFonts w:hint="eastAsia" w:ascii="宋体" w:hAnsi="宋体" w:eastAsia="宋体" w:cs="宋体"/>
          <w:i w:val="0"/>
          <w:iCs w:val="0"/>
          <w:snapToGrid w:val="0"/>
          <w:color w:val="auto"/>
          <w:sz w:val="24"/>
          <w:szCs w:val="24"/>
          <w:highlight w:val="none"/>
          <w:lang w:val="zh-CN"/>
        </w:rPr>
        <w:t>.</w:t>
      </w:r>
      <w:r>
        <w:rPr>
          <w:rFonts w:hint="eastAsia" w:ascii="宋体" w:hAnsi="宋体" w:eastAsia="宋体" w:cs="宋体"/>
          <w:i w:val="0"/>
          <w:iCs w:val="0"/>
          <w:snapToGrid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供应商同意延长的，</w:t>
      </w:r>
      <w:r>
        <w:rPr>
          <w:rFonts w:hint="eastAsia" w:ascii="宋体" w:hAnsi="宋体" w:eastAsia="宋体" w:cs="宋体"/>
          <w:i w:val="0"/>
          <w:iCs w:val="0"/>
          <w:snapToGrid w:val="0"/>
          <w:color w:val="auto"/>
          <w:sz w:val="24"/>
          <w:szCs w:val="24"/>
          <w:highlight w:val="none"/>
          <w:lang w:val="en-US" w:eastAsia="zh-CN"/>
        </w:rPr>
        <w:t>其磋商</w:t>
      </w:r>
      <w:r>
        <w:rPr>
          <w:rFonts w:hint="eastAsia" w:ascii="宋体" w:hAnsi="宋体" w:eastAsia="宋体" w:cs="宋体"/>
          <w:i w:val="0"/>
          <w:iCs w:val="0"/>
          <w:snapToGrid w:val="0"/>
          <w:color w:val="auto"/>
          <w:sz w:val="24"/>
          <w:szCs w:val="24"/>
          <w:highlight w:val="none"/>
          <w:lang w:val="zh-CN"/>
        </w:rPr>
        <w:t>保证金的有效期也相应延长</w:t>
      </w:r>
      <w:r>
        <w:rPr>
          <w:rFonts w:hint="eastAsia" w:ascii="宋体" w:hAnsi="宋体" w:eastAsia="宋体" w:cs="宋体"/>
          <w:i w:val="0"/>
          <w:iCs w:val="0"/>
          <w:snapToGrid w:val="0"/>
          <w:color w:val="auto"/>
          <w:sz w:val="24"/>
          <w:szCs w:val="24"/>
          <w:highlight w:val="none"/>
          <w:lang w:val="zh-CN" w:eastAsia="zh-CN"/>
        </w:rPr>
        <w:t>，</w:t>
      </w:r>
      <w:r>
        <w:rPr>
          <w:rFonts w:hint="eastAsia" w:ascii="宋体" w:hAnsi="宋体" w:eastAsia="宋体" w:cs="宋体"/>
          <w:i w:val="0"/>
          <w:iCs w:val="0"/>
          <w:snapToGrid w:val="0"/>
          <w:color w:val="auto"/>
          <w:sz w:val="24"/>
          <w:szCs w:val="24"/>
          <w:highlight w:val="none"/>
          <w:lang w:val="zh-CN"/>
        </w:rPr>
        <w:t>不得要求或被允许修改或撤销其响应文件；供应商拒绝延长的，其响应文件在原响应文件有效期满后将不再有效</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但其提交的磋商保证金可予以退还</w:t>
      </w:r>
      <w:r>
        <w:rPr>
          <w:rFonts w:hint="eastAsia" w:ascii="宋体" w:hAnsi="宋体" w:eastAsia="宋体" w:cs="宋体"/>
          <w:i w:val="0"/>
          <w:iCs w:val="0"/>
          <w:snapToGrid w:val="0"/>
          <w:color w:val="auto"/>
          <w:sz w:val="24"/>
          <w:szCs w:val="24"/>
          <w:highlight w:val="none"/>
          <w:lang w:val="zh-CN"/>
        </w:rPr>
        <w:t>。</w:t>
      </w:r>
    </w:p>
    <w:bookmarkEnd w:id="228"/>
    <w:bookmarkEnd w:id="229"/>
    <w:bookmarkEnd w:id="230"/>
    <w:bookmarkEnd w:id="231"/>
    <w:bookmarkEnd w:id="232"/>
    <w:bookmarkEnd w:id="233"/>
    <w:bookmarkEnd w:id="234"/>
    <w:bookmarkEnd w:id="235"/>
    <w:bookmarkEnd w:id="236"/>
    <w:bookmarkEnd w:id="237"/>
    <w:bookmarkEnd w:id="238"/>
    <w:bookmarkEnd w:id="239"/>
    <w:bookmarkEnd w:id="240"/>
    <w:p w14:paraId="43CAD0BB">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16.响应文件的编制</w:t>
      </w:r>
      <w:bookmarkEnd w:id="201"/>
      <w:bookmarkEnd w:id="202"/>
      <w:bookmarkEnd w:id="203"/>
      <w:bookmarkEnd w:id="204"/>
      <w:bookmarkEnd w:id="205"/>
      <w:bookmarkEnd w:id="206"/>
      <w:bookmarkEnd w:id="207"/>
      <w:bookmarkEnd w:id="208"/>
      <w:bookmarkEnd w:id="209"/>
      <w:bookmarkEnd w:id="210"/>
      <w:bookmarkEnd w:id="211"/>
      <w:bookmarkEnd w:id="212"/>
      <w:bookmarkEnd w:id="213"/>
    </w:p>
    <w:p w14:paraId="65E7B22E">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文件应在供应商客户端中进行编制，在</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文件中要求加盖印章的，除有特殊说明之外，</w:t>
      </w:r>
      <w:r>
        <w:rPr>
          <w:rFonts w:hint="eastAsia" w:ascii="宋体" w:hAnsi="宋体" w:eastAsia="宋体" w:cs="宋体"/>
          <w:i w:val="0"/>
          <w:iCs w:val="0"/>
          <w:color w:val="auto"/>
          <w:sz w:val="24"/>
          <w:szCs w:val="24"/>
          <w:highlight w:val="none"/>
          <w:lang w:val="en-US" w:eastAsia="zh-CN"/>
        </w:rPr>
        <w:t>可</w:t>
      </w:r>
      <w:r>
        <w:rPr>
          <w:rFonts w:hint="eastAsia" w:ascii="宋体" w:hAnsi="宋体" w:eastAsia="宋体" w:cs="宋体"/>
          <w:i w:val="0"/>
          <w:iCs w:val="0"/>
          <w:color w:val="auto"/>
          <w:sz w:val="24"/>
          <w:szCs w:val="24"/>
          <w:highlight w:val="none"/>
        </w:rPr>
        <w:t>使用电子签章签署。</w:t>
      </w:r>
    </w:p>
    <w:p w14:paraId="791AA99F">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在供应商客户端中按照供应商客户端中的格式要求填写响应内容后，生成</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须按照</w:t>
      </w:r>
      <w:r>
        <w:rPr>
          <w:rFonts w:hint="eastAsia" w:ascii="宋体" w:hAnsi="宋体" w:eastAsia="宋体" w:cs="宋体"/>
          <w:i w:val="0"/>
          <w:iCs w:val="0"/>
          <w:color w:val="auto"/>
          <w:sz w:val="24"/>
          <w:szCs w:val="24"/>
          <w:highlight w:val="none"/>
          <w:lang w:val="en-US" w:eastAsia="zh-CN"/>
        </w:rPr>
        <w:t>竞争性磋商</w:t>
      </w:r>
      <w:r>
        <w:rPr>
          <w:rFonts w:hint="eastAsia" w:ascii="宋体" w:hAnsi="宋体" w:eastAsia="宋体" w:cs="宋体"/>
          <w:i w:val="0"/>
          <w:iCs w:val="0"/>
          <w:color w:val="auto"/>
          <w:sz w:val="24"/>
          <w:szCs w:val="24"/>
          <w:highlight w:val="none"/>
        </w:rPr>
        <w:t>文件的要求使用电子签章对要求加盖印章的部分逐一进行签章。</w:t>
      </w:r>
    </w:p>
    <w:p w14:paraId="7424A243">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3供应商</w:t>
      </w:r>
      <w:r>
        <w:rPr>
          <w:rFonts w:hint="eastAsia" w:ascii="宋体" w:hAnsi="宋体" w:eastAsia="宋体" w:cs="宋体"/>
          <w:i w:val="0"/>
          <w:iCs w:val="0"/>
          <w:color w:val="auto"/>
          <w:sz w:val="24"/>
          <w:szCs w:val="24"/>
          <w:highlight w:val="none"/>
        </w:rPr>
        <w:t>应详细阅读</w:t>
      </w:r>
      <w:r>
        <w:rPr>
          <w:rFonts w:hint="eastAsia" w:ascii="宋体" w:hAnsi="宋体" w:eastAsia="宋体" w:cs="宋体"/>
          <w:i w:val="0"/>
          <w:iCs w:val="0"/>
          <w:color w:val="auto"/>
          <w:sz w:val="24"/>
          <w:szCs w:val="24"/>
          <w:highlight w:val="none"/>
          <w:lang w:val="en-US" w:eastAsia="zh-CN"/>
        </w:rPr>
        <w:t>竞争性磋商</w:t>
      </w:r>
      <w:r>
        <w:rPr>
          <w:rFonts w:hint="eastAsia" w:ascii="宋体" w:hAnsi="宋体" w:eastAsia="宋体" w:cs="宋体"/>
          <w:i w:val="0"/>
          <w:iCs w:val="0"/>
          <w:color w:val="auto"/>
          <w:sz w:val="24"/>
          <w:szCs w:val="24"/>
          <w:highlight w:val="none"/>
        </w:rPr>
        <w:t>文件的全部内容。</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文件须对</w:t>
      </w:r>
      <w:r>
        <w:rPr>
          <w:rFonts w:hint="eastAsia" w:ascii="宋体" w:hAnsi="宋体" w:eastAsia="宋体" w:cs="宋体"/>
          <w:i w:val="0"/>
          <w:iCs w:val="0"/>
          <w:color w:val="auto"/>
          <w:sz w:val="24"/>
          <w:szCs w:val="24"/>
          <w:highlight w:val="none"/>
          <w:lang w:val="en-US" w:eastAsia="zh-CN"/>
        </w:rPr>
        <w:t>竞争性磋商</w:t>
      </w:r>
      <w:r>
        <w:rPr>
          <w:rFonts w:hint="eastAsia" w:ascii="宋体" w:hAnsi="宋体" w:eastAsia="宋体" w:cs="宋体"/>
          <w:i w:val="0"/>
          <w:iCs w:val="0"/>
          <w:color w:val="auto"/>
          <w:sz w:val="24"/>
          <w:szCs w:val="24"/>
          <w:highlight w:val="none"/>
        </w:rPr>
        <w:t>文件中的内容作出实质性和完整的响应，如果</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文件填报的内容不详，或没有提供</w:t>
      </w:r>
      <w:r>
        <w:rPr>
          <w:rFonts w:hint="eastAsia" w:ascii="宋体" w:hAnsi="宋体" w:eastAsia="宋体" w:cs="宋体"/>
          <w:i w:val="0"/>
          <w:iCs w:val="0"/>
          <w:color w:val="auto"/>
          <w:sz w:val="24"/>
          <w:szCs w:val="24"/>
          <w:highlight w:val="none"/>
          <w:lang w:val="en-US" w:eastAsia="zh-CN"/>
        </w:rPr>
        <w:t>竞争性磋商</w:t>
      </w:r>
      <w:r>
        <w:rPr>
          <w:rFonts w:hint="eastAsia" w:ascii="宋体" w:hAnsi="宋体" w:eastAsia="宋体" w:cs="宋体"/>
          <w:i w:val="0"/>
          <w:iCs w:val="0"/>
          <w:color w:val="auto"/>
          <w:sz w:val="24"/>
          <w:szCs w:val="24"/>
          <w:highlight w:val="none"/>
        </w:rPr>
        <w:t>文件中所要求的全部资料及数据，将可能</w:t>
      </w:r>
      <w:r>
        <w:rPr>
          <w:rFonts w:hint="eastAsia" w:ascii="宋体" w:hAnsi="宋体" w:eastAsia="宋体" w:cs="宋体"/>
          <w:b/>
          <w:bCs/>
          <w:i w:val="0"/>
          <w:iCs w:val="0"/>
          <w:color w:val="auto"/>
          <w:sz w:val="24"/>
          <w:szCs w:val="24"/>
          <w:highlight w:val="none"/>
        </w:rPr>
        <w:t>导致</w:t>
      </w:r>
      <w:r>
        <w:rPr>
          <w:rFonts w:hint="eastAsia" w:ascii="宋体" w:hAnsi="宋体" w:eastAsia="宋体" w:cs="宋体"/>
          <w:b/>
          <w:bCs/>
          <w:i w:val="0"/>
          <w:iCs w:val="0"/>
          <w:color w:val="auto"/>
          <w:sz w:val="24"/>
          <w:szCs w:val="24"/>
          <w:highlight w:val="none"/>
          <w:lang w:val="en-US" w:eastAsia="zh-CN"/>
        </w:rPr>
        <w:t>其响应无效</w:t>
      </w:r>
      <w:r>
        <w:rPr>
          <w:rFonts w:hint="eastAsia" w:ascii="宋体" w:hAnsi="宋体" w:eastAsia="宋体" w:cs="宋体"/>
          <w:i w:val="0"/>
          <w:iCs w:val="0"/>
          <w:color w:val="auto"/>
          <w:sz w:val="24"/>
          <w:szCs w:val="24"/>
          <w:highlight w:val="none"/>
        </w:rPr>
        <w:t>。</w:t>
      </w:r>
    </w:p>
    <w:p w14:paraId="11CFCB96">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4响应</w:t>
      </w:r>
      <w:r>
        <w:rPr>
          <w:rFonts w:hint="eastAsia" w:ascii="宋体" w:hAnsi="宋体" w:eastAsia="宋体" w:cs="宋体"/>
          <w:i w:val="0"/>
          <w:iCs w:val="0"/>
          <w:color w:val="auto"/>
          <w:sz w:val="24"/>
          <w:szCs w:val="24"/>
          <w:highlight w:val="none"/>
        </w:rPr>
        <w:t>文件须严格按照</w:t>
      </w:r>
      <w:r>
        <w:rPr>
          <w:rFonts w:hint="eastAsia" w:ascii="宋体" w:hAnsi="宋体" w:eastAsia="宋体" w:cs="宋体"/>
          <w:i w:val="0"/>
          <w:iCs w:val="0"/>
          <w:color w:val="auto"/>
          <w:sz w:val="24"/>
          <w:szCs w:val="24"/>
          <w:highlight w:val="none"/>
          <w:lang w:val="en-US" w:eastAsia="zh-CN"/>
        </w:rPr>
        <w:t>本竞争性磋商</w:t>
      </w:r>
      <w:r>
        <w:rPr>
          <w:rFonts w:hint="eastAsia" w:ascii="宋体" w:hAnsi="宋体" w:eastAsia="宋体" w:cs="宋体"/>
          <w:i w:val="0"/>
          <w:iCs w:val="0"/>
          <w:color w:val="auto"/>
          <w:sz w:val="24"/>
          <w:szCs w:val="24"/>
          <w:highlight w:val="none"/>
        </w:rPr>
        <w:t>文件第</w:t>
      </w:r>
      <w:r>
        <w:rPr>
          <w:rFonts w:hint="eastAsia" w:ascii="宋体" w:hAnsi="宋体" w:eastAsia="宋体" w:cs="宋体"/>
          <w:i w:val="0"/>
          <w:iCs w:val="0"/>
          <w:color w:val="auto"/>
          <w:sz w:val="24"/>
          <w:szCs w:val="24"/>
          <w:highlight w:val="none"/>
          <w:lang w:val="en-US" w:eastAsia="zh-CN"/>
        </w:rPr>
        <w:t>六章</w:t>
      </w:r>
      <w:r>
        <w:rPr>
          <w:rFonts w:hint="eastAsia" w:ascii="宋体" w:hAnsi="宋体" w:eastAsia="宋体" w:cs="宋体"/>
          <w:i w:val="0"/>
          <w:iCs w:val="0"/>
          <w:color w:val="auto"/>
          <w:sz w:val="24"/>
          <w:szCs w:val="24"/>
          <w:highlight w:val="none"/>
        </w:rPr>
        <w:t>规定的格式提交，并按规定的统一格式逐项填写，不准有空项；无相应内容可填的项，应填写“无”、“未测试”、“没有相应指标”等明确的回答文字。由于编排混乱导致</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文件被误读或查找不到，其责任由</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承担。</w:t>
      </w:r>
    </w:p>
    <w:p w14:paraId="5E13E6DC">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5供应商</w:t>
      </w:r>
      <w:r>
        <w:rPr>
          <w:rFonts w:hint="eastAsia" w:ascii="宋体" w:hAnsi="宋体" w:eastAsia="宋体" w:cs="宋体"/>
          <w:i w:val="0"/>
          <w:iCs w:val="0"/>
          <w:color w:val="auto"/>
          <w:sz w:val="24"/>
          <w:szCs w:val="24"/>
          <w:highlight w:val="none"/>
        </w:rPr>
        <w:t>须注意：为合理节约政府采购评审成本，提倡诚实信用的</w:t>
      </w:r>
      <w:r>
        <w:rPr>
          <w:rFonts w:hint="eastAsia" w:ascii="宋体" w:hAnsi="宋体" w:eastAsia="宋体"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rPr>
        <w:t>行为，特别要求</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应本着诚信精神，在本次</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文件的偏离表中，均以审慎的态度明确、清楚地披露各项偏离。若</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对某一事项是否存在或是否属于偏离不能确定，亦必须在偏离表中清楚地表明该偏离事项，并可以注明不能确定的字样。任何情况下，对于</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没有在偏离表中明确、清楚地披露的事项，包括可能属于被</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在偏离表中遗漏披露的事项，一旦在评审中被发现存在偏离或被认定为属于偏离，则评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委员会有权视具体情形评审时予以处理，</w:t>
      </w:r>
      <w:r>
        <w:rPr>
          <w:rFonts w:hint="eastAsia" w:ascii="宋体" w:hAnsi="宋体" w:eastAsia="宋体" w:cs="宋体"/>
          <w:b/>
          <w:bCs/>
          <w:i w:val="0"/>
          <w:iCs w:val="0"/>
          <w:color w:val="auto"/>
          <w:sz w:val="24"/>
          <w:szCs w:val="24"/>
          <w:highlight w:val="none"/>
        </w:rPr>
        <w:t>将可能导致</w:t>
      </w:r>
      <w:r>
        <w:rPr>
          <w:rFonts w:hint="eastAsia" w:ascii="宋体" w:hAnsi="宋体" w:eastAsia="宋体" w:cs="宋体"/>
          <w:b/>
          <w:bCs/>
          <w:i w:val="0"/>
          <w:iCs w:val="0"/>
          <w:color w:val="auto"/>
          <w:sz w:val="24"/>
          <w:szCs w:val="24"/>
          <w:highlight w:val="none"/>
          <w:lang w:eastAsia="zh-CN"/>
        </w:rPr>
        <w:t>响应</w:t>
      </w:r>
      <w:r>
        <w:rPr>
          <w:rFonts w:hint="eastAsia" w:ascii="宋体" w:hAnsi="宋体" w:eastAsia="宋体" w:cs="宋体"/>
          <w:b/>
          <w:bCs/>
          <w:i w:val="0"/>
          <w:iCs w:val="0"/>
          <w:color w:val="auto"/>
          <w:sz w:val="24"/>
          <w:szCs w:val="24"/>
          <w:highlight w:val="none"/>
          <w:lang w:val="en-US" w:eastAsia="zh-CN"/>
        </w:rPr>
        <w:t>无效</w:t>
      </w:r>
      <w:r>
        <w:rPr>
          <w:rFonts w:hint="eastAsia" w:ascii="宋体" w:hAnsi="宋体" w:eastAsia="宋体" w:cs="宋体"/>
          <w:i w:val="0"/>
          <w:iCs w:val="0"/>
          <w:color w:val="auto"/>
          <w:sz w:val="24"/>
          <w:szCs w:val="24"/>
          <w:highlight w:val="none"/>
        </w:rPr>
        <w:t>。</w:t>
      </w:r>
    </w:p>
    <w:p w14:paraId="5A17647F">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6供应商</w:t>
      </w:r>
      <w:r>
        <w:rPr>
          <w:rFonts w:hint="eastAsia" w:ascii="宋体" w:hAnsi="宋体" w:eastAsia="宋体" w:cs="宋体"/>
          <w:i w:val="0"/>
          <w:iCs w:val="0"/>
          <w:color w:val="auto"/>
          <w:sz w:val="24"/>
          <w:szCs w:val="24"/>
          <w:highlight w:val="none"/>
        </w:rPr>
        <w:t>必须保证</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文件所提供的全部资料真实可靠，并接受采购</w:t>
      </w:r>
      <w:r>
        <w:rPr>
          <w:rFonts w:hint="eastAsia" w:ascii="宋体" w:hAnsi="宋体" w:eastAsia="宋体" w:cs="宋体"/>
          <w:i w:val="0"/>
          <w:iCs w:val="0"/>
          <w:color w:val="auto"/>
          <w:sz w:val="24"/>
          <w:szCs w:val="24"/>
          <w:highlight w:val="none"/>
          <w:lang w:val="en-US" w:eastAsia="zh-CN"/>
        </w:rPr>
        <w:t>人、采购</w:t>
      </w:r>
      <w:r>
        <w:rPr>
          <w:rFonts w:hint="eastAsia" w:ascii="宋体" w:hAnsi="宋体" w:eastAsia="宋体" w:cs="宋体"/>
          <w:i w:val="0"/>
          <w:iCs w:val="0"/>
          <w:color w:val="auto"/>
          <w:sz w:val="24"/>
          <w:szCs w:val="24"/>
          <w:highlight w:val="none"/>
        </w:rPr>
        <w:t>代理机构或评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委员会对其中任何资料进一步审查的要求。</w:t>
      </w:r>
    </w:p>
    <w:p w14:paraId="4173C9AC">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7供应商</w:t>
      </w:r>
      <w:r>
        <w:rPr>
          <w:rFonts w:hint="eastAsia" w:ascii="宋体" w:hAnsi="宋体" w:eastAsia="宋体" w:cs="宋体"/>
          <w:i w:val="0"/>
          <w:iCs w:val="0"/>
          <w:color w:val="auto"/>
          <w:sz w:val="24"/>
          <w:szCs w:val="24"/>
          <w:highlight w:val="none"/>
        </w:rPr>
        <w:t>在</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cs="宋体"/>
          <w:b/>
          <w:bCs/>
          <w:i w:val="0"/>
          <w:iCs w:val="0"/>
          <w:color w:val="auto"/>
          <w:sz w:val="24"/>
          <w:szCs w:val="24"/>
          <w:highlight w:val="none"/>
        </w:rPr>
        <w:t>无效</w:t>
      </w:r>
      <w:r>
        <w:rPr>
          <w:rFonts w:hint="eastAsia" w:ascii="宋体" w:hAnsi="宋体" w:eastAsia="宋体" w:cs="宋体"/>
          <w:b/>
          <w:bCs/>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处理。</w:t>
      </w:r>
    </w:p>
    <w:p w14:paraId="4EA4DD57">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shd w:val="clear" w:color="auto" w:fill="FFFFFF" w:themeFill="background1"/>
          <w:lang w:val="en-US"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16.8电子响应文件的编制</w:t>
      </w:r>
    </w:p>
    <w:p w14:paraId="69C4BD81">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shd w:val="clear" w:color="auto" w:fill="FFFFFF" w:themeFill="background1"/>
          <w:lang w:val="en-US"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 xml:space="preserve">16.8.1电子响应文件需按竞争性磋商文件要求进行制作编制。响应文件制作时，不同内容按标签提示制作导入，按照竞争性磋商文件中明确的响应文件目录和格式进行编制，保证目录清晰、内容完整。           </w:t>
      </w:r>
    </w:p>
    <w:p w14:paraId="775C3083">
      <w:pPr>
        <w:keepNext w:val="0"/>
        <w:keepLines w:val="0"/>
        <w:pageBreakBefore w:val="0"/>
        <w:widowControl w:val="0"/>
        <w:kinsoku/>
        <w:overflowPunct/>
        <w:topLinePunct w:val="0"/>
        <w:bidi w:val="0"/>
        <w:ind w:firstLine="480" w:firstLineChars="200"/>
        <w:textAlignment w:val="auto"/>
        <w:rPr>
          <w:rFonts w:hint="eastAsia" w:ascii="宋体" w:hAnsi="宋体" w:eastAsia="宋体" w:cs="宋体"/>
          <w:i w:val="0"/>
          <w:iCs w:val="0"/>
          <w:color w:val="auto"/>
          <w:kern w:val="2"/>
          <w:sz w:val="24"/>
          <w:szCs w:val="24"/>
          <w:highlight w:val="none"/>
          <w:shd w:val="clear" w:color="auto" w:fill="FFFFFF" w:themeFill="background1"/>
          <w:lang w:val="en-US"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16.8.2电子磋商文件及响应文件具有法律效力，与其他形式的磋商文件及响应文件在内容和格式上等同，若响应文件与竞争性磋商文件要求不一致，其内容影响成交结果时，责任由供应商自行承担。供应商递交的电子响应文件因供应商自身原因而导致无法导入电子辅助评标系统，该响应文件视为无效响应文件，</w:t>
      </w:r>
      <w:r>
        <w:rPr>
          <w:rFonts w:hint="eastAsia" w:ascii="宋体" w:hAnsi="宋体" w:eastAsia="宋体" w:cs="宋体"/>
          <w:b/>
          <w:bCs/>
          <w:i w:val="0"/>
          <w:iCs w:val="0"/>
          <w:color w:val="auto"/>
          <w:kern w:val="2"/>
          <w:sz w:val="24"/>
          <w:szCs w:val="24"/>
          <w:highlight w:val="none"/>
          <w:shd w:val="clear" w:color="auto" w:fill="FFFFFF" w:themeFill="background1"/>
          <w:lang w:val="en-US" w:eastAsia="zh-CN" w:bidi="ar-SA"/>
        </w:rPr>
        <w:t>其响应无效</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w:t>
      </w:r>
    </w:p>
    <w:p w14:paraId="36AADD33">
      <w:pPr>
        <w:pStyle w:val="5"/>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241" w:name="_Toc109900390"/>
      <w:bookmarkStart w:id="242" w:name="_Toc46771659"/>
      <w:bookmarkStart w:id="243" w:name="_Toc470172684"/>
      <w:bookmarkStart w:id="244" w:name="_Toc109899552"/>
      <w:bookmarkStart w:id="245" w:name="_Toc109897453"/>
      <w:bookmarkStart w:id="246" w:name="_Toc109899971"/>
      <w:bookmarkStart w:id="247" w:name="_Toc163493614"/>
      <w:bookmarkStart w:id="248" w:name="_Toc26555"/>
      <w:r>
        <w:rPr>
          <w:rFonts w:hint="eastAsia" w:ascii="宋体" w:hAnsi="宋体" w:eastAsia="宋体" w:cs="宋体"/>
          <w:b/>
          <w:bCs/>
          <w:i w:val="0"/>
          <w:iCs w:val="0"/>
          <w:color w:val="auto"/>
          <w:kern w:val="2"/>
          <w:sz w:val="24"/>
          <w:szCs w:val="24"/>
          <w:highlight w:val="none"/>
          <w:lang w:val="en-US" w:eastAsia="zh-CN" w:bidi="ar-SA"/>
        </w:rPr>
        <w:t>（四）响应文件的</w:t>
      </w:r>
      <w:bookmarkEnd w:id="241"/>
      <w:bookmarkEnd w:id="242"/>
      <w:bookmarkEnd w:id="243"/>
      <w:bookmarkEnd w:id="244"/>
      <w:bookmarkEnd w:id="245"/>
      <w:bookmarkEnd w:id="246"/>
      <w:r>
        <w:rPr>
          <w:rFonts w:hint="eastAsia" w:ascii="宋体" w:hAnsi="宋体" w:eastAsia="宋体" w:cs="宋体"/>
          <w:b/>
          <w:bCs/>
          <w:i w:val="0"/>
          <w:iCs w:val="0"/>
          <w:color w:val="auto"/>
          <w:kern w:val="2"/>
          <w:sz w:val="24"/>
          <w:szCs w:val="24"/>
          <w:highlight w:val="none"/>
          <w:lang w:val="en-US" w:eastAsia="zh-CN" w:bidi="ar-SA"/>
        </w:rPr>
        <w:t>递交</w:t>
      </w:r>
      <w:bookmarkEnd w:id="247"/>
      <w:bookmarkEnd w:id="248"/>
    </w:p>
    <w:p w14:paraId="51AD0D94">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249" w:name="_Toc109900070"/>
      <w:bookmarkStart w:id="250" w:name="_Toc109900489"/>
      <w:bookmarkStart w:id="251" w:name="_Toc109897552"/>
      <w:bookmarkStart w:id="252" w:name="_Toc109899651"/>
      <w:bookmarkStart w:id="253" w:name="_Toc156490296"/>
      <w:bookmarkStart w:id="254" w:name="_Toc155095707"/>
      <w:bookmarkStart w:id="255" w:name="_Toc109897553"/>
      <w:bookmarkStart w:id="256" w:name="_Toc109899652"/>
      <w:bookmarkStart w:id="257" w:name="_Toc109900490"/>
      <w:bookmarkStart w:id="258" w:name="_Toc109900071"/>
      <w:bookmarkStart w:id="259" w:name="_Toc155095708"/>
      <w:bookmarkStart w:id="260" w:name="_Toc156490297"/>
      <w:r>
        <w:rPr>
          <w:rFonts w:hint="eastAsia" w:ascii="宋体" w:hAnsi="宋体" w:eastAsia="宋体" w:cs="宋体"/>
          <w:b/>
          <w:bCs/>
          <w:i w:val="0"/>
          <w:iCs w:val="0"/>
          <w:color w:val="auto"/>
          <w:kern w:val="2"/>
          <w:sz w:val="24"/>
          <w:szCs w:val="24"/>
          <w:highlight w:val="none"/>
          <w:lang w:val="en-US" w:eastAsia="zh-CN" w:bidi="ar-SA"/>
        </w:rPr>
        <w:t>17.磋商保证金</w:t>
      </w:r>
    </w:p>
    <w:p w14:paraId="094BCA72">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shd w:val="clear" w:color="auto" w:fill="FFFFFF" w:themeFill="background1"/>
          <w:lang w:val="en-US"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17.1供应商应按照竞争性磋商文件“供应商须知前附表”规定的金额及要求交纳磋商保证金。供应商自愿超额缴纳磋商保证金的，响应文件不做无效处理。</w:t>
      </w:r>
    </w:p>
    <w:p w14:paraId="178B9497">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i w:val="0"/>
          <w:iCs w:val="0"/>
          <w:color w:val="auto"/>
          <w:kern w:val="2"/>
          <w:sz w:val="24"/>
          <w:szCs w:val="24"/>
          <w:highlight w:val="none"/>
          <w:shd w:val="clear" w:color="auto" w:fill="FFFFFF" w:themeFill="background1"/>
          <w:lang w:val="en-US"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17.2交纳磋商保证金可采用的形式：政府采购法律法规接受的支票、汇票、本票、网上银行支付或者金融机构、担保机构出具的保函等非现金形式。未按磋商文件要求提交磋商保证金的，其</w:t>
      </w:r>
      <w:r>
        <w:rPr>
          <w:rFonts w:hint="eastAsia" w:ascii="宋体" w:hAnsi="宋体" w:eastAsia="宋体" w:cs="宋体"/>
          <w:b/>
          <w:bCs/>
          <w:i w:val="0"/>
          <w:iCs w:val="0"/>
          <w:color w:val="auto"/>
          <w:kern w:val="2"/>
          <w:sz w:val="24"/>
          <w:szCs w:val="24"/>
          <w:highlight w:val="none"/>
          <w:shd w:val="clear" w:color="auto" w:fill="FFFFFF" w:themeFill="background1"/>
          <w:lang w:val="en-US" w:eastAsia="zh-CN" w:bidi="ar-SA"/>
        </w:rPr>
        <w:t>响应无效</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w:t>
      </w:r>
      <w:r>
        <w:rPr>
          <w:rFonts w:hint="eastAsia" w:ascii="宋体" w:hAnsi="宋体" w:eastAsia="宋体" w:cs="宋体"/>
          <w:i w:val="0"/>
          <w:iCs w:val="0"/>
          <w:color w:val="auto"/>
          <w:sz w:val="24"/>
          <w:szCs w:val="24"/>
          <w:highlight w:val="none"/>
          <w:lang w:val="en-US" w:eastAsia="zh-CN"/>
        </w:rPr>
        <w:t>磋商保证金有效期同响应文件有效期。</w:t>
      </w:r>
    </w:p>
    <w:p w14:paraId="236ECE66">
      <w:pPr>
        <w:pStyle w:val="8"/>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kern w:val="2"/>
          <w:sz w:val="24"/>
          <w:szCs w:val="24"/>
          <w:highlight w:val="none"/>
          <w:shd w:val="clear" w:color="auto" w:fill="FFFFFF" w:themeFill="background1"/>
          <w:lang w:val="en-US"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17.3磋商保证金到账（保函提交）截止时间同响应文件递交截止时间。以支票、汇票、本票、网上银行支付等形式提交磋商保证金的，应在响应文件递交截止时间前到账；以金融机构、担保机构出具的保函等形式提交磋商保证金的，应在响应文件递交截止时间前将磋商保证金支付原件扫描后作为响应文件的组成部分与响应文件一起上传。由于到账时间晚于响应文件递交截止时间，或者票据错误、印鉴不清等原因导致不能到账的，其</w:t>
      </w:r>
      <w:r>
        <w:rPr>
          <w:rFonts w:hint="eastAsia" w:ascii="宋体" w:hAnsi="宋体" w:eastAsia="宋体" w:cs="宋体"/>
          <w:b/>
          <w:bCs/>
          <w:i w:val="0"/>
          <w:iCs w:val="0"/>
          <w:color w:val="auto"/>
          <w:kern w:val="2"/>
          <w:sz w:val="24"/>
          <w:szCs w:val="24"/>
          <w:highlight w:val="none"/>
          <w:shd w:val="clear" w:color="auto" w:fill="FFFFFF" w:themeFill="background1"/>
          <w:lang w:val="en-US" w:eastAsia="zh-CN" w:bidi="ar-SA"/>
        </w:rPr>
        <w:t>响应无效</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w:t>
      </w:r>
    </w:p>
    <w:p w14:paraId="74C0AFE3">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shd w:val="clear" w:color="auto" w:fill="FFFFFF" w:themeFill="background1"/>
          <w:lang w:val="en-US"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 xml:space="preserve">17.4 供应商为联合体的，可以由联合体中的一方或者多方共同交纳磋商保证金，其交纳的磋商保证金对联合体各方均具有约束力。 </w:t>
      </w:r>
    </w:p>
    <w:p w14:paraId="2C3C2914">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shd w:val="clear" w:color="auto" w:fill="FFFFFF" w:themeFill="background1"/>
          <w:lang w:val="en-US"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 xml:space="preserve">17.5采购人或者采购代理机构应当在采购活动结束后及时退还供应商的磋商保证金，采用银行保函、担保机构担保函等形式递交的磋商保证金，经供应商同意后采购人、采购代理机构可以不再退还，但因供应商自身原因导致无法及时退还的除外。未成交供应商的磋商保证金应当自成交通知书发出之日起 5 个工作日内退还，成交供应商的磋商保证金应当自采购合同签订之日起 5 个工作日内退还。 </w:t>
      </w:r>
    </w:p>
    <w:p w14:paraId="6A06783D">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shd w:val="clear" w:color="auto" w:fill="FFFFFF" w:themeFill="background1"/>
          <w:lang w:val="en-US"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 xml:space="preserve">17.6 供应商在响应文件递交截止时间前撤回已提交的响应文件的，自收到供应商书面撤回通知之日起 5 个工作日内，退还已收取的磋商保证金，但因供应商自身原因导致无法及时退还的除外。 </w:t>
      </w:r>
    </w:p>
    <w:p w14:paraId="7FEE2EF6">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shd w:val="clear" w:color="auto" w:fill="FFFFFF" w:themeFill="background1"/>
          <w:lang w:val="en-US"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17.7 终止磋商的项目已经收取磋商保证金的，自终止采购活动后5个工作日内退还已收取的磋商保证金及其在银行产生的孳息。</w:t>
      </w:r>
    </w:p>
    <w:p w14:paraId="73759E1A">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shd w:val="clear" w:color="auto" w:fill="FFFFFF" w:themeFill="background1"/>
          <w:lang w:val="en-US"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17.8有下列情形之一的，磋商保证金不予退还,</w:t>
      </w:r>
      <w:r>
        <w:rPr>
          <w:rFonts w:hint="eastAsia" w:ascii="宋体" w:hAnsi="宋体" w:eastAsia="宋体" w:cs="宋体"/>
          <w:i w:val="0"/>
          <w:iCs w:val="0"/>
          <w:color w:val="auto"/>
          <w:kern w:val="2"/>
          <w:sz w:val="24"/>
          <w:szCs w:val="24"/>
          <w:highlight w:val="none"/>
        </w:rPr>
        <w:t>情节严重的将其列入不良记录名单</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 xml:space="preserve">： </w:t>
      </w:r>
    </w:p>
    <w:p w14:paraId="336F481F">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shd w:val="clear" w:color="auto" w:fill="FFFFFF" w:themeFill="background1"/>
          <w:lang w:val="en-US"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 xml:space="preserve">17.8.1供应商在提交响应文件截止时间后撤回响应文件的； </w:t>
      </w:r>
    </w:p>
    <w:p w14:paraId="7618E14C">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shd w:val="clear" w:color="auto" w:fill="FFFFFF" w:themeFill="background1"/>
          <w:lang w:val="en-US"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 xml:space="preserve">17.8.2供应商在响应文件中提供虚假材料的； </w:t>
      </w:r>
    </w:p>
    <w:p w14:paraId="50FA88DB">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shd w:val="clear" w:color="auto" w:fill="FFFFFF" w:themeFill="background1"/>
          <w:lang w:val="en-US"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 xml:space="preserve">17.8.3除因不可抗力或磋商文件认可的情形以外，成交供应商不与采购人签订合同的； </w:t>
      </w:r>
    </w:p>
    <w:p w14:paraId="616B80C2">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shd w:val="clear" w:color="auto" w:fill="FFFFFF" w:themeFill="background1"/>
          <w:lang w:val="en-US"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 xml:space="preserve">17.8.4供应商与采购人、其他供应商或者采购代理机构恶意串通的； </w:t>
      </w:r>
    </w:p>
    <w:p w14:paraId="49E9C0BA">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shd w:val="clear" w:color="auto" w:fill="FFFFFF" w:themeFill="background1"/>
          <w:lang w:val="en-US"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17.8.5磋商文件规定的其他情形。</w:t>
      </w:r>
    </w:p>
    <w:p w14:paraId="20314629">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shd w:val="clear" w:color="auto" w:fill="FFFFFF" w:themeFill="background1"/>
          <w:lang w:val="en-US"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17.9如开启时供应商对本单位磋商保证金缴纳情况有疑义，供应商应在开启结束前向采购人提交书面申请核实保证金缴纳情况。由银行或保险公司核实后出具书面材料予以答复。</w:t>
      </w:r>
    </w:p>
    <w:p w14:paraId="579F0B8B">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shd w:val="clear" w:color="auto" w:fill="FFFFFF" w:themeFill="background1"/>
          <w:lang w:val="en-US"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17.10为支持和促进中小企业发展，进一步发挥政府采购政策功能，鼓励供应商使用电子保函代替现金缴纳磋商保证金，在线完成保函的申请、审核、开票、出函等环节，供应商企业注意区分办理保函类型，并确认响应文件有效期，如采用政采云电子保函，可登录“新疆政府采购网”—顶部通栏“电子保函”查看：</w:t>
      </w:r>
    </w:p>
    <w:p w14:paraId="4255C2D8">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shd w:val="clear" w:color="auto" w:fill="FFFFFF" w:themeFill="background1"/>
          <w:lang w:val="en-US"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直达链接（电子保函）：</w:t>
      </w:r>
    </w:p>
    <w:p w14:paraId="0F3D8A86">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shd w:val="clear" w:color="auto" w:fill="FFFFFF" w:themeFill="background1"/>
          <w:lang w:val="en-US"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fldChar w:fldCharType="begin"/>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instrText xml:space="preserve"> HYPERLINK "https://jinrong.zcygov.cn/luban/finance/letter/xinjiang?pageModelFlag=650000&amp;utm=site.site-PC-42166.1718-block_comp_1709189989843012.6.053859d0f9e911ef9f451b050959d3ba" </w:instrTex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fldChar w:fldCharType="separate"/>
      </w:r>
      <w:r>
        <w:rPr>
          <w:rStyle w:val="37"/>
          <w:rFonts w:hint="eastAsia" w:ascii="宋体" w:hAnsi="宋体" w:eastAsia="宋体" w:cs="宋体"/>
          <w:i w:val="0"/>
          <w:iCs w:val="0"/>
          <w:color w:val="auto"/>
          <w:kern w:val="2"/>
          <w:sz w:val="24"/>
          <w:szCs w:val="24"/>
          <w:highlight w:val="none"/>
          <w:shd w:val="clear" w:color="auto" w:fill="FFFFFF" w:themeFill="background1"/>
          <w:lang w:val="en-US" w:eastAsia="zh-CN" w:bidi="ar-SA"/>
        </w:rPr>
        <w:t>https://jinrong.zcygov.cn/luban/finance/letter/xinjiang?pageModelFlag=650000&amp;utm=site.site-PC-42166.1718-block_comp_1709189989843012.6.053859d0f9e911ef9f451b050959d3ba</w:t>
      </w: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fldChar w:fldCharType="end"/>
      </w:r>
    </w:p>
    <w:p w14:paraId="69BF5102">
      <w:pPr>
        <w:pStyle w:val="63"/>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shd w:val="clear" w:color="auto" w:fill="FFFFFF" w:themeFill="background1"/>
          <w:lang w:val="en-US" w:eastAsia="zh-CN" w:bidi="ar-SA"/>
        </w:rPr>
      </w:pPr>
      <w:r>
        <w:rPr>
          <w:rFonts w:hint="eastAsia" w:ascii="宋体" w:hAnsi="宋体" w:eastAsia="宋体" w:cs="宋体"/>
          <w:i w:val="0"/>
          <w:iCs w:val="0"/>
          <w:color w:val="auto"/>
          <w:kern w:val="2"/>
          <w:sz w:val="24"/>
          <w:szCs w:val="24"/>
          <w:highlight w:val="none"/>
          <w:shd w:val="clear" w:color="auto" w:fill="FFFFFF" w:themeFill="background1"/>
          <w:lang w:val="en-US" w:eastAsia="zh-CN" w:bidi="ar-SA"/>
        </w:rPr>
        <w:t xml:space="preserve">金融服务支撑热线：0991-2661159     </w:t>
      </w:r>
    </w:p>
    <w:p w14:paraId="57CD10F9">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18.响应文件的</w:t>
      </w:r>
      <w:bookmarkEnd w:id="249"/>
      <w:bookmarkEnd w:id="250"/>
      <w:bookmarkEnd w:id="251"/>
      <w:bookmarkEnd w:id="252"/>
      <w:r>
        <w:rPr>
          <w:rFonts w:hint="eastAsia" w:ascii="宋体" w:hAnsi="宋体" w:eastAsia="宋体" w:cs="宋体"/>
          <w:b/>
          <w:bCs/>
          <w:i w:val="0"/>
          <w:iCs w:val="0"/>
          <w:color w:val="auto"/>
          <w:kern w:val="2"/>
          <w:sz w:val="24"/>
          <w:szCs w:val="24"/>
          <w:highlight w:val="none"/>
          <w:lang w:val="en-US" w:eastAsia="zh-CN" w:bidi="ar-SA"/>
        </w:rPr>
        <w:t>加密</w:t>
      </w:r>
      <w:bookmarkEnd w:id="253"/>
      <w:bookmarkEnd w:id="254"/>
    </w:p>
    <w:p w14:paraId="6B1C6051">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18.1 供应商在供应商客户端中生成响应文件并完成签章之后，使用CA证书在供应商客户端中对响应文件进行加密。</w:t>
      </w:r>
    </w:p>
    <w:p w14:paraId="01B5BAB0">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18.2 供应商应在供应商客户端中对加密的响应文件进行解密验证，以防止响应文件加密异常，在开启时无法解密。</w:t>
      </w:r>
    </w:p>
    <w:p w14:paraId="17911F7D">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18.3 供应商应保证加密响应文件的CA证书有效期在开启时间之前。若CA证书有效期临近开启时间，建议供应商提前办理CA证书续期，以免开启时无法进行解密。</w:t>
      </w:r>
    </w:p>
    <w:p w14:paraId="1ADA8F76">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供应商</w:t>
      </w:r>
      <w:r>
        <w:rPr>
          <w:rFonts w:hint="eastAsia" w:ascii="宋体" w:hAnsi="宋体" w:eastAsia="宋体" w:cs="宋体"/>
          <w:i w:val="0"/>
          <w:iCs w:val="0"/>
          <w:color w:val="auto"/>
          <w:sz w:val="24"/>
          <w:szCs w:val="24"/>
          <w:highlight w:val="none"/>
        </w:rPr>
        <w:t>在</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lang w:eastAsia="zh-CN"/>
        </w:rPr>
        <w:t>文件</w:t>
      </w:r>
      <w:r>
        <w:rPr>
          <w:rFonts w:hint="eastAsia" w:ascii="宋体" w:hAnsi="宋体" w:eastAsia="宋体" w:cs="宋体"/>
          <w:i w:val="0"/>
          <w:iCs w:val="0"/>
          <w:color w:val="auto"/>
          <w:sz w:val="24"/>
          <w:szCs w:val="24"/>
          <w:highlight w:val="none"/>
        </w:rPr>
        <w:t>递交截</w:t>
      </w:r>
      <w:r>
        <w:rPr>
          <w:rFonts w:hint="eastAsia" w:ascii="宋体" w:hAnsi="宋体" w:eastAsia="宋体" w:cs="宋体"/>
          <w:i w:val="0"/>
          <w:iCs w:val="0"/>
          <w:color w:val="auto"/>
          <w:sz w:val="24"/>
          <w:szCs w:val="24"/>
          <w:highlight w:val="none"/>
          <w:lang w:val="en-US" w:eastAsia="zh-CN"/>
        </w:rPr>
        <w:t>止</w:t>
      </w:r>
      <w:r>
        <w:rPr>
          <w:rFonts w:hint="eastAsia" w:ascii="宋体" w:hAnsi="宋体" w:eastAsia="宋体" w:cs="宋体"/>
          <w:i w:val="0"/>
          <w:iCs w:val="0"/>
          <w:color w:val="auto"/>
          <w:sz w:val="24"/>
          <w:szCs w:val="24"/>
          <w:highlight w:val="none"/>
        </w:rPr>
        <w:t>时间前通过</w:t>
      </w:r>
      <w:r>
        <w:rPr>
          <w:rFonts w:hint="eastAsia" w:cs="宋体"/>
          <w:i w:val="0"/>
          <w:iCs w:val="0"/>
          <w:color w:val="auto"/>
          <w:sz w:val="24"/>
          <w:szCs w:val="24"/>
          <w:highlight w:val="none"/>
          <w:lang w:val="en-US" w:eastAsia="zh-CN"/>
        </w:rPr>
        <w:t>新疆</w:t>
      </w:r>
      <w:r>
        <w:rPr>
          <w:rFonts w:hint="eastAsia" w:ascii="宋体" w:hAnsi="宋体" w:eastAsia="宋体" w:cs="宋体"/>
          <w:i w:val="0"/>
          <w:iCs w:val="0"/>
          <w:color w:val="auto"/>
          <w:sz w:val="24"/>
          <w:szCs w:val="24"/>
          <w:highlight w:val="none"/>
        </w:rPr>
        <w:t>政府采购网（http://ccgp-bingtuan.gov.cn/）的”政采云登录入口”登录后，将加密电子</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lang w:eastAsia="zh-CN"/>
        </w:rPr>
        <w:t>文件</w:t>
      </w:r>
      <w:r>
        <w:rPr>
          <w:rFonts w:hint="eastAsia" w:ascii="宋体" w:hAnsi="宋体" w:eastAsia="宋体" w:cs="宋体"/>
          <w:i w:val="0"/>
          <w:iCs w:val="0"/>
          <w:color w:val="auto"/>
          <w:sz w:val="24"/>
          <w:szCs w:val="24"/>
          <w:highlight w:val="none"/>
        </w:rPr>
        <w:t>（为.jmbs后缀格式）上传到对应项目的指定位置</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认为有必要提交的其他资料请于</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lang w:eastAsia="zh-CN"/>
        </w:rPr>
        <w:t>文件</w:t>
      </w:r>
      <w:r>
        <w:rPr>
          <w:rFonts w:hint="eastAsia" w:ascii="宋体" w:hAnsi="宋体" w:eastAsia="宋体" w:cs="宋体"/>
          <w:i w:val="0"/>
          <w:iCs w:val="0"/>
          <w:color w:val="auto"/>
          <w:sz w:val="24"/>
          <w:szCs w:val="24"/>
          <w:highlight w:val="none"/>
        </w:rPr>
        <w:t>递交截止时间前一并提交。</w:t>
      </w:r>
    </w:p>
    <w:p w14:paraId="6761AA3E">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如果</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未按上述要求</w:t>
      </w:r>
      <w:r>
        <w:rPr>
          <w:rFonts w:hint="eastAsia" w:ascii="宋体" w:hAnsi="宋体" w:eastAsia="宋体" w:cs="宋体"/>
          <w:i w:val="0"/>
          <w:iCs w:val="0"/>
          <w:color w:val="auto"/>
          <w:sz w:val="24"/>
          <w:szCs w:val="24"/>
          <w:highlight w:val="none"/>
          <w:lang w:val="en-US" w:eastAsia="zh-CN"/>
        </w:rPr>
        <w:t>加密并上传</w:t>
      </w:r>
      <w:r>
        <w:rPr>
          <w:rFonts w:hint="eastAsia" w:ascii="宋体" w:hAnsi="宋体" w:eastAsia="宋体" w:cs="宋体"/>
          <w:i w:val="0"/>
          <w:iCs w:val="0"/>
          <w:color w:val="auto"/>
          <w:sz w:val="24"/>
          <w:szCs w:val="24"/>
          <w:highlight w:val="none"/>
        </w:rPr>
        <w:t>，采购代理机构对</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文件的误投</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无法解密、传输错误等问题</w:t>
      </w:r>
      <w:r>
        <w:rPr>
          <w:rFonts w:hint="eastAsia" w:ascii="宋体" w:hAnsi="宋体" w:eastAsia="宋体" w:cs="宋体"/>
          <w:i w:val="0"/>
          <w:iCs w:val="0"/>
          <w:color w:val="auto"/>
          <w:sz w:val="24"/>
          <w:szCs w:val="24"/>
          <w:highlight w:val="none"/>
        </w:rPr>
        <w:t>概不负责。对由此造成</w:t>
      </w:r>
      <w:r>
        <w:rPr>
          <w:rFonts w:hint="eastAsia" w:ascii="宋体" w:hAnsi="宋体" w:eastAsia="宋体" w:cs="宋体"/>
          <w:i w:val="0"/>
          <w:iCs w:val="0"/>
          <w:color w:val="auto"/>
          <w:sz w:val="24"/>
          <w:szCs w:val="24"/>
          <w:highlight w:val="none"/>
          <w:lang w:val="en-US" w:eastAsia="zh-CN"/>
        </w:rPr>
        <w:t>无法正常开启</w:t>
      </w:r>
      <w:r>
        <w:rPr>
          <w:rFonts w:hint="eastAsia" w:ascii="宋体" w:hAnsi="宋体" w:eastAsia="宋体" w:cs="宋体"/>
          <w:i w:val="0"/>
          <w:iCs w:val="0"/>
          <w:color w:val="auto"/>
          <w:sz w:val="24"/>
          <w:szCs w:val="24"/>
          <w:highlight w:val="none"/>
        </w:rPr>
        <w:t>的</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文件，采购代理机构有权予以拒绝，并退回</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w:t>
      </w:r>
    </w:p>
    <w:p w14:paraId="286AAB62">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本项目采用不见面开</w:t>
      </w:r>
      <w:r>
        <w:rPr>
          <w:rFonts w:hint="eastAsia" w:ascii="宋体" w:hAnsi="宋体" w:eastAsia="宋体" w:cs="宋体"/>
          <w:i w:val="0"/>
          <w:iCs w:val="0"/>
          <w:color w:val="auto"/>
          <w:sz w:val="24"/>
          <w:szCs w:val="24"/>
          <w:highlight w:val="none"/>
          <w:lang w:val="en-US" w:eastAsia="zh-CN"/>
        </w:rPr>
        <w:t>启</w:t>
      </w:r>
      <w:r>
        <w:rPr>
          <w:rFonts w:hint="eastAsia" w:ascii="宋体" w:hAnsi="宋体" w:eastAsia="宋体" w:cs="宋体"/>
          <w:i w:val="0"/>
          <w:iCs w:val="0"/>
          <w:color w:val="auto"/>
          <w:sz w:val="24"/>
          <w:szCs w:val="24"/>
          <w:highlight w:val="none"/>
        </w:rPr>
        <w:t>方式，无需提供电子</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文件U盘。</w:t>
      </w:r>
    </w:p>
    <w:p w14:paraId="191984C0">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19.响应文件的</w:t>
      </w:r>
      <w:bookmarkEnd w:id="255"/>
      <w:bookmarkEnd w:id="256"/>
      <w:bookmarkEnd w:id="257"/>
      <w:bookmarkEnd w:id="258"/>
      <w:r>
        <w:rPr>
          <w:rFonts w:hint="eastAsia" w:ascii="宋体" w:hAnsi="宋体" w:eastAsia="宋体" w:cs="宋体"/>
          <w:b/>
          <w:bCs/>
          <w:i w:val="0"/>
          <w:iCs w:val="0"/>
          <w:color w:val="auto"/>
          <w:kern w:val="2"/>
          <w:sz w:val="24"/>
          <w:szCs w:val="24"/>
          <w:highlight w:val="none"/>
          <w:lang w:val="en-US" w:eastAsia="zh-CN" w:bidi="ar-SA"/>
        </w:rPr>
        <w:t>递交</w:t>
      </w:r>
      <w:bookmarkEnd w:id="259"/>
      <w:bookmarkEnd w:id="260"/>
      <w:r>
        <w:rPr>
          <w:rFonts w:hint="eastAsia" w:ascii="宋体" w:hAnsi="宋体" w:eastAsia="宋体" w:cs="宋体"/>
          <w:b/>
          <w:bCs/>
          <w:i w:val="0"/>
          <w:iCs w:val="0"/>
          <w:color w:val="auto"/>
          <w:kern w:val="2"/>
          <w:sz w:val="24"/>
          <w:szCs w:val="24"/>
          <w:highlight w:val="none"/>
          <w:lang w:val="en-US" w:eastAsia="zh-CN" w:bidi="ar-SA"/>
        </w:rPr>
        <w:t>（上传）</w:t>
      </w:r>
    </w:p>
    <w:p w14:paraId="04E686B0">
      <w:pPr>
        <w:keepNext w:val="0"/>
        <w:keepLines w:val="0"/>
        <w:pageBreakBefore w:val="0"/>
        <w:widowControl w:val="0"/>
        <w:kinsoku/>
        <w:overflowPunct/>
        <w:topLinePunct w:val="0"/>
        <w:bidi w:val="0"/>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19.1 供应商应在“</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color w:val="auto"/>
          <w:sz w:val="24"/>
          <w:szCs w:val="24"/>
          <w:highlight w:val="none"/>
        </w:rPr>
        <w:t>”规定的响应文件递交截止时间前递交（上传）响应文件。</w:t>
      </w:r>
    </w:p>
    <w:p w14:paraId="03C7A621">
      <w:pPr>
        <w:keepNext w:val="0"/>
        <w:keepLines w:val="0"/>
        <w:pageBreakBefore w:val="0"/>
        <w:widowControl w:val="0"/>
        <w:kinsoku/>
        <w:overflowPunct/>
        <w:topLinePunct w:val="0"/>
        <w:bidi w:val="0"/>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19.2 供应商递交（上传）响应文件的地点见“</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color w:val="auto"/>
          <w:sz w:val="24"/>
          <w:szCs w:val="24"/>
          <w:highlight w:val="none"/>
        </w:rPr>
        <w:t>”。</w:t>
      </w:r>
    </w:p>
    <w:p w14:paraId="5C2163F8">
      <w:pPr>
        <w:keepNext w:val="0"/>
        <w:keepLines w:val="0"/>
        <w:pageBreakBefore w:val="0"/>
        <w:widowControl w:val="0"/>
        <w:kinsoku/>
        <w:overflowPunct/>
        <w:topLinePunct w:val="0"/>
        <w:bidi w:val="0"/>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19.3供应商应充分评估集中同时递交响应文件带来的网络影响，尽量避开递交响应文件高峰时间，错峰进行递交。供应商递交全部的响应文件后可在政采云平台（项目采购</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投标文件上传）中获取响应文件递交回执单。</w:t>
      </w:r>
    </w:p>
    <w:p w14:paraId="0459FCFC">
      <w:pPr>
        <w:keepNext w:val="0"/>
        <w:keepLines w:val="0"/>
        <w:pageBreakBefore w:val="0"/>
        <w:widowControl w:val="0"/>
        <w:kinsoku/>
        <w:overflowPunct/>
        <w:topLinePunct w:val="0"/>
        <w:bidi w:val="0"/>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19.4 供应商应在供应商客户端中下载未加密且完成签章的响应文件妥善保存，以便启动应急开启程序时使用。</w:t>
      </w:r>
    </w:p>
    <w:p w14:paraId="023D3023">
      <w:pPr>
        <w:keepNext w:val="0"/>
        <w:keepLines w:val="0"/>
        <w:pageBreakBefore w:val="0"/>
        <w:widowControl w:val="0"/>
        <w:kinsoku/>
        <w:overflowPunct/>
        <w:topLinePunct w:val="0"/>
        <w:bidi w:val="0"/>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19.5供应商所递交的响应文件不予退还。</w:t>
      </w:r>
    </w:p>
    <w:p w14:paraId="507AA3A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261" w:name="_Toc156490298"/>
      <w:bookmarkStart w:id="262" w:name="_Toc155095709"/>
      <w:r>
        <w:rPr>
          <w:rFonts w:hint="eastAsia" w:ascii="宋体" w:hAnsi="宋体" w:eastAsia="宋体" w:cs="宋体"/>
          <w:b/>
          <w:bCs/>
          <w:i w:val="0"/>
          <w:iCs w:val="0"/>
          <w:color w:val="auto"/>
          <w:kern w:val="2"/>
          <w:sz w:val="24"/>
          <w:szCs w:val="24"/>
          <w:highlight w:val="none"/>
          <w:lang w:val="en-US" w:eastAsia="zh-CN" w:bidi="ar-SA"/>
        </w:rPr>
        <w:t>20.拒收</w:t>
      </w:r>
      <w:bookmarkEnd w:id="261"/>
      <w:bookmarkEnd w:id="262"/>
    </w:p>
    <w:p w14:paraId="406505A1">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20.1超过递交响应文件的截止时间或者不按照本章要求加密的响应文件，交易系统应当拒收。</w:t>
      </w:r>
    </w:p>
    <w:p w14:paraId="4C6BC80E">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263" w:name="_Toc155095710"/>
      <w:bookmarkStart w:id="264" w:name="_Toc109900073"/>
      <w:bookmarkStart w:id="265" w:name="_Toc156490299"/>
      <w:bookmarkStart w:id="266" w:name="_Toc109900492"/>
      <w:bookmarkStart w:id="267" w:name="_Toc109897555"/>
      <w:bookmarkStart w:id="268" w:name="_Toc109899654"/>
      <w:r>
        <w:rPr>
          <w:rFonts w:hint="eastAsia" w:ascii="宋体" w:hAnsi="宋体" w:eastAsia="宋体" w:cs="宋体"/>
          <w:b/>
          <w:bCs/>
          <w:i w:val="0"/>
          <w:iCs w:val="0"/>
          <w:color w:val="auto"/>
          <w:kern w:val="2"/>
          <w:sz w:val="24"/>
          <w:szCs w:val="24"/>
          <w:highlight w:val="none"/>
          <w:lang w:val="en-US" w:eastAsia="zh-CN" w:bidi="ar-SA"/>
        </w:rPr>
        <w:t>21.响应文件的修改与撤回</w:t>
      </w:r>
      <w:bookmarkEnd w:id="263"/>
      <w:bookmarkEnd w:id="264"/>
      <w:bookmarkEnd w:id="265"/>
      <w:bookmarkEnd w:id="266"/>
      <w:bookmarkEnd w:id="267"/>
      <w:bookmarkEnd w:id="268"/>
    </w:p>
    <w:p w14:paraId="2DBE0E9C">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2</w:t>
      </w:r>
      <w:r>
        <w:rPr>
          <w:rFonts w:hint="eastAsia" w:ascii="宋体" w:hAnsi="宋体" w:eastAsia="宋体" w:cs="宋体"/>
          <w:i w:val="0"/>
          <w:iCs w:val="0"/>
          <w:snapToGrid w:val="0"/>
          <w:color w:val="auto"/>
          <w:sz w:val="24"/>
          <w:szCs w:val="24"/>
          <w:highlight w:val="none"/>
          <w:lang w:val="zh-CN" w:eastAsia="zh-CN"/>
        </w:rPr>
        <w:t>1</w:t>
      </w:r>
      <w:r>
        <w:rPr>
          <w:rFonts w:hint="eastAsia" w:ascii="宋体" w:hAnsi="宋体" w:eastAsia="宋体" w:cs="宋体"/>
          <w:i w:val="0"/>
          <w:iCs w:val="0"/>
          <w:snapToGrid w:val="0"/>
          <w:color w:val="auto"/>
          <w:sz w:val="24"/>
          <w:szCs w:val="24"/>
          <w:highlight w:val="none"/>
          <w:lang w:val="zh-CN"/>
        </w:rPr>
        <w:t>.1</w:t>
      </w:r>
      <w:bookmarkStart w:id="269" w:name="_Hlk143532466"/>
      <w:r>
        <w:rPr>
          <w:rFonts w:hint="eastAsia" w:ascii="宋体" w:hAnsi="宋体" w:eastAsia="宋体" w:cs="宋体"/>
          <w:i w:val="0"/>
          <w:iCs w:val="0"/>
          <w:snapToGrid w:val="0"/>
          <w:color w:val="auto"/>
          <w:sz w:val="24"/>
          <w:szCs w:val="24"/>
          <w:highlight w:val="none"/>
          <w:lang w:val="zh-CN" w:eastAsia="zh-CN"/>
        </w:rPr>
        <w:t>供应商</w:t>
      </w:r>
      <w:r>
        <w:rPr>
          <w:rFonts w:hint="eastAsia" w:ascii="宋体" w:hAnsi="宋体" w:eastAsia="宋体" w:cs="宋体"/>
          <w:i w:val="0"/>
          <w:iCs w:val="0"/>
          <w:snapToGrid w:val="0"/>
          <w:color w:val="auto"/>
          <w:sz w:val="24"/>
          <w:szCs w:val="24"/>
          <w:highlight w:val="none"/>
          <w:lang w:val="zh-CN"/>
        </w:rPr>
        <w:t>在</w:t>
      </w:r>
      <w:r>
        <w:rPr>
          <w:rFonts w:hint="eastAsia" w:ascii="宋体" w:hAnsi="宋体" w:eastAsia="宋体" w:cs="宋体"/>
          <w:i w:val="0"/>
          <w:iCs w:val="0"/>
          <w:snapToGrid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snapToGrid w:val="0"/>
          <w:color w:val="auto"/>
          <w:sz w:val="24"/>
          <w:szCs w:val="24"/>
          <w:highlight w:val="none"/>
          <w:lang w:val="zh-CN" w:eastAsia="zh-CN"/>
        </w:rPr>
        <w:t>”</w:t>
      </w:r>
      <w:r>
        <w:rPr>
          <w:rFonts w:hint="eastAsia" w:ascii="宋体" w:hAnsi="宋体" w:eastAsia="宋体" w:cs="宋体"/>
          <w:i w:val="0"/>
          <w:iCs w:val="0"/>
          <w:snapToGrid w:val="0"/>
          <w:color w:val="auto"/>
          <w:sz w:val="24"/>
          <w:szCs w:val="24"/>
          <w:highlight w:val="none"/>
          <w:lang w:val="zh-CN"/>
        </w:rPr>
        <w:t>规定的</w:t>
      </w:r>
      <w:r>
        <w:rPr>
          <w:rFonts w:hint="eastAsia" w:ascii="宋体" w:hAnsi="宋体" w:eastAsia="宋体" w:cs="宋体"/>
          <w:i w:val="0"/>
          <w:iCs w:val="0"/>
          <w:snapToGrid w:val="0"/>
          <w:color w:val="auto"/>
          <w:sz w:val="24"/>
          <w:szCs w:val="24"/>
          <w:highlight w:val="none"/>
          <w:lang w:val="en-US" w:eastAsia="zh-CN"/>
        </w:rPr>
        <w:t>响应</w:t>
      </w:r>
      <w:r>
        <w:rPr>
          <w:rFonts w:hint="eastAsia" w:ascii="宋体" w:hAnsi="宋体" w:eastAsia="宋体" w:cs="宋体"/>
          <w:i w:val="0"/>
          <w:iCs w:val="0"/>
          <w:snapToGrid w:val="0"/>
          <w:color w:val="auto"/>
          <w:sz w:val="24"/>
          <w:szCs w:val="24"/>
          <w:highlight w:val="none"/>
          <w:lang w:val="zh-CN" w:eastAsia="zh-CN"/>
        </w:rPr>
        <w:t>文件</w:t>
      </w:r>
      <w:r>
        <w:rPr>
          <w:rFonts w:hint="eastAsia" w:ascii="宋体" w:hAnsi="宋体" w:eastAsia="宋体" w:cs="宋体"/>
          <w:i w:val="0"/>
          <w:iCs w:val="0"/>
          <w:snapToGrid w:val="0"/>
          <w:color w:val="auto"/>
          <w:sz w:val="24"/>
          <w:szCs w:val="24"/>
          <w:highlight w:val="none"/>
          <w:lang w:val="zh-CN"/>
        </w:rPr>
        <w:t>递交截止时间之前，可在</w:t>
      </w:r>
      <w:r>
        <w:rPr>
          <w:rFonts w:hint="eastAsia" w:cs="宋体"/>
          <w:i w:val="0"/>
          <w:iCs w:val="0"/>
          <w:snapToGrid w:val="0"/>
          <w:color w:val="auto"/>
          <w:sz w:val="24"/>
          <w:szCs w:val="24"/>
          <w:highlight w:val="none"/>
          <w:lang w:val="en-US" w:eastAsia="zh-CN"/>
        </w:rPr>
        <w:t>新疆</w:t>
      </w:r>
      <w:r>
        <w:rPr>
          <w:rFonts w:hint="eastAsia" w:ascii="宋体" w:hAnsi="宋体" w:eastAsia="宋体" w:cs="宋体"/>
          <w:i w:val="0"/>
          <w:iCs w:val="0"/>
          <w:snapToGrid w:val="0"/>
          <w:color w:val="auto"/>
          <w:sz w:val="24"/>
          <w:szCs w:val="24"/>
          <w:highlight w:val="none"/>
          <w:lang w:val="zh-CN"/>
        </w:rPr>
        <w:t>政府采购电子交易云平台上随时撤回已上传的电子</w:t>
      </w:r>
      <w:r>
        <w:rPr>
          <w:rFonts w:hint="eastAsia" w:ascii="宋体" w:hAnsi="宋体" w:eastAsia="宋体" w:cs="宋体"/>
          <w:i w:val="0"/>
          <w:iCs w:val="0"/>
          <w:snapToGrid w:val="0"/>
          <w:color w:val="auto"/>
          <w:sz w:val="24"/>
          <w:szCs w:val="24"/>
          <w:highlight w:val="none"/>
          <w:lang w:val="en-US" w:eastAsia="zh-CN"/>
        </w:rPr>
        <w:t>响应</w:t>
      </w:r>
      <w:r>
        <w:rPr>
          <w:rFonts w:hint="eastAsia" w:ascii="宋体" w:hAnsi="宋体" w:eastAsia="宋体" w:cs="宋体"/>
          <w:i w:val="0"/>
          <w:iCs w:val="0"/>
          <w:snapToGrid w:val="0"/>
          <w:color w:val="auto"/>
          <w:sz w:val="24"/>
          <w:szCs w:val="24"/>
          <w:highlight w:val="none"/>
          <w:lang w:val="zh-CN" w:eastAsia="zh-CN"/>
        </w:rPr>
        <w:t>文件</w:t>
      </w:r>
      <w:r>
        <w:rPr>
          <w:rFonts w:hint="eastAsia" w:ascii="宋体" w:hAnsi="宋体" w:eastAsia="宋体" w:cs="宋体"/>
          <w:i w:val="0"/>
          <w:iCs w:val="0"/>
          <w:snapToGrid w:val="0"/>
          <w:color w:val="auto"/>
          <w:sz w:val="24"/>
          <w:szCs w:val="24"/>
          <w:highlight w:val="none"/>
          <w:lang w:val="zh-CN"/>
        </w:rPr>
        <w:t>，将修改好的电子</w:t>
      </w:r>
      <w:r>
        <w:rPr>
          <w:rFonts w:hint="eastAsia" w:ascii="宋体" w:hAnsi="宋体" w:eastAsia="宋体" w:cs="宋体"/>
          <w:i w:val="0"/>
          <w:iCs w:val="0"/>
          <w:snapToGrid w:val="0"/>
          <w:color w:val="auto"/>
          <w:sz w:val="24"/>
          <w:szCs w:val="24"/>
          <w:highlight w:val="none"/>
          <w:lang w:val="en-US" w:eastAsia="zh-CN"/>
        </w:rPr>
        <w:t>响应</w:t>
      </w:r>
      <w:r>
        <w:rPr>
          <w:rFonts w:hint="eastAsia" w:ascii="宋体" w:hAnsi="宋体" w:eastAsia="宋体" w:cs="宋体"/>
          <w:i w:val="0"/>
          <w:iCs w:val="0"/>
          <w:snapToGrid w:val="0"/>
          <w:color w:val="auto"/>
          <w:sz w:val="24"/>
          <w:szCs w:val="24"/>
          <w:highlight w:val="none"/>
          <w:lang w:val="zh-CN" w:eastAsia="zh-CN"/>
        </w:rPr>
        <w:t>文件</w:t>
      </w:r>
      <w:r>
        <w:rPr>
          <w:rFonts w:hint="eastAsia" w:ascii="宋体" w:hAnsi="宋体" w:eastAsia="宋体" w:cs="宋体"/>
          <w:i w:val="0"/>
          <w:iCs w:val="0"/>
          <w:snapToGrid w:val="0"/>
          <w:color w:val="auto"/>
          <w:sz w:val="24"/>
          <w:szCs w:val="24"/>
          <w:highlight w:val="none"/>
          <w:lang w:val="zh-CN"/>
        </w:rPr>
        <w:t>在</w:t>
      </w:r>
      <w:r>
        <w:rPr>
          <w:rFonts w:hint="eastAsia" w:ascii="宋体" w:hAnsi="宋体" w:eastAsia="宋体" w:cs="宋体"/>
          <w:i w:val="0"/>
          <w:iCs w:val="0"/>
          <w:snapToGrid w:val="0"/>
          <w:color w:val="auto"/>
          <w:sz w:val="24"/>
          <w:szCs w:val="24"/>
          <w:highlight w:val="none"/>
          <w:lang w:val="en-US" w:eastAsia="zh-CN"/>
        </w:rPr>
        <w:t>响应</w:t>
      </w:r>
      <w:r>
        <w:rPr>
          <w:rFonts w:hint="eastAsia" w:ascii="宋体" w:hAnsi="宋体" w:eastAsia="宋体" w:cs="宋体"/>
          <w:i w:val="0"/>
          <w:iCs w:val="0"/>
          <w:snapToGrid w:val="0"/>
          <w:color w:val="auto"/>
          <w:sz w:val="24"/>
          <w:szCs w:val="24"/>
          <w:highlight w:val="none"/>
          <w:lang w:val="zh-CN" w:eastAsia="zh-CN"/>
        </w:rPr>
        <w:t>文件</w:t>
      </w:r>
      <w:r>
        <w:rPr>
          <w:rFonts w:hint="eastAsia" w:ascii="宋体" w:hAnsi="宋体" w:eastAsia="宋体" w:cs="宋体"/>
          <w:i w:val="0"/>
          <w:iCs w:val="0"/>
          <w:snapToGrid w:val="0"/>
          <w:color w:val="auto"/>
          <w:sz w:val="24"/>
          <w:szCs w:val="24"/>
          <w:highlight w:val="none"/>
          <w:lang w:val="zh-CN"/>
        </w:rPr>
        <w:t>递交截止时间前重新上传到</w:t>
      </w:r>
      <w:r>
        <w:rPr>
          <w:rFonts w:hint="eastAsia" w:cs="宋体"/>
          <w:i w:val="0"/>
          <w:iCs w:val="0"/>
          <w:snapToGrid w:val="0"/>
          <w:color w:val="auto"/>
          <w:sz w:val="24"/>
          <w:szCs w:val="24"/>
          <w:highlight w:val="none"/>
          <w:lang w:val="en-US" w:eastAsia="zh-CN"/>
        </w:rPr>
        <w:t>新疆</w:t>
      </w:r>
      <w:r>
        <w:rPr>
          <w:rFonts w:hint="eastAsia" w:ascii="宋体" w:hAnsi="宋体" w:eastAsia="宋体" w:cs="宋体"/>
          <w:i w:val="0"/>
          <w:iCs w:val="0"/>
          <w:snapToGrid w:val="0"/>
          <w:color w:val="auto"/>
          <w:sz w:val="24"/>
          <w:szCs w:val="24"/>
          <w:highlight w:val="none"/>
          <w:lang w:val="zh-CN"/>
        </w:rPr>
        <w:t>政府采购电子交易云平台的</w:t>
      </w:r>
      <w:r>
        <w:rPr>
          <w:rFonts w:hint="eastAsia" w:ascii="宋体" w:hAnsi="宋体" w:eastAsia="宋体" w:cs="宋体"/>
          <w:i w:val="0"/>
          <w:iCs w:val="0"/>
          <w:snapToGrid w:val="0"/>
          <w:color w:val="auto"/>
          <w:sz w:val="24"/>
          <w:szCs w:val="24"/>
          <w:highlight w:val="none"/>
          <w:lang w:val="zh-CN" w:eastAsia="zh-CN"/>
        </w:rPr>
        <w:t>指</w:t>
      </w:r>
      <w:r>
        <w:rPr>
          <w:rFonts w:hint="eastAsia" w:ascii="宋体" w:hAnsi="宋体" w:eastAsia="宋体" w:cs="宋体"/>
          <w:i w:val="0"/>
          <w:iCs w:val="0"/>
          <w:snapToGrid w:val="0"/>
          <w:color w:val="auto"/>
          <w:sz w:val="24"/>
          <w:szCs w:val="24"/>
          <w:highlight w:val="none"/>
          <w:lang w:val="zh-CN"/>
        </w:rPr>
        <w:t>定位置。</w:t>
      </w:r>
    </w:p>
    <w:bookmarkEnd w:id="269"/>
    <w:p w14:paraId="148A3D7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270" w:name="_Toc155185874"/>
      <w:bookmarkStart w:id="271" w:name="_Toc155185973"/>
      <w:bookmarkStart w:id="272" w:name="_Toc158888664"/>
      <w:r>
        <w:rPr>
          <w:rFonts w:hint="eastAsia" w:ascii="宋体" w:hAnsi="宋体" w:eastAsia="宋体" w:cs="宋体"/>
          <w:b/>
          <w:bCs/>
          <w:i w:val="0"/>
          <w:iCs w:val="0"/>
          <w:color w:val="auto"/>
          <w:kern w:val="2"/>
          <w:sz w:val="24"/>
          <w:szCs w:val="24"/>
          <w:highlight w:val="none"/>
          <w:lang w:val="en-US" w:eastAsia="zh-CN" w:bidi="ar-SA"/>
        </w:rPr>
        <w:t>22.实物样品</w:t>
      </w:r>
      <w:bookmarkEnd w:id="270"/>
      <w:bookmarkEnd w:id="271"/>
      <w:bookmarkEnd w:id="272"/>
    </w:p>
    <w:p w14:paraId="50217376">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22.1“供应商须知前附表”要求提供样品的，样品的具体要求及评审详见“第三章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采购需求”和“第</w:t>
      </w:r>
      <w:r>
        <w:rPr>
          <w:rFonts w:hint="eastAsia" w:ascii="宋体" w:hAnsi="宋体" w:eastAsia="宋体" w:cs="宋体"/>
          <w:i w:val="0"/>
          <w:iCs w:val="0"/>
          <w:color w:val="auto"/>
          <w:sz w:val="24"/>
          <w:szCs w:val="24"/>
          <w:highlight w:val="none"/>
          <w:lang w:val="en-US" w:eastAsia="zh-CN"/>
        </w:rPr>
        <w:t>四</w:t>
      </w:r>
      <w:r>
        <w:rPr>
          <w:rFonts w:hint="eastAsia" w:ascii="宋体" w:hAnsi="宋体" w:eastAsia="宋体" w:cs="宋体"/>
          <w:i w:val="0"/>
          <w:iCs w:val="0"/>
          <w:color w:val="auto"/>
          <w:sz w:val="24"/>
          <w:szCs w:val="24"/>
          <w:highlight w:val="none"/>
        </w:rPr>
        <w:t>章 评审</w:t>
      </w:r>
      <w:r>
        <w:rPr>
          <w:rFonts w:hint="eastAsia" w:ascii="宋体" w:hAnsi="宋体" w:eastAsia="宋体" w:cs="宋体"/>
          <w:i w:val="0"/>
          <w:iCs w:val="0"/>
          <w:color w:val="auto"/>
          <w:sz w:val="24"/>
          <w:szCs w:val="24"/>
          <w:highlight w:val="none"/>
          <w:lang w:val="en-US" w:eastAsia="zh-CN"/>
        </w:rPr>
        <w:t>方</w:t>
      </w:r>
      <w:r>
        <w:rPr>
          <w:rFonts w:hint="eastAsia" w:ascii="宋体" w:hAnsi="宋体" w:eastAsia="宋体" w:cs="宋体"/>
          <w:i w:val="0"/>
          <w:iCs w:val="0"/>
          <w:color w:val="auto"/>
          <w:sz w:val="24"/>
          <w:szCs w:val="24"/>
          <w:highlight w:val="none"/>
        </w:rPr>
        <w:t>法及标准”。</w:t>
      </w:r>
    </w:p>
    <w:p w14:paraId="05680FAD">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22.2样品退还：未成交的供应商应</w:t>
      </w:r>
      <w:r>
        <w:rPr>
          <w:rFonts w:hint="eastAsia" w:ascii="宋体" w:hAnsi="宋体" w:eastAsia="宋体" w:cs="宋体"/>
          <w:i w:val="0"/>
          <w:iCs w:val="0"/>
          <w:color w:val="auto"/>
          <w:sz w:val="24"/>
          <w:szCs w:val="24"/>
          <w:highlight w:val="none"/>
          <w:lang w:val="en-US" w:eastAsia="zh-CN"/>
        </w:rPr>
        <w:t>按照</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须知前附表”</w:t>
      </w:r>
      <w:r>
        <w:rPr>
          <w:rFonts w:hint="eastAsia" w:ascii="宋体" w:hAnsi="宋体" w:eastAsia="宋体" w:cs="宋体"/>
          <w:i w:val="0"/>
          <w:iCs w:val="0"/>
          <w:color w:val="auto"/>
          <w:sz w:val="24"/>
          <w:szCs w:val="24"/>
          <w:highlight w:val="none"/>
          <w:lang w:val="en-US" w:eastAsia="zh-CN"/>
        </w:rPr>
        <w:t>要求</w:t>
      </w:r>
      <w:r>
        <w:rPr>
          <w:rFonts w:hint="eastAsia" w:ascii="宋体" w:hAnsi="宋体" w:eastAsia="宋体" w:cs="宋体"/>
          <w:i w:val="0"/>
          <w:iCs w:val="0"/>
          <w:color w:val="auto"/>
          <w:sz w:val="24"/>
          <w:szCs w:val="24"/>
          <w:highlight w:val="none"/>
        </w:rPr>
        <w:t>自行联系采购人取回递交样品；成交供应商的样品由采购人进行保管、封存，并作为履约验收的参考（竞争性磋商文件另有规定的从其规定）。</w:t>
      </w:r>
    </w:p>
    <w:p w14:paraId="50230F9E">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273" w:name="_Toc158888665"/>
      <w:bookmarkStart w:id="274" w:name="_Toc155185875"/>
      <w:bookmarkStart w:id="275" w:name="_Toc155185974"/>
      <w:r>
        <w:rPr>
          <w:rFonts w:hint="eastAsia" w:ascii="宋体" w:hAnsi="宋体" w:eastAsia="宋体" w:cs="宋体"/>
          <w:b/>
          <w:bCs/>
          <w:i w:val="0"/>
          <w:iCs w:val="0"/>
          <w:color w:val="auto"/>
          <w:kern w:val="2"/>
          <w:sz w:val="24"/>
          <w:szCs w:val="24"/>
          <w:highlight w:val="none"/>
          <w:lang w:val="en-US" w:eastAsia="zh-CN" w:bidi="ar-SA"/>
        </w:rPr>
        <w:t>23.项目演示</w:t>
      </w:r>
      <w:bookmarkEnd w:id="273"/>
      <w:bookmarkEnd w:id="274"/>
      <w:bookmarkEnd w:id="275"/>
    </w:p>
    <w:p w14:paraId="7F416831">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23.1要求供应商进行演示的，演示要求详见“供应商须知前附表”。</w:t>
      </w:r>
    </w:p>
    <w:p w14:paraId="02BCE05C">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23.2演示的评审详见“第三章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采购需求”和“第四章 评审</w:t>
      </w:r>
      <w:r>
        <w:rPr>
          <w:rFonts w:hint="eastAsia" w:ascii="宋体" w:hAnsi="宋体" w:eastAsia="宋体" w:cs="宋体"/>
          <w:i w:val="0"/>
          <w:iCs w:val="0"/>
          <w:color w:val="auto"/>
          <w:sz w:val="24"/>
          <w:szCs w:val="24"/>
          <w:highlight w:val="none"/>
          <w:lang w:val="en-US" w:eastAsia="zh-CN"/>
        </w:rPr>
        <w:t>方</w:t>
      </w:r>
      <w:r>
        <w:rPr>
          <w:rFonts w:hint="eastAsia" w:ascii="宋体" w:hAnsi="宋体" w:eastAsia="宋体" w:cs="宋体"/>
          <w:i w:val="0"/>
          <w:iCs w:val="0"/>
          <w:color w:val="auto"/>
          <w:sz w:val="24"/>
          <w:szCs w:val="24"/>
          <w:highlight w:val="none"/>
        </w:rPr>
        <w:t>法及标准”</w:t>
      </w:r>
    </w:p>
    <w:p w14:paraId="46B93A68">
      <w:pPr>
        <w:pStyle w:val="5"/>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276" w:name="_Toc163493615"/>
      <w:bookmarkStart w:id="277" w:name="_Toc22772"/>
      <w:bookmarkStart w:id="278" w:name="_Toc109900395"/>
      <w:bookmarkStart w:id="279" w:name="_Toc109899557"/>
      <w:bookmarkStart w:id="280" w:name="_Toc109897458"/>
      <w:bookmarkStart w:id="281" w:name="_Toc470172689"/>
      <w:bookmarkStart w:id="282" w:name="_Toc109899976"/>
      <w:bookmarkStart w:id="283" w:name="_Toc46771664"/>
      <w:r>
        <w:rPr>
          <w:rFonts w:hint="eastAsia" w:ascii="宋体" w:hAnsi="宋体" w:eastAsia="宋体" w:cs="宋体"/>
          <w:b/>
          <w:bCs/>
          <w:i w:val="0"/>
          <w:iCs w:val="0"/>
          <w:color w:val="auto"/>
          <w:kern w:val="2"/>
          <w:sz w:val="24"/>
          <w:szCs w:val="24"/>
          <w:highlight w:val="none"/>
          <w:lang w:val="en-US" w:eastAsia="zh-CN" w:bidi="ar-SA"/>
        </w:rPr>
        <w:t>（五）</w:t>
      </w:r>
      <w:bookmarkEnd w:id="276"/>
      <w:r>
        <w:rPr>
          <w:rFonts w:hint="eastAsia" w:ascii="宋体" w:hAnsi="宋体" w:eastAsia="宋体" w:cs="宋体"/>
          <w:b/>
          <w:bCs/>
          <w:i w:val="0"/>
          <w:iCs w:val="0"/>
          <w:color w:val="auto"/>
          <w:kern w:val="2"/>
          <w:sz w:val="24"/>
          <w:szCs w:val="24"/>
          <w:highlight w:val="none"/>
          <w:lang w:val="en-US" w:eastAsia="zh-CN" w:bidi="ar-SA"/>
        </w:rPr>
        <w:t>响应文件开启</w:t>
      </w:r>
      <w:bookmarkEnd w:id="277"/>
    </w:p>
    <w:p w14:paraId="4479E40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284" w:name="_Hlk161704700"/>
      <w:r>
        <w:rPr>
          <w:rFonts w:hint="eastAsia" w:ascii="宋体" w:hAnsi="宋体" w:eastAsia="宋体" w:cs="宋体"/>
          <w:b/>
          <w:bCs/>
          <w:i w:val="0"/>
          <w:iCs w:val="0"/>
          <w:color w:val="auto"/>
          <w:kern w:val="2"/>
          <w:sz w:val="24"/>
          <w:szCs w:val="24"/>
          <w:highlight w:val="none"/>
          <w:lang w:val="en-US" w:eastAsia="zh-CN" w:bidi="ar-SA"/>
        </w:rPr>
        <w:t>24.响应文件开启</w:t>
      </w:r>
    </w:p>
    <w:p w14:paraId="316D9270">
      <w:pPr>
        <w:keepNext w:val="0"/>
        <w:keepLines w:val="0"/>
        <w:pageBreakBefore w:val="0"/>
        <w:widowControl w:val="0"/>
        <w:kinsoku/>
        <w:overflowPunct/>
        <w:topLinePunct w:val="0"/>
        <w:bidi w:val="0"/>
        <w:ind w:firstLine="480" w:firstLineChars="200"/>
        <w:textAlignment w:val="auto"/>
        <w:rPr>
          <w:rFonts w:hint="eastAsia" w:ascii="宋体" w:hAnsi="宋体" w:eastAsia="宋体" w:cs="宋体"/>
          <w:bCs/>
          <w:i w:val="0"/>
          <w:iCs w:val="0"/>
          <w:color w:val="auto"/>
          <w:sz w:val="24"/>
          <w:szCs w:val="24"/>
          <w:highlight w:val="none"/>
        </w:rPr>
      </w:pPr>
      <w:bookmarkStart w:id="285" w:name="_Toc140132781"/>
      <w:r>
        <w:rPr>
          <w:rFonts w:hint="eastAsia" w:ascii="宋体" w:hAnsi="宋体" w:eastAsia="宋体" w:cs="宋体"/>
          <w:i w:val="0"/>
          <w:iCs w:val="0"/>
          <w:color w:val="auto"/>
          <w:sz w:val="24"/>
          <w:szCs w:val="24"/>
          <w:highlight w:val="none"/>
        </w:rPr>
        <w:t>24.1供应商应按照“</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color w:val="auto"/>
          <w:sz w:val="24"/>
          <w:szCs w:val="24"/>
          <w:highlight w:val="none"/>
        </w:rPr>
        <w:t>”中的要求参与开启。</w:t>
      </w:r>
      <w:bookmarkEnd w:id="285"/>
    </w:p>
    <w:p w14:paraId="27E801F8">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286" w:name="_Toc140132782"/>
      <w:bookmarkStart w:id="287" w:name="_Toc161600316"/>
      <w:r>
        <w:rPr>
          <w:rFonts w:hint="eastAsia" w:ascii="宋体" w:hAnsi="宋体" w:eastAsia="宋体" w:cs="宋体"/>
          <w:b/>
          <w:bCs/>
          <w:i w:val="0"/>
          <w:iCs w:val="0"/>
          <w:color w:val="auto"/>
          <w:kern w:val="2"/>
          <w:sz w:val="24"/>
          <w:szCs w:val="24"/>
          <w:highlight w:val="none"/>
          <w:lang w:val="en-US" w:eastAsia="zh-CN" w:bidi="ar-SA"/>
        </w:rPr>
        <w:t>25.开启时间和地点</w:t>
      </w:r>
      <w:bookmarkEnd w:id="286"/>
      <w:bookmarkEnd w:id="287"/>
    </w:p>
    <w:p w14:paraId="377D2342">
      <w:pPr>
        <w:keepNext w:val="0"/>
        <w:keepLines w:val="0"/>
        <w:pageBreakBefore w:val="0"/>
        <w:widowControl w:val="0"/>
        <w:kinsoku/>
        <w:overflowPunct/>
        <w:topLinePunct w:val="0"/>
        <w:bidi w:val="0"/>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25.1开启时间和地点</w:t>
      </w:r>
    </w:p>
    <w:p w14:paraId="13D4F52D">
      <w:pPr>
        <w:keepNext w:val="0"/>
        <w:keepLines w:val="0"/>
        <w:pageBreakBefore w:val="0"/>
        <w:widowControl w:val="0"/>
        <w:kinsoku/>
        <w:overflowPunct/>
        <w:topLinePunct w:val="0"/>
        <w:bidi w:val="0"/>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递交</w:t>
      </w:r>
      <w:r>
        <w:rPr>
          <w:rFonts w:hint="eastAsia" w:ascii="宋体" w:hAnsi="宋体" w:eastAsia="宋体" w:cs="宋体"/>
          <w:i w:val="0"/>
          <w:iCs w:val="0"/>
          <w:color w:val="auto"/>
          <w:sz w:val="24"/>
          <w:szCs w:val="24"/>
          <w:highlight w:val="none"/>
        </w:rPr>
        <w:t>响应文件截止时间前，供应商登录供应商客户端，</w:t>
      </w:r>
      <w:r>
        <w:rPr>
          <w:rFonts w:hint="eastAsia" w:ascii="宋体" w:hAnsi="宋体" w:eastAsia="宋体" w:cs="宋体"/>
          <w:i w:val="0"/>
          <w:iCs w:val="0"/>
          <w:snapToGrid w:val="0"/>
          <w:color w:val="auto"/>
          <w:sz w:val="24"/>
          <w:szCs w:val="24"/>
          <w:highlight w:val="none"/>
          <w:lang w:val="zh-CN"/>
        </w:rPr>
        <w:t>通过供应商客户端进入交易系统</w:t>
      </w:r>
      <w:r>
        <w:rPr>
          <w:rFonts w:hint="eastAsia" w:ascii="宋体" w:hAnsi="宋体" w:eastAsia="宋体" w:cs="宋体"/>
          <w:i w:val="0"/>
          <w:iCs w:val="0"/>
          <w:color w:val="auto"/>
          <w:sz w:val="24"/>
          <w:szCs w:val="24"/>
          <w:highlight w:val="none"/>
        </w:rPr>
        <w:t>“开标大厅”选择所投项目（或采购包）完成项目签到工作。</w:t>
      </w:r>
    </w:p>
    <w:p w14:paraId="2BEA625B">
      <w:pPr>
        <w:keepNext w:val="0"/>
        <w:keepLines w:val="0"/>
        <w:pageBreakBefore w:val="0"/>
        <w:widowControl w:val="0"/>
        <w:kinsoku/>
        <w:overflowPunct/>
        <w:topLinePunct w:val="0"/>
        <w:bidi w:val="0"/>
        <w:ind w:firstLine="480" w:firstLineChars="2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zh-CN"/>
        </w:rPr>
        <w:t>（2）在</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规</w:t>
      </w:r>
      <w:r>
        <w:rPr>
          <w:rFonts w:hint="eastAsia" w:ascii="宋体" w:hAnsi="宋体" w:eastAsia="宋体" w:cs="宋体"/>
          <w:i w:val="0"/>
          <w:iCs w:val="0"/>
          <w:color w:val="auto"/>
          <w:sz w:val="24"/>
          <w:szCs w:val="24"/>
          <w:highlight w:val="none"/>
          <w:lang w:val="zh-CN"/>
        </w:rPr>
        <w:t>定的</w:t>
      </w:r>
      <w:r>
        <w:rPr>
          <w:rFonts w:hint="eastAsia" w:ascii="宋体" w:hAnsi="宋体" w:eastAsia="宋体" w:cs="宋体"/>
          <w:i w:val="0"/>
          <w:iCs w:val="0"/>
          <w:color w:val="auto"/>
          <w:sz w:val="24"/>
          <w:szCs w:val="24"/>
          <w:highlight w:val="none"/>
          <w:lang w:val="en-US" w:eastAsia="zh-CN"/>
        </w:rPr>
        <w:t>递交</w:t>
      </w:r>
      <w:r>
        <w:rPr>
          <w:rFonts w:hint="eastAsia" w:ascii="宋体" w:hAnsi="宋体" w:eastAsia="宋体" w:cs="宋体"/>
          <w:i w:val="0"/>
          <w:iCs w:val="0"/>
          <w:color w:val="auto"/>
          <w:sz w:val="24"/>
          <w:szCs w:val="24"/>
          <w:highlight w:val="none"/>
          <w:lang w:val="zh-CN"/>
        </w:rPr>
        <w:t>响应文件截止时间、开启时间及地点，采购代理机构通过</w:t>
      </w:r>
      <w:r>
        <w:rPr>
          <w:rFonts w:hint="eastAsia" w:cs="宋体"/>
          <w:i w:val="0"/>
          <w:iCs w:val="0"/>
          <w:color w:val="auto"/>
          <w:sz w:val="24"/>
          <w:szCs w:val="24"/>
          <w:highlight w:val="none"/>
          <w:lang w:val="en-US" w:eastAsia="zh-CN"/>
        </w:rPr>
        <w:t>新疆</w:t>
      </w:r>
      <w:r>
        <w:rPr>
          <w:rFonts w:hint="eastAsia" w:ascii="宋体" w:hAnsi="宋体" w:eastAsia="宋体" w:cs="宋体"/>
          <w:i w:val="0"/>
          <w:iCs w:val="0"/>
          <w:color w:val="auto"/>
          <w:sz w:val="24"/>
          <w:szCs w:val="24"/>
          <w:highlight w:val="none"/>
          <w:lang w:val="zh-CN" w:eastAsia="zh-CN"/>
        </w:rPr>
        <w:t>政府采购电子交易云平台</w:t>
      </w:r>
      <w:r>
        <w:rPr>
          <w:rFonts w:hint="eastAsia" w:ascii="宋体" w:hAnsi="宋体" w:eastAsia="宋体" w:cs="宋体"/>
          <w:i w:val="0"/>
          <w:iCs w:val="0"/>
          <w:color w:val="auto"/>
          <w:kern w:val="2"/>
          <w:sz w:val="24"/>
          <w:szCs w:val="24"/>
          <w:highlight w:val="none"/>
        </w:rPr>
        <w:t>的“政采云远程开标大厅”</w:t>
      </w:r>
      <w:r>
        <w:rPr>
          <w:rFonts w:hint="eastAsia" w:ascii="宋体" w:hAnsi="宋体" w:eastAsia="宋体" w:cs="宋体"/>
          <w:i w:val="0"/>
          <w:iCs w:val="0"/>
          <w:color w:val="auto"/>
          <w:sz w:val="24"/>
          <w:szCs w:val="24"/>
          <w:highlight w:val="none"/>
          <w:lang w:val="zh-CN"/>
        </w:rPr>
        <w:t>组织响应文件开启工作。</w:t>
      </w:r>
    </w:p>
    <w:p w14:paraId="4CC39E28">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25.2响应文件开启：</w:t>
      </w:r>
      <w:r>
        <w:rPr>
          <w:rFonts w:hint="eastAsia" w:ascii="宋体" w:hAnsi="宋体" w:eastAsia="宋体" w:cs="宋体"/>
          <w:i w:val="0"/>
          <w:iCs w:val="0"/>
          <w:color w:val="auto"/>
          <w:sz w:val="24"/>
          <w:szCs w:val="24"/>
          <w:highlight w:val="none"/>
          <w:lang w:val="en-US" w:eastAsia="zh-CN"/>
        </w:rPr>
        <w:t>递交</w:t>
      </w:r>
      <w:r>
        <w:rPr>
          <w:rFonts w:hint="eastAsia" w:ascii="宋体" w:hAnsi="宋体" w:eastAsia="宋体" w:cs="宋体"/>
          <w:i w:val="0"/>
          <w:iCs w:val="0"/>
          <w:color w:val="auto"/>
          <w:sz w:val="24"/>
          <w:szCs w:val="24"/>
          <w:highlight w:val="none"/>
        </w:rPr>
        <w:t>响应文件截止时间到后，工作人员启动开始解密指令，供应商应当按照“供应商须知前附表”规定及时进行响应文件解密，完成响应文件开启工作。</w:t>
      </w:r>
    </w:p>
    <w:p w14:paraId="761D25C5">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25.3规定的时间内，非因</w:t>
      </w:r>
      <w:r>
        <w:rPr>
          <w:rFonts w:hint="eastAsia" w:cs="宋体"/>
          <w:i w:val="0"/>
          <w:iCs w:val="0"/>
          <w:color w:val="auto"/>
          <w:sz w:val="24"/>
          <w:szCs w:val="24"/>
          <w:highlight w:val="none"/>
          <w:lang w:val="en-US" w:eastAsia="zh-CN"/>
        </w:rPr>
        <w:t>新疆</w:t>
      </w:r>
      <w:r>
        <w:rPr>
          <w:rFonts w:hint="eastAsia" w:ascii="宋体" w:hAnsi="宋体" w:eastAsia="宋体" w:cs="宋体"/>
          <w:i w:val="0"/>
          <w:iCs w:val="0"/>
          <w:color w:val="auto"/>
          <w:sz w:val="24"/>
          <w:szCs w:val="24"/>
          <w:highlight w:val="none"/>
          <w:lang w:val="zh-CN" w:eastAsia="zh-CN"/>
        </w:rPr>
        <w:t>政府采购电子交易云平台</w:t>
      </w:r>
      <w:r>
        <w:rPr>
          <w:rFonts w:hint="eastAsia" w:ascii="宋体" w:hAnsi="宋体" w:eastAsia="宋体" w:cs="宋体"/>
          <w:i w:val="0"/>
          <w:iCs w:val="0"/>
          <w:color w:val="auto"/>
          <w:sz w:val="24"/>
          <w:szCs w:val="24"/>
          <w:highlight w:val="none"/>
        </w:rPr>
        <w:t>原因造成响应文件未解密的，视为供应商撤回响应文件。停止解密后，已解密开启的响应文件不足3家的，应当终止采购活动。</w:t>
      </w:r>
    </w:p>
    <w:p w14:paraId="13666101">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25.4供应商或其授权代表对响应文件开启过程有疑义的，以及认为采购人、采购代理机构相关工作人员有需要回避的情形的，应在开</w:t>
      </w:r>
      <w:r>
        <w:rPr>
          <w:rFonts w:hint="eastAsia" w:ascii="宋体" w:hAnsi="宋体" w:eastAsia="宋体" w:cs="宋体"/>
          <w:i w:val="0"/>
          <w:iCs w:val="0"/>
          <w:color w:val="auto"/>
          <w:sz w:val="24"/>
          <w:szCs w:val="24"/>
          <w:highlight w:val="none"/>
          <w:lang w:val="en-US" w:eastAsia="zh-CN"/>
        </w:rPr>
        <w:t>启</w:t>
      </w:r>
      <w:r>
        <w:rPr>
          <w:rFonts w:hint="eastAsia" w:ascii="宋体" w:hAnsi="宋体" w:eastAsia="宋体" w:cs="宋体"/>
          <w:i w:val="0"/>
          <w:iCs w:val="0"/>
          <w:color w:val="auto"/>
          <w:sz w:val="24"/>
          <w:szCs w:val="24"/>
          <w:highlight w:val="none"/>
        </w:rPr>
        <w:t>会议中提出询问或者回避申请。采购人、采购代理机构对</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授权代表提出的询问或者回避申请应当及时处理。</w:t>
      </w:r>
    </w:p>
    <w:p w14:paraId="4EFA7156">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25.</w:t>
      </w:r>
      <w:r>
        <w:rPr>
          <w:rFonts w:hint="eastAsia" w:ascii="宋体" w:hAnsi="宋体" w:eastAsia="宋体" w:cs="宋体"/>
          <w:i w:val="0"/>
          <w:iCs w:val="0"/>
          <w:color w:val="auto"/>
          <w:sz w:val="24"/>
          <w:szCs w:val="24"/>
          <w:highlight w:val="none"/>
          <w:lang w:val="en-US" w:eastAsia="zh-CN"/>
        </w:rPr>
        <w:t>5供应商</w:t>
      </w:r>
      <w:r>
        <w:rPr>
          <w:rFonts w:hint="eastAsia" w:ascii="宋体" w:hAnsi="宋体" w:eastAsia="宋体" w:cs="宋体"/>
          <w:i w:val="0"/>
          <w:iCs w:val="0"/>
          <w:color w:val="auto"/>
          <w:sz w:val="24"/>
          <w:szCs w:val="24"/>
          <w:highlight w:val="none"/>
        </w:rPr>
        <w:t>未参加开</w:t>
      </w:r>
      <w:r>
        <w:rPr>
          <w:rFonts w:hint="eastAsia" w:ascii="宋体" w:hAnsi="宋体" w:eastAsia="宋体" w:cs="宋体"/>
          <w:i w:val="0"/>
          <w:iCs w:val="0"/>
          <w:color w:val="auto"/>
          <w:sz w:val="24"/>
          <w:szCs w:val="24"/>
          <w:highlight w:val="none"/>
          <w:lang w:val="en-US" w:eastAsia="zh-CN"/>
        </w:rPr>
        <w:t>启</w:t>
      </w:r>
      <w:r>
        <w:rPr>
          <w:rFonts w:hint="eastAsia" w:ascii="宋体" w:hAnsi="宋体" w:eastAsia="宋体" w:cs="宋体"/>
          <w:i w:val="0"/>
          <w:iCs w:val="0"/>
          <w:color w:val="auto"/>
          <w:sz w:val="24"/>
          <w:szCs w:val="24"/>
          <w:highlight w:val="none"/>
        </w:rPr>
        <w:t>的，视同认可开</w:t>
      </w:r>
      <w:r>
        <w:rPr>
          <w:rFonts w:hint="eastAsia" w:ascii="宋体" w:hAnsi="宋体" w:eastAsia="宋体" w:cs="宋体"/>
          <w:i w:val="0"/>
          <w:iCs w:val="0"/>
          <w:color w:val="auto"/>
          <w:sz w:val="24"/>
          <w:szCs w:val="24"/>
          <w:highlight w:val="none"/>
          <w:lang w:val="en-US" w:eastAsia="zh-CN"/>
        </w:rPr>
        <w:t>启</w:t>
      </w:r>
      <w:r>
        <w:rPr>
          <w:rFonts w:hint="eastAsia" w:ascii="宋体" w:hAnsi="宋体" w:eastAsia="宋体" w:cs="宋体"/>
          <w:i w:val="0"/>
          <w:iCs w:val="0"/>
          <w:color w:val="auto"/>
          <w:sz w:val="24"/>
          <w:szCs w:val="24"/>
          <w:highlight w:val="none"/>
        </w:rPr>
        <w:t>结果。</w:t>
      </w:r>
    </w:p>
    <w:bookmarkEnd w:id="278"/>
    <w:bookmarkEnd w:id="279"/>
    <w:bookmarkEnd w:id="280"/>
    <w:bookmarkEnd w:id="281"/>
    <w:bookmarkEnd w:id="282"/>
    <w:bookmarkEnd w:id="283"/>
    <w:bookmarkEnd w:id="284"/>
    <w:p w14:paraId="433E2AD6">
      <w:pPr>
        <w:pStyle w:val="5"/>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288" w:name="_Toc140132785"/>
      <w:bookmarkStart w:id="289" w:name="_Toc155185877"/>
      <w:bookmarkStart w:id="290" w:name="_Toc163492854"/>
      <w:bookmarkStart w:id="291" w:name="_Toc25520"/>
      <w:r>
        <w:rPr>
          <w:rFonts w:hint="eastAsia" w:ascii="宋体" w:hAnsi="宋体" w:eastAsia="宋体" w:cs="宋体"/>
          <w:b/>
          <w:bCs/>
          <w:i w:val="0"/>
          <w:iCs w:val="0"/>
          <w:color w:val="auto"/>
          <w:kern w:val="2"/>
          <w:sz w:val="24"/>
          <w:szCs w:val="24"/>
          <w:highlight w:val="none"/>
          <w:lang w:val="en-US" w:eastAsia="zh-CN" w:bidi="ar-SA"/>
        </w:rPr>
        <w:t>（六）资格审查</w:t>
      </w:r>
      <w:bookmarkEnd w:id="288"/>
      <w:bookmarkEnd w:id="289"/>
      <w:bookmarkEnd w:id="290"/>
      <w:bookmarkEnd w:id="291"/>
    </w:p>
    <w:p w14:paraId="18C3AF0B">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292" w:name="_Toc163492855"/>
      <w:r>
        <w:rPr>
          <w:rFonts w:hint="eastAsia" w:ascii="宋体" w:hAnsi="宋体" w:eastAsia="宋体" w:cs="宋体"/>
          <w:b/>
          <w:bCs/>
          <w:i w:val="0"/>
          <w:iCs w:val="0"/>
          <w:color w:val="auto"/>
          <w:kern w:val="2"/>
          <w:sz w:val="24"/>
          <w:szCs w:val="24"/>
          <w:highlight w:val="none"/>
          <w:lang w:val="en-US" w:eastAsia="zh-CN" w:bidi="ar-SA"/>
        </w:rPr>
        <w:t>26.资格审查及审查主体</w:t>
      </w:r>
      <w:bookmarkEnd w:id="292"/>
    </w:p>
    <w:p w14:paraId="04AE228E">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bookmarkStart w:id="293" w:name="_Toc140132786"/>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.1开</w:t>
      </w:r>
      <w:r>
        <w:rPr>
          <w:rFonts w:hint="eastAsia" w:ascii="宋体" w:hAnsi="宋体" w:eastAsia="宋体" w:cs="宋体"/>
          <w:i w:val="0"/>
          <w:iCs w:val="0"/>
          <w:color w:val="auto"/>
          <w:sz w:val="24"/>
          <w:szCs w:val="24"/>
          <w:highlight w:val="none"/>
          <w:lang w:val="en-US" w:eastAsia="zh-CN"/>
        </w:rPr>
        <w:t>启</w:t>
      </w:r>
      <w:r>
        <w:rPr>
          <w:rFonts w:hint="eastAsia" w:ascii="宋体" w:hAnsi="宋体" w:eastAsia="宋体" w:cs="宋体"/>
          <w:i w:val="0"/>
          <w:iCs w:val="0"/>
          <w:color w:val="auto"/>
          <w:sz w:val="24"/>
          <w:szCs w:val="24"/>
          <w:highlight w:val="none"/>
        </w:rPr>
        <w:t>结束后，</w:t>
      </w:r>
      <w:r>
        <w:rPr>
          <w:rFonts w:hint="eastAsia" w:ascii="宋体" w:hAnsi="宋体" w:eastAsia="宋体" w:cs="宋体"/>
          <w:i w:val="0"/>
          <w:iCs w:val="0"/>
          <w:color w:val="auto"/>
          <w:sz w:val="24"/>
          <w:szCs w:val="24"/>
          <w:highlight w:val="none"/>
          <w:lang w:val="en-US" w:eastAsia="zh-CN"/>
        </w:rPr>
        <w:t>磋商小组</w:t>
      </w:r>
      <w:r>
        <w:rPr>
          <w:rFonts w:hint="eastAsia" w:ascii="宋体" w:hAnsi="宋体" w:eastAsia="宋体" w:cs="宋体"/>
          <w:i w:val="0"/>
          <w:iCs w:val="0"/>
          <w:color w:val="auto"/>
          <w:sz w:val="24"/>
          <w:szCs w:val="24"/>
          <w:highlight w:val="none"/>
        </w:rPr>
        <w:t>依据法律法规和本</w:t>
      </w:r>
      <w:r>
        <w:rPr>
          <w:rFonts w:hint="eastAsia" w:ascii="宋体" w:hAnsi="宋体" w:eastAsia="宋体" w:cs="宋体"/>
          <w:i w:val="0"/>
          <w:iCs w:val="0"/>
          <w:color w:val="auto"/>
          <w:sz w:val="24"/>
          <w:szCs w:val="24"/>
          <w:highlight w:val="none"/>
          <w:lang w:val="en-US" w:eastAsia="zh-CN"/>
        </w:rPr>
        <w:t>竞争性磋商</w:t>
      </w:r>
      <w:r>
        <w:rPr>
          <w:rFonts w:hint="eastAsia" w:ascii="宋体" w:hAnsi="宋体" w:eastAsia="宋体" w:cs="宋体"/>
          <w:i w:val="0"/>
          <w:iCs w:val="0"/>
          <w:color w:val="auto"/>
          <w:sz w:val="24"/>
          <w:szCs w:val="24"/>
          <w:highlight w:val="none"/>
        </w:rPr>
        <w:t>文件的规定，依法对</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资格进行审查，以确定</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是否具备</w:t>
      </w:r>
      <w:r>
        <w:rPr>
          <w:rFonts w:hint="eastAsia" w:ascii="宋体" w:hAnsi="宋体" w:eastAsia="宋体"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rPr>
        <w:t>资格。</w:t>
      </w:r>
      <w:bookmarkEnd w:id="293"/>
    </w:p>
    <w:p w14:paraId="5744016B">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bookmarkStart w:id="294" w:name="_Toc140132787"/>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.2资格审查按“第四章</w:t>
      </w: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snapToGrid w:val="0"/>
          <w:color w:val="auto"/>
          <w:sz w:val="24"/>
          <w:szCs w:val="24"/>
          <w:highlight w:val="none"/>
          <w:lang w:val="zh-CN"/>
        </w:rPr>
        <w:t>评审</w:t>
      </w:r>
      <w:r>
        <w:rPr>
          <w:rFonts w:hint="eastAsia" w:ascii="宋体" w:hAnsi="宋体" w:eastAsia="宋体" w:cs="宋体"/>
          <w:i w:val="0"/>
          <w:iCs w:val="0"/>
          <w:snapToGrid w:val="0"/>
          <w:color w:val="auto"/>
          <w:sz w:val="24"/>
          <w:szCs w:val="24"/>
          <w:highlight w:val="none"/>
          <w:lang w:val="en-US" w:eastAsia="zh-CN"/>
        </w:rPr>
        <w:t>方</w:t>
      </w:r>
      <w:r>
        <w:rPr>
          <w:rFonts w:hint="eastAsia" w:ascii="宋体" w:hAnsi="宋体" w:eastAsia="宋体" w:cs="宋体"/>
          <w:i w:val="0"/>
          <w:iCs w:val="0"/>
          <w:snapToGrid w:val="0"/>
          <w:color w:val="auto"/>
          <w:sz w:val="24"/>
          <w:szCs w:val="24"/>
          <w:highlight w:val="none"/>
          <w:lang w:val="zh-CN"/>
        </w:rPr>
        <w:t>法及标准</w:t>
      </w:r>
      <w:r>
        <w:rPr>
          <w:rFonts w:hint="eastAsia" w:ascii="宋体" w:hAnsi="宋体" w:eastAsia="宋体" w:cs="宋体"/>
          <w:i w:val="0"/>
          <w:iCs w:val="0"/>
          <w:color w:val="auto"/>
          <w:sz w:val="24"/>
          <w:szCs w:val="24"/>
          <w:highlight w:val="none"/>
        </w:rPr>
        <w:t>”的规定进行。</w:t>
      </w:r>
      <w:bookmarkEnd w:id="294"/>
    </w:p>
    <w:p w14:paraId="7DBFFA73">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bookmarkStart w:id="295" w:name="_Toc140132788"/>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.3资格审查结束后，应及时对资格审查结果进行复核，对资格审查错误进行及时纠正并记录。</w:t>
      </w:r>
      <w:bookmarkEnd w:id="295"/>
    </w:p>
    <w:p w14:paraId="4C2B4ACE">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26.4</w:t>
      </w:r>
      <w:r>
        <w:rPr>
          <w:rFonts w:hint="eastAsia" w:ascii="宋体" w:hAnsi="宋体" w:eastAsia="宋体" w:cs="宋体"/>
          <w:i w:val="0"/>
          <w:iCs w:val="0"/>
          <w:color w:val="auto"/>
          <w:sz w:val="24"/>
          <w:szCs w:val="24"/>
          <w:highlight w:val="none"/>
        </w:rPr>
        <w:t>资格审查合格</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不足3家的，不得评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w:t>
      </w:r>
    </w:p>
    <w:p w14:paraId="62EE3FE3">
      <w:pPr>
        <w:pStyle w:val="5"/>
        <w:keepNext w:val="0"/>
        <w:keepLines w:val="0"/>
        <w:pageBreakBefore w:val="0"/>
        <w:widowControl w:val="0"/>
        <w:numPr>
          <w:ilvl w:val="0"/>
          <w:numId w:val="0"/>
        </w:numPr>
        <w:kinsoku/>
        <w:wordWrap/>
        <w:overflowPunct/>
        <w:topLinePunct w:val="0"/>
        <w:autoSpaceDE/>
        <w:autoSpaceDN/>
        <w:bidi w:val="0"/>
        <w:adjustRightInd/>
        <w:snapToGrid/>
        <w:spacing w:before="140" w:after="140" w:line="36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296" w:name="_Toc140132789"/>
      <w:bookmarkStart w:id="297" w:name="_Toc155185878"/>
      <w:bookmarkStart w:id="298" w:name="_Toc163492856"/>
      <w:bookmarkStart w:id="299" w:name="_Toc21173"/>
      <w:r>
        <w:rPr>
          <w:rFonts w:hint="eastAsia" w:ascii="宋体" w:hAnsi="宋体" w:eastAsia="宋体" w:cs="宋体"/>
          <w:b/>
          <w:bCs/>
          <w:i w:val="0"/>
          <w:iCs w:val="0"/>
          <w:color w:val="auto"/>
          <w:kern w:val="2"/>
          <w:sz w:val="24"/>
          <w:szCs w:val="24"/>
          <w:highlight w:val="none"/>
          <w:lang w:val="en-US" w:eastAsia="zh-CN" w:bidi="ar-SA"/>
        </w:rPr>
        <w:t>（七）项目评</w:t>
      </w:r>
      <w:bookmarkEnd w:id="296"/>
      <w:bookmarkEnd w:id="297"/>
      <w:bookmarkEnd w:id="298"/>
      <w:r>
        <w:rPr>
          <w:rFonts w:hint="eastAsia" w:ascii="宋体" w:hAnsi="宋体" w:eastAsia="宋体" w:cs="宋体"/>
          <w:b/>
          <w:bCs/>
          <w:i w:val="0"/>
          <w:iCs w:val="0"/>
          <w:color w:val="auto"/>
          <w:kern w:val="2"/>
          <w:sz w:val="24"/>
          <w:szCs w:val="24"/>
          <w:highlight w:val="none"/>
          <w:lang w:val="en-US" w:eastAsia="zh-CN" w:bidi="ar-SA"/>
        </w:rPr>
        <w:t>审</w:t>
      </w:r>
      <w:bookmarkEnd w:id="299"/>
    </w:p>
    <w:p w14:paraId="4D26C754">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27.评审方法、程序及标准</w:t>
      </w:r>
    </w:p>
    <w:p w14:paraId="1B167813">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zh-CN"/>
        </w:rPr>
        <w:t>2</w:t>
      </w:r>
      <w:r>
        <w:rPr>
          <w:rFonts w:hint="eastAsia" w:ascii="宋体" w:hAnsi="宋体" w:eastAsia="宋体" w:cs="宋体"/>
          <w:i w:val="0"/>
          <w:iCs w:val="0"/>
          <w:snapToGrid w:val="0"/>
          <w:color w:val="auto"/>
          <w:sz w:val="24"/>
          <w:szCs w:val="24"/>
          <w:highlight w:val="none"/>
          <w:lang w:val="en-US" w:eastAsia="zh-CN"/>
        </w:rPr>
        <w:t>7</w:t>
      </w: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评审方法：综合评分法。</w:t>
      </w:r>
    </w:p>
    <w:p w14:paraId="47AAE17E">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eastAsia="zh-CN"/>
        </w:rPr>
        <w:t>综合评分法，是指响应文件满足磋商文件全部实质性要求且按评审因素的量化指标评审得分最高的供应商为成交候选供应商的评审方法。</w:t>
      </w:r>
    </w:p>
    <w:p w14:paraId="7BC328DC">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en-US" w:eastAsia="zh-CN"/>
        </w:rPr>
        <w:t>本</w:t>
      </w:r>
      <w:r>
        <w:rPr>
          <w:rFonts w:hint="eastAsia" w:ascii="宋体" w:hAnsi="宋体" w:eastAsia="宋体" w:cs="宋体"/>
          <w:i w:val="0"/>
          <w:iCs w:val="0"/>
          <w:snapToGrid w:val="0"/>
          <w:color w:val="auto"/>
          <w:sz w:val="24"/>
          <w:szCs w:val="24"/>
          <w:highlight w:val="none"/>
          <w:lang w:val="zh-CN"/>
        </w:rPr>
        <w:t>项目评审方法、程序及标准详见“第</w:t>
      </w:r>
      <w:r>
        <w:rPr>
          <w:rFonts w:hint="eastAsia" w:ascii="宋体" w:hAnsi="宋体" w:eastAsia="宋体" w:cs="宋体"/>
          <w:i w:val="0"/>
          <w:iCs w:val="0"/>
          <w:snapToGrid w:val="0"/>
          <w:color w:val="auto"/>
          <w:sz w:val="24"/>
          <w:szCs w:val="24"/>
          <w:highlight w:val="none"/>
          <w:lang w:val="en-US" w:eastAsia="zh-CN"/>
        </w:rPr>
        <w:t>四</w:t>
      </w:r>
      <w:r>
        <w:rPr>
          <w:rFonts w:hint="eastAsia" w:ascii="宋体" w:hAnsi="宋体" w:eastAsia="宋体" w:cs="宋体"/>
          <w:i w:val="0"/>
          <w:iCs w:val="0"/>
          <w:snapToGrid w:val="0"/>
          <w:color w:val="auto"/>
          <w:sz w:val="24"/>
          <w:szCs w:val="24"/>
          <w:highlight w:val="none"/>
          <w:lang w:val="zh-CN"/>
        </w:rPr>
        <w:t>章 评审</w:t>
      </w:r>
      <w:r>
        <w:rPr>
          <w:rFonts w:hint="eastAsia" w:ascii="宋体" w:hAnsi="宋体" w:eastAsia="宋体" w:cs="宋体"/>
          <w:i w:val="0"/>
          <w:iCs w:val="0"/>
          <w:snapToGrid w:val="0"/>
          <w:color w:val="auto"/>
          <w:sz w:val="24"/>
          <w:szCs w:val="24"/>
          <w:highlight w:val="none"/>
          <w:lang w:val="en-US" w:eastAsia="zh-CN"/>
        </w:rPr>
        <w:t>方</w:t>
      </w:r>
      <w:r>
        <w:rPr>
          <w:rFonts w:hint="eastAsia" w:ascii="宋体" w:hAnsi="宋体" w:eastAsia="宋体" w:cs="宋体"/>
          <w:i w:val="0"/>
          <w:iCs w:val="0"/>
          <w:snapToGrid w:val="0"/>
          <w:color w:val="auto"/>
          <w:sz w:val="24"/>
          <w:szCs w:val="24"/>
          <w:highlight w:val="none"/>
          <w:lang w:val="zh-CN"/>
        </w:rPr>
        <w:t>法及标准”。</w:t>
      </w:r>
    </w:p>
    <w:p w14:paraId="484E7820">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2</w:t>
      </w:r>
      <w:r>
        <w:rPr>
          <w:rFonts w:hint="eastAsia" w:ascii="宋体" w:hAnsi="宋体" w:eastAsia="宋体" w:cs="宋体"/>
          <w:i w:val="0"/>
          <w:iCs w:val="0"/>
          <w:snapToGrid w:val="0"/>
          <w:color w:val="auto"/>
          <w:sz w:val="24"/>
          <w:szCs w:val="24"/>
          <w:highlight w:val="none"/>
          <w:lang w:val="en-US" w:eastAsia="zh-CN"/>
        </w:rPr>
        <w:t>7</w:t>
      </w:r>
      <w:r>
        <w:rPr>
          <w:rFonts w:hint="eastAsia" w:ascii="宋体" w:hAnsi="宋体" w:eastAsia="宋体" w:cs="宋体"/>
          <w:i w:val="0"/>
          <w:iCs w:val="0"/>
          <w:snapToGrid w:val="0"/>
          <w:color w:val="auto"/>
          <w:sz w:val="24"/>
          <w:szCs w:val="24"/>
          <w:highlight w:val="none"/>
          <w:lang w:val="zh-CN"/>
        </w:rPr>
        <w:t>.2磋商准备：供应商应当按照“</w:t>
      </w:r>
      <w:r>
        <w:rPr>
          <w:rFonts w:hint="eastAsia" w:ascii="宋体" w:hAnsi="宋体" w:eastAsia="宋体" w:cs="宋体"/>
          <w:i w:val="0"/>
          <w:iCs w:val="0"/>
          <w:snapToGrid w:val="0"/>
          <w:color w:val="auto"/>
          <w:sz w:val="24"/>
          <w:szCs w:val="24"/>
          <w:highlight w:val="none"/>
          <w:lang w:val="zh-CN" w:eastAsia="zh-CN"/>
        </w:rPr>
        <w:t>第</w:t>
      </w:r>
      <w:r>
        <w:rPr>
          <w:rFonts w:hint="eastAsia" w:ascii="宋体" w:hAnsi="宋体" w:eastAsia="宋体" w:cs="宋体"/>
          <w:i w:val="0"/>
          <w:iCs w:val="0"/>
          <w:snapToGrid w:val="0"/>
          <w:color w:val="auto"/>
          <w:sz w:val="24"/>
          <w:szCs w:val="24"/>
          <w:highlight w:val="none"/>
          <w:lang w:val="en-US" w:eastAsia="zh-CN"/>
        </w:rPr>
        <w:t>二</w:t>
      </w:r>
      <w:r>
        <w:rPr>
          <w:rFonts w:hint="eastAsia" w:ascii="宋体" w:hAnsi="宋体" w:eastAsia="宋体" w:cs="宋体"/>
          <w:i w:val="0"/>
          <w:iCs w:val="0"/>
          <w:snapToGrid w:val="0"/>
          <w:color w:val="auto"/>
          <w:sz w:val="24"/>
          <w:szCs w:val="24"/>
          <w:highlight w:val="none"/>
          <w:lang w:val="zh-CN" w:eastAsia="zh-CN"/>
        </w:rPr>
        <w:t xml:space="preserve">章 </w:t>
      </w:r>
      <w:r>
        <w:rPr>
          <w:rFonts w:hint="eastAsia" w:ascii="宋体" w:hAnsi="宋体" w:eastAsia="宋体" w:cs="宋体"/>
          <w:i w:val="0"/>
          <w:iCs w:val="0"/>
          <w:snapToGrid w:val="0"/>
          <w:color w:val="auto"/>
          <w:sz w:val="24"/>
          <w:szCs w:val="24"/>
          <w:highlight w:val="none"/>
          <w:lang w:val="en-US" w:eastAsia="zh-CN"/>
        </w:rPr>
        <w:t>供应商须知</w:t>
      </w:r>
      <w:r>
        <w:rPr>
          <w:rFonts w:hint="eastAsia" w:ascii="宋体" w:hAnsi="宋体" w:eastAsia="宋体" w:cs="宋体"/>
          <w:i w:val="0"/>
          <w:iCs w:val="0"/>
          <w:snapToGrid w:val="0"/>
          <w:color w:val="auto"/>
          <w:sz w:val="24"/>
          <w:szCs w:val="24"/>
          <w:highlight w:val="none"/>
          <w:lang w:val="zh-CN"/>
        </w:rPr>
        <w:t>”</w:t>
      </w:r>
      <w:r>
        <w:rPr>
          <w:rFonts w:hint="eastAsia" w:ascii="宋体" w:hAnsi="宋体" w:eastAsia="宋体" w:cs="宋体"/>
          <w:i w:val="0"/>
          <w:iCs w:val="0"/>
          <w:snapToGrid w:val="0"/>
          <w:color w:val="auto"/>
          <w:sz w:val="24"/>
          <w:szCs w:val="24"/>
          <w:highlight w:val="none"/>
          <w:lang w:val="en-US" w:eastAsia="zh-CN"/>
        </w:rPr>
        <w:t>的</w:t>
      </w:r>
      <w:r>
        <w:rPr>
          <w:rFonts w:hint="eastAsia" w:ascii="宋体" w:hAnsi="宋体" w:eastAsia="宋体" w:cs="宋体"/>
          <w:i w:val="0"/>
          <w:iCs w:val="0"/>
          <w:snapToGrid w:val="0"/>
          <w:color w:val="auto"/>
          <w:sz w:val="24"/>
          <w:szCs w:val="24"/>
          <w:highlight w:val="none"/>
          <w:lang w:val="zh-CN"/>
        </w:rPr>
        <w:t>要求提前准备好磋商所需的设备，确保设备稳定可靠、互联网畅通。</w:t>
      </w:r>
      <w:r>
        <w:rPr>
          <w:rFonts w:hint="eastAsia" w:ascii="宋体" w:hAnsi="宋体" w:eastAsia="宋体" w:cs="宋体"/>
          <w:i w:val="0"/>
          <w:iCs w:val="0"/>
          <w:color w:val="auto"/>
          <w:sz w:val="24"/>
          <w:szCs w:val="24"/>
          <w:highlight w:val="none"/>
        </w:rPr>
        <w:t>供应商登录供应商客户端，</w:t>
      </w:r>
      <w:r>
        <w:rPr>
          <w:rFonts w:hint="eastAsia" w:ascii="宋体" w:hAnsi="宋体" w:eastAsia="宋体" w:cs="宋体"/>
          <w:i w:val="0"/>
          <w:iCs w:val="0"/>
          <w:snapToGrid w:val="0"/>
          <w:color w:val="auto"/>
          <w:sz w:val="24"/>
          <w:szCs w:val="24"/>
          <w:highlight w:val="none"/>
          <w:lang w:val="zh-CN"/>
        </w:rPr>
        <w:t>通过供应商客户端进入交易系统“</w:t>
      </w:r>
      <w:r>
        <w:rPr>
          <w:rFonts w:hint="eastAsia" w:ascii="宋体" w:hAnsi="宋体" w:eastAsia="宋体" w:cs="宋体"/>
          <w:i w:val="0"/>
          <w:iCs w:val="0"/>
          <w:snapToGrid w:val="0"/>
          <w:color w:val="auto"/>
          <w:sz w:val="24"/>
          <w:szCs w:val="24"/>
          <w:highlight w:val="none"/>
          <w:lang w:val="en-US" w:eastAsia="zh-CN"/>
        </w:rPr>
        <w:t>开</w:t>
      </w:r>
      <w:r>
        <w:rPr>
          <w:rFonts w:hint="eastAsia" w:ascii="宋体" w:hAnsi="宋体" w:eastAsia="宋体" w:cs="宋体"/>
          <w:i w:val="0"/>
          <w:iCs w:val="0"/>
          <w:snapToGrid w:val="0"/>
          <w:color w:val="auto"/>
          <w:sz w:val="24"/>
          <w:szCs w:val="24"/>
          <w:highlight w:val="none"/>
          <w:lang w:val="zh-CN"/>
        </w:rPr>
        <w:t>标大厅”，准时参加在线磋商，按照工作人员提示进行相关操作。未按上述要求进行的，导致的后果由供应商自行承担。</w:t>
      </w:r>
    </w:p>
    <w:p w14:paraId="1DBDEAF5">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300" w:name="_Toc163492857"/>
      <w:bookmarkStart w:id="301" w:name="_Toc140132790"/>
      <w:r>
        <w:rPr>
          <w:rFonts w:hint="eastAsia" w:ascii="宋体" w:hAnsi="宋体" w:eastAsia="宋体" w:cs="宋体"/>
          <w:b/>
          <w:bCs/>
          <w:i w:val="0"/>
          <w:iCs w:val="0"/>
          <w:color w:val="auto"/>
          <w:kern w:val="2"/>
          <w:sz w:val="24"/>
          <w:szCs w:val="24"/>
          <w:highlight w:val="none"/>
          <w:lang w:val="en-US" w:eastAsia="zh-CN" w:bidi="ar-SA"/>
        </w:rPr>
        <w:t>28.</w:t>
      </w:r>
      <w:bookmarkEnd w:id="300"/>
      <w:bookmarkEnd w:id="301"/>
      <w:r>
        <w:rPr>
          <w:rFonts w:hint="eastAsia" w:ascii="宋体" w:hAnsi="宋体" w:eastAsia="宋体" w:cs="宋体"/>
          <w:b/>
          <w:bCs/>
          <w:i w:val="0"/>
          <w:iCs w:val="0"/>
          <w:color w:val="auto"/>
          <w:kern w:val="2"/>
          <w:sz w:val="24"/>
          <w:szCs w:val="24"/>
          <w:highlight w:val="none"/>
          <w:lang w:val="en-US" w:eastAsia="zh-CN" w:bidi="ar-SA"/>
        </w:rPr>
        <w:t>磋商小组</w:t>
      </w:r>
    </w:p>
    <w:p w14:paraId="473A9FB2">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.1 磋商小组由采购人代表和评审专家共3人以上单数组成，其中评审专家人数不得少于磋商小组成员总数的2/3。采购人代表不得以评审专家身份参加本部门或本单位采购项目的评审。采购代理机构人员不得参加本机构代理的采购项目的评审。</w:t>
      </w:r>
    </w:p>
    <w:p w14:paraId="52DE5191">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.2 磋商小组成员有下列情形之一的，应当回避：</w:t>
      </w:r>
    </w:p>
    <w:p w14:paraId="314FDEBF">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（1）参加采购活动前3年内与</w:t>
      </w:r>
      <w:r>
        <w:rPr>
          <w:rFonts w:hint="eastAsia" w:ascii="宋体" w:hAnsi="宋体" w:eastAsia="宋体" w:cs="宋体"/>
          <w:i w:val="0"/>
          <w:iCs w:val="0"/>
          <w:color w:val="auto"/>
          <w:sz w:val="24"/>
          <w:szCs w:val="24"/>
          <w:highlight w:val="none"/>
          <w:lang w:val="en-US" w:eastAsia="zh-CN"/>
        </w:rPr>
        <w:t>磋商供应商</w:t>
      </w:r>
      <w:r>
        <w:rPr>
          <w:rFonts w:hint="eastAsia" w:ascii="宋体" w:hAnsi="宋体" w:eastAsia="宋体" w:cs="宋体"/>
          <w:i w:val="0"/>
          <w:iCs w:val="0"/>
          <w:color w:val="auto"/>
          <w:sz w:val="24"/>
          <w:szCs w:val="24"/>
          <w:highlight w:val="none"/>
        </w:rPr>
        <w:t>存在劳动关系；</w:t>
      </w:r>
    </w:p>
    <w:p w14:paraId="132C8306">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（2）参加采购活动前3年内担任</w:t>
      </w:r>
      <w:r>
        <w:rPr>
          <w:rFonts w:hint="eastAsia" w:ascii="宋体" w:hAnsi="宋体" w:eastAsia="宋体" w:cs="宋体"/>
          <w:i w:val="0"/>
          <w:iCs w:val="0"/>
          <w:color w:val="auto"/>
          <w:sz w:val="24"/>
          <w:szCs w:val="24"/>
          <w:highlight w:val="none"/>
          <w:lang w:val="en-US" w:eastAsia="zh-CN"/>
        </w:rPr>
        <w:t>磋商供应商</w:t>
      </w:r>
      <w:r>
        <w:rPr>
          <w:rFonts w:hint="eastAsia" w:ascii="宋体" w:hAnsi="宋体" w:eastAsia="宋体" w:cs="宋体"/>
          <w:i w:val="0"/>
          <w:iCs w:val="0"/>
          <w:color w:val="auto"/>
          <w:sz w:val="24"/>
          <w:szCs w:val="24"/>
          <w:highlight w:val="none"/>
        </w:rPr>
        <w:t>的董事、监事；</w:t>
      </w:r>
    </w:p>
    <w:p w14:paraId="50ECCF2E">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（3）参加采购活动前3年内是</w:t>
      </w:r>
      <w:r>
        <w:rPr>
          <w:rFonts w:hint="eastAsia" w:ascii="宋体" w:hAnsi="宋体" w:eastAsia="宋体" w:cs="宋体"/>
          <w:i w:val="0"/>
          <w:iCs w:val="0"/>
          <w:color w:val="auto"/>
          <w:sz w:val="24"/>
          <w:szCs w:val="24"/>
          <w:highlight w:val="none"/>
          <w:lang w:val="en-US" w:eastAsia="zh-CN"/>
        </w:rPr>
        <w:t>磋商供应商</w:t>
      </w:r>
      <w:r>
        <w:rPr>
          <w:rFonts w:hint="eastAsia" w:ascii="宋体" w:hAnsi="宋体" w:eastAsia="宋体" w:cs="宋体"/>
          <w:i w:val="0"/>
          <w:iCs w:val="0"/>
          <w:color w:val="auto"/>
          <w:sz w:val="24"/>
          <w:szCs w:val="24"/>
          <w:highlight w:val="none"/>
        </w:rPr>
        <w:t>的控股股东或者实际控制人；</w:t>
      </w:r>
    </w:p>
    <w:p w14:paraId="2189E507">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（4）与</w:t>
      </w:r>
      <w:r>
        <w:rPr>
          <w:rFonts w:hint="eastAsia" w:ascii="宋体" w:hAnsi="宋体" w:eastAsia="宋体" w:cs="宋体"/>
          <w:i w:val="0"/>
          <w:iCs w:val="0"/>
          <w:color w:val="auto"/>
          <w:sz w:val="24"/>
          <w:szCs w:val="24"/>
          <w:highlight w:val="none"/>
          <w:lang w:val="en-US" w:eastAsia="zh-CN"/>
        </w:rPr>
        <w:t>磋商供应商</w:t>
      </w:r>
      <w:r>
        <w:rPr>
          <w:rFonts w:hint="eastAsia" w:ascii="宋体" w:hAnsi="宋体" w:eastAsia="宋体" w:cs="宋体"/>
          <w:i w:val="0"/>
          <w:iCs w:val="0"/>
          <w:color w:val="auto"/>
          <w:sz w:val="24"/>
          <w:szCs w:val="24"/>
          <w:highlight w:val="none"/>
        </w:rPr>
        <w:t>的法定代表人或者负责人有夫妻、直系血亲、三代以内旁系血亲或者近姻亲关系；</w:t>
      </w:r>
    </w:p>
    <w:p w14:paraId="4A744A9E">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（5）与</w:t>
      </w:r>
      <w:r>
        <w:rPr>
          <w:rFonts w:hint="eastAsia" w:ascii="宋体" w:hAnsi="宋体" w:eastAsia="宋体" w:cs="宋体"/>
          <w:i w:val="0"/>
          <w:iCs w:val="0"/>
          <w:color w:val="auto"/>
          <w:sz w:val="24"/>
          <w:szCs w:val="24"/>
          <w:highlight w:val="none"/>
          <w:lang w:val="en-US" w:eastAsia="zh-CN"/>
        </w:rPr>
        <w:t>磋商供应商</w:t>
      </w:r>
      <w:r>
        <w:rPr>
          <w:rFonts w:hint="eastAsia" w:ascii="宋体" w:hAnsi="宋体" w:eastAsia="宋体" w:cs="宋体"/>
          <w:i w:val="0"/>
          <w:iCs w:val="0"/>
          <w:color w:val="auto"/>
          <w:sz w:val="24"/>
          <w:szCs w:val="24"/>
          <w:highlight w:val="none"/>
        </w:rPr>
        <w:t>有其他可能影响采购活动公平、公正进行的关系。</w:t>
      </w:r>
    </w:p>
    <w:p w14:paraId="5DF4FBE0">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302" w:name="_Toc163492858"/>
      <w:bookmarkStart w:id="303" w:name="_Toc140132791"/>
      <w:r>
        <w:rPr>
          <w:rFonts w:hint="eastAsia" w:ascii="宋体" w:hAnsi="宋体" w:eastAsia="宋体" w:cs="宋体"/>
          <w:b/>
          <w:bCs/>
          <w:i w:val="0"/>
          <w:iCs w:val="0"/>
          <w:color w:val="auto"/>
          <w:kern w:val="2"/>
          <w:sz w:val="24"/>
          <w:szCs w:val="24"/>
          <w:highlight w:val="none"/>
          <w:lang w:val="en-US" w:eastAsia="zh-CN" w:bidi="ar-SA"/>
        </w:rPr>
        <w:t>29.</w:t>
      </w:r>
      <w:bookmarkEnd w:id="302"/>
      <w:bookmarkEnd w:id="303"/>
      <w:r>
        <w:rPr>
          <w:rFonts w:hint="eastAsia" w:ascii="宋体" w:hAnsi="宋体" w:eastAsia="宋体" w:cs="宋体"/>
          <w:b/>
          <w:bCs/>
          <w:i w:val="0"/>
          <w:iCs w:val="0"/>
          <w:color w:val="auto"/>
          <w:kern w:val="2"/>
          <w:sz w:val="24"/>
          <w:szCs w:val="24"/>
          <w:highlight w:val="none"/>
          <w:lang w:val="en-US" w:eastAsia="zh-CN" w:bidi="ar-SA"/>
        </w:rPr>
        <w:t>评审</w:t>
      </w:r>
    </w:p>
    <w:p w14:paraId="181B6186">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29</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 xml:space="preserve">1 </w:t>
      </w:r>
      <w:r>
        <w:rPr>
          <w:rFonts w:hint="eastAsia" w:ascii="宋体" w:hAnsi="宋体" w:eastAsia="宋体" w:cs="宋体"/>
          <w:i w:val="0"/>
          <w:iCs w:val="0"/>
          <w:color w:val="auto"/>
          <w:sz w:val="24"/>
          <w:szCs w:val="24"/>
          <w:highlight w:val="none"/>
        </w:rPr>
        <w:t>磋商小组按照“第</w:t>
      </w:r>
      <w:r>
        <w:rPr>
          <w:rFonts w:hint="eastAsia" w:ascii="宋体" w:hAnsi="宋体" w:eastAsia="宋体" w:cs="宋体"/>
          <w:i w:val="0"/>
          <w:iCs w:val="0"/>
          <w:color w:val="auto"/>
          <w:sz w:val="24"/>
          <w:szCs w:val="24"/>
          <w:highlight w:val="none"/>
          <w:lang w:val="en-US" w:eastAsia="zh-CN"/>
        </w:rPr>
        <w:t>四</w:t>
      </w:r>
      <w:r>
        <w:rPr>
          <w:rFonts w:hint="eastAsia" w:ascii="宋体" w:hAnsi="宋体" w:eastAsia="宋体" w:cs="宋体"/>
          <w:i w:val="0"/>
          <w:iCs w:val="0"/>
          <w:color w:val="auto"/>
          <w:sz w:val="24"/>
          <w:szCs w:val="24"/>
          <w:highlight w:val="none"/>
        </w:rPr>
        <w:t>章</w:t>
      </w: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方法及标准”</w:t>
      </w:r>
      <w:r>
        <w:rPr>
          <w:rFonts w:hint="eastAsia" w:ascii="宋体" w:hAnsi="宋体" w:eastAsia="宋体" w:cs="宋体"/>
          <w:i w:val="0"/>
          <w:iCs w:val="0"/>
          <w:color w:val="auto"/>
          <w:sz w:val="24"/>
          <w:szCs w:val="24"/>
          <w:highlight w:val="none"/>
          <w:lang w:val="en-US" w:eastAsia="zh-CN"/>
        </w:rPr>
        <w:t>的</w:t>
      </w:r>
      <w:r>
        <w:rPr>
          <w:rFonts w:hint="eastAsia" w:ascii="宋体" w:hAnsi="宋体" w:eastAsia="宋体" w:cs="宋体"/>
          <w:i w:val="0"/>
          <w:iCs w:val="0"/>
          <w:color w:val="auto"/>
          <w:sz w:val="24"/>
          <w:szCs w:val="24"/>
          <w:highlight w:val="none"/>
        </w:rPr>
        <w:t>规定对</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文件进行评审。“第</w:t>
      </w:r>
      <w:r>
        <w:rPr>
          <w:rFonts w:hint="eastAsia" w:ascii="宋体" w:hAnsi="宋体" w:eastAsia="宋体" w:cs="宋体"/>
          <w:i w:val="0"/>
          <w:iCs w:val="0"/>
          <w:color w:val="auto"/>
          <w:sz w:val="24"/>
          <w:szCs w:val="24"/>
          <w:highlight w:val="none"/>
          <w:lang w:val="en-US" w:eastAsia="zh-CN"/>
        </w:rPr>
        <w:t>四</w:t>
      </w:r>
      <w:r>
        <w:rPr>
          <w:rFonts w:hint="eastAsia" w:ascii="宋体" w:hAnsi="宋体" w:eastAsia="宋体" w:cs="宋体"/>
          <w:i w:val="0"/>
          <w:iCs w:val="0"/>
          <w:color w:val="auto"/>
          <w:sz w:val="24"/>
          <w:szCs w:val="24"/>
          <w:highlight w:val="none"/>
        </w:rPr>
        <w:t>章</w:t>
      </w: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方法及标准”没有规定的方法、评审因素和标准，不作为评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依据。</w:t>
      </w:r>
    </w:p>
    <w:p w14:paraId="3489F855">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29</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 xml:space="preserve">2 </w:t>
      </w:r>
      <w:r>
        <w:rPr>
          <w:rFonts w:hint="eastAsia" w:ascii="宋体" w:hAnsi="宋体" w:eastAsia="宋体" w:cs="宋体"/>
          <w:i w:val="0"/>
          <w:iCs w:val="0"/>
          <w:color w:val="auto"/>
          <w:sz w:val="24"/>
          <w:szCs w:val="24"/>
          <w:highlight w:val="none"/>
        </w:rPr>
        <w:t>磋商小组按“</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须知前附表”规定的</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候选人数量在评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报告中向采购人推荐</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候选人。</w:t>
      </w:r>
    </w:p>
    <w:p w14:paraId="53B538FC">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29.3 开启之后，直到签订合同止，凡是属于审查、澄清、评价和比较磋商的有关资料以及确定成交意向等，均不得向供应商或者其他与评审无关的人员透露。</w:t>
      </w:r>
    </w:p>
    <w:p w14:paraId="519E4ABE">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29.4 在确定成交人之前，供应商试图在响应文件审查、澄清、比较和评审时对</w:t>
      </w:r>
      <w:r>
        <w:rPr>
          <w:rFonts w:hint="eastAsia" w:ascii="宋体" w:hAnsi="宋体" w:eastAsia="宋体" w:cs="宋体"/>
          <w:i w:val="0"/>
          <w:iCs w:val="0"/>
          <w:color w:val="auto"/>
          <w:sz w:val="24"/>
          <w:szCs w:val="24"/>
          <w:highlight w:val="none"/>
        </w:rPr>
        <w:t>磋商小组</w:t>
      </w:r>
      <w:r>
        <w:rPr>
          <w:rFonts w:hint="eastAsia" w:ascii="宋体" w:hAnsi="宋体" w:eastAsia="宋体" w:cs="宋体"/>
          <w:i w:val="0"/>
          <w:iCs w:val="0"/>
          <w:color w:val="auto"/>
          <w:sz w:val="24"/>
          <w:szCs w:val="24"/>
          <w:highlight w:val="none"/>
          <w:lang w:val="en-US" w:eastAsia="zh-CN"/>
        </w:rPr>
        <w:t>、采购人和采购代理机构施加任何影响都可能导致其</w:t>
      </w:r>
      <w:r>
        <w:rPr>
          <w:rFonts w:hint="eastAsia" w:ascii="宋体" w:hAnsi="宋体" w:eastAsia="宋体" w:cs="宋体"/>
          <w:b/>
          <w:bCs/>
          <w:i w:val="0"/>
          <w:iCs w:val="0"/>
          <w:color w:val="auto"/>
          <w:sz w:val="24"/>
          <w:szCs w:val="24"/>
          <w:highlight w:val="none"/>
          <w:lang w:val="en-US" w:eastAsia="zh-CN"/>
        </w:rPr>
        <w:t>响应无效</w:t>
      </w:r>
      <w:r>
        <w:rPr>
          <w:rFonts w:hint="eastAsia" w:ascii="宋体" w:hAnsi="宋体" w:eastAsia="宋体" w:cs="宋体"/>
          <w:i w:val="0"/>
          <w:iCs w:val="0"/>
          <w:color w:val="auto"/>
          <w:sz w:val="24"/>
          <w:szCs w:val="24"/>
          <w:highlight w:val="none"/>
          <w:lang w:val="en-US" w:eastAsia="zh-CN"/>
        </w:rPr>
        <w:t>。</w:t>
      </w:r>
    </w:p>
    <w:p w14:paraId="25703026">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29.5 电子招投标的应急措施</w:t>
      </w:r>
    </w:p>
    <w:p w14:paraId="177E7810">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29.5.1电子开启、评审如出现下列原因，导致系统无法正常运行或无法正常评审时，应采取应急措施。</w:t>
      </w:r>
    </w:p>
    <w:p w14:paraId="59563197">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（1）系统服务器发生故障，无法访问或无法使用系统；</w:t>
      </w:r>
    </w:p>
    <w:p w14:paraId="61BF6C62">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（2）系统的软件或数据库出现错误，不能进行正常操作；</w:t>
      </w:r>
    </w:p>
    <w:p w14:paraId="77E72DD8">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（3）系统发现有安全漏洞，有潜在的泄密危险；</w:t>
      </w:r>
    </w:p>
    <w:p w14:paraId="5A584DDB">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（4）病毒发作或受到外来病毒的攻击；</w:t>
      </w:r>
    </w:p>
    <w:p w14:paraId="269D9B20">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（5）出现其他不可抗拒的客观原因造成开评标系统无法正常使用。</w:t>
      </w:r>
    </w:p>
    <w:p w14:paraId="07F3C422">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出现上述情况时，应对未开启的暂停开启。已在系统内开启、评审的立即停止。采取应急措施时，必须对原有资料及信息作出妥善保密处理。</w:t>
      </w:r>
    </w:p>
    <w:p w14:paraId="16CB5055">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29.5.2因系统原因导致供应商均无法解密电子响应文件时，采购代理机构可在开启现场直接导入供应商在递交响应文件截止时间前递交的未加密的电子响应文件进行开启、评审。</w:t>
      </w:r>
    </w:p>
    <w:p w14:paraId="6FC75C94">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29.6 供应商瑕疵滞后发现的处理规则</w:t>
      </w:r>
    </w:p>
    <w:p w14:paraId="65721EB1">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29.6.1无论基于何种原因，各项本应作拒绝处理的情形即便未被及时发现而使该供应商进入初审、综合评审或其他后续程序，包括已经签订合同的情形，一旦供应商被拒绝或该供应商的此前评议结果被取消，其现有的位置将被其他供应商依序替代，相关的一切损失均由该供应商承担。</w:t>
      </w:r>
    </w:p>
    <w:p w14:paraId="06FAF6B4">
      <w:pPr>
        <w:pStyle w:val="5"/>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304" w:name="_Toc46771670"/>
      <w:bookmarkStart w:id="305" w:name="_Toc109899563"/>
      <w:bookmarkStart w:id="306" w:name="_Toc109900401"/>
      <w:bookmarkStart w:id="307" w:name="_Toc6316"/>
      <w:bookmarkStart w:id="308" w:name="_Toc470172692"/>
      <w:bookmarkStart w:id="309" w:name="_Toc109899982"/>
      <w:bookmarkStart w:id="310" w:name="_Toc163493616"/>
      <w:bookmarkStart w:id="311" w:name="_Toc109897464"/>
      <w:r>
        <w:rPr>
          <w:rFonts w:hint="eastAsia" w:ascii="宋体" w:hAnsi="宋体" w:eastAsia="宋体" w:cs="宋体"/>
          <w:b/>
          <w:bCs/>
          <w:i w:val="0"/>
          <w:iCs w:val="0"/>
          <w:color w:val="auto"/>
          <w:kern w:val="2"/>
          <w:sz w:val="24"/>
          <w:szCs w:val="24"/>
          <w:highlight w:val="none"/>
          <w:lang w:val="en-US" w:eastAsia="zh-CN" w:bidi="ar-SA"/>
        </w:rPr>
        <w:t>（八）成交</w:t>
      </w:r>
      <w:bookmarkEnd w:id="304"/>
      <w:bookmarkEnd w:id="305"/>
      <w:bookmarkEnd w:id="306"/>
      <w:bookmarkEnd w:id="307"/>
      <w:bookmarkEnd w:id="308"/>
      <w:bookmarkEnd w:id="309"/>
      <w:bookmarkEnd w:id="310"/>
      <w:bookmarkEnd w:id="311"/>
    </w:p>
    <w:p w14:paraId="62138C83">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312" w:name="_Toc48688820"/>
      <w:bookmarkStart w:id="313" w:name="_Toc109900402"/>
      <w:bookmarkStart w:id="314" w:name="_Toc46771671"/>
      <w:bookmarkStart w:id="315" w:name="_Toc109899983"/>
      <w:bookmarkStart w:id="316" w:name="_Toc52962758"/>
      <w:bookmarkStart w:id="317" w:name="_Toc46772272"/>
      <w:bookmarkStart w:id="318" w:name="_Toc52960584"/>
      <w:bookmarkStart w:id="319" w:name="_Toc109899564"/>
      <w:bookmarkStart w:id="320" w:name="_Toc51674242"/>
      <w:bookmarkStart w:id="321" w:name="_Toc109897465"/>
      <w:bookmarkStart w:id="322" w:name="_Toc48846140"/>
      <w:bookmarkStart w:id="323" w:name="_Hlk143533953"/>
      <w:r>
        <w:rPr>
          <w:rFonts w:hint="eastAsia" w:ascii="宋体" w:hAnsi="宋体" w:eastAsia="宋体" w:cs="宋体"/>
          <w:b/>
          <w:bCs/>
          <w:i w:val="0"/>
          <w:iCs w:val="0"/>
          <w:color w:val="auto"/>
          <w:kern w:val="2"/>
          <w:sz w:val="24"/>
          <w:szCs w:val="24"/>
          <w:highlight w:val="none"/>
          <w:lang w:val="en-US" w:eastAsia="zh-CN" w:bidi="ar-SA"/>
        </w:rPr>
        <w:t>30.确定成交供应商</w:t>
      </w:r>
      <w:bookmarkEnd w:id="312"/>
      <w:bookmarkEnd w:id="313"/>
      <w:bookmarkEnd w:id="314"/>
      <w:bookmarkEnd w:id="315"/>
      <w:bookmarkEnd w:id="316"/>
      <w:bookmarkEnd w:id="317"/>
      <w:bookmarkEnd w:id="318"/>
      <w:bookmarkEnd w:id="319"/>
      <w:bookmarkEnd w:id="320"/>
      <w:bookmarkEnd w:id="321"/>
      <w:bookmarkEnd w:id="322"/>
    </w:p>
    <w:p w14:paraId="47B97776">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en-US" w:eastAsia="zh-CN"/>
        </w:rPr>
        <w:t>30</w:t>
      </w:r>
      <w:r>
        <w:rPr>
          <w:rFonts w:hint="eastAsia" w:ascii="宋体" w:hAnsi="宋体" w:eastAsia="宋体" w:cs="宋体"/>
          <w:i w:val="0"/>
          <w:iCs w:val="0"/>
          <w:snapToGrid w:val="0"/>
          <w:color w:val="auto"/>
          <w:sz w:val="24"/>
          <w:szCs w:val="24"/>
          <w:highlight w:val="none"/>
          <w:lang w:val="zh-CN"/>
        </w:rPr>
        <w:t>.1确定成交供应商详见”供应商须知前附表”。</w:t>
      </w:r>
    </w:p>
    <w:p w14:paraId="4B75E6C5">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31.成交结果公告</w:t>
      </w:r>
    </w:p>
    <w:p w14:paraId="1FB2A74D">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lang w:bidi="ar"/>
        </w:rPr>
      </w:pPr>
      <w:r>
        <w:rPr>
          <w:rFonts w:hint="eastAsia" w:ascii="宋体" w:hAnsi="宋体" w:eastAsia="宋体" w:cs="宋体"/>
          <w:i w:val="0"/>
          <w:iCs w:val="0"/>
          <w:snapToGrid w:val="0"/>
          <w:color w:val="auto"/>
          <w:sz w:val="24"/>
          <w:szCs w:val="24"/>
          <w:highlight w:val="none"/>
          <w:lang w:val="en-US" w:eastAsia="zh-CN"/>
        </w:rPr>
        <w:t>31</w:t>
      </w: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color w:val="auto"/>
          <w:sz w:val="24"/>
          <w:szCs w:val="24"/>
          <w:highlight w:val="none"/>
          <w:lang w:bidi="ar"/>
        </w:rPr>
        <w:t>采购人或者采购代理机构应当在成交供应商确定后2个工作日内，在省级以上财政部门指定的政府采购信息发布媒体上公告成交结果，磋商文件</w:t>
      </w:r>
      <w:r>
        <w:rPr>
          <w:rFonts w:hint="eastAsia" w:ascii="宋体" w:hAnsi="宋体" w:eastAsia="宋体" w:cs="宋体"/>
          <w:i w:val="0"/>
          <w:iCs w:val="0"/>
          <w:color w:val="auto"/>
          <w:sz w:val="24"/>
          <w:szCs w:val="24"/>
          <w:highlight w:val="none"/>
          <w:lang w:eastAsia="zh-CN" w:bidi="ar"/>
        </w:rPr>
        <w:t>、</w:t>
      </w:r>
      <w:r>
        <w:rPr>
          <w:rFonts w:hint="eastAsia" w:ascii="宋体" w:hAnsi="宋体" w:eastAsia="宋体" w:cs="宋体"/>
          <w:bCs/>
          <w:i w:val="0"/>
          <w:iCs w:val="0"/>
          <w:color w:val="auto"/>
          <w:sz w:val="24"/>
          <w:szCs w:val="24"/>
          <w:highlight w:val="none"/>
          <w:lang w:eastAsia="zh-CN"/>
        </w:rPr>
        <w:t>成交</w:t>
      </w:r>
      <w:r>
        <w:rPr>
          <w:rFonts w:hint="eastAsia" w:ascii="宋体" w:hAnsi="宋体" w:eastAsia="宋体" w:cs="宋体"/>
          <w:bCs/>
          <w:i w:val="0"/>
          <w:iCs w:val="0"/>
          <w:color w:val="auto"/>
          <w:sz w:val="24"/>
          <w:szCs w:val="24"/>
          <w:highlight w:val="none"/>
          <w:lang w:val="en-US" w:eastAsia="zh-CN"/>
        </w:rPr>
        <w:t>供应商的评审总得分</w:t>
      </w:r>
      <w:r>
        <w:rPr>
          <w:rFonts w:hint="eastAsia" w:ascii="宋体" w:hAnsi="宋体" w:eastAsia="宋体" w:cs="宋体"/>
          <w:i w:val="0"/>
          <w:iCs w:val="0"/>
          <w:color w:val="auto"/>
          <w:sz w:val="24"/>
          <w:szCs w:val="24"/>
          <w:highlight w:val="none"/>
          <w:lang w:bidi="ar"/>
        </w:rPr>
        <w:t>随成交结果同时公告。</w:t>
      </w:r>
    </w:p>
    <w:p w14:paraId="1CDF00BF">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lang w:bidi="ar"/>
        </w:rPr>
      </w:pPr>
      <w:r>
        <w:rPr>
          <w:rFonts w:hint="eastAsia" w:ascii="宋体" w:hAnsi="宋体" w:eastAsia="宋体" w:cs="宋体"/>
          <w:bCs/>
          <w:i w:val="0"/>
          <w:iCs w:val="0"/>
          <w:color w:val="auto"/>
          <w:sz w:val="24"/>
          <w:szCs w:val="24"/>
          <w:highlight w:val="none"/>
        </w:rPr>
        <w:t>3</w:t>
      </w:r>
      <w:r>
        <w:rPr>
          <w:rFonts w:hint="eastAsia" w:ascii="宋体" w:hAnsi="宋体" w:eastAsia="宋体" w:cs="宋体"/>
          <w:bCs/>
          <w:i w:val="0"/>
          <w:iCs w:val="0"/>
          <w:color w:val="auto"/>
          <w:sz w:val="24"/>
          <w:szCs w:val="24"/>
          <w:highlight w:val="none"/>
          <w:lang w:val="en-US" w:eastAsia="zh-CN"/>
        </w:rPr>
        <w:t>1</w:t>
      </w:r>
      <w:r>
        <w:rPr>
          <w:rFonts w:hint="eastAsia" w:ascii="宋体" w:hAnsi="宋体" w:eastAsia="宋体" w:cs="宋体"/>
          <w:bCs/>
          <w:i w:val="0"/>
          <w:iCs w:val="0"/>
          <w:color w:val="auto"/>
          <w:sz w:val="24"/>
          <w:szCs w:val="24"/>
          <w:highlight w:val="none"/>
        </w:rPr>
        <w:t>.2</w:t>
      </w:r>
      <w:r>
        <w:rPr>
          <w:rFonts w:hint="eastAsia" w:ascii="宋体" w:hAnsi="宋体" w:eastAsia="宋体" w:cs="宋体"/>
          <w:bCs/>
          <w:i w:val="0"/>
          <w:iCs w:val="0"/>
          <w:color w:val="auto"/>
          <w:sz w:val="24"/>
          <w:szCs w:val="24"/>
          <w:highlight w:val="none"/>
          <w:lang w:eastAsia="zh-CN"/>
        </w:rPr>
        <w:t>成交</w:t>
      </w:r>
      <w:r>
        <w:rPr>
          <w:rFonts w:hint="eastAsia" w:ascii="宋体" w:hAnsi="宋体" w:eastAsia="宋体" w:cs="宋体"/>
          <w:bCs/>
          <w:i w:val="0"/>
          <w:iCs w:val="0"/>
          <w:color w:val="auto"/>
          <w:sz w:val="24"/>
          <w:szCs w:val="24"/>
          <w:highlight w:val="none"/>
          <w:lang w:val="en-US" w:eastAsia="zh-CN"/>
        </w:rPr>
        <w:t>人</w:t>
      </w:r>
      <w:r>
        <w:rPr>
          <w:rFonts w:hint="eastAsia" w:ascii="宋体" w:hAnsi="宋体" w:eastAsia="宋体" w:cs="宋体"/>
          <w:bCs/>
          <w:i w:val="0"/>
          <w:iCs w:val="0"/>
          <w:color w:val="auto"/>
          <w:sz w:val="24"/>
          <w:szCs w:val="24"/>
          <w:highlight w:val="none"/>
          <w:lang w:eastAsia="zh-CN"/>
        </w:rPr>
        <w:t>为中小企业</w:t>
      </w:r>
      <w:r>
        <w:rPr>
          <w:rFonts w:hint="eastAsia" w:ascii="宋体" w:hAnsi="宋体" w:eastAsia="宋体" w:cs="宋体"/>
          <w:bCs/>
          <w:i w:val="0"/>
          <w:iCs w:val="0"/>
          <w:color w:val="auto"/>
          <w:sz w:val="24"/>
          <w:szCs w:val="24"/>
          <w:highlight w:val="none"/>
          <w:lang w:val="en-US" w:eastAsia="zh-CN"/>
        </w:rPr>
        <w:t>享受中小企业扶持政策的</w:t>
      </w:r>
      <w:r>
        <w:rPr>
          <w:rFonts w:hint="eastAsia" w:ascii="宋体" w:hAnsi="宋体" w:eastAsia="宋体" w:cs="宋体"/>
          <w:bCs/>
          <w:i w:val="0"/>
          <w:iCs w:val="0"/>
          <w:color w:val="auto"/>
          <w:sz w:val="24"/>
          <w:szCs w:val="24"/>
          <w:highlight w:val="none"/>
          <w:lang w:eastAsia="zh-CN"/>
        </w:rPr>
        <w:t>，其“中小企业声明函”随成交结果同时公告。成交</w:t>
      </w:r>
      <w:r>
        <w:rPr>
          <w:rFonts w:hint="eastAsia" w:ascii="宋体" w:hAnsi="宋体" w:eastAsia="宋体" w:cs="宋体"/>
          <w:bCs/>
          <w:i w:val="0"/>
          <w:iCs w:val="0"/>
          <w:color w:val="auto"/>
          <w:sz w:val="24"/>
          <w:szCs w:val="24"/>
          <w:highlight w:val="none"/>
          <w:lang w:val="en-US" w:eastAsia="zh-CN"/>
        </w:rPr>
        <w:t>人</w:t>
      </w:r>
      <w:r>
        <w:rPr>
          <w:rFonts w:hint="eastAsia" w:ascii="宋体" w:hAnsi="宋体" w:eastAsia="宋体" w:cs="宋体"/>
          <w:bCs/>
          <w:i w:val="0"/>
          <w:iCs w:val="0"/>
          <w:color w:val="auto"/>
          <w:sz w:val="24"/>
          <w:szCs w:val="24"/>
          <w:highlight w:val="none"/>
          <w:lang w:eastAsia="zh-CN"/>
        </w:rPr>
        <w:t>为残疾人福利性单位的，其“残疾人福利性单位声明函”随成交结果同时公告。</w:t>
      </w:r>
    </w:p>
    <w:p w14:paraId="5754E4A0">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32.成交通知书</w:t>
      </w:r>
    </w:p>
    <w:p w14:paraId="6E1BB993">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en-US" w:eastAsia="zh-CN"/>
        </w:rPr>
        <w:t>32</w:t>
      </w:r>
      <w:r>
        <w:rPr>
          <w:rFonts w:hint="eastAsia" w:ascii="宋体" w:hAnsi="宋体" w:eastAsia="宋体" w:cs="宋体"/>
          <w:i w:val="0"/>
          <w:iCs w:val="0"/>
          <w:snapToGrid w:val="0"/>
          <w:color w:val="auto"/>
          <w:sz w:val="24"/>
          <w:szCs w:val="24"/>
          <w:highlight w:val="none"/>
          <w:lang w:val="zh-CN"/>
        </w:rPr>
        <w:t>.1发布成交结果公告同时向成交供应商发出成交通知书。成交通知书是合同的组成部分,对成交供应商和采购人具有同等法律效力。</w:t>
      </w:r>
    </w:p>
    <w:p w14:paraId="5ABD7558">
      <w:pPr>
        <w:pStyle w:val="5"/>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324" w:name="_Toc2979"/>
      <w:bookmarkStart w:id="325" w:name="_Toc163493617"/>
      <w:r>
        <w:rPr>
          <w:rFonts w:hint="eastAsia" w:ascii="宋体" w:hAnsi="宋体" w:eastAsia="宋体" w:cs="宋体"/>
          <w:b/>
          <w:bCs/>
          <w:i w:val="0"/>
          <w:iCs w:val="0"/>
          <w:color w:val="auto"/>
          <w:kern w:val="2"/>
          <w:sz w:val="24"/>
          <w:szCs w:val="24"/>
          <w:highlight w:val="none"/>
          <w:lang w:val="en-US" w:eastAsia="zh-CN" w:bidi="ar-SA"/>
        </w:rPr>
        <w:t>（九）签订合同</w:t>
      </w:r>
      <w:bookmarkEnd w:id="324"/>
      <w:bookmarkEnd w:id="325"/>
    </w:p>
    <w:p w14:paraId="75912555">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326" w:name="_Toc52960585"/>
      <w:bookmarkStart w:id="327" w:name="_Toc46771672"/>
      <w:bookmarkStart w:id="328" w:name="_Toc109900403"/>
      <w:bookmarkStart w:id="329" w:name="_Toc51674243"/>
      <w:bookmarkStart w:id="330" w:name="_Toc52962759"/>
      <w:bookmarkStart w:id="331" w:name="_Toc109897466"/>
      <w:bookmarkStart w:id="332" w:name="_Toc48688821"/>
      <w:bookmarkStart w:id="333" w:name="_Toc109899984"/>
      <w:bookmarkStart w:id="334" w:name="_Toc109899565"/>
      <w:bookmarkStart w:id="335" w:name="_Toc48846141"/>
      <w:bookmarkStart w:id="336" w:name="_Toc46772273"/>
      <w:r>
        <w:rPr>
          <w:rFonts w:hint="eastAsia" w:ascii="宋体" w:hAnsi="宋体" w:eastAsia="宋体" w:cs="宋体"/>
          <w:b/>
          <w:bCs/>
          <w:i w:val="0"/>
          <w:iCs w:val="0"/>
          <w:color w:val="auto"/>
          <w:kern w:val="2"/>
          <w:sz w:val="24"/>
          <w:szCs w:val="24"/>
          <w:highlight w:val="none"/>
          <w:lang w:val="en-US" w:eastAsia="zh-CN" w:bidi="ar-SA"/>
        </w:rPr>
        <w:t>33.履约保证金</w:t>
      </w:r>
    </w:p>
    <w:p w14:paraId="06CC9D01">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.1在签订合同前，成交供应商应按“供应商须知前附表”规定的金额、担保形式和采购人认可的履约担保格式向采购人提交履约保证金。</w:t>
      </w:r>
    </w:p>
    <w:p w14:paraId="164CA329">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.2成交供应商不能按本章第3</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.1项要求提交履约担保的，视为放弃成交，给采购人造成损失的，成交供应商还应当承担民事责任。</w:t>
      </w:r>
    </w:p>
    <w:p w14:paraId="4B224ECE">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34.签订合同</w:t>
      </w:r>
      <w:bookmarkEnd w:id="326"/>
      <w:bookmarkEnd w:id="327"/>
      <w:bookmarkEnd w:id="328"/>
      <w:bookmarkEnd w:id="329"/>
      <w:bookmarkEnd w:id="330"/>
      <w:bookmarkEnd w:id="331"/>
      <w:bookmarkEnd w:id="332"/>
      <w:bookmarkEnd w:id="333"/>
      <w:bookmarkEnd w:id="334"/>
      <w:bookmarkEnd w:id="335"/>
      <w:bookmarkEnd w:id="336"/>
    </w:p>
    <w:p w14:paraId="5058C0C6">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snapToGrid w:val="0"/>
          <w:color w:val="auto"/>
          <w:sz w:val="24"/>
          <w:szCs w:val="24"/>
          <w:highlight w:val="none"/>
          <w:lang w:val="zh-CN"/>
        </w:rPr>
        <w:t>3</w:t>
      </w:r>
      <w:r>
        <w:rPr>
          <w:rFonts w:hint="eastAsia" w:ascii="宋体" w:hAnsi="宋体" w:eastAsia="宋体" w:cs="宋体"/>
          <w:i w:val="0"/>
          <w:iCs w:val="0"/>
          <w:snapToGrid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.1采购人与成交供应商应当在成交通知书发出之日起</w:t>
      </w:r>
      <w:r>
        <w:rPr>
          <w:rFonts w:hint="eastAsia" w:cs="宋体"/>
          <w:i w:val="0"/>
          <w:iCs w:val="0"/>
          <w:snapToGrid w:val="0"/>
          <w:color w:val="auto"/>
          <w:sz w:val="24"/>
          <w:szCs w:val="24"/>
          <w:highlight w:val="none"/>
          <w:lang w:val="en-US" w:eastAsia="zh-CN"/>
        </w:rPr>
        <w:t>30</w:t>
      </w:r>
      <w:r>
        <w:rPr>
          <w:rFonts w:hint="eastAsia" w:ascii="宋体" w:hAnsi="宋体" w:eastAsia="宋体" w:cs="宋体"/>
          <w:i w:val="0"/>
          <w:iCs w:val="0"/>
          <w:snapToGrid w:val="0"/>
          <w:color w:val="auto"/>
          <w:sz w:val="24"/>
          <w:szCs w:val="24"/>
          <w:highlight w:val="none"/>
          <w:lang w:val="zh-CN"/>
        </w:rPr>
        <w:t>日内，按照磋商文件确定的合同文本以及采购标的、规格型号、采购金额、采购数量、技术和服务要求等事项签订政府采购合同。</w:t>
      </w:r>
      <w:r>
        <w:rPr>
          <w:rFonts w:hint="eastAsia" w:ascii="宋体" w:hAnsi="宋体" w:eastAsia="宋体" w:cs="宋体"/>
          <w:i w:val="0"/>
          <w:iCs w:val="0"/>
          <w:color w:val="auto"/>
          <w:sz w:val="24"/>
          <w:szCs w:val="24"/>
          <w:highlight w:val="none"/>
        </w:rPr>
        <w:t>采购人因不可抗力原因迟延签订合同的，应当自不可抗力事由消除之日起7日内完成合同签订事宜。所签订的合同不得对</w:t>
      </w:r>
      <w:r>
        <w:rPr>
          <w:rFonts w:hint="eastAsia" w:ascii="宋体" w:hAnsi="宋体" w:eastAsia="宋体"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rPr>
        <w:t>文件和</w:t>
      </w:r>
      <w:r>
        <w:rPr>
          <w:rFonts w:hint="eastAsia" w:ascii="宋体" w:hAnsi="宋体" w:eastAsia="宋体" w:cs="宋体"/>
          <w:i w:val="0"/>
          <w:iCs w:val="0"/>
          <w:color w:val="auto"/>
          <w:sz w:val="24"/>
          <w:szCs w:val="24"/>
          <w:highlight w:val="none"/>
          <w:lang w:val="en-US" w:eastAsia="zh-CN"/>
        </w:rPr>
        <w:t>成交供应商响应</w:t>
      </w:r>
      <w:r>
        <w:rPr>
          <w:rFonts w:hint="eastAsia" w:ascii="宋体" w:hAnsi="宋体" w:eastAsia="宋体" w:cs="宋体"/>
          <w:i w:val="0"/>
          <w:iCs w:val="0"/>
          <w:color w:val="auto"/>
          <w:sz w:val="24"/>
          <w:szCs w:val="24"/>
          <w:highlight w:val="none"/>
        </w:rPr>
        <w:t>文件作实质性修改。</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人无正当理由拒签合同，给采购人造成损失的，</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人还应当承担民事责任。</w:t>
      </w:r>
    </w:p>
    <w:p w14:paraId="3EAF3456">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zh-CN"/>
        </w:rPr>
        <w:t>成交供应商拒绝签订政府采购合同的，采购人可以</w:t>
      </w:r>
      <w:r>
        <w:rPr>
          <w:rFonts w:hint="eastAsia" w:ascii="宋体" w:hAnsi="宋体" w:eastAsia="宋体" w:cs="宋体"/>
          <w:i w:val="0"/>
          <w:iCs w:val="0"/>
          <w:color w:val="auto"/>
          <w:sz w:val="24"/>
          <w:szCs w:val="24"/>
          <w:highlight w:val="none"/>
          <w:lang w:val="en-US" w:eastAsia="zh-CN"/>
        </w:rPr>
        <w:t>按照</w:t>
      </w:r>
      <w:r>
        <w:rPr>
          <w:rFonts w:hint="eastAsia" w:ascii="宋体" w:hAnsi="宋体" w:eastAsia="宋体" w:cs="宋体"/>
          <w:i w:val="0"/>
          <w:iCs w:val="0"/>
          <w:color w:val="auto"/>
          <w:sz w:val="24"/>
          <w:szCs w:val="24"/>
          <w:highlight w:val="none"/>
          <w:lang w:val="zh-CN"/>
        </w:rPr>
        <w:t>《政府采购竞争性磋商采购方式管理暂行办法》（财库〔2014〕214号）第二十八条第二款的规定确定其他供应商作为成交供应商并签订政府采购合同，也可以重新开展采购活动。拒绝签订政府采购合同的成交供应商不得参加对该项目重新开展的采购活动。</w:t>
      </w:r>
    </w:p>
    <w:p w14:paraId="75E2BDEC">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bCs/>
          <w:i w:val="0"/>
          <w:iCs w:val="0"/>
          <w:color w:val="auto"/>
          <w:sz w:val="24"/>
          <w:szCs w:val="24"/>
          <w:highlight w:val="none"/>
        </w:rPr>
        <w:t>3</w:t>
      </w:r>
      <w:r>
        <w:rPr>
          <w:rFonts w:hint="eastAsia" w:ascii="宋体" w:hAnsi="宋体" w:eastAsia="宋体" w:cs="宋体"/>
          <w:bCs/>
          <w:i w:val="0"/>
          <w:iCs w:val="0"/>
          <w:color w:val="auto"/>
          <w:sz w:val="24"/>
          <w:szCs w:val="24"/>
          <w:highlight w:val="none"/>
          <w:lang w:val="en-US" w:eastAsia="zh-CN"/>
        </w:rPr>
        <w:t>4</w:t>
      </w:r>
      <w:r>
        <w:rPr>
          <w:rFonts w:hint="eastAsia" w:ascii="宋体" w:hAnsi="宋体" w:eastAsia="宋体" w:cs="宋体"/>
          <w:bCs/>
          <w:i w:val="0"/>
          <w:iCs w:val="0"/>
          <w:color w:val="auto"/>
          <w:sz w:val="24"/>
          <w:szCs w:val="24"/>
          <w:highlight w:val="none"/>
        </w:rPr>
        <w:t>.3</w:t>
      </w:r>
      <w:r>
        <w:rPr>
          <w:rFonts w:hint="eastAsia" w:ascii="宋体" w:hAnsi="宋体" w:eastAsia="宋体" w:cs="宋体"/>
          <w:i w:val="0"/>
          <w:iCs w:val="0"/>
          <w:color w:val="auto"/>
          <w:sz w:val="24"/>
          <w:szCs w:val="24"/>
          <w:highlight w:val="none"/>
        </w:rPr>
        <w:t>采购人和</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供应商不得向对方提出任何不合理的要求，作为签订合同的条件，双方不得私下订立背离合同实质性内容的协议。</w:t>
      </w:r>
    </w:p>
    <w:p w14:paraId="5359F461">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34.4联合体成交的，联合体各方应当共同与采购人签订合同，就采购合同约定的事项向采购人承担连带责任。</w:t>
      </w:r>
    </w:p>
    <w:p w14:paraId="53534F51">
      <w:pPr>
        <w:pStyle w:val="41"/>
        <w:keepNext w:val="0"/>
        <w:keepLines w:val="0"/>
        <w:pageBreakBefore w:val="0"/>
        <w:widowControl w:val="0"/>
        <w:kinsoku/>
        <w:overflowPunct/>
        <w:topLinePunct w:val="0"/>
        <w:bidi w:val="0"/>
        <w:ind w:firstLine="480"/>
        <w:textAlignment w:val="auto"/>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34.5本项目的非主体、非关键性工作是否允许分包，见“供应商须知前附表”。</w:t>
      </w:r>
      <w:r>
        <w:rPr>
          <w:rFonts w:hint="eastAsia" w:ascii="宋体" w:hAnsi="宋体" w:eastAsia="宋体" w:cs="宋体"/>
          <w:i w:val="0"/>
          <w:iCs w:val="0"/>
          <w:color w:val="auto"/>
          <w:sz w:val="24"/>
          <w:szCs w:val="24"/>
          <w:highlight w:val="none"/>
        </w:rPr>
        <w:t>供应商未遵守竞争性磋商文件分包规定的，其</w:t>
      </w:r>
      <w:r>
        <w:rPr>
          <w:rFonts w:hint="eastAsia" w:ascii="宋体" w:hAnsi="宋体" w:eastAsia="宋体" w:cs="宋体"/>
          <w:b/>
          <w:bCs/>
          <w:i w:val="0"/>
          <w:iCs w:val="0"/>
          <w:color w:val="auto"/>
          <w:sz w:val="24"/>
          <w:szCs w:val="24"/>
          <w:highlight w:val="none"/>
        </w:rPr>
        <w:t>响应无效</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采购人允许采用分包方式履行合同的，成交供应商可以依法在成交后将成交项目的非主体、非关键性工作采取分包方式履行合同。政府采购合同分包履行的，应当在响应文件中载明分包承担主体，分包承担主体应当具备相应资质条件且不得再次分包，否则</w:t>
      </w:r>
      <w:r>
        <w:rPr>
          <w:rFonts w:hint="eastAsia" w:ascii="宋体" w:hAnsi="宋体" w:eastAsia="宋体" w:cs="宋体"/>
          <w:b/>
          <w:bCs/>
          <w:i w:val="0"/>
          <w:iCs w:val="0"/>
          <w:color w:val="auto"/>
          <w:sz w:val="24"/>
          <w:szCs w:val="24"/>
          <w:highlight w:val="none"/>
          <w:lang w:val="en-US" w:eastAsia="zh-CN"/>
        </w:rPr>
        <w:t>成交无效</w:t>
      </w:r>
      <w:r>
        <w:rPr>
          <w:rFonts w:hint="eastAsia" w:ascii="宋体" w:hAnsi="宋体" w:eastAsia="宋体" w:cs="宋体"/>
          <w:i w:val="0"/>
          <w:iCs w:val="0"/>
          <w:color w:val="auto"/>
          <w:sz w:val="24"/>
          <w:szCs w:val="24"/>
          <w:highlight w:val="none"/>
          <w:lang w:val="en-US" w:eastAsia="zh-CN"/>
        </w:rPr>
        <w:t>。成交供应商就采购项目和分包项目向采购人负责，分包供应商就分包项目承担责任。</w:t>
      </w:r>
      <w:r>
        <w:rPr>
          <w:rFonts w:hint="eastAsia" w:ascii="宋体" w:hAnsi="宋体" w:eastAsia="宋体" w:cs="宋体"/>
          <w:b/>
          <w:bCs/>
          <w:i w:val="0"/>
          <w:iCs w:val="0"/>
          <w:color w:val="auto"/>
          <w:sz w:val="24"/>
          <w:szCs w:val="24"/>
          <w:highlight w:val="none"/>
          <w:lang w:val="en-US" w:eastAsia="zh-CN"/>
        </w:rPr>
        <w:t>政府采购合同不能转包。</w:t>
      </w:r>
    </w:p>
    <w:p w14:paraId="3FFAB156">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bCs/>
          <w:i w:val="0"/>
          <w:iCs w:val="0"/>
          <w:color w:val="auto"/>
          <w:sz w:val="24"/>
          <w:szCs w:val="24"/>
          <w:highlight w:val="none"/>
        </w:rPr>
        <w:t>3</w:t>
      </w:r>
      <w:r>
        <w:rPr>
          <w:rFonts w:hint="eastAsia" w:ascii="宋体" w:hAnsi="宋体" w:eastAsia="宋体" w:cs="宋体"/>
          <w:bCs/>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采购合同履行中，采购人需追加与合同标的相同的</w:t>
      </w:r>
      <w:r>
        <w:rPr>
          <w:rFonts w:hint="eastAsia" w:ascii="宋体" w:hAnsi="宋体" w:eastAsia="宋体" w:cs="宋体"/>
          <w:i w:val="0"/>
          <w:iCs w:val="0"/>
          <w:color w:val="auto"/>
          <w:sz w:val="24"/>
          <w:szCs w:val="24"/>
          <w:highlight w:val="none"/>
          <w:lang w:val="en-US" w:eastAsia="zh-CN"/>
        </w:rPr>
        <w:t>货物、工程或者服务</w:t>
      </w:r>
      <w:r>
        <w:rPr>
          <w:rFonts w:hint="eastAsia" w:ascii="宋体" w:hAnsi="宋体" w:eastAsia="宋体" w:cs="宋体"/>
          <w:i w:val="0"/>
          <w:iCs w:val="0"/>
          <w:color w:val="auto"/>
          <w:sz w:val="24"/>
          <w:szCs w:val="24"/>
          <w:highlight w:val="none"/>
        </w:rPr>
        <w:t>的，在不改变合同其他条款的前提下，可以与成交供应商协商签订补充合同，但所有补充合同的采购金额不得超过原合同采购金额的百分之十。</w:t>
      </w:r>
    </w:p>
    <w:p w14:paraId="49F4F39A">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34.7采购人应于签订合同之日起2个工作日内在政采云平台备案公示。</w:t>
      </w:r>
    </w:p>
    <w:bookmarkEnd w:id="323"/>
    <w:p w14:paraId="09BDEAA0">
      <w:pPr>
        <w:pStyle w:val="5"/>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337" w:name="_Toc109899566"/>
      <w:bookmarkStart w:id="338" w:name="_Toc109900404"/>
      <w:bookmarkStart w:id="339" w:name="_Toc109899985"/>
      <w:bookmarkStart w:id="340" w:name="_Toc46771673"/>
      <w:bookmarkStart w:id="341" w:name="_Toc109897467"/>
      <w:bookmarkStart w:id="342" w:name="_Toc10843"/>
      <w:bookmarkStart w:id="343" w:name="_Toc163493618"/>
      <w:bookmarkStart w:id="344" w:name="_Toc470172693"/>
      <w:r>
        <w:rPr>
          <w:rFonts w:hint="eastAsia" w:ascii="宋体" w:hAnsi="宋体" w:eastAsia="宋体" w:cs="宋体"/>
          <w:b/>
          <w:bCs/>
          <w:i w:val="0"/>
          <w:iCs w:val="0"/>
          <w:color w:val="auto"/>
          <w:kern w:val="2"/>
          <w:sz w:val="24"/>
          <w:szCs w:val="24"/>
          <w:highlight w:val="none"/>
          <w:lang w:val="en-US" w:eastAsia="zh-CN" w:bidi="ar-SA"/>
        </w:rPr>
        <w:t>（十）质疑和投诉</w:t>
      </w:r>
      <w:bookmarkEnd w:id="337"/>
      <w:bookmarkEnd w:id="338"/>
      <w:bookmarkEnd w:id="339"/>
      <w:bookmarkEnd w:id="340"/>
      <w:bookmarkEnd w:id="341"/>
      <w:bookmarkEnd w:id="342"/>
      <w:bookmarkEnd w:id="343"/>
    </w:p>
    <w:p w14:paraId="537D2B26">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345" w:name="_Toc46771674"/>
      <w:bookmarkStart w:id="346" w:name="_Toc109897468"/>
      <w:bookmarkStart w:id="347" w:name="_Toc109900405"/>
      <w:bookmarkStart w:id="348" w:name="_Toc109899986"/>
      <w:bookmarkStart w:id="349" w:name="_Toc48846143"/>
      <w:bookmarkStart w:id="350" w:name="_Toc52962761"/>
      <w:bookmarkStart w:id="351" w:name="_Toc109899567"/>
      <w:bookmarkStart w:id="352" w:name="_Toc46772275"/>
      <w:bookmarkStart w:id="353" w:name="_Toc48688823"/>
      <w:bookmarkStart w:id="354" w:name="_Toc51674245"/>
      <w:bookmarkStart w:id="355" w:name="_Toc52960587"/>
      <w:r>
        <w:rPr>
          <w:rFonts w:hint="eastAsia" w:ascii="宋体" w:hAnsi="宋体" w:eastAsia="宋体" w:cs="宋体"/>
          <w:b/>
          <w:bCs/>
          <w:i w:val="0"/>
          <w:iCs w:val="0"/>
          <w:color w:val="auto"/>
          <w:kern w:val="2"/>
          <w:sz w:val="24"/>
          <w:szCs w:val="24"/>
          <w:highlight w:val="none"/>
          <w:lang w:val="en-US" w:eastAsia="zh-CN" w:bidi="ar-SA"/>
        </w:rPr>
        <w:t>35.质疑</w:t>
      </w:r>
      <w:bookmarkEnd w:id="345"/>
      <w:bookmarkEnd w:id="346"/>
      <w:bookmarkEnd w:id="347"/>
      <w:bookmarkEnd w:id="348"/>
      <w:bookmarkEnd w:id="349"/>
      <w:bookmarkEnd w:id="350"/>
      <w:bookmarkEnd w:id="351"/>
      <w:bookmarkEnd w:id="352"/>
      <w:bookmarkEnd w:id="353"/>
      <w:bookmarkEnd w:id="354"/>
      <w:bookmarkEnd w:id="355"/>
    </w:p>
    <w:bookmarkEnd w:id="94"/>
    <w:bookmarkEnd w:id="344"/>
    <w:p w14:paraId="07AA3BA5">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en-US" w:eastAsia="zh-CN"/>
        </w:rPr>
      </w:pPr>
      <w:bookmarkStart w:id="356" w:name="_Toc48846144"/>
      <w:bookmarkStart w:id="357" w:name="_Toc109899568"/>
      <w:bookmarkStart w:id="358" w:name="_Toc46772276"/>
      <w:bookmarkStart w:id="359" w:name="_Toc52960588"/>
      <w:bookmarkStart w:id="360" w:name="_Toc48688824"/>
      <w:bookmarkStart w:id="361" w:name="_Toc109900406"/>
      <w:bookmarkStart w:id="362" w:name="_Toc52962762"/>
      <w:bookmarkStart w:id="363" w:name="_Toc46771675"/>
      <w:bookmarkStart w:id="364" w:name="_Toc51674246"/>
      <w:bookmarkStart w:id="365" w:name="_Toc109897469"/>
      <w:bookmarkStart w:id="366" w:name="_Toc109899987"/>
      <w:bookmarkStart w:id="367" w:name="_Toc163493619"/>
      <w:bookmarkStart w:id="368" w:name="_Hlk60570485"/>
      <w:bookmarkStart w:id="369" w:name="_Toc109899989"/>
      <w:bookmarkStart w:id="370" w:name="_Toc109899570"/>
      <w:bookmarkStart w:id="371" w:name="_Toc109897471"/>
      <w:bookmarkStart w:id="372" w:name="_Toc109900408"/>
      <w:r>
        <w:rPr>
          <w:rFonts w:hint="eastAsia" w:ascii="宋体" w:hAnsi="宋体" w:eastAsia="宋体" w:cs="宋体"/>
          <w:bCs/>
          <w:i w:val="0"/>
          <w:iCs w:val="0"/>
          <w:color w:val="auto"/>
          <w:sz w:val="24"/>
          <w:szCs w:val="24"/>
          <w:highlight w:val="none"/>
        </w:rPr>
        <w:t>3</w:t>
      </w:r>
      <w:r>
        <w:rPr>
          <w:rFonts w:hint="eastAsia" w:ascii="宋体" w:hAnsi="宋体" w:eastAsia="宋体" w:cs="宋体"/>
          <w:bCs/>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.1供应商认为</w:t>
      </w:r>
      <w:r>
        <w:rPr>
          <w:rFonts w:hint="eastAsia" w:ascii="宋体" w:hAnsi="宋体" w:eastAsia="宋体" w:cs="宋体"/>
          <w:i w:val="0"/>
          <w:iCs w:val="0"/>
          <w:color w:val="auto"/>
          <w:sz w:val="24"/>
          <w:szCs w:val="24"/>
          <w:highlight w:val="none"/>
          <w:lang w:eastAsia="zh-CN"/>
        </w:rPr>
        <w:t>磋商</w:t>
      </w:r>
      <w:r>
        <w:rPr>
          <w:rFonts w:hint="eastAsia" w:ascii="宋体" w:hAnsi="宋体" w:eastAsia="宋体" w:cs="宋体"/>
          <w:i w:val="0"/>
          <w:iCs w:val="0"/>
          <w:color w:val="auto"/>
          <w:sz w:val="24"/>
          <w:szCs w:val="24"/>
          <w:highlight w:val="none"/>
        </w:rPr>
        <w:t>文件、</w:t>
      </w:r>
      <w:r>
        <w:rPr>
          <w:rFonts w:hint="eastAsia" w:ascii="宋体" w:hAnsi="宋体" w:eastAsia="宋体" w:cs="宋体"/>
          <w:i w:val="0"/>
          <w:iCs w:val="0"/>
          <w:color w:val="auto"/>
          <w:sz w:val="24"/>
          <w:szCs w:val="24"/>
          <w:highlight w:val="none"/>
          <w:lang w:eastAsia="zh-CN"/>
        </w:rPr>
        <w:t>评审</w:t>
      </w:r>
      <w:r>
        <w:rPr>
          <w:rFonts w:hint="eastAsia" w:ascii="宋体" w:hAnsi="宋体" w:eastAsia="宋体" w:cs="宋体"/>
          <w:i w:val="0"/>
          <w:iCs w:val="0"/>
          <w:color w:val="auto"/>
          <w:sz w:val="24"/>
          <w:szCs w:val="24"/>
          <w:highlight w:val="none"/>
        </w:rPr>
        <w:t>过程、成交结果使自己的权益受到损害的，可以在知道或者应知其权益受到损害之日起7个工作日内，以书面形式向采购人、采购代理机构提出质疑</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详见“供应商须知前附表”</w:t>
      </w:r>
      <w:r>
        <w:rPr>
          <w:rFonts w:hint="eastAsia" w:ascii="宋体" w:hAnsi="宋体" w:eastAsia="宋体" w:cs="宋体"/>
          <w:i w:val="0"/>
          <w:iCs w:val="0"/>
          <w:color w:val="auto"/>
          <w:sz w:val="24"/>
          <w:szCs w:val="24"/>
          <w:highlight w:val="none"/>
        </w:rPr>
        <w:t>。供应商在法定质疑期内一次性提出针对同一采购程序环节的质疑。</w:t>
      </w:r>
    </w:p>
    <w:p w14:paraId="5E161E37">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bCs/>
          <w:i w:val="0"/>
          <w:iCs w:val="0"/>
          <w:color w:val="auto"/>
          <w:sz w:val="24"/>
          <w:szCs w:val="24"/>
          <w:highlight w:val="none"/>
        </w:rPr>
        <w:t>3</w:t>
      </w:r>
      <w:r>
        <w:rPr>
          <w:rFonts w:hint="eastAsia" w:ascii="宋体" w:hAnsi="宋体" w:eastAsia="宋体" w:cs="宋体"/>
          <w:bCs/>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.2提出质疑的供应商（以下简称质疑供应商）应当是参与所质疑项目采购活动的供应商。</w:t>
      </w:r>
    </w:p>
    <w:p w14:paraId="4B26E251">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35.3</w:t>
      </w:r>
      <w:r>
        <w:rPr>
          <w:rFonts w:hint="eastAsia" w:ascii="宋体" w:hAnsi="宋体" w:eastAsia="宋体" w:cs="宋体"/>
          <w:i w:val="0"/>
          <w:iCs w:val="0"/>
          <w:color w:val="auto"/>
          <w:sz w:val="24"/>
          <w:szCs w:val="24"/>
          <w:highlight w:val="none"/>
        </w:rPr>
        <w:t>潜在供应商已依法获取其可质疑的</w:t>
      </w:r>
      <w:r>
        <w:rPr>
          <w:rFonts w:hint="eastAsia" w:ascii="宋体" w:hAnsi="宋体" w:eastAsia="宋体" w:cs="宋体"/>
          <w:i w:val="0"/>
          <w:iCs w:val="0"/>
          <w:color w:val="auto"/>
          <w:sz w:val="24"/>
          <w:szCs w:val="24"/>
          <w:highlight w:val="none"/>
          <w:lang w:eastAsia="zh-CN"/>
        </w:rPr>
        <w:t>磋商</w:t>
      </w:r>
      <w:r>
        <w:rPr>
          <w:rFonts w:hint="eastAsia" w:ascii="宋体" w:hAnsi="宋体" w:eastAsia="宋体" w:cs="宋体"/>
          <w:i w:val="0"/>
          <w:iCs w:val="0"/>
          <w:color w:val="auto"/>
          <w:sz w:val="24"/>
          <w:szCs w:val="24"/>
          <w:highlight w:val="none"/>
        </w:rPr>
        <w:t>文件的，可以对该文件提出质疑。对</w:t>
      </w:r>
      <w:r>
        <w:rPr>
          <w:rFonts w:hint="eastAsia" w:ascii="宋体" w:hAnsi="宋体" w:eastAsia="宋体" w:cs="宋体"/>
          <w:i w:val="0"/>
          <w:iCs w:val="0"/>
          <w:color w:val="auto"/>
          <w:sz w:val="24"/>
          <w:szCs w:val="24"/>
          <w:highlight w:val="none"/>
          <w:lang w:eastAsia="zh-CN"/>
        </w:rPr>
        <w:t>磋商</w:t>
      </w:r>
      <w:r>
        <w:rPr>
          <w:rFonts w:hint="eastAsia" w:ascii="宋体" w:hAnsi="宋体" w:eastAsia="宋体" w:cs="宋体"/>
          <w:i w:val="0"/>
          <w:iCs w:val="0"/>
          <w:color w:val="auto"/>
          <w:sz w:val="24"/>
          <w:szCs w:val="24"/>
          <w:highlight w:val="none"/>
        </w:rPr>
        <w:t>文件提出质疑的，应当在获取</w:t>
      </w:r>
      <w:r>
        <w:rPr>
          <w:rFonts w:hint="eastAsia" w:ascii="宋体" w:hAnsi="宋体" w:eastAsia="宋体" w:cs="宋体"/>
          <w:i w:val="0"/>
          <w:iCs w:val="0"/>
          <w:color w:val="auto"/>
          <w:sz w:val="24"/>
          <w:szCs w:val="24"/>
          <w:highlight w:val="none"/>
          <w:lang w:eastAsia="zh-CN"/>
        </w:rPr>
        <w:t>磋商</w:t>
      </w:r>
      <w:r>
        <w:rPr>
          <w:rFonts w:hint="eastAsia" w:ascii="宋体" w:hAnsi="宋体" w:eastAsia="宋体" w:cs="宋体"/>
          <w:i w:val="0"/>
          <w:iCs w:val="0"/>
          <w:color w:val="auto"/>
          <w:sz w:val="24"/>
          <w:szCs w:val="24"/>
          <w:highlight w:val="none"/>
        </w:rPr>
        <w:t>文件或者</w:t>
      </w:r>
      <w:r>
        <w:rPr>
          <w:rFonts w:hint="eastAsia" w:ascii="宋体" w:hAnsi="宋体" w:eastAsia="宋体" w:cs="宋体"/>
          <w:i w:val="0"/>
          <w:iCs w:val="0"/>
          <w:color w:val="auto"/>
          <w:sz w:val="24"/>
          <w:szCs w:val="24"/>
          <w:highlight w:val="none"/>
          <w:lang w:eastAsia="zh-CN"/>
        </w:rPr>
        <w:t>磋商</w:t>
      </w:r>
      <w:r>
        <w:rPr>
          <w:rFonts w:hint="eastAsia" w:ascii="宋体" w:hAnsi="宋体" w:eastAsia="宋体" w:cs="宋体"/>
          <w:i w:val="0"/>
          <w:iCs w:val="0"/>
          <w:color w:val="auto"/>
          <w:sz w:val="24"/>
          <w:szCs w:val="24"/>
          <w:highlight w:val="none"/>
        </w:rPr>
        <w:t>文件公告期限届满之日起7个工作日内提出。</w:t>
      </w:r>
    </w:p>
    <w:p w14:paraId="75848CE8">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35.4</w:t>
      </w:r>
      <w:r>
        <w:rPr>
          <w:rFonts w:hint="eastAsia" w:ascii="宋体" w:hAnsi="宋体" w:eastAsia="宋体" w:cs="宋体"/>
          <w:i w:val="0"/>
          <w:iCs w:val="0"/>
          <w:color w:val="auto"/>
          <w:sz w:val="24"/>
          <w:szCs w:val="24"/>
          <w:highlight w:val="none"/>
        </w:rPr>
        <w:t>供应商提出质疑应当提交质疑函和必要的证明材料。质疑函应当包括下列内容：</w:t>
      </w:r>
    </w:p>
    <w:p w14:paraId="45B8F417">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）供应商的姓名或者名称、地址、邮编、联系人及联系电话；</w:t>
      </w:r>
    </w:p>
    <w:p w14:paraId="13C59923">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）质疑项目的名称、</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编号</w:t>
      </w:r>
      <w:r>
        <w:rPr>
          <w:rFonts w:hint="eastAsia" w:ascii="宋体" w:hAnsi="宋体" w:eastAsia="宋体" w:cs="宋体"/>
          <w:i w:val="0"/>
          <w:iCs w:val="0"/>
          <w:color w:val="auto"/>
          <w:sz w:val="24"/>
          <w:szCs w:val="24"/>
          <w:highlight w:val="none"/>
          <w:lang w:val="en-US" w:eastAsia="zh-CN"/>
        </w:rPr>
        <w:t>/包号</w:t>
      </w:r>
      <w:r>
        <w:rPr>
          <w:rFonts w:hint="eastAsia" w:ascii="宋体" w:hAnsi="宋体" w:eastAsia="宋体" w:cs="宋体"/>
          <w:i w:val="0"/>
          <w:iCs w:val="0"/>
          <w:color w:val="auto"/>
          <w:sz w:val="24"/>
          <w:szCs w:val="24"/>
          <w:highlight w:val="none"/>
        </w:rPr>
        <w:t>；</w:t>
      </w:r>
    </w:p>
    <w:p w14:paraId="39F57BDB">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）具体、明确的质疑事项和与质疑事项相关的请求；</w:t>
      </w:r>
    </w:p>
    <w:p w14:paraId="4DBFE033">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）事实依据；</w:t>
      </w:r>
    </w:p>
    <w:p w14:paraId="0202C930">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）必要的法律依据；</w:t>
      </w:r>
    </w:p>
    <w:p w14:paraId="2CC057DD">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）提出质疑的日期。</w:t>
      </w:r>
    </w:p>
    <w:p w14:paraId="3F51C6E8">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供应商为自然人的，应当由本人签字；供应商为法人或者其他组织的，应当由法定代表人、主要负责人，或者其授权代表签字或者盖章，并加盖公章。</w:t>
      </w:r>
    </w:p>
    <w:p w14:paraId="249156E0">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.5质疑函不符合上述要求的，采购人或代理机构应书面告知具体事项，质疑人应当按要求进行修改或补充，并在质疑有效期限内提交。</w:t>
      </w:r>
    </w:p>
    <w:p w14:paraId="36DB2C8E">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rPr>
        <w:t>3</w:t>
      </w:r>
      <w:r>
        <w:rPr>
          <w:rFonts w:hint="eastAsia" w:ascii="宋体" w:hAnsi="宋体" w:eastAsia="宋体" w:cs="宋体"/>
          <w:i w:val="0"/>
          <w:iCs w:val="0"/>
          <w:snapToGrid w:val="0"/>
          <w:color w:val="auto"/>
          <w:sz w:val="24"/>
          <w:szCs w:val="24"/>
          <w:highlight w:val="none"/>
          <w:lang w:val="en-US" w:eastAsia="zh-CN"/>
        </w:rPr>
        <w:t>5</w:t>
      </w:r>
      <w:r>
        <w:rPr>
          <w:rFonts w:hint="eastAsia" w:ascii="宋体" w:hAnsi="宋体" w:eastAsia="宋体" w:cs="宋体"/>
          <w:i w:val="0"/>
          <w:iCs w:val="0"/>
          <w:snapToGrid w:val="0"/>
          <w:color w:val="auto"/>
          <w:sz w:val="24"/>
          <w:szCs w:val="24"/>
          <w:highlight w:val="none"/>
        </w:rPr>
        <w:t>.</w:t>
      </w:r>
      <w:r>
        <w:rPr>
          <w:rFonts w:hint="eastAsia" w:ascii="宋体" w:hAnsi="宋体" w:eastAsia="宋体" w:cs="宋体"/>
          <w:i w:val="0"/>
          <w:iCs w:val="0"/>
          <w:snapToGrid w:val="0"/>
          <w:color w:val="auto"/>
          <w:sz w:val="24"/>
          <w:szCs w:val="24"/>
          <w:highlight w:val="none"/>
          <w:lang w:val="en-US" w:eastAsia="zh-CN"/>
        </w:rPr>
        <w:t>6供应商</w:t>
      </w:r>
      <w:r>
        <w:rPr>
          <w:rFonts w:hint="eastAsia" w:ascii="宋体" w:hAnsi="宋体" w:eastAsia="宋体" w:cs="宋体"/>
          <w:i w:val="0"/>
          <w:iCs w:val="0"/>
          <w:snapToGrid w:val="0"/>
          <w:color w:val="auto"/>
          <w:sz w:val="24"/>
          <w:szCs w:val="24"/>
          <w:highlight w:val="none"/>
        </w:rPr>
        <w:t>进行虚假和恶意</w:t>
      </w:r>
      <w:r>
        <w:rPr>
          <w:rFonts w:hint="eastAsia" w:ascii="宋体" w:hAnsi="宋体" w:eastAsia="宋体" w:cs="宋体"/>
          <w:i w:val="0"/>
          <w:iCs w:val="0"/>
          <w:snapToGrid w:val="0"/>
          <w:color w:val="auto"/>
          <w:sz w:val="24"/>
          <w:szCs w:val="24"/>
          <w:highlight w:val="none"/>
          <w:lang w:val="en-US" w:eastAsia="zh-CN"/>
        </w:rPr>
        <w:t>质疑投诉</w:t>
      </w:r>
      <w:r>
        <w:rPr>
          <w:rFonts w:hint="eastAsia" w:ascii="宋体" w:hAnsi="宋体" w:eastAsia="宋体" w:cs="宋体"/>
          <w:i w:val="0"/>
          <w:iCs w:val="0"/>
          <w:snapToGrid w:val="0"/>
          <w:color w:val="auto"/>
          <w:sz w:val="24"/>
          <w:szCs w:val="24"/>
          <w:highlight w:val="none"/>
        </w:rPr>
        <w:t>的，采购代理机构将提请有关部门将其列入不良记录名单，在一至三年内禁止参加政府采购活动，并将处理决定在相关政府采购媒体上公布。</w:t>
      </w:r>
    </w:p>
    <w:p w14:paraId="1C88FA18">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35.7</w:t>
      </w:r>
      <w:r>
        <w:rPr>
          <w:rFonts w:hint="eastAsia" w:ascii="宋体" w:hAnsi="宋体" w:eastAsia="宋体" w:cs="宋体"/>
          <w:i w:val="0"/>
          <w:iCs w:val="0"/>
          <w:color w:val="auto"/>
          <w:sz w:val="24"/>
          <w:szCs w:val="24"/>
          <w:highlight w:val="none"/>
        </w:rPr>
        <w:t>质疑函</w:t>
      </w:r>
      <w:r>
        <w:rPr>
          <w:rFonts w:hint="eastAsia" w:ascii="宋体" w:hAnsi="宋体" w:eastAsia="宋体" w:cs="宋体"/>
          <w:i w:val="0"/>
          <w:iCs w:val="0"/>
          <w:color w:val="auto"/>
          <w:sz w:val="24"/>
          <w:szCs w:val="24"/>
          <w:highlight w:val="none"/>
          <w:lang w:val="en-US" w:eastAsia="zh-CN"/>
        </w:rPr>
        <w:t>应当使用中文，并采用财政部门制定的范本。</w:t>
      </w:r>
    </w:p>
    <w:p w14:paraId="4BC3BA39">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36.质疑答复</w:t>
      </w:r>
      <w:bookmarkEnd w:id="356"/>
      <w:bookmarkEnd w:id="357"/>
      <w:bookmarkEnd w:id="358"/>
      <w:bookmarkEnd w:id="359"/>
      <w:bookmarkEnd w:id="360"/>
      <w:bookmarkEnd w:id="361"/>
      <w:bookmarkEnd w:id="362"/>
      <w:bookmarkEnd w:id="363"/>
      <w:bookmarkEnd w:id="364"/>
      <w:bookmarkEnd w:id="365"/>
      <w:bookmarkEnd w:id="366"/>
    </w:p>
    <w:p w14:paraId="25644D8B">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bookmarkStart w:id="373" w:name="_Toc46771676"/>
      <w:bookmarkStart w:id="374" w:name="_Toc109899988"/>
      <w:bookmarkStart w:id="375" w:name="_Toc46772277"/>
      <w:bookmarkStart w:id="376" w:name="_Toc48846145"/>
      <w:bookmarkStart w:id="377" w:name="_Toc109900407"/>
      <w:bookmarkStart w:id="378" w:name="_Toc109897470"/>
      <w:bookmarkStart w:id="379" w:name="_Toc109899569"/>
      <w:bookmarkStart w:id="380" w:name="_Toc52960589"/>
      <w:bookmarkStart w:id="381" w:name="_Toc52962763"/>
      <w:bookmarkStart w:id="382" w:name="_Toc48688825"/>
      <w:bookmarkStart w:id="383" w:name="_Toc51674247"/>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.1采购人、采购代理机构不得拒收质疑供应商在法定质疑期内发出的质疑函，应当在收到质疑函后7个工作日内作出答复，并以书面形式通知质疑供应商和其他有关供应商。</w:t>
      </w:r>
    </w:p>
    <w:p w14:paraId="72784DD5">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36.2供应商对评审过程、成交结果提出质疑的，采购人、采购代理机构可以组织原竞争性磋商小组协助答复质疑。</w:t>
      </w:r>
    </w:p>
    <w:p w14:paraId="344D0750">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zh-CN" w:eastAsia="zh-CN"/>
        </w:rPr>
        <w:t>质疑答复应当包括下列内容：</w:t>
      </w:r>
    </w:p>
    <w:p w14:paraId="5DBE76F9">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lang w:val="zh-CN" w:eastAsia="zh-CN"/>
        </w:rPr>
        <w:t>）质疑供应商的姓名或者名称；</w:t>
      </w:r>
    </w:p>
    <w:p w14:paraId="15006B80">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val="zh-CN" w:eastAsia="zh-CN"/>
        </w:rPr>
        <w:t>）收到质疑函的日期、质疑项目名称及</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lang w:val="zh-CN" w:eastAsia="zh-CN"/>
        </w:rPr>
        <w:t>编号/包号；</w:t>
      </w:r>
    </w:p>
    <w:p w14:paraId="5B4360F4">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lang w:val="zh-CN" w:eastAsia="zh-CN"/>
        </w:rPr>
        <w:t>）质疑事项、质疑答复的具体内容、事实依据和法律依据；</w:t>
      </w:r>
    </w:p>
    <w:p w14:paraId="4E421E33">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lang w:val="zh-CN" w:eastAsia="zh-CN"/>
        </w:rPr>
        <w:t>）告知质疑供应商依法投诉的权利；</w:t>
      </w:r>
    </w:p>
    <w:p w14:paraId="21D25519">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lang w:val="zh-CN" w:eastAsia="zh-CN"/>
        </w:rPr>
        <w:t>）质疑答复人名称；</w:t>
      </w:r>
    </w:p>
    <w:p w14:paraId="72E77D04">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lang w:val="zh-CN" w:eastAsia="zh-CN"/>
        </w:rPr>
        <w:t>）答复质疑的日期。</w:t>
      </w:r>
    </w:p>
    <w:p w14:paraId="22FC7F1A">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en-US" w:eastAsia="zh-CN"/>
        </w:rPr>
        <w:t>36.3</w:t>
      </w:r>
      <w:r>
        <w:rPr>
          <w:rFonts w:hint="eastAsia" w:ascii="宋体" w:hAnsi="宋体" w:eastAsia="宋体" w:cs="宋体"/>
          <w:i w:val="0"/>
          <w:iCs w:val="0"/>
          <w:color w:val="auto"/>
          <w:sz w:val="24"/>
          <w:szCs w:val="24"/>
          <w:highlight w:val="none"/>
          <w:lang w:val="zh-CN" w:eastAsia="zh-CN"/>
        </w:rPr>
        <w:t>质疑答复的内容不得涉及商业秘密。</w:t>
      </w:r>
    </w:p>
    <w:p w14:paraId="0145162A">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37.投诉</w:t>
      </w:r>
      <w:bookmarkEnd w:id="373"/>
      <w:bookmarkEnd w:id="374"/>
      <w:bookmarkEnd w:id="375"/>
      <w:bookmarkEnd w:id="376"/>
      <w:bookmarkEnd w:id="377"/>
      <w:bookmarkEnd w:id="378"/>
      <w:bookmarkEnd w:id="379"/>
      <w:bookmarkEnd w:id="380"/>
      <w:bookmarkEnd w:id="381"/>
      <w:bookmarkEnd w:id="382"/>
      <w:bookmarkEnd w:id="383"/>
    </w:p>
    <w:p w14:paraId="0C73178D">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37.1</w:t>
      </w:r>
      <w:r>
        <w:rPr>
          <w:rFonts w:hint="eastAsia" w:ascii="宋体" w:hAnsi="宋体" w:eastAsia="宋体" w:cs="宋体"/>
          <w:i w:val="0"/>
          <w:iCs w:val="0"/>
          <w:color w:val="auto"/>
          <w:sz w:val="24"/>
          <w:szCs w:val="24"/>
          <w:highlight w:val="none"/>
        </w:rPr>
        <w:t>质疑供应商对采购人、采购代理机构的答复不满意，或者采购人、采购代理机构未在规定时间内作出答复的，可以在答复期满后15个工作日内向</w:t>
      </w:r>
      <w:r>
        <w:rPr>
          <w:rFonts w:hint="eastAsia" w:ascii="宋体" w:hAnsi="宋体" w:eastAsia="宋体" w:cs="宋体"/>
          <w:i w:val="0"/>
          <w:iCs w:val="0"/>
          <w:color w:val="auto"/>
          <w:sz w:val="24"/>
          <w:szCs w:val="24"/>
          <w:highlight w:val="none"/>
          <w:lang w:val="en-US" w:eastAsia="zh-CN"/>
        </w:rPr>
        <w:t>同级政府采购监督管理部门</w:t>
      </w:r>
      <w:r>
        <w:rPr>
          <w:rFonts w:hint="eastAsia" w:ascii="宋体" w:hAnsi="宋体" w:eastAsia="宋体" w:cs="宋体"/>
          <w:i w:val="0"/>
          <w:iCs w:val="0"/>
          <w:color w:val="auto"/>
          <w:sz w:val="24"/>
          <w:szCs w:val="24"/>
          <w:highlight w:val="none"/>
        </w:rPr>
        <w:t>提起投诉。</w:t>
      </w:r>
    </w:p>
    <w:p w14:paraId="3EB6A05F">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37.2</w:t>
      </w:r>
      <w:r>
        <w:rPr>
          <w:rFonts w:hint="eastAsia" w:ascii="宋体" w:hAnsi="宋体" w:eastAsia="宋体" w:cs="宋体"/>
          <w:i w:val="0"/>
          <w:iCs w:val="0"/>
          <w:color w:val="auto"/>
          <w:sz w:val="24"/>
          <w:szCs w:val="24"/>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301DF1FC">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）投诉人和被投诉人的姓名或者名称、通讯地址、邮编、联系人及联系电话；</w:t>
      </w:r>
    </w:p>
    <w:p w14:paraId="079C27ED">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）质疑和质疑答复情况说明及相关证明材料；</w:t>
      </w:r>
    </w:p>
    <w:p w14:paraId="21287769">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）具体、明确的投诉事项和与投诉事项相关的投诉请求；</w:t>
      </w:r>
    </w:p>
    <w:p w14:paraId="0E2E2E4D">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）事实依据；</w:t>
      </w:r>
    </w:p>
    <w:p w14:paraId="5DCB7244">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）法律依据；</w:t>
      </w:r>
    </w:p>
    <w:p w14:paraId="22E379BE">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）提起投诉的日期。</w:t>
      </w:r>
    </w:p>
    <w:p w14:paraId="28F8406A">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投诉人为自然人的，应当由本人签字；投诉人为法人或者其他组织的，应当由法定代表人、主要负责人，或者其授权代表签字或者盖章，并加盖公章。</w:t>
      </w:r>
    </w:p>
    <w:p w14:paraId="355697B9">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bCs/>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37.3</w:t>
      </w:r>
      <w:r>
        <w:rPr>
          <w:rFonts w:hint="eastAsia" w:ascii="宋体" w:hAnsi="宋体" w:eastAsia="宋体" w:cs="宋体"/>
          <w:i w:val="0"/>
          <w:iCs w:val="0"/>
          <w:color w:val="auto"/>
          <w:sz w:val="24"/>
          <w:szCs w:val="24"/>
          <w:highlight w:val="none"/>
        </w:rPr>
        <w:t>供应商</w:t>
      </w:r>
      <w:r>
        <w:rPr>
          <w:rFonts w:hint="eastAsia" w:ascii="宋体" w:hAnsi="宋体" w:eastAsia="宋体" w:cs="宋体"/>
          <w:i w:val="0"/>
          <w:iCs w:val="0"/>
          <w:color w:val="auto"/>
          <w:sz w:val="24"/>
          <w:szCs w:val="24"/>
          <w:highlight w:val="none"/>
          <w:lang w:val="en-US" w:eastAsia="zh-CN"/>
        </w:rPr>
        <w:t>质疑、</w:t>
      </w:r>
      <w:r>
        <w:rPr>
          <w:rFonts w:hint="eastAsia" w:ascii="宋体" w:hAnsi="宋体" w:eastAsia="宋体" w:cs="宋体"/>
          <w:i w:val="0"/>
          <w:iCs w:val="0"/>
          <w:color w:val="auto"/>
          <w:sz w:val="24"/>
          <w:szCs w:val="24"/>
          <w:highlight w:val="none"/>
        </w:rPr>
        <w:t>投诉</w:t>
      </w:r>
      <w:r>
        <w:rPr>
          <w:rFonts w:hint="eastAsia" w:ascii="宋体" w:hAnsi="宋体" w:eastAsia="宋体" w:cs="宋体"/>
          <w:i w:val="0"/>
          <w:iCs w:val="0"/>
          <w:color w:val="auto"/>
          <w:sz w:val="24"/>
          <w:szCs w:val="24"/>
          <w:highlight w:val="none"/>
          <w:lang w:val="en-US" w:eastAsia="zh-CN"/>
        </w:rPr>
        <w:t>应当有明确的请求和必要的证明材料</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供应商投诉的事项不得超出</w:t>
      </w:r>
      <w:r>
        <w:rPr>
          <w:rFonts w:hint="eastAsia" w:ascii="宋体" w:hAnsi="宋体" w:eastAsia="宋体" w:cs="宋体"/>
          <w:i w:val="0"/>
          <w:iCs w:val="0"/>
          <w:color w:val="auto"/>
          <w:sz w:val="24"/>
          <w:szCs w:val="24"/>
          <w:highlight w:val="none"/>
          <w:lang w:val="en-US" w:eastAsia="zh-CN"/>
        </w:rPr>
        <w:t>已</w:t>
      </w:r>
      <w:r>
        <w:rPr>
          <w:rFonts w:hint="eastAsia" w:ascii="宋体" w:hAnsi="宋体" w:eastAsia="宋体" w:cs="宋体"/>
          <w:i w:val="0"/>
          <w:iCs w:val="0"/>
          <w:color w:val="auto"/>
          <w:sz w:val="24"/>
          <w:szCs w:val="24"/>
          <w:highlight w:val="none"/>
        </w:rPr>
        <w:t>质疑事项的范围，但基于质疑答复内容提出的投诉事项除外</w:t>
      </w:r>
      <w:r>
        <w:rPr>
          <w:rFonts w:hint="eastAsia" w:ascii="宋体" w:hAnsi="宋体" w:eastAsia="宋体" w:cs="宋体"/>
          <w:bCs/>
          <w:i w:val="0"/>
          <w:iCs w:val="0"/>
          <w:color w:val="auto"/>
          <w:sz w:val="24"/>
          <w:szCs w:val="24"/>
          <w:highlight w:val="none"/>
        </w:rPr>
        <w:t>。</w:t>
      </w:r>
    </w:p>
    <w:p w14:paraId="3C57D05A">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snapToGrid w:val="0"/>
          <w:color w:val="auto"/>
          <w:sz w:val="24"/>
          <w:szCs w:val="24"/>
          <w:highlight w:val="none"/>
          <w:lang w:val="en-US" w:eastAsia="zh-CN"/>
        </w:rPr>
        <w:t>37.4</w:t>
      </w:r>
      <w:r>
        <w:rPr>
          <w:rFonts w:hint="eastAsia" w:ascii="宋体" w:hAnsi="宋体" w:eastAsia="宋体" w:cs="宋体"/>
          <w:i w:val="0"/>
          <w:iCs w:val="0"/>
          <w:color w:val="auto"/>
          <w:sz w:val="24"/>
          <w:szCs w:val="24"/>
          <w:highlight w:val="none"/>
          <w:lang w:val="en-US" w:eastAsia="zh-CN"/>
        </w:rPr>
        <w:t>投诉书应当使用中文，并采用财政部门制定的范本</w:t>
      </w:r>
      <w:r>
        <w:rPr>
          <w:rFonts w:hint="eastAsia" w:ascii="宋体" w:hAnsi="宋体" w:eastAsia="宋体" w:cs="宋体"/>
          <w:i w:val="0"/>
          <w:iCs w:val="0"/>
          <w:color w:val="auto"/>
          <w:sz w:val="24"/>
          <w:szCs w:val="24"/>
          <w:highlight w:val="none"/>
          <w:lang w:val="zh-CN" w:eastAsia="zh-CN"/>
        </w:rPr>
        <w:t>。</w:t>
      </w:r>
    </w:p>
    <w:p w14:paraId="14DAA7E2">
      <w:pPr>
        <w:pStyle w:val="5"/>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384" w:name="_Toc21708"/>
      <w:r>
        <w:rPr>
          <w:rFonts w:hint="eastAsia" w:ascii="宋体" w:hAnsi="宋体" w:eastAsia="宋体" w:cs="宋体"/>
          <w:b/>
          <w:bCs/>
          <w:i w:val="0"/>
          <w:iCs w:val="0"/>
          <w:color w:val="auto"/>
          <w:kern w:val="2"/>
          <w:sz w:val="24"/>
          <w:szCs w:val="24"/>
          <w:highlight w:val="none"/>
          <w:lang w:val="en-US" w:eastAsia="zh-CN" w:bidi="ar-SA"/>
        </w:rPr>
        <w:t>（十一）采购代理服务费</w:t>
      </w:r>
      <w:bookmarkEnd w:id="367"/>
      <w:bookmarkEnd w:id="384"/>
    </w:p>
    <w:p w14:paraId="568FDF87">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38.收取方式和标准</w:t>
      </w:r>
    </w:p>
    <w:p w14:paraId="77E8F637">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bCs/>
          <w:i w:val="0"/>
          <w:iCs w:val="0"/>
          <w:color w:val="auto"/>
          <w:sz w:val="24"/>
          <w:szCs w:val="24"/>
          <w:highlight w:val="none"/>
        </w:rPr>
        <w:t>3</w:t>
      </w:r>
      <w:r>
        <w:rPr>
          <w:rFonts w:hint="eastAsia" w:ascii="宋体" w:hAnsi="宋体" w:eastAsia="宋体" w:cs="宋体"/>
          <w:bCs/>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.1采购代理机构按“供应商须知前附表”规定的方式和标准收取采购代理服务费。</w:t>
      </w:r>
    </w:p>
    <w:p w14:paraId="02F25B2B">
      <w:pPr>
        <w:pStyle w:val="5"/>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385" w:name="_Toc163493620"/>
      <w:bookmarkStart w:id="386" w:name="_Toc14684"/>
      <w:r>
        <w:rPr>
          <w:rFonts w:hint="eastAsia" w:ascii="宋体" w:hAnsi="宋体" w:eastAsia="宋体" w:cs="宋体"/>
          <w:b/>
          <w:bCs/>
          <w:i w:val="0"/>
          <w:iCs w:val="0"/>
          <w:color w:val="auto"/>
          <w:kern w:val="2"/>
          <w:sz w:val="24"/>
          <w:szCs w:val="24"/>
          <w:highlight w:val="none"/>
          <w:lang w:val="en-US" w:eastAsia="zh-CN" w:bidi="ar-SA"/>
        </w:rPr>
        <w:t>（十二）无效响应和终止采购活动</w:t>
      </w:r>
      <w:bookmarkEnd w:id="385"/>
      <w:bookmarkEnd w:id="386"/>
    </w:p>
    <w:p w14:paraId="44D3D5EE">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387" w:name="_Toc161600338"/>
      <w:bookmarkStart w:id="388" w:name="_Toc140132806"/>
      <w:r>
        <w:rPr>
          <w:rFonts w:hint="eastAsia" w:ascii="宋体" w:hAnsi="宋体" w:eastAsia="宋体" w:cs="宋体"/>
          <w:b/>
          <w:bCs/>
          <w:i w:val="0"/>
          <w:iCs w:val="0"/>
          <w:color w:val="auto"/>
          <w:kern w:val="2"/>
          <w:sz w:val="24"/>
          <w:szCs w:val="24"/>
          <w:highlight w:val="none"/>
          <w:lang w:val="en-US" w:eastAsia="zh-CN" w:bidi="ar-SA"/>
        </w:rPr>
        <w:t>39.无效</w:t>
      </w:r>
      <w:bookmarkEnd w:id="387"/>
      <w:bookmarkEnd w:id="388"/>
      <w:r>
        <w:rPr>
          <w:rFonts w:hint="eastAsia" w:ascii="宋体" w:hAnsi="宋体" w:eastAsia="宋体" w:cs="宋体"/>
          <w:b/>
          <w:bCs/>
          <w:i w:val="0"/>
          <w:iCs w:val="0"/>
          <w:color w:val="auto"/>
          <w:kern w:val="2"/>
          <w:sz w:val="24"/>
          <w:szCs w:val="24"/>
          <w:highlight w:val="none"/>
          <w:lang w:val="en-US" w:eastAsia="zh-CN" w:bidi="ar-SA"/>
        </w:rPr>
        <w:t>响应</w:t>
      </w:r>
    </w:p>
    <w:p w14:paraId="692E5F39">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9</w:t>
      </w:r>
      <w:r>
        <w:rPr>
          <w:rFonts w:hint="eastAsia" w:ascii="宋体" w:hAnsi="宋体" w:eastAsia="宋体" w:cs="宋体"/>
          <w:i w:val="0"/>
          <w:iCs w:val="0"/>
          <w:color w:val="auto"/>
          <w:sz w:val="24"/>
          <w:szCs w:val="24"/>
          <w:highlight w:val="none"/>
        </w:rPr>
        <w:t>.1响应文件存在“第四章</w:t>
      </w: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评审方法及标准”规定的</w:t>
      </w:r>
      <w:r>
        <w:rPr>
          <w:rFonts w:hint="eastAsia" w:ascii="宋体" w:hAnsi="宋体" w:eastAsia="宋体" w:cs="宋体"/>
          <w:b/>
          <w:bCs/>
          <w:i w:val="0"/>
          <w:iCs w:val="0"/>
          <w:color w:val="auto"/>
          <w:sz w:val="24"/>
          <w:szCs w:val="24"/>
          <w:highlight w:val="none"/>
        </w:rPr>
        <w:t>响应无效</w:t>
      </w:r>
      <w:r>
        <w:rPr>
          <w:rFonts w:hint="eastAsia" w:ascii="宋体" w:hAnsi="宋体" w:eastAsia="宋体" w:cs="宋体"/>
          <w:i w:val="0"/>
          <w:iCs w:val="0"/>
          <w:color w:val="auto"/>
          <w:sz w:val="24"/>
          <w:szCs w:val="24"/>
          <w:highlight w:val="none"/>
        </w:rPr>
        <w:t>情形的，做</w:t>
      </w:r>
      <w:r>
        <w:rPr>
          <w:rFonts w:hint="eastAsia" w:ascii="宋体" w:hAnsi="宋体" w:eastAsia="宋体" w:cs="宋体"/>
          <w:b/>
          <w:bCs/>
          <w:i w:val="0"/>
          <w:iCs w:val="0"/>
          <w:color w:val="auto"/>
          <w:sz w:val="24"/>
          <w:szCs w:val="24"/>
          <w:highlight w:val="none"/>
        </w:rPr>
        <w:t>无效响应</w:t>
      </w:r>
      <w:r>
        <w:rPr>
          <w:rFonts w:hint="eastAsia" w:ascii="宋体" w:hAnsi="宋体" w:eastAsia="宋体" w:cs="宋体"/>
          <w:i w:val="0"/>
          <w:iCs w:val="0"/>
          <w:color w:val="auto"/>
          <w:sz w:val="24"/>
          <w:szCs w:val="24"/>
          <w:highlight w:val="none"/>
        </w:rPr>
        <w:t>处理。</w:t>
      </w:r>
    </w:p>
    <w:p w14:paraId="4674CF4B">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40.终止采购活动</w:t>
      </w:r>
    </w:p>
    <w:p w14:paraId="27174250">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40</w:t>
      </w:r>
      <w:r>
        <w:rPr>
          <w:rFonts w:hint="eastAsia" w:ascii="宋体" w:hAnsi="宋体" w:eastAsia="宋体" w:cs="宋体"/>
          <w:i w:val="0"/>
          <w:iCs w:val="0"/>
          <w:color w:val="auto"/>
          <w:sz w:val="24"/>
          <w:szCs w:val="24"/>
          <w:highlight w:val="none"/>
        </w:rPr>
        <w:t>.1出现下列情形之一的，应当终止竞争性磋商采购活动，发布项目终止公告并说明原因，重新开展采购活动：</w:t>
      </w:r>
    </w:p>
    <w:p w14:paraId="347EE61E">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（1）因情况变化，不再符合规定的竞争性磋商采购方式适用情形的；</w:t>
      </w:r>
    </w:p>
    <w:p w14:paraId="451D4CD9">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（2）出现影响采购公正的违法、违规行为的；</w:t>
      </w:r>
    </w:p>
    <w:p w14:paraId="1E9B74CA">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在采购过程中符合要求的供应商或者报价未超过采购预算的供应商不足3家的（市场竞争不充分的科研项目、需要扶持的科技成果转化项目以及政府购买服务项目&lt;含政府和社会资本合作项目&gt;）的提交最后报价的供应商可以为2家）。</w:t>
      </w:r>
    </w:p>
    <w:p w14:paraId="60EF9DAA">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40.2在采购活动中因重大变故，采购任务取消的，采购人或者采购代理机构应当终止采购活动，通知所有参加采购活动的供应商，并将项目实施情况和采购任务取消原因报送本级财政部门。</w:t>
      </w:r>
    </w:p>
    <w:p w14:paraId="4D0C73A9">
      <w:pPr>
        <w:pStyle w:val="5"/>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389" w:name="_Toc163493621"/>
      <w:bookmarkStart w:id="390" w:name="_Toc161600340"/>
      <w:bookmarkStart w:id="391" w:name="_Toc140132766"/>
      <w:bookmarkStart w:id="392" w:name="_Toc14581"/>
      <w:r>
        <w:rPr>
          <w:rFonts w:hint="eastAsia" w:ascii="宋体" w:hAnsi="宋体" w:eastAsia="宋体" w:cs="宋体"/>
          <w:b/>
          <w:bCs/>
          <w:i w:val="0"/>
          <w:iCs w:val="0"/>
          <w:color w:val="auto"/>
          <w:kern w:val="2"/>
          <w:sz w:val="24"/>
          <w:szCs w:val="24"/>
          <w:highlight w:val="none"/>
          <w:lang w:val="en-US" w:eastAsia="zh-CN" w:bidi="ar-SA"/>
        </w:rPr>
        <w:t>（十三）落实政府采购政策</w:t>
      </w:r>
      <w:bookmarkEnd w:id="389"/>
      <w:bookmarkEnd w:id="390"/>
      <w:bookmarkEnd w:id="391"/>
      <w:r>
        <w:rPr>
          <w:rFonts w:hint="eastAsia" w:ascii="宋体" w:hAnsi="宋体" w:eastAsia="宋体" w:cs="宋体"/>
          <w:b/>
          <w:bCs/>
          <w:i w:val="0"/>
          <w:iCs w:val="0"/>
          <w:color w:val="auto"/>
          <w:kern w:val="2"/>
          <w:sz w:val="24"/>
          <w:szCs w:val="24"/>
          <w:highlight w:val="none"/>
          <w:lang w:val="en-US" w:eastAsia="zh-CN" w:bidi="ar-SA"/>
        </w:rPr>
        <w:t>（包括但不限于下列具体政策要求）</w:t>
      </w:r>
      <w:bookmarkEnd w:id="392"/>
    </w:p>
    <w:p w14:paraId="1F0D2CE2">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393" w:name="_Toc161600341"/>
      <w:r>
        <w:rPr>
          <w:rFonts w:hint="eastAsia" w:ascii="宋体" w:hAnsi="宋体" w:eastAsia="宋体" w:cs="宋体"/>
          <w:b/>
          <w:bCs/>
          <w:i w:val="0"/>
          <w:iCs w:val="0"/>
          <w:color w:val="auto"/>
          <w:kern w:val="2"/>
          <w:sz w:val="24"/>
          <w:szCs w:val="24"/>
          <w:highlight w:val="none"/>
          <w:lang w:val="en-US" w:eastAsia="zh-CN" w:bidi="ar-SA"/>
        </w:rPr>
        <w:t>41.支持国产和进口产品审批</w:t>
      </w:r>
      <w:bookmarkEnd w:id="393"/>
    </w:p>
    <w:p w14:paraId="3DEDA456">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41.1除“供应商须知前附表”另有规定外，政府采购应当采购本国货物、工程和服务，确需采购进口产品的，采购人应当按照《政府采购进口产品管理办法》（财库〔2007〕119 号文）、《关于政府采购进口产品管理有关问题的通知》（财办库〔2008〕248号）规定执行进口产品审批制，科研院所监管部门另有规定的从其规定。项目若涉及采购进口产品的，具体要求详见“第三章 项目采购需求”。</w:t>
      </w:r>
    </w:p>
    <w:p w14:paraId="7EFE22AE">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41.2进口产品指通过中国海关报关验放进入中国境内且产自关境外的产品，包括已经进入中国境内的进口产品。</w:t>
      </w:r>
    </w:p>
    <w:p w14:paraId="5517F6F3">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41.3若采购需求中写明允许采购进口产品，供应商应保证所响应产品可履行合法报通关手续进入中国关境内。</w:t>
      </w:r>
    </w:p>
    <w:p w14:paraId="0DFC8ACE">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41.4若采购需求中未写明允许采购进口产品，如供应商所响应产品为进口产品，其响应将被认定为</w:t>
      </w:r>
      <w:r>
        <w:rPr>
          <w:rFonts w:hint="eastAsia" w:ascii="宋体" w:hAnsi="宋体" w:eastAsia="宋体" w:cs="宋体"/>
          <w:b/>
          <w:bCs/>
          <w:i w:val="0"/>
          <w:iCs w:val="0"/>
          <w:snapToGrid w:val="0"/>
          <w:color w:val="auto"/>
          <w:sz w:val="24"/>
          <w:szCs w:val="24"/>
          <w:highlight w:val="none"/>
          <w:lang w:val="en-US" w:eastAsia="zh-CN"/>
        </w:rPr>
        <w:t>响应无效</w:t>
      </w:r>
      <w:r>
        <w:rPr>
          <w:rFonts w:hint="eastAsia" w:ascii="宋体" w:hAnsi="宋体" w:eastAsia="宋体" w:cs="宋体"/>
          <w:i w:val="0"/>
          <w:iCs w:val="0"/>
          <w:snapToGrid w:val="0"/>
          <w:color w:val="auto"/>
          <w:sz w:val="24"/>
          <w:szCs w:val="24"/>
          <w:highlight w:val="none"/>
          <w:lang w:val="en-US" w:eastAsia="zh-CN"/>
        </w:rPr>
        <w:t>。</w:t>
      </w:r>
    </w:p>
    <w:p w14:paraId="5F417BB5">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394" w:name="_Toc161600342"/>
      <w:r>
        <w:rPr>
          <w:rFonts w:hint="eastAsia" w:ascii="宋体" w:hAnsi="宋体" w:eastAsia="宋体" w:cs="宋体"/>
          <w:b/>
          <w:bCs/>
          <w:i w:val="0"/>
          <w:iCs w:val="0"/>
          <w:color w:val="auto"/>
          <w:kern w:val="2"/>
          <w:sz w:val="24"/>
          <w:szCs w:val="24"/>
          <w:highlight w:val="none"/>
          <w:lang w:val="en-US" w:eastAsia="zh-CN" w:bidi="ar-SA"/>
        </w:rPr>
        <w:t>42.中小企业、监狱企业及残疾人福利性单位</w:t>
      </w:r>
      <w:bookmarkEnd w:id="394"/>
    </w:p>
    <w:p w14:paraId="1EC0E944">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42</w:t>
      </w:r>
      <w:r>
        <w:rPr>
          <w:rFonts w:hint="eastAsia" w:ascii="宋体" w:hAnsi="宋体" w:eastAsia="宋体" w:cs="宋体"/>
          <w:i w:val="0"/>
          <w:iCs w:val="0"/>
          <w:snapToGrid w:val="0"/>
          <w:color w:val="auto"/>
          <w:sz w:val="24"/>
          <w:szCs w:val="24"/>
          <w:highlight w:val="none"/>
        </w:rPr>
        <w:t>.</w:t>
      </w:r>
      <w:r>
        <w:rPr>
          <w:rFonts w:hint="eastAsia" w:ascii="宋体" w:hAnsi="宋体" w:eastAsia="宋体" w:cs="宋体"/>
          <w:i w:val="0"/>
          <w:iCs w:val="0"/>
          <w:snapToGrid w:val="0"/>
          <w:color w:val="auto"/>
          <w:sz w:val="24"/>
          <w:szCs w:val="24"/>
          <w:highlight w:val="none"/>
          <w:lang w:val="en-US" w:eastAsia="zh-CN"/>
        </w:rPr>
        <w:t xml:space="preserve">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 号）、《关于印发中小企业划型标准规定的通知》（工信部联企业〔2011〕300 号）、《金融业企业划型标准规定》（〔2015〕309 号）等国务院批准的中小企业划分标准执行。 </w:t>
      </w:r>
    </w:p>
    <w:p w14:paraId="2EA258B7">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eastAsia="zh-CN"/>
        </w:rPr>
      </w:pPr>
      <w:r>
        <w:rPr>
          <w:rFonts w:hint="eastAsia" w:ascii="宋体" w:hAnsi="宋体" w:eastAsia="宋体" w:cs="宋体"/>
          <w:i w:val="0"/>
          <w:iCs w:val="0"/>
          <w:snapToGrid w:val="0"/>
          <w:color w:val="auto"/>
          <w:sz w:val="24"/>
          <w:szCs w:val="24"/>
          <w:highlight w:val="none"/>
          <w:lang w:val="en-US" w:eastAsia="zh-CN"/>
        </w:rPr>
        <w:t>42</w:t>
      </w:r>
      <w:r>
        <w:rPr>
          <w:rFonts w:hint="eastAsia" w:ascii="宋体" w:hAnsi="宋体" w:eastAsia="宋体" w:cs="宋体"/>
          <w:i w:val="0"/>
          <w:iCs w:val="0"/>
          <w:snapToGrid w:val="0"/>
          <w:color w:val="auto"/>
          <w:sz w:val="24"/>
          <w:szCs w:val="24"/>
          <w:highlight w:val="none"/>
        </w:rPr>
        <w:t>.</w:t>
      </w:r>
      <w:r>
        <w:rPr>
          <w:rFonts w:hint="eastAsia" w:ascii="宋体" w:hAnsi="宋体" w:eastAsia="宋体" w:cs="宋体"/>
          <w:i w:val="0"/>
          <w:iCs w:val="0"/>
          <w:snapToGrid w:val="0"/>
          <w:color w:val="auto"/>
          <w:sz w:val="24"/>
          <w:szCs w:val="24"/>
          <w:highlight w:val="none"/>
          <w:lang w:val="en-US" w:eastAsia="zh-CN"/>
        </w:rPr>
        <w:t>2</w:t>
      </w:r>
      <w:r>
        <w:rPr>
          <w:rFonts w:hint="eastAsia" w:ascii="宋体" w:hAnsi="宋体" w:eastAsia="宋体" w:cs="宋体"/>
          <w:i w:val="0"/>
          <w:iCs w:val="0"/>
          <w:snapToGrid w:val="0"/>
          <w:color w:val="auto"/>
          <w:sz w:val="24"/>
          <w:szCs w:val="24"/>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w:t>
      </w:r>
      <w:r>
        <w:rPr>
          <w:rFonts w:hint="eastAsia" w:ascii="宋体" w:hAnsi="宋体" w:eastAsia="宋体" w:cs="宋体"/>
          <w:i w:val="0"/>
          <w:iCs w:val="0"/>
          <w:snapToGrid w:val="0"/>
          <w:color w:val="auto"/>
          <w:sz w:val="24"/>
          <w:szCs w:val="24"/>
          <w:highlight w:val="none"/>
          <w:lang w:eastAsia="zh-CN"/>
        </w:rPr>
        <w:t>需享受中小企业相关政策的，且</w:t>
      </w:r>
      <w:r>
        <w:rPr>
          <w:rFonts w:hint="eastAsia" w:ascii="宋体" w:hAnsi="宋体" w:eastAsia="宋体" w:cs="宋体"/>
          <w:i w:val="0"/>
          <w:iCs w:val="0"/>
          <w:snapToGrid w:val="0"/>
          <w:color w:val="auto"/>
          <w:sz w:val="24"/>
          <w:szCs w:val="24"/>
          <w:highlight w:val="none"/>
        </w:rPr>
        <w:t>符合上述文件规定的，</w:t>
      </w:r>
      <w:r>
        <w:rPr>
          <w:rFonts w:hint="eastAsia" w:ascii="宋体" w:hAnsi="宋体" w:eastAsia="宋体" w:cs="宋体"/>
          <w:i w:val="0"/>
          <w:iCs w:val="0"/>
          <w:snapToGrid w:val="0"/>
          <w:color w:val="auto"/>
          <w:sz w:val="24"/>
          <w:szCs w:val="24"/>
          <w:highlight w:val="none"/>
          <w:lang w:eastAsia="zh-CN"/>
        </w:rPr>
        <w:t>应按本磋商文件规定格式</w:t>
      </w:r>
      <w:r>
        <w:rPr>
          <w:rFonts w:hint="eastAsia" w:ascii="宋体" w:hAnsi="宋体" w:eastAsia="宋体" w:cs="宋体"/>
          <w:i w:val="0"/>
          <w:iCs w:val="0"/>
          <w:snapToGrid w:val="0"/>
          <w:color w:val="auto"/>
          <w:sz w:val="24"/>
          <w:szCs w:val="24"/>
          <w:highlight w:val="none"/>
        </w:rPr>
        <w:t>提供</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rPr>
        <w:t>中小企业声明函</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en-US" w:eastAsia="zh-CN"/>
        </w:rPr>
        <w:t>或“</w:t>
      </w:r>
      <w:r>
        <w:rPr>
          <w:rFonts w:hint="eastAsia" w:ascii="宋体" w:hAnsi="宋体" w:eastAsia="宋体" w:cs="宋体"/>
          <w:i w:val="0"/>
          <w:iCs w:val="0"/>
          <w:snapToGrid w:val="0"/>
          <w:color w:val="auto"/>
          <w:sz w:val="24"/>
          <w:szCs w:val="24"/>
          <w:highlight w:val="none"/>
        </w:rPr>
        <w:t>监狱企业证明文件</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en-US" w:eastAsia="zh-CN"/>
        </w:rPr>
        <w:t>或</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rPr>
        <w:t>残疾人福利性单位声明函</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rPr>
        <w:t>，评审时，磋商小组将依据</w:t>
      </w:r>
      <w:r>
        <w:rPr>
          <w:rFonts w:hint="eastAsia" w:ascii="宋体" w:hAnsi="宋体" w:eastAsia="宋体" w:cs="宋体"/>
          <w:i w:val="0"/>
          <w:iCs w:val="0"/>
          <w:snapToGrid w:val="0"/>
          <w:color w:val="auto"/>
          <w:sz w:val="24"/>
          <w:szCs w:val="24"/>
          <w:highlight w:val="none"/>
          <w:lang w:eastAsia="zh-CN"/>
        </w:rPr>
        <w:t>本磋商文件</w:t>
      </w:r>
      <w:r>
        <w:rPr>
          <w:rFonts w:hint="eastAsia" w:ascii="宋体" w:hAnsi="宋体" w:eastAsia="宋体" w:cs="宋体"/>
          <w:i w:val="0"/>
          <w:iCs w:val="0"/>
          <w:snapToGrid w:val="0"/>
          <w:color w:val="auto"/>
          <w:sz w:val="24"/>
          <w:szCs w:val="24"/>
          <w:highlight w:val="none"/>
        </w:rPr>
        <w:t>“供应商须知前附表”规定的报价扣除比例，对供应商报价进行价格扣除，用扣除后的价格参与评审</w:t>
      </w:r>
      <w:r>
        <w:rPr>
          <w:rFonts w:hint="eastAsia" w:ascii="宋体" w:hAnsi="宋体" w:eastAsia="宋体" w:cs="宋体"/>
          <w:i w:val="0"/>
          <w:iCs w:val="0"/>
          <w:snapToGrid w:val="0"/>
          <w:color w:val="auto"/>
          <w:sz w:val="24"/>
          <w:szCs w:val="24"/>
          <w:highlight w:val="none"/>
          <w:lang w:eastAsia="zh-CN"/>
        </w:rPr>
        <w:t>；磋商公告中明确项目专门面向中小企业采购的，“</w:t>
      </w:r>
      <w:r>
        <w:rPr>
          <w:rFonts w:hint="eastAsia" w:ascii="宋体" w:hAnsi="宋体" w:eastAsia="宋体" w:cs="宋体"/>
          <w:i w:val="0"/>
          <w:iCs w:val="0"/>
          <w:snapToGrid w:val="0"/>
          <w:color w:val="auto"/>
          <w:sz w:val="24"/>
          <w:szCs w:val="24"/>
          <w:highlight w:val="none"/>
        </w:rPr>
        <w:t>中小企业声明函</w:t>
      </w:r>
      <w:r>
        <w:rPr>
          <w:rFonts w:hint="eastAsia" w:ascii="宋体" w:hAnsi="宋体" w:eastAsia="宋体" w:cs="宋体"/>
          <w:i w:val="0"/>
          <w:iCs w:val="0"/>
          <w:snapToGrid w:val="0"/>
          <w:color w:val="auto"/>
          <w:sz w:val="24"/>
          <w:szCs w:val="24"/>
          <w:highlight w:val="none"/>
          <w:lang w:eastAsia="zh-CN"/>
        </w:rPr>
        <w:t>”为资格要求文件，</w:t>
      </w:r>
      <w:r>
        <w:rPr>
          <w:rFonts w:hint="eastAsia" w:ascii="宋体" w:hAnsi="宋体" w:eastAsia="宋体" w:cs="宋体"/>
          <w:i w:val="0"/>
          <w:iCs w:val="0"/>
          <w:snapToGrid w:val="0"/>
          <w:color w:val="auto"/>
          <w:sz w:val="24"/>
          <w:szCs w:val="24"/>
          <w:highlight w:val="none"/>
        </w:rPr>
        <w:t>供应商</w:t>
      </w:r>
      <w:r>
        <w:rPr>
          <w:rFonts w:hint="eastAsia" w:ascii="宋体" w:hAnsi="宋体" w:eastAsia="宋体" w:cs="宋体"/>
          <w:i w:val="0"/>
          <w:iCs w:val="0"/>
          <w:snapToGrid w:val="0"/>
          <w:color w:val="auto"/>
          <w:sz w:val="24"/>
          <w:szCs w:val="24"/>
          <w:highlight w:val="none"/>
          <w:lang w:eastAsia="zh-CN"/>
        </w:rPr>
        <w:t>参与磋商须按本磋商文件规定格式</w:t>
      </w:r>
      <w:r>
        <w:rPr>
          <w:rFonts w:hint="eastAsia" w:ascii="宋体" w:hAnsi="宋体" w:eastAsia="宋体" w:cs="宋体"/>
          <w:i w:val="0"/>
          <w:iCs w:val="0"/>
          <w:snapToGrid w:val="0"/>
          <w:color w:val="auto"/>
          <w:sz w:val="24"/>
          <w:szCs w:val="24"/>
          <w:highlight w:val="none"/>
        </w:rPr>
        <w:t>提供</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rPr>
        <w:t>中小企业声明函</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en-US" w:eastAsia="zh-CN"/>
        </w:rPr>
        <w:t>或“</w:t>
      </w:r>
      <w:r>
        <w:rPr>
          <w:rFonts w:hint="eastAsia" w:ascii="宋体" w:hAnsi="宋体" w:eastAsia="宋体" w:cs="宋体"/>
          <w:i w:val="0"/>
          <w:iCs w:val="0"/>
          <w:snapToGrid w:val="0"/>
          <w:color w:val="auto"/>
          <w:sz w:val="24"/>
          <w:szCs w:val="24"/>
          <w:highlight w:val="none"/>
        </w:rPr>
        <w:t>监狱企业证明文件</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en-US" w:eastAsia="zh-CN"/>
        </w:rPr>
        <w:t>或“</w:t>
      </w:r>
      <w:r>
        <w:rPr>
          <w:rFonts w:hint="eastAsia" w:ascii="宋体" w:hAnsi="宋体" w:eastAsia="宋体" w:cs="宋体"/>
          <w:i w:val="0"/>
          <w:iCs w:val="0"/>
          <w:snapToGrid w:val="0"/>
          <w:color w:val="auto"/>
          <w:sz w:val="24"/>
          <w:szCs w:val="24"/>
          <w:highlight w:val="none"/>
        </w:rPr>
        <w:t>残疾人福利性单位声明函</w:t>
      </w:r>
      <w:r>
        <w:rPr>
          <w:rFonts w:hint="eastAsia" w:ascii="宋体" w:hAnsi="宋体" w:eastAsia="宋体" w:cs="宋体"/>
          <w:i w:val="0"/>
          <w:iCs w:val="0"/>
          <w:snapToGrid w:val="0"/>
          <w:color w:val="auto"/>
          <w:sz w:val="24"/>
          <w:szCs w:val="24"/>
          <w:highlight w:val="none"/>
          <w:lang w:eastAsia="zh-CN"/>
        </w:rPr>
        <w:t>”等作为资格证明文件。</w:t>
      </w:r>
    </w:p>
    <w:p w14:paraId="7E72F782">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42.3供应商提供的货物、工程或者服务符合下列情形的，享受中小企业扶持政策： </w:t>
      </w:r>
    </w:p>
    <w:p w14:paraId="54C91FC5">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42.3.1在货物采购项目中，货物由中小企业制造，即货物由中小企业生产且使用该中小企业商号或者注册商标； </w:t>
      </w:r>
    </w:p>
    <w:p w14:paraId="1E32AFE2">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42.3.2在工程采购项目中，工程由中小企业承建，即工程施工单位为中小企业； </w:t>
      </w:r>
    </w:p>
    <w:p w14:paraId="3CA81B6B">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42.3.3在服务采购项目中，服务由中小企业承接，即提供服务的人员为中小企业依照《中华人民共和国劳动合同法》订立劳动合同的从业人员。</w:t>
      </w:r>
    </w:p>
    <w:p w14:paraId="1F3EFCCE">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42.4 在货物采购项目中，供应商提供的货物既有中小企业制造货物，也有大型企业制造货物的，不享受中小企业扶持政策。 </w:t>
      </w:r>
    </w:p>
    <w:p w14:paraId="2FD23F60">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42.5 以联合体形式参加政府采购活动，联合体各方均为中小企业的，联合体视同中小企业。其中，联合体各方均为小微企业的，联合体视同小微企业。      42.6 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48078935">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42.7 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1B46F1D9">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42.7.1 安置的残疾人占本单位在职职工人数的比例不低于 25% （含 25%），并且安置的残疾人人数不少于 10 人（含 10人）； </w:t>
      </w:r>
    </w:p>
    <w:p w14:paraId="22A5818F">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42.7.2 依法与安置的每位残疾人签订了1年以上（含1年）的劳动合同或服务协议； </w:t>
      </w:r>
    </w:p>
    <w:p w14:paraId="57E43A8A">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42.7.3 为安置的每位残疾人按月足额缴纳了基本养老保险、基本医疗保险、失业保险、工伤保险和生育保险等社会保险费； </w:t>
      </w:r>
    </w:p>
    <w:p w14:paraId="2C02BCE0">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42.7.4 通过银行等金融机构向安置的每位残疾人，按月支付了不低于单位所在区县适用的经省级人民政府批准的月最低工资标准的工资； </w:t>
      </w:r>
    </w:p>
    <w:p w14:paraId="0A601BE8">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42.7.5 提供本单位制造的货物、承担的工程或者服务（以下简称产品），或者提供其他残疾人福利性单位制造的货物（不包括使用非残疾人福利性单位注册商标的货物）； </w:t>
      </w:r>
    </w:p>
    <w:p w14:paraId="14312B15">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42.7.6 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级）》的自然人，包括具有劳动条件和劳动意愿的精神残疾人。在职职工人数是指与残疾人福利性单位建立劳动关系并依法签订劳动合同或服务协议的雇员人数。 </w:t>
      </w:r>
    </w:p>
    <w:p w14:paraId="7D21EBB4">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42.8 本项目是否专门面向中小企业预留采购份额见“第一章 竞争性磋商邀请”。</w:t>
      </w:r>
    </w:p>
    <w:p w14:paraId="38DA8EDD">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42.9 采购标的对应的中小企业划分标准所属行业见“供应商须知前附表”。    42.10小微企业价格评审优惠的政策调整：见“第四章 评审方法及标准”。</w:t>
      </w:r>
    </w:p>
    <w:p w14:paraId="0EAE5FB1">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395" w:name="_Toc161600343"/>
      <w:r>
        <w:rPr>
          <w:rFonts w:hint="eastAsia" w:ascii="宋体" w:hAnsi="宋体" w:eastAsia="宋体" w:cs="宋体"/>
          <w:b/>
          <w:bCs/>
          <w:i w:val="0"/>
          <w:iCs w:val="0"/>
          <w:color w:val="auto"/>
          <w:kern w:val="2"/>
          <w:sz w:val="24"/>
          <w:szCs w:val="24"/>
          <w:highlight w:val="none"/>
          <w:lang w:val="en-US" w:eastAsia="zh-CN" w:bidi="ar-SA"/>
        </w:rPr>
        <w:t>43.政府采购节能产品、环境标志产品</w:t>
      </w:r>
      <w:bookmarkEnd w:id="395"/>
    </w:p>
    <w:p w14:paraId="572D6556">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43.1 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2019〕9 号）、《关于印发环境标志产品政府采购品目清单的通知》（财库〔2019〕18号）、《关于印发节能产品政府采购品目清单的通知》（财库〔2019〕19号）的规定。</w:t>
      </w:r>
    </w:p>
    <w:p w14:paraId="66067521">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43.2 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32590B9D">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43.3 如本项目采购产品属于实施政府强制采购品目清单范围的节能产品，则供应商所报产品必须获得国家确定的认证机构出具的、处于有效期之内的节能产品认证证书，否则</w:t>
      </w:r>
      <w:r>
        <w:rPr>
          <w:rFonts w:hint="eastAsia" w:ascii="宋体" w:hAnsi="宋体" w:eastAsia="宋体" w:cs="宋体"/>
          <w:b/>
          <w:bCs/>
          <w:i w:val="0"/>
          <w:iCs w:val="0"/>
          <w:snapToGrid w:val="0"/>
          <w:color w:val="auto"/>
          <w:sz w:val="24"/>
          <w:szCs w:val="24"/>
          <w:highlight w:val="none"/>
          <w:lang w:val="en-US" w:eastAsia="zh-CN"/>
        </w:rPr>
        <w:t>响应无效</w:t>
      </w:r>
      <w:r>
        <w:rPr>
          <w:rFonts w:hint="eastAsia" w:ascii="宋体" w:hAnsi="宋体" w:eastAsia="宋体" w:cs="宋体"/>
          <w:i w:val="0"/>
          <w:iCs w:val="0"/>
          <w:snapToGrid w:val="0"/>
          <w:color w:val="auto"/>
          <w:sz w:val="24"/>
          <w:szCs w:val="24"/>
          <w:highlight w:val="none"/>
          <w:lang w:val="en-US" w:eastAsia="zh-CN"/>
        </w:rPr>
        <w:t xml:space="preserve">。 </w:t>
      </w:r>
    </w:p>
    <w:p w14:paraId="7CBDD3DB">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43.4 非政府强制采购的节能产品或环境标志产品，依据品目清单和认证证书实施政府优先采购。优先采购的具体规定见“第四章 评审方法及标准”（如涉及）。</w:t>
      </w:r>
    </w:p>
    <w:p w14:paraId="4472EF53">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43.5 供应商</w:t>
      </w:r>
      <w:r>
        <w:rPr>
          <w:rFonts w:hint="eastAsia" w:ascii="宋体" w:hAnsi="宋体" w:eastAsia="宋体" w:cs="宋体"/>
          <w:i w:val="0"/>
          <w:iCs w:val="0"/>
          <w:snapToGrid w:val="0"/>
          <w:color w:val="auto"/>
          <w:sz w:val="24"/>
          <w:szCs w:val="24"/>
          <w:highlight w:val="none"/>
        </w:rPr>
        <w:t>所</w:t>
      </w:r>
      <w:r>
        <w:rPr>
          <w:rFonts w:hint="eastAsia" w:ascii="宋体" w:hAnsi="宋体" w:eastAsia="宋体" w:cs="宋体"/>
          <w:i w:val="0"/>
          <w:iCs w:val="0"/>
          <w:snapToGrid w:val="0"/>
          <w:color w:val="auto"/>
          <w:sz w:val="24"/>
          <w:szCs w:val="24"/>
          <w:highlight w:val="none"/>
          <w:lang w:val="en-US" w:eastAsia="zh-CN"/>
        </w:rPr>
        <w:t>报</w:t>
      </w:r>
      <w:r>
        <w:rPr>
          <w:rFonts w:hint="eastAsia" w:ascii="宋体" w:hAnsi="宋体" w:eastAsia="宋体" w:cs="宋体"/>
          <w:i w:val="0"/>
          <w:iCs w:val="0"/>
          <w:snapToGrid w:val="0"/>
          <w:color w:val="auto"/>
          <w:sz w:val="24"/>
          <w:szCs w:val="24"/>
          <w:highlight w:val="none"/>
        </w:rPr>
        <w:t>产品如属于节能产品政府采购品目清单、环境标志产品政府采购品目清单范围的，须提供国家确定的认证机构出具的、处于有效期内的产品认证证书，认证证书的产品型号与所</w:t>
      </w:r>
      <w:r>
        <w:rPr>
          <w:rFonts w:hint="eastAsia" w:ascii="宋体" w:hAnsi="宋体" w:eastAsia="宋体" w:cs="宋体"/>
          <w:i w:val="0"/>
          <w:iCs w:val="0"/>
          <w:snapToGrid w:val="0"/>
          <w:color w:val="auto"/>
          <w:sz w:val="24"/>
          <w:szCs w:val="24"/>
          <w:highlight w:val="none"/>
          <w:lang w:val="en-US" w:eastAsia="zh-CN"/>
        </w:rPr>
        <w:t>报</w:t>
      </w:r>
      <w:r>
        <w:rPr>
          <w:rFonts w:hint="eastAsia" w:ascii="宋体" w:hAnsi="宋体" w:eastAsia="宋体" w:cs="宋体"/>
          <w:i w:val="0"/>
          <w:iCs w:val="0"/>
          <w:snapToGrid w:val="0"/>
          <w:color w:val="auto"/>
          <w:sz w:val="24"/>
          <w:szCs w:val="24"/>
          <w:highlight w:val="none"/>
        </w:rPr>
        <w:t>产品不一致的，视为未提供。属于政府强制采购产品的，已作为</w:t>
      </w:r>
      <w:r>
        <w:rPr>
          <w:rFonts w:hint="eastAsia" w:ascii="宋体" w:hAnsi="宋体" w:eastAsia="宋体" w:cs="宋体"/>
          <w:i w:val="0"/>
          <w:iCs w:val="0"/>
          <w:snapToGrid w:val="0"/>
          <w:color w:val="auto"/>
          <w:sz w:val="24"/>
          <w:szCs w:val="24"/>
          <w:highlight w:val="none"/>
          <w:lang w:val="en-US" w:eastAsia="zh-CN"/>
        </w:rPr>
        <w:t>响应</w:t>
      </w:r>
      <w:r>
        <w:rPr>
          <w:rFonts w:hint="eastAsia" w:ascii="宋体" w:hAnsi="宋体" w:eastAsia="宋体" w:cs="宋体"/>
          <w:i w:val="0"/>
          <w:iCs w:val="0"/>
          <w:snapToGrid w:val="0"/>
          <w:color w:val="auto"/>
          <w:sz w:val="24"/>
          <w:szCs w:val="24"/>
          <w:highlight w:val="none"/>
        </w:rPr>
        <w:t>时强制性要求不再给予</w:t>
      </w:r>
      <w:r>
        <w:rPr>
          <w:rFonts w:hint="eastAsia" w:ascii="宋体" w:hAnsi="宋体" w:eastAsia="宋体" w:cs="宋体"/>
          <w:i w:val="0"/>
          <w:iCs w:val="0"/>
          <w:snapToGrid w:val="0"/>
          <w:color w:val="auto"/>
          <w:sz w:val="24"/>
          <w:szCs w:val="24"/>
          <w:highlight w:val="none"/>
          <w:lang w:val="en-US" w:eastAsia="zh-CN"/>
        </w:rPr>
        <w:t>价格评审优惠</w:t>
      </w:r>
      <w:r>
        <w:rPr>
          <w:rFonts w:hint="eastAsia" w:ascii="宋体" w:hAnsi="宋体" w:eastAsia="宋体" w:cs="宋体"/>
          <w:i w:val="0"/>
          <w:iCs w:val="0"/>
          <w:snapToGrid w:val="0"/>
          <w:color w:val="auto"/>
          <w:sz w:val="24"/>
          <w:szCs w:val="24"/>
          <w:highlight w:val="none"/>
        </w:rPr>
        <w:t>，未提供认证证书的视为</w:t>
      </w:r>
      <w:r>
        <w:rPr>
          <w:rFonts w:hint="eastAsia" w:ascii="宋体" w:hAnsi="宋体" w:eastAsia="宋体" w:cs="宋体"/>
          <w:b/>
          <w:bCs/>
          <w:i w:val="0"/>
          <w:iCs w:val="0"/>
          <w:snapToGrid w:val="0"/>
          <w:color w:val="auto"/>
          <w:sz w:val="24"/>
          <w:szCs w:val="24"/>
          <w:highlight w:val="none"/>
        </w:rPr>
        <w:t>无效响应</w:t>
      </w:r>
      <w:r>
        <w:rPr>
          <w:rFonts w:hint="eastAsia" w:ascii="宋体" w:hAnsi="宋体" w:eastAsia="宋体" w:cs="宋体"/>
          <w:i w:val="0"/>
          <w:iCs w:val="0"/>
          <w:snapToGrid w:val="0"/>
          <w:color w:val="auto"/>
          <w:sz w:val="24"/>
          <w:szCs w:val="24"/>
          <w:highlight w:val="none"/>
        </w:rPr>
        <w:t>。属于</w:t>
      </w:r>
      <w:r>
        <w:rPr>
          <w:rFonts w:hint="eastAsia" w:ascii="宋体" w:hAnsi="宋体" w:eastAsia="宋体" w:cs="宋体"/>
          <w:i w:val="0"/>
          <w:iCs w:val="0"/>
          <w:snapToGrid w:val="0"/>
          <w:color w:val="auto"/>
          <w:sz w:val="24"/>
          <w:szCs w:val="24"/>
          <w:highlight w:val="none"/>
          <w:lang w:val="en-US" w:eastAsia="zh-CN"/>
        </w:rPr>
        <w:t>优先采购</w:t>
      </w:r>
      <w:r>
        <w:rPr>
          <w:rFonts w:hint="eastAsia" w:ascii="宋体" w:hAnsi="宋体" w:eastAsia="宋体" w:cs="宋体"/>
          <w:i w:val="0"/>
          <w:iCs w:val="0"/>
          <w:snapToGrid w:val="0"/>
          <w:color w:val="auto"/>
          <w:sz w:val="24"/>
          <w:szCs w:val="24"/>
          <w:highlight w:val="none"/>
        </w:rPr>
        <w:t>节能产品政府采购品目清单、环境标志产品政府采购品目清单</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en-US" w:eastAsia="zh-CN"/>
        </w:rPr>
        <w:t>创新产品</w:t>
      </w:r>
      <w:r>
        <w:rPr>
          <w:rFonts w:hint="eastAsia" w:ascii="宋体" w:hAnsi="宋体" w:eastAsia="宋体" w:cs="宋体"/>
          <w:i w:val="0"/>
          <w:iCs w:val="0"/>
          <w:snapToGrid w:val="0"/>
          <w:color w:val="auto"/>
          <w:sz w:val="24"/>
          <w:szCs w:val="24"/>
          <w:highlight w:val="none"/>
        </w:rPr>
        <w:t>范围的，按照“</w:t>
      </w:r>
      <w:r>
        <w:rPr>
          <w:rFonts w:hint="eastAsia" w:ascii="宋体" w:hAnsi="宋体" w:eastAsia="宋体" w:cs="宋体"/>
          <w:i w:val="0"/>
          <w:iCs w:val="0"/>
          <w:snapToGrid w:val="0"/>
          <w:color w:val="auto"/>
          <w:sz w:val="24"/>
          <w:szCs w:val="24"/>
          <w:highlight w:val="none"/>
          <w:lang w:val="en-US" w:eastAsia="zh-CN"/>
        </w:rPr>
        <w:t>第四章 评审方法及标准</w:t>
      </w:r>
      <w:r>
        <w:rPr>
          <w:rFonts w:hint="eastAsia" w:ascii="宋体" w:hAnsi="宋体" w:eastAsia="宋体" w:cs="宋体"/>
          <w:i w:val="0"/>
          <w:iCs w:val="0"/>
          <w:snapToGrid w:val="0"/>
          <w:color w:val="auto"/>
          <w:sz w:val="24"/>
          <w:szCs w:val="24"/>
          <w:highlight w:val="none"/>
        </w:rPr>
        <w:t>”中相关规定</w:t>
      </w:r>
      <w:r>
        <w:rPr>
          <w:rFonts w:hint="eastAsia" w:ascii="宋体" w:hAnsi="宋体" w:eastAsia="宋体" w:cs="宋体"/>
          <w:i w:val="0"/>
          <w:iCs w:val="0"/>
          <w:color w:val="auto"/>
          <w:sz w:val="24"/>
          <w:szCs w:val="24"/>
          <w:highlight w:val="none"/>
          <w:lang w:val="en-US" w:eastAsia="zh-CN"/>
        </w:rPr>
        <w:t>在评审时给予价格评审优惠，具体详见</w:t>
      </w:r>
      <w:r>
        <w:rPr>
          <w:rFonts w:hint="eastAsia" w:ascii="宋体" w:hAnsi="宋体" w:eastAsia="宋体" w:cs="宋体"/>
          <w:i w:val="0"/>
          <w:iCs w:val="0"/>
          <w:snapToGrid w:val="0"/>
          <w:color w:val="auto"/>
          <w:sz w:val="24"/>
          <w:szCs w:val="24"/>
          <w:highlight w:val="none"/>
          <w:lang w:val="en-US" w:eastAsia="zh-CN"/>
        </w:rPr>
        <w:t>“供应商须知前附表”及</w:t>
      </w:r>
      <w:r>
        <w:rPr>
          <w:rFonts w:hint="eastAsia" w:ascii="宋体" w:hAnsi="宋体" w:eastAsia="宋体" w:cs="宋体"/>
          <w:i w:val="0"/>
          <w:iCs w:val="0"/>
          <w:color w:val="auto"/>
          <w:sz w:val="24"/>
          <w:szCs w:val="24"/>
          <w:highlight w:val="none"/>
          <w:lang w:val="en-US" w:eastAsia="zh-CN"/>
        </w:rPr>
        <w:t>“第四章 评审方法及标准”</w:t>
      </w:r>
      <w:r>
        <w:rPr>
          <w:rFonts w:hint="eastAsia" w:ascii="宋体" w:hAnsi="宋体" w:eastAsia="宋体" w:cs="宋体"/>
          <w:i w:val="0"/>
          <w:iCs w:val="0"/>
          <w:color w:val="auto"/>
          <w:sz w:val="24"/>
          <w:szCs w:val="24"/>
          <w:highlight w:val="none"/>
        </w:rPr>
        <w:t>。</w:t>
      </w:r>
    </w:p>
    <w:p w14:paraId="407118D8">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44.正版软件</w:t>
      </w:r>
    </w:p>
    <w:p w14:paraId="2E9C8FA4">
      <w:pPr>
        <w:pStyle w:val="41"/>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44.1 依据《财政部 国家发展改革委 信息产业部关于印发无线局域网产品政府采购实施意见的通知》（财库〔2005〕366 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ascii="宋体" w:hAnsi="宋体" w:eastAsia="宋体" w:cs="宋体"/>
          <w:b/>
          <w:bCs/>
          <w:i w:val="0"/>
          <w:iCs w:val="0"/>
          <w:snapToGrid w:val="0"/>
          <w:color w:val="auto"/>
          <w:sz w:val="24"/>
          <w:szCs w:val="24"/>
          <w:highlight w:val="none"/>
          <w:lang w:val="en-US" w:eastAsia="zh-CN"/>
        </w:rPr>
        <w:t>响应无效</w:t>
      </w:r>
      <w:r>
        <w:rPr>
          <w:rFonts w:hint="eastAsia" w:ascii="宋体" w:hAnsi="宋体" w:eastAsia="宋体" w:cs="宋体"/>
          <w:i w:val="0"/>
          <w:iCs w:val="0"/>
          <w:snapToGrid w:val="0"/>
          <w:color w:val="auto"/>
          <w:sz w:val="24"/>
          <w:szCs w:val="24"/>
          <w:highlight w:val="none"/>
          <w:lang w:val="en-US" w:eastAsia="zh-CN"/>
        </w:rPr>
        <w:t xml:space="preserve">。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 </w:t>
      </w:r>
    </w:p>
    <w:p w14:paraId="4EBE0264">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 xml:space="preserve">44.2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14:paraId="70EA330D">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 xml:space="preserve">45.网络安全专用产品 </w:t>
      </w:r>
    </w:p>
    <w:p w14:paraId="0B0AEFEA">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52B8E4E0">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w:t>
      </w:r>
    </w:p>
    <w:p w14:paraId="1164075C">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 xml:space="preserve">46.采购需求标准 </w:t>
      </w:r>
    </w:p>
    <w:bookmarkEnd w:id="368"/>
    <w:bookmarkEnd w:id="369"/>
    <w:bookmarkEnd w:id="370"/>
    <w:bookmarkEnd w:id="371"/>
    <w:bookmarkEnd w:id="372"/>
    <w:p w14:paraId="7F34C0D9">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bookmarkStart w:id="396" w:name="_Toc109899993"/>
      <w:bookmarkStart w:id="397" w:name="_Toc109899574"/>
      <w:bookmarkStart w:id="398" w:name="_Toc109900412"/>
      <w:bookmarkStart w:id="399" w:name="_Toc109897475"/>
      <w:bookmarkStart w:id="400" w:name="_Toc163493622"/>
      <w:r>
        <w:rPr>
          <w:rFonts w:hint="eastAsia" w:ascii="宋体" w:hAnsi="宋体" w:eastAsia="宋体" w:cs="宋体"/>
          <w:i w:val="0"/>
          <w:iCs w:val="0"/>
          <w:snapToGrid w:val="0"/>
          <w:color w:val="auto"/>
          <w:sz w:val="24"/>
          <w:szCs w:val="24"/>
          <w:highlight w:val="none"/>
          <w:lang w:val="en-US" w:eastAsia="zh-CN"/>
        </w:rPr>
        <w:t xml:space="preserve">46.1 商品包装、快递包装政府采购需求标准（试行） </w:t>
      </w:r>
    </w:p>
    <w:p w14:paraId="4A47925E">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 xml:space="preserve">。 </w:t>
      </w:r>
    </w:p>
    <w:p w14:paraId="6C4A138E">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 xml:space="preserve">46.2 绿色数据中心政府采购需求标准（试行） </w:t>
      </w:r>
    </w:p>
    <w:p w14:paraId="0E6492A5">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为加快数据中心绿色转型，根据财政部 生态环境部 工业和信息化部关于印发《绿色数据中心政府采购需求标准（试行）》的通知（财库〔2023〕7 号），本项目如涉及绿色数据中心，则具体要求见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 xml:space="preserve">。 </w:t>
      </w:r>
    </w:p>
    <w:p w14:paraId="7AC1D91D">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46.3台式计算机政府采购需求标准</w:t>
      </w:r>
    </w:p>
    <w:p w14:paraId="03AB4150">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6241A793">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46.4便携式计算机政府采购需求标准</w:t>
      </w:r>
    </w:p>
    <w:p w14:paraId="02CCCC81">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1DD2D6D3">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46.5一体式计算机政府采购需求标准</w:t>
      </w:r>
    </w:p>
    <w:p w14:paraId="304B3102">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0E87B92C">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46.6工作站政府采购需求标准</w:t>
      </w:r>
    </w:p>
    <w:p w14:paraId="480B2B1B">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0309DA1C">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46.7通用服务器政府采购需求标准</w:t>
      </w:r>
    </w:p>
    <w:p w14:paraId="3FFDB91B">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59A10642">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46.8操作系统政府采购需求标准</w:t>
      </w:r>
    </w:p>
    <w:p w14:paraId="6272384F">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7754D6DB">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46.9数据库政府采购需求标准</w:t>
      </w:r>
    </w:p>
    <w:p w14:paraId="332ACB5A">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098B9B3E">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46.10物业管理服务政府采购需求标准（办公场所类）（试行）</w:t>
      </w:r>
    </w:p>
    <w:p w14:paraId="6509E4B7">
      <w:pPr>
        <w:pStyle w:val="41"/>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7FBC8BBB">
      <w:pPr>
        <w:pStyle w:val="5"/>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401" w:name="_Toc26488"/>
      <w:r>
        <w:rPr>
          <w:rFonts w:hint="eastAsia" w:ascii="宋体" w:hAnsi="宋体" w:eastAsia="宋体" w:cs="宋体"/>
          <w:b/>
          <w:bCs/>
          <w:i w:val="0"/>
          <w:iCs w:val="0"/>
          <w:color w:val="auto"/>
          <w:kern w:val="2"/>
          <w:sz w:val="24"/>
          <w:szCs w:val="24"/>
          <w:highlight w:val="none"/>
          <w:lang w:val="en-US" w:eastAsia="zh-CN" w:bidi="ar-SA"/>
        </w:rPr>
        <w:t>（十四）政府采购合同融资政策</w:t>
      </w:r>
      <w:bookmarkEnd w:id="396"/>
      <w:bookmarkEnd w:id="397"/>
      <w:bookmarkEnd w:id="398"/>
      <w:bookmarkEnd w:id="399"/>
      <w:bookmarkEnd w:id="400"/>
      <w:bookmarkEnd w:id="401"/>
    </w:p>
    <w:p w14:paraId="7B03FA44">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402" w:name="_Toc161600345"/>
      <w:bookmarkStart w:id="403" w:name="_Toc109897476"/>
      <w:r>
        <w:rPr>
          <w:rFonts w:hint="eastAsia" w:ascii="宋体" w:hAnsi="宋体" w:eastAsia="宋体" w:cs="宋体"/>
          <w:b/>
          <w:bCs/>
          <w:i w:val="0"/>
          <w:iCs w:val="0"/>
          <w:color w:val="auto"/>
          <w:kern w:val="2"/>
          <w:sz w:val="24"/>
          <w:szCs w:val="24"/>
          <w:highlight w:val="none"/>
          <w:lang w:val="en-US" w:eastAsia="zh-CN" w:bidi="ar-SA"/>
        </w:rPr>
        <w:t>47.政府采购合同融资政策</w:t>
      </w:r>
      <w:bookmarkEnd w:id="402"/>
    </w:p>
    <w:p w14:paraId="3882DBB5">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w:t>
      </w:r>
      <w:r>
        <w:rPr>
          <w:rFonts w:hint="eastAsia" w:ascii="宋体" w:hAnsi="宋体" w:eastAsia="宋体" w:cs="宋体"/>
          <w:i w:val="0"/>
          <w:iCs w:val="0"/>
          <w:color w:val="auto"/>
          <w:sz w:val="24"/>
          <w:szCs w:val="24"/>
          <w:highlight w:val="none"/>
          <w:lang w:val="en-US" w:eastAsia="zh-CN"/>
        </w:rPr>
        <w:t>7</w:t>
      </w:r>
      <w:r>
        <w:rPr>
          <w:rFonts w:hint="eastAsia" w:ascii="宋体" w:hAnsi="宋体" w:eastAsia="宋体" w:cs="宋体"/>
          <w:i w:val="0"/>
          <w:iCs w:val="0"/>
          <w:color w:val="auto"/>
          <w:sz w:val="24"/>
          <w:szCs w:val="24"/>
          <w:highlight w:val="none"/>
        </w:rPr>
        <w:t>.1政府采购合同融资政策：见供应商须知前附表。</w:t>
      </w:r>
    </w:p>
    <w:p w14:paraId="7B2AF4A9">
      <w:pPr>
        <w:pStyle w:val="5"/>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404" w:name="_Toc29816"/>
      <w:bookmarkStart w:id="405" w:name="_Toc109899994"/>
      <w:bookmarkStart w:id="406" w:name="_Toc109900413"/>
      <w:bookmarkStart w:id="407" w:name="_Toc163493623"/>
      <w:bookmarkStart w:id="408" w:name="_Toc109899575"/>
      <w:r>
        <w:rPr>
          <w:rFonts w:hint="eastAsia" w:ascii="宋体" w:hAnsi="宋体" w:eastAsia="宋体" w:cs="宋体"/>
          <w:b/>
          <w:bCs/>
          <w:i w:val="0"/>
          <w:iCs w:val="0"/>
          <w:color w:val="auto"/>
          <w:kern w:val="2"/>
          <w:sz w:val="24"/>
          <w:szCs w:val="24"/>
          <w:highlight w:val="none"/>
          <w:lang w:val="en-US" w:eastAsia="zh-CN" w:bidi="ar-SA"/>
        </w:rPr>
        <w:t>（十五）其他</w:t>
      </w:r>
      <w:bookmarkEnd w:id="403"/>
      <w:bookmarkEnd w:id="404"/>
      <w:bookmarkEnd w:id="405"/>
      <w:bookmarkEnd w:id="406"/>
      <w:bookmarkEnd w:id="407"/>
      <w:bookmarkEnd w:id="408"/>
    </w:p>
    <w:p w14:paraId="5F2353F2">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409" w:name="_Toc161600347"/>
      <w:r>
        <w:rPr>
          <w:rFonts w:hint="eastAsia" w:ascii="宋体" w:hAnsi="宋体" w:eastAsia="宋体" w:cs="宋体"/>
          <w:b/>
          <w:bCs/>
          <w:i w:val="0"/>
          <w:iCs w:val="0"/>
          <w:color w:val="auto"/>
          <w:kern w:val="2"/>
          <w:sz w:val="24"/>
          <w:szCs w:val="24"/>
          <w:highlight w:val="none"/>
          <w:lang w:val="en-US" w:eastAsia="zh-CN" w:bidi="ar-SA"/>
        </w:rPr>
        <w:t>48.需要补充的其他内容</w:t>
      </w:r>
      <w:bookmarkEnd w:id="409"/>
    </w:p>
    <w:p w14:paraId="5215A123">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.1需要补充的其他内容：见供应商须知前附表。</w:t>
      </w:r>
    </w:p>
    <w:p w14:paraId="299B33C5">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410" w:name="_Toc109897477"/>
      <w:bookmarkStart w:id="411" w:name="_Toc109900414"/>
      <w:bookmarkStart w:id="412" w:name="_Toc109899576"/>
      <w:bookmarkStart w:id="413" w:name="_Toc109899995"/>
      <w:r>
        <w:rPr>
          <w:rFonts w:hint="eastAsia" w:ascii="宋体" w:hAnsi="宋体" w:eastAsia="宋体" w:cs="宋体"/>
          <w:b/>
          <w:bCs/>
          <w:i w:val="0"/>
          <w:iCs w:val="0"/>
          <w:color w:val="auto"/>
          <w:kern w:val="2"/>
          <w:sz w:val="24"/>
          <w:szCs w:val="24"/>
          <w:highlight w:val="none"/>
          <w:lang w:val="en-US" w:eastAsia="zh-CN" w:bidi="ar-SA"/>
        </w:rPr>
        <w:t>49.适用法律</w:t>
      </w:r>
      <w:bookmarkEnd w:id="410"/>
      <w:bookmarkEnd w:id="411"/>
      <w:bookmarkEnd w:id="412"/>
      <w:bookmarkEnd w:id="413"/>
    </w:p>
    <w:p w14:paraId="4DC70582">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4</w:t>
      </w:r>
      <w:r>
        <w:rPr>
          <w:rFonts w:hint="eastAsia" w:ascii="宋体" w:hAnsi="宋体" w:eastAsia="宋体" w:cs="宋体"/>
          <w:i w:val="0"/>
          <w:iCs w:val="0"/>
          <w:snapToGrid w:val="0"/>
          <w:color w:val="auto"/>
          <w:sz w:val="24"/>
          <w:szCs w:val="24"/>
          <w:highlight w:val="none"/>
          <w:lang w:val="en-US" w:eastAsia="zh-CN"/>
        </w:rPr>
        <w:t>9</w:t>
      </w:r>
      <w:r>
        <w:rPr>
          <w:rFonts w:hint="eastAsia" w:ascii="宋体" w:hAnsi="宋体" w:eastAsia="宋体" w:cs="宋体"/>
          <w:i w:val="0"/>
          <w:iCs w:val="0"/>
          <w:snapToGrid w:val="0"/>
          <w:color w:val="auto"/>
          <w:sz w:val="24"/>
          <w:szCs w:val="24"/>
          <w:highlight w:val="none"/>
          <w:lang w:val="zh-CN"/>
        </w:rPr>
        <w:t>.1采购人、采购代理机构及供应商的一切采购活动均适用《</w:t>
      </w:r>
      <w:r>
        <w:rPr>
          <w:rFonts w:hint="eastAsia" w:ascii="宋体" w:hAnsi="宋体" w:eastAsia="宋体" w:cs="宋体"/>
          <w:i w:val="0"/>
          <w:iCs w:val="0"/>
          <w:snapToGrid w:val="0"/>
          <w:color w:val="auto"/>
          <w:sz w:val="24"/>
          <w:szCs w:val="24"/>
          <w:highlight w:val="none"/>
        </w:rPr>
        <w:t>中华人民共和国</w:t>
      </w:r>
      <w:r>
        <w:rPr>
          <w:rFonts w:hint="eastAsia" w:ascii="宋体" w:hAnsi="宋体" w:eastAsia="宋体" w:cs="宋体"/>
          <w:i w:val="0"/>
          <w:iCs w:val="0"/>
          <w:snapToGrid w:val="0"/>
          <w:color w:val="auto"/>
          <w:sz w:val="24"/>
          <w:szCs w:val="24"/>
          <w:highlight w:val="none"/>
          <w:lang w:val="zh-CN"/>
        </w:rPr>
        <w:t>政府采购法》、《</w:t>
      </w:r>
      <w:r>
        <w:rPr>
          <w:rFonts w:hint="eastAsia" w:ascii="宋体" w:hAnsi="宋体" w:eastAsia="宋体" w:cs="宋体"/>
          <w:i w:val="0"/>
          <w:iCs w:val="0"/>
          <w:snapToGrid w:val="0"/>
          <w:color w:val="auto"/>
          <w:sz w:val="24"/>
          <w:szCs w:val="24"/>
          <w:highlight w:val="none"/>
        </w:rPr>
        <w:t>中华人民共和国</w:t>
      </w:r>
      <w:r>
        <w:rPr>
          <w:rFonts w:hint="eastAsia" w:ascii="宋体" w:hAnsi="宋体" w:eastAsia="宋体" w:cs="宋体"/>
          <w:i w:val="0"/>
          <w:iCs w:val="0"/>
          <w:snapToGrid w:val="0"/>
          <w:color w:val="auto"/>
          <w:sz w:val="24"/>
          <w:szCs w:val="24"/>
          <w:highlight w:val="none"/>
          <w:lang w:val="zh-CN"/>
        </w:rPr>
        <w:t>政府采购法实施条例》、</w:t>
      </w:r>
      <w:r>
        <w:rPr>
          <w:rFonts w:hint="eastAsia" w:ascii="宋体" w:hAnsi="宋体" w:eastAsia="宋体" w:cs="宋体"/>
          <w:i w:val="0"/>
          <w:iCs w:val="0"/>
          <w:color w:val="auto"/>
          <w:sz w:val="24"/>
          <w:szCs w:val="24"/>
          <w:highlight w:val="none"/>
        </w:rPr>
        <w:t>《政府采购竞争性磋商采购方式管理暂行办法》（财库〔2014〕214号）</w:t>
      </w:r>
      <w:r>
        <w:rPr>
          <w:rFonts w:hint="eastAsia" w:ascii="宋体" w:hAnsi="宋体" w:eastAsia="宋体" w:cs="宋体"/>
          <w:i w:val="0"/>
          <w:iCs w:val="0"/>
          <w:snapToGrid w:val="0"/>
          <w:color w:val="auto"/>
          <w:sz w:val="24"/>
          <w:szCs w:val="24"/>
          <w:highlight w:val="none"/>
          <w:lang w:val="zh-CN"/>
        </w:rPr>
        <w:t>及相关法律法规。</w:t>
      </w:r>
    </w:p>
    <w:p w14:paraId="07E586D2">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4</w:t>
      </w:r>
      <w:r>
        <w:rPr>
          <w:rFonts w:hint="eastAsia" w:ascii="宋体" w:hAnsi="宋体" w:eastAsia="宋体" w:cs="宋体"/>
          <w:i w:val="0"/>
          <w:iCs w:val="0"/>
          <w:snapToGrid w:val="0"/>
          <w:color w:val="auto"/>
          <w:sz w:val="24"/>
          <w:szCs w:val="24"/>
          <w:highlight w:val="none"/>
          <w:lang w:val="en-US" w:eastAsia="zh-CN"/>
        </w:rPr>
        <w:t>9</w:t>
      </w:r>
      <w:r>
        <w:rPr>
          <w:rFonts w:hint="eastAsia" w:ascii="宋体" w:hAnsi="宋体" w:eastAsia="宋体" w:cs="宋体"/>
          <w:i w:val="0"/>
          <w:iCs w:val="0"/>
          <w:snapToGrid w:val="0"/>
          <w:color w:val="auto"/>
          <w:sz w:val="24"/>
          <w:szCs w:val="24"/>
          <w:highlight w:val="none"/>
          <w:lang w:val="zh-CN"/>
        </w:rPr>
        <w:t>.2政府采购合同的履行、违约责任和解决争议的方法等适用《</w:t>
      </w:r>
      <w:r>
        <w:rPr>
          <w:rFonts w:hint="eastAsia" w:ascii="宋体" w:hAnsi="宋体" w:eastAsia="宋体" w:cs="宋体"/>
          <w:i w:val="0"/>
          <w:iCs w:val="0"/>
          <w:snapToGrid w:val="0"/>
          <w:color w:val="auto"/>
          <w:sz w:val="24"/>
          <w:szCs w:val="24"/>
          <w:highlight w:val="none"/>
        </w:rPr>
        <w:t>中华人民共和国</w:t>
      </w:r>
      <w:r>
        <w:rPr>
          <w:rFonts w:hint="eastAsia" w:ascii="宋体" w:hAnsi="宋体" w:eastAsia="宋体" w:cs="宋体"/>
          <w:i w:val="0"/>
          <w:iCs w:val="0"/>
          <w:snapToGrid w:val="0"/>
          <w:color w:val="auto"/>
          <w:sz w:val="24"/>
          <w:szCs w:val="24"/>
          <w:highlight w:val="none"/>
          <w:lang w:val="zh-CN"/>
        </w:rPr>
        <w:t>民法典》。</w:t>
      </w:r>
    </w:p>
    <w:p w14:paraId="0DD5DDEC">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414" w:name="_Toc155185887"/>
      <w:bookmarkStart w:id="415" w:name="_Toc161600349"/>
      <w:r>
        <w:rPr>
          <w:rFonts w:hint="eastAsia" w:ascii="宋体" w:hAnsi="宋体" w:eastAsia="宋体" w:cs="宋体"/>
          <w:b/>
          <w:bCs/>
          <w:i w:val="0"/>
          <w:iCs w:val="0"/>
          <w:color w:val="auto"/>
          <w:kern w:val="2"/>
          <w:sz w:val="24"/>
          <w:szCs w:val="24"/>
          <w:highlight w:val="none"/>
          <w:lang w:val="en-US" w:eastAsia="zh-CN" w:bidi="ar-SA"/>
        </w:rPr>
        <w:t>50.解释权</w:t>
      </w:r>
      <w:bookmarkEnd w:id="414"/>
      <w:bookmarkEnd w:id="415"/>
    </w:p>
    <w:p w14:paraId="100A2FBC">
      <w:pPr>
        <w:pStyle w:val="41"/>
        <w:keepNext w:val="0"/>
        <w:keepLines w:val="0"/>
        <w:pageBreakBefore w:val="0"/>
        <w:widowControl w:val="0"/>
        <w:kinsoku/>
        <w:overflowPunct/>
        <w:topLinePunct w:val="0"/>
        <w:bidi w:val="0"/>
        <w:ind w:firstLine="480"/>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50</w:t>
      </w:r>
      <w:r>
        <w:rPr>
          <w:rFonts w:hint="eastAsia" w:ascii="宋体" w:hAnsi="宋体" w:eastAsia="宋体" w:cs="宋体"/>
          <w:i w:val="0"/>
          <w:iCs w:val="0"/>
          <w:snapToGrid w:val="0"/>
          <w:color w:val="auto"/>
          <w:sz w:val="24"/>
          <w:szCs w:val="24"/>
          <w:highlight w:val="none"/>
        </w:rPr>
        <w:t>.1本竞争性磋商文件最终解释权归采购人或采购代理机构所有。</w:t>
      </w:r>
    </w:p>
    <w:p w14:paraId="272446E3">
      <w:pPr>
        <w:pStyle w:val="41"/>
        <w:ind w:firstLine="480"/>
        <w:rPr>
          <w:rFonts w:hint="eastAsia" w:ascii="宋体" w:hAnsi="宋体" w:eastAsia="宋体" w:cs="宋体"/>
          <w:i w:val="0"/>
          <w:iCs w:val="0"/>
          <w:color w:val="auto"/>
          <w:sz w:val="24"/>
          <w:szCs w:val="24"/>
          <w:highlight w:val="none"/>
        </w:rPr>
      </w:pPr>
    </w:p>
    <w:p w14:paraId="5DC4D2D8">
      <w:pPr>
        <w:pStyle w:val="41"/>
        <w:ind w:firstLine="480"/>
        <w:rPr>
          <w:i w:val="0"/>
          <w:iCs w:val="0"/>
          <w:color w:val="auto"/>
          <w:highlight w:val="none"/>
        </w:rPr>
      </w:pPr>
    </w:p>
    <w:p w14:paraId="746B4328">
      <w:pPr>
        <w:pStyle w:val="41"/>
        <w:ind w:firstLine="480"/>
        <w:rPr>
          <w:i w:val="0"/>
          <w:iCs w:val="0"/>
          <w:color w:val="auto"/>
          <w:highlight w:val="none"/>
        </w:rPr>
        <w:sectPr>
          <w:footerReference r:id="rId8" w:type="default"/>
          <w:pgSz w:w="11906" w:h="16838"/>
          <w:pgMar w:top="1440" w:right="1800" w:bottom="1440" w:left="1800" w:header="851" w:footer="652" w:gutter="0"/>
          <w:pgNumType w:fmt="decimal"/>
          <w:cols w:space="0" w:num="1"/>
          <w:rtlGutter w:val="0"/>
          <w:docGrid w:type="lines" w:linePitch="312" w:charSpace="0"/>
        </w:sectPr>
      </w:pPr>
    </w:p>
    <w:p w14:paraId="3F8E390A">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i w:val="0"/>
          <w:iCs w:val="0"/>
          <w:color w:val="auto"/>
          <w:kern w:val="44"/>
          <w:sz w:val="36"/>
          <w:szCs w:val="36"/>
          <w:highlight w:val="none"/>
          <w:lang w:val="en-US" w:eastAsia="zh-CN" w:bidi="ar-SA"/>
        </w:rPr>
      </w:pPr>
      <w:bookmarkStart w:id="416" w:name="_Toc25233"/>
      <w:r>
        <w:rPr>
          <w:rFonts w:hint="eastAsia" w:ascii="宋体" w:hAnsi="宋体" w:eastAsia="宋体" w:cs="宋体"/>
          <w:b/>
          <w:bCs/>
          <w:i w:val="0"/>
          <w:iCs w:val="0"/>
          <w:color w:val="auto"/>
          <w:kern w:val="44"/>
          <w:sz w:val="36"/>
          <w:szCs w:val="36"/>
          <w:highlight w:val="none"/>
          <w:lang w:val="en-US" w:eastAsia="zh-CN" w:bidi="ar-SA"/>
        </w:rPr>
        <w:t>第三章 项目采购需求</w:t>
      </w:r>
      <w:bookmarkEnd w:id="416"/>
    </w:p>
    <w:p w14:paraId="7F3669B8">
      <w:pPr>
        <w:pStyle w:val="41"/>
        <w:keepNext w:val="0"/>
        <w:keepLines w:val="0"/>
        <w:pageBreakBefore w:val="0"/>
        <w:widowControl w:val="0"/>
        <w:kinsoku/>
        <w:overflowPunct/>
        <w:topLinePunct w:val="0"/>
        <w:autoSpaceDE/>
        <w:autoSpaceDN/>
        <w:bidi w:val="0"/>
        <w:adjustRightInd/>
        <w:textAlignment w:val="auto"/>
        <w:rPr>
          <w:rFonts w:hint="eastAsia"/>
          <w:b/>
          <w:bCs/>
          <w:i w:val="0"/>
          <w:iCs w:val="0"/>
          <w:snapToGrid w:val="0"/>
          <w:color w:val="auto"/>
          <w:sz w:val="24"/>
          <w:szCs w:val="24"/>
          <w:highlight w:val="none"/>
          <w:lang w:val="en-US" w:eastAsia="zh-CN"/>
        </w:rPr>
      </w:pPr>
      <w:bookmarkStart w:id="417" w:name="_Toc163492886"/>
      <w:bookmarkStart w:id="418" w:name="_Toc140132812"/>
      <w:bookmarkStart w:id="419" w:name="_Toc155185889"/>
      <w:r>
        <w:rPr>
          <w:rFonts w:hint="eastAsia"/>
          <w:b/>
          <w:bCs/>
          <w:i w:val="0"/>
          <w:iCs w:val="0"/>
          <w:snapToGrid w:val="0"/>
          <w:color w:val="auto"/>
          <w:sz w:val="24"/>
          <w:szCs w:val="24"/>
          <w:highlight w:val="none"/>
          <w:lang w:val="en-US" w:eastAsia="zh-CN"/>
        </w:rPr>
        <w:t>★本章节“项目采购需求”不允许负偏离</w:t>
      </w:r>
    </w:p>
    <w:p w14:paraId="42912494">
      <w:pPr>
        <w:pStyle w:val="41"/>
        <w:keepNext w:val="0"/>
        <w:keepLines w:val="0"/>
        <w:pageBreakBefore w:val="0"/>
        <w:widowControl w:val="0"/>
        <w:kinsoku/>
        <w:overflowPunct/>
        <w:topLinePunct w:val="0"/>
        <w:autoSpaceDE/>
        <w:autoSpaceDN/>
        <w:bidi w:val="0"/>
        <w:adjustRightInd/>
        <w:textAlignment w:val="auto"/>
        <w:rPr>
          <w:rFonts w:hint="eastAsia"/>
          <w:b/>
          <w:bCs/>
          <w:i w:val="0"/>
          <w:iCs w:val="0"/>
          <w:snapToGrid w:val="0"/>
          <w:color w:val="auto"/>
          <w:sz w:val="24"/>
          <w:szCs w:val="24"/>
          <w:highlight w:val="none"/>
          <w:lang w:val="en-US" w:eastAsia="zh-CN"/>
        </w:rPr>
      </w:pPr>
      <w:r>
        <w:rPr>
          <w:rFonts w:hint="eastAsia"/>
          <w:b/>
          <w:bCs/>
          <w:i w:val="0"/>
          <w:iCs w:val="0"/>
          <w:snapToGrid w:val="0"/>
          <w:color w:val="auto"/>
          <w:sz w:val="24"/>
          <w:szCs w:val="24"/>
          <w:highlight w:val="none"/>
          <w:lang w:val="en-US" w:eastAsia="zh-CN"/>
        </w:rPr>
        <w:t xml:space="preserve">说明： </w:t>
      </w:r>
    </w:p>
    <w:p w14:paraId="3A4B5CBB">
      <w:pPr>
        <w:pStyle w:val="41"/>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sz w:val="24"/>
          <w:szCs w:val="24"/>
          <w:highlight w:val="none"/>
          <w:lang w:val="en-US" w:eastAsia="zh-CN"/>
        </w:rPr>
      </w:pPr>
      <w:r>
        <w:rPr>
          <w:rFonts w:hint="eastAsia"/>
          <w:i w:val="0"/>
          <w:iCs w:val="0"/>
          <w:snapToGrid w:val="0"/>
          <w:color w:val="auto"/>
          <w:sz w:val="24"/>
          <w:szCs w:val="24"/>
          <w:highlight w:val="none"/>
          <w:lang w:val="en-US" w:eastAsia="zh-CN"/>
        </w:rPr>
        <w:t>1. 当采购项目涉及数据中心相关设备、运维服务时，采购需求应当符合《绿色数据中心政府采购需求标准（试行）》（财库〔</w:t>
      </w:r>
      <w:r>
        <w:rPr>
          <w:rFonts w:hint="default"/>
          <w:i w:val="0"/>
          <w:iCs w:val="0"/>
          <w:snapToGrid w:val="0"/>
          <w:color w:val="auto"/>
          <w:sz w:val="24"/>
          <w:szCs w:val="24"/>
          <w:highlight w:val="none"/>
          <w:lang w:val="en-US" w:eastAsia="zh-CN"/>
        </w:rPr>
        <w:t>2023</w:t>
      </w:r>
      <w:r>
        <w:rPr>
          <w:rFonts w:hint="eastAsia"/>
          <w:i w:val="0"/>
          <w:iCs w:val="0"/>
          <w:snapToGrid w:val="0"/>
          <w:color w:val="auto"/>
          <w:sz w:val="24"/>
          <w:szCs w:val="24"/>
          <w:highlight w:val="none"/>
          <w:lang w:val="en-US" w:eastAsia="zh-CN"/>
        </w:rPr>
        <w:t>〕</w:t>
      </w:r>
      <w:r>
        <w:rPr>
          <w:rFonts w:hint="default"/>
          <w:i w:val="0"/>
          <w:iCs w:val="0"/>
          <w:snapToGrid w:val="0"/>
          <w:color w:val="auto"/>
          <w:sz w:val="24"/>
          <w:szCs w:val="24"/>
          <w:highlight w:val="none"/>
          <w:lang w:val="en-US" w:eastAsia="zh-CN"/>
        </w:rPr>
        <w:t xml:space="preserve">7 </w:t>
      </w:r>
      <w:r>
        <w:rPr>
          <w:rFonts w:hint="eastAsia"/>
          <w:i w:val="0"/>
          <w:iCs w:val="0"/>
          <w:snapToGrid w:val="0"/>
          <w:color w:val="auto"/>
          <w:sz w:val="24"/>
          <w:szCs w:val="24"/>
          <w:highlight w:val="none"/>
          <w:lang w:val="en-US" w:eastAsia="zh-CN"/>
        </w:rPr>
        <w:t xml:space="preserve">号）的有关要求。 </w:t>
      </w:r>
    </w:p>
    <w:p w14:paraId="0E00C358">
      <w:pPr>
        <w:pStyle w:val="41"/>
        <w:keepNext w:val="0"/>
        <w:keepLines w:val="0"/>
        <w:pageBreakBefore w:val="0"/>
        <w:widowControl w:val="0"/>
        <w:kinsoku/>
        <w:overflowPunct/>
        <w:topLinePunct w:val="0"/>
        <w:autoSpaceDE/>
        <w:autoSpaceDN/>
        <w:bidi w:val="0"/>
        <w:adjustRightInd/>
        <w:textAlignment w:val="auto"/>
        <w:rPr>
          <w:rFonts w:hint="eastAsia"/>
          <w:i w:val="0"/>
          <w:iCs w:val="0"/>
          <w:snapToGrid w:val="0"/>
          <w:color w:val="auto"/>
          <w:sz w:val="24"/>
          <w:szCs w:val="24"/>
          <w:highlight w:val="none"/>
          <w:lang w:val="en-US" w:eastAsia="zh-CN"/>
        </w:rPr>
      </w:pPr>
      <w:r>
        <w:rPr>
          <w:rFonts w:hint="default"/>
          <w:i w:val="0"/>
          <w:iCs w:val="0"/>
          <w:snapToGrid w:val="0"/>
          <w:color w:val="auto"/>
          <w:sz w:val="24"/>
          <w:szCs w:val="24"/>
          <w:highlight w:val="none"/>
          <w:lang w:val="en-US" w:eastAsia="zh-CN"/>
        </w:rPr>
        <w:t xml:space="preserve">2. </w:t>
      </w:r>
      <w:r>
        <w:rPr>
          <w:rFonts w:hint="eastAsia"/>
          <w:i w:val="0"/>
          <w:iCs w:val="0"/>
          <w:snapToGrid w:val="0"/>
          <w:color w:val="auto"/>
          <w:sz w:val="24"/>
          <w:szCs w:val="24"/>
          <w:highlight w:val="none"/>
          <w:lang w:val="en-US" w:eastAsia="zh-CN"/>
        </w:rPr>
        <w:t>当采购项目涉及政务信息系统时，采购需求应当符合《政务信息系统政府采购管理暂行办法》（财库〔</w:t>
      </w:r>
      <w:r>
        <w:rPr>
          <w:rFonts w:hint="default"/>
          <w:i w:val="0"/>
          <w:iCs w:val="0"/>
          <w:snapToGrid w:val="0"/>
          <w:color w:val="auto"/>
          <w:sz w:val="24"/>
          <w:szCs w:val="24"/>
          <w:highlight w:val="none"/>
          <w:lang w:val="en-US" w:eastAsia="zh-CN"/>
        </w:rPr>
        <w:t>2017</w:t>
      </w:r>
      <w:r>
        <w:rPr>
          <w:rFonts w:hint="eastAsia"/>
          <w:i w:val="0"/>
          <w:iCs w:val="0"/>
          <w:snapToGrid w:val="0"/>
          <w:color w:val="auto"/>
          <w:sz w:val="24"/>
          <w:szCs w:val="24"/>
          <w:highlight w:val="none"/>
          <w:lang w:val="en-US" w:eastAsia="zh-CN"/>
        </w:rPr>
        <w:t>〕</w:t>
      </w:r>
      <w:r>
        <w:rPr>
          <w:rFonts w:hint="default"/>
          <w:i w:val="0"/>
          <w:iCs w:val="0"/>
          <w:snapToGrid w:val="0"/>
          <w:color w:val="auto"/>
          <w:sz w:val="24"/>
          <w:szCs w:val="24"/>
          <w:highlight w:val="none"/>
          <w:lang w:val="en-US" w:eastAsia="zh-CN"/>
        </w:rPr>
        <w:t xml:space="preserve">210 </w:t>
      </w:r>
      <w:r>
        <w:rPr>
          <w:rFonts w:hint="eastAsia"/>
          <w:i w:val="0"/>
          <w:iCs w:val="0"/>
          <w:snapToGrid w:val="0"/>
          <w:color w:val="auto"/>
          <w:sz w:val="24"/>
          <w:szCs w:val="24"/>
          <w:highlight w:val="none"/>
          <w:lang w:val="en-US" w:eastAsia="zh-CN"/>
        </w:rPr>
        <w:t xml:space="preserve">号）的相关要求。 </w:t>
      </w:r>
    </w:p>
    <w:bookmarkEnd w:id="417"/>
    <w:bookmarkEnd w:id="418"/>
    <w:bookmarkEnd w:id="419"/>
    <w:p w14:paraId="0731EF4F">
      <w:pPr>
        <w:spacing w:line="360" w:lineRule="auto"/>
        <w:jc w:val="center"/>
        <w:outlineLvl w:val="0"/>
        <w:rPr>
          <w:rFonts w:hint="eastAsia" w:ascii="宋体" w:hAnsi="宋体" w:eastAsia="宋体" w:cs="宋体"/>
          <w:b/>
          <w:bCs/>
          <w:sz w:val="24"/>
          <w:szCs w:val="24"/>
        </w:rPr>
      </w:pPr>
      <w:bookmarkStart w:id="420" w:name="_Toc195197250"/>
      <w:bookmarkStart w:id="421" w:name="_Toc12488"/>
      <w:bookmarkStart w:id="559" w:name="_GoBack"/>
      <w:bookmarkEnd w:id="559"/>
      <w:r>
        <w:rPr>
          <w:rFonts w:hint="eastAsia" w:ascii="宋体" w:hAnsi="宋体" w:eastAsia="宋体" w:cs="宋体"/>
          <w:b/>
          <w:bCs/>
          <w:sz w:val="24"/>
          <w:szCs w:val="24"/>
          <w:lang w:val="en-US" w:eastAsia="zh-CN"/>
        </w:rPr>
        <w:t>2026年乌鲁木齐市沙依巴克区炉院街街道餐饮</w:t>
      </w:r>
      <w:r>
        <w:rPr>
          <w:rFonts w:hint="eastAsia" w:ascii="宋体" w:hAnsi="宋体" w:eastAsia="宋体" w:cs="宋体"/>
          <w:b/>
          <w:bCs/>
          <w:sz w:val="24"/>
          <w:szCs w:val="24"/>
        </w:rPr>
        <w:t>服务标准和要求</w:t>
      </w:r>
      <w:bookmarkEnd w:id="420"/>
    </w:p>
    <w:p w14:paraId="6CC3BC8B">
      <w:pPr>
        <w:spacing w:line="360" w:lineRule="auto"/>
        <w:jc w:val="both"/>
        <w:rPr>
          <w:rFonts w:hint="eastAsia" w:ascii="宋体" w:hAnsi="宋体" w:eastAsia="宋体" w:cs="宋体"/>
          <w:sz w:val="21"/>
          <w:szCs w:val="21"/>
        </w:rPr>
      </w:pPr>
    </w:p>
    <w:p w14:paraId="7378BAA9">
      <w:pPr>
        <w:numPr>
          <w:ilvl w:val="0"/>
          <w:numId w:val="2"/>
        </w:numPr>
        <w:spacing w:line="360" w:lineRule="auto"/>
        <w:jc w:val="both"/>
        <w:rPr>
          <w:rFonts w:hint="eastAsia" w:ascii="宋体" w:hAnsi="宋体" w:eastAsia="宋体" w:cs="宋体"/>
          <w:sz w:val="24"/>
          <w:szCs w:val="24"/>
        </w:rPr>
      </w:pPr>
      <w:r>
        <w:rPr>
          <w:rFonts w:hint="eastAsia" w:ascii="宋体" w:hAnsi="宋体" w:eastAsia="宋体" w:cs="宋体"/>
          <w:sz w:val="24"/>
          <w:szCs w:val="24"/>
        </w:rPr>
        <w:t>采购项目名称： 202</w:t>
      </w:r>
      <w:r>
        <w:rPr>
          <w:rFonts w:hint="eastAsia" w:ascii="宋体" w:hAnsi="宋体" w:eastAsia="宋体" w:cs="宋体"/>
          <w:sz w:val="24"/>
          <w:szCs w:val="24"/>
          <w:lang w:val="en-US" w:eastAsia="zh-CN"/>
        </w:rPr>
        <w:t>6</w:t>
      </w:r>
      <w:r>
        <w:rPr>
          <w:rFonts w:hint="eastAsia" w:ascii="宋体" w:hAnsi="宋体" w:eastAsia="宋体" w:cs="宋体"/>
          <w:sz w:val="24"/>
          <w:szCs w:val="24"/>
        </w:rPr>
        <w:t>年乌鲁木齐市沙依巴克区炉院街街道餐饮服务项目</w:t>
      </w:r>
    </w:p>
    <w:p w14:paraId="1A0722B7">
      <w:pPr>
        <w:spacing w:line="360" w:lineRule="auto"/>
        <w:jc w:val="both"/>
        <w:rPr>
          <w:rFonts w:hint="eastAsia" w:ascii="宋体" w:hAnsi="宋体" w:eastAsia="宋体" w:cs="宋体"/>
          <w:sz w:val="24"/>
          <w:szCs w:val="24"/>
        </w:rPr>
      </w:pPr>
      <w:r>
        <w:rPr>
          <w:rFonts w:hint="eastAsia" w:ascii="宋体" w:hAnsi="宋体" w:eastAsia="宋体" w:cs="宋体"/>
          <w:sz w:val="24"/>
          <w:szCs w:val="24"/>
        </w:rPr>
        <w:t>（二）采购内容及范围：</w:t>
      </w:r>
    </w:p>
    <w:tbl>
      <w:tblPr>
        <w:tblStyle w:val="102"/>
        <w:tblpPr w:leftFromText="180" w:rightFromText="180" w:vertAnchor="text" w:horzAnchor="page" w:tblpX="1727" w:tblpY="602"/>
        <w:tblOverlap w:val="never"/>
        <w:tblW w:w="877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5"/>
        <w:gridCol w:w="1574"/>
        <w:gridCol w:w="2226"/>
        <w:gridCol w:w="4300"/>
      </w:tblGrid>
      <w:tr w14:paraId="4FCD74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675" w:type="dxa"/>
          </w:tcPr>
          <w:p w14:paraId="62CD8BE5">
            <w:pPr>
              <w:spacing w:before="126" w:line="360" w:lineRule="auto"/>
              <w:ind w:left="199"/>
              <w:jc w:val="both"/>
              <w:rPr>
                <w:rFonts w:hint="eastAsia" w:ascii="宋体" w:hAnsi="宋体" w:eastAsia="宋体" w:cs="宋体"/>
                <w:sz w:val="24"/>
                <w:szCs w:val="24"/>
              </w:rPr>
            </w:pPr>
            <w:r>
              <w:rPr>
                <w:rFonts w:hint="eastAsia" w:ascii="宋体" w:hAnsi="宋体" w:eastAsia="宋体" w:cs="宋体"/>
                <w:b/>
                <w:bCs/>
                <w:spacing w:val="4"/>
                <w:sz w:val="24"/>
                <w:szCs w:val="24"/>
              </w:rPr>
              <w:t>序号</w:t>
            </w:r>
          </w:p>
        </w:tc>
        <w:tc>
          <w:tcPr>
            <w:tcW w:w="1574" w:type="dxa"/>
          </w:tcPr>
          <w:p w14:paraId="6B284C76">
            <w:pPr>
              <w:spacing w:before="126" w:line="360" w:lineRule="auto"/>
              <w:jc w:val="center"/>
              <w:rPr>
                <w:rFonts w:hint="eastAsia" w:ascii="宋体" w:hAnsi="宋体" w:eastAsia="宋体" w:cs="宋体"/>
                <w:sz w:val="24"/>
                <w:szCs w:val="24"/>
              </w:rPr>
            </w:pPr>
            <w:r>
              <w:rPr>
                <w:rFonts w:hint="eastAsia" w:ascii="宋体" w:hAnsi="宋体" w:eastAsia="宋体" w:cs="宋体"/>
                <w:b/>
                <w:bCs/>
                <w:spacing w:val="6"/>
                <w:sz w:val="24"/>
                <w:szCs w:val="24"/>
              </w:rPr>
              <w:t>采购内容</w:t>
            </w:r>
          </w:p>
        </w:tc>
        <w:tc>
          <w:tcPr>
            <w:tcW w:w="2226" w:type="dxa"/>
          </w:tcPr>
          <w:p w14:paraId="2F011E9A">
            <w:pPr>
              <w:spacing w:before="126" w:line="360" w:lineRule="auto"/>
              <w:ind w:left="118"/>
              <w:jc w:val="both"/>
              <w:rPr>
                <w:rFonts w:hint="eastAsia" w:ascii="宋体" w:hAnsi="宋体" w:eastAsia="宋体" w:cs="宋体"/>
                <w:sz w:val="24"/>
                <w:szCs w:val="24"/>
              </w:rPr>
            </w:pPr>
            <w:r>
              <w:rPr>
                <w:rFonts w:hint="eastAsia" w:ascii="宋体" w:hAnsi="宋体" w:eastAsia="宋体" w:cs="宋体"/>
                <w:b/>
                <w:bCs/>
                <w:spacing w:val="5"/>
                <w:sz w:val="24"/>
                <w:szCs w:val="24"/>
              </w:rPr>
              <w:t>预算金额（万元）</w:t>
            </w:r>
          </w:p>
        </w:tc>
        <w:tc>
          <w:tcPr>
            <w:tcW w:w="4300" w:type="dxa"/>
          </w:tcPr>
          <w:p w14:paraId="551129F2">
            <w:pPr>
              <w:spacing w:before="126" w:line="360" w:lineRule="auto"/>
              <w:ind w:left="984"/>
              <w:jc w:val="both"/>
              <w:rPr>
                <w:rFonts w:hint="eastAsia" w:ascii="宋体" w:hAnsi="宋体" w:eastAsia="宋体" w:cs="宋体"/>
                <w:sz w:val="24"/>
                <w:szCs w:val="24"/>
              </w:rPr>
            </w:pPr>
            <w:r>
              <w:rPr>
                <w:rFonts w:hint="eastAsia" w:ascii="宋体" w:hAnsi="宋体" w:eastAsia="宋体" w:cs="宋体"/>
                <w:b/>
                <w:bCs/>
                <w:spacing w:val="5"/>
                <w:sz w:val="24"/>
                <w:szCs w:val="24"/>
              </w:rPr>
              <w:t>服务期</w:t>
            </w:r>
          </w:p>
        </w:tc>
      </w:tr>
      <w:tr w14:paraId="2C3111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7" w:hRule="atLeast"/>
        </w:trPr>
        <w:tc>
          <w:tcPr>
            <w:tcW w:w="675" w:type="dxa"/>
            <w:vAlign w:val="center"/>
          </w:tcPr>
          <w:p w14:paraId="408D0B0C">
            <w:pPr>
              <w:spacing w:before="157" w:line="360" w:lineRule="auto"/>
              <w:ind w:left="374"/>
              <w:jc w:val="center"/>
              <w:rPr>
                <w:rFonts w:hint="eastAsia" w:ascii="宋体" w:hAnsi="宋体" w:eastAsia="宋体" w:cs="宋体"/>
                <w:sz w:val="24"/>
                <w:szCs w:val="24"/>
              </w:rPr>
            </w:pPr>
            <w:r>
              <w:rPr>
                <w:rFonts w:hint="eastAsia" w:ascii="宋体" w:hAnsi="宋体" w:eastAsia="宋体" w:cs="宋体"/>
                <w:sz w:val="24"/>
                <w:szCs w:val="24"/>
              </w:rPr>
              <w:t>1</w:t>
            </w:r>
          </w:p>
        </w:tc>
        <w:tc>
          <w:tcPr>
            <w:tcW w:w="1574" w:type="dxa"/>
            <w:vAlign w:val="center"/>
          </w:tcPr>
          <w:p w14:paraId="3CEF2B13">
            <w:pPr>
              <w:spacing w:before="124" w:line="360" w:lineRule="auto"/>
              <w:ind w:left="476" w:hanging="476" w:hangingChars="186"/>
              <w:jc w:val="center"/>
              <w:rPr>
                <w:rFonts w:hint="eastAsia" w:ascii="宋体" w:hAnsi="宋体" w:eastAsia="宋体" w:cs="宋体"/>
                <w:sz w:val="24"/>
                <w:szCs w:val="24"/>
              </w:rPr>
            </w:pPr>
            <w:r>
              <w:rPr>
                <w:rFonts w:hint="eastAsia" w:ascii="宋体" w:hAnsi="宋体" w:eastAsia="宋体" w:cs="宋体"/>
                <w:spacing w:val="8"/>
                <w:sz w:val="24"/>
                <w:szCs w:val="24"/>
              </w:rPr>
              <w:t>食堂对外承包</w:t>
            </w:r>
          </w:p>
        </w:tc>
        <w:tc>
          <w:tcPr>
            <w:tcW w:w="2226" w:type="dxa"/>
            <w:vAlign w:val="center"/>
          </w:tcPr>
          <w:p w14:paraId="00C38EA4">
            <w:pPr>
              <w:spacing w:before="156" w:line="360" w:lineRule="auto"/>
              <w:jc w:val="center"/>
              <w:rPr>
                <w:rFonts w:hint="default" w:ascii="宋体" w:hAnsi="宋体" w:eastAsia="宋体" w:cs="宋体"/>
                <w:sz w:val="24"/>
                <w:szCs w:val="24"/>
                <w:lang w:val="en-US" w:eastAsia="zh-CN"/>
              </w:rPr>
            </w:pPr>
            <w:r>
              <w:rPr>
                <w:rFonts w:hint="eastAsia" w:ascii="宋体" w:hAnsi="宋体" w:eastAsia="宋体" w:cs="宋体"/>
                <w:color w:val="auto"/>
                <w:sz w:val="24"/>
                <w:szCs w:val="24"/>
                <w:highlight w:val="none"/>
                <w:lang w:val="en-US" w:eastAsia="zh-CN"/>
              </w:rPr>
              <w:t>97</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2576</w:t>
            </w:r>
          </w:p>
        </w:tc>
        <w:tc>
          <w:tcPr>
            <w:tcW w:w="4300" w:type="dxa"/>
            <w:vAlign w:val="center"/>
          </w:tcPr>
          <w:p w14:paraId="5CCCE67F">
            <w:pPr>
              <w:spacing w:before="124" w:line="360" w:lineRule="auto"/>
              <w:jc w:val="both"/>
              <w:rPr>
                <w:rFonts w:hint="eastAsia" w:ascii="宋体" w:hAnsi="宋体" w:eastAsia="宋体" w:cs="宋体"/>
                <w:sz w:val="24"/>
                <w:szCs w:val="24"/>
              </w:rPr>
            </w:pPr>
            <w:r>
              <w:rPr>
                <w:rFonts w:hint="eastAsia" w:ascii="宋体" w:hAnsi="宋体" w:eastAsia="宋体" w:cs="宋体"/>
                <w:kern w:val="0"/>
                <w:sz w:val="24"/>
                <w:szCs w:val="24"/>
                <w:shd w:val="clear" w:color="auto" w:fill="FFFFFF"/>
              </w:rPr>
              <w:t>自合同签订之日起 1 年。</w:t>
            </w:r>
          </w:p>
        </w:tc>
      </w:tr>
    </w:tbl>
    <w:p w14:paraId="3F66BBB6">
      <w:pPr>
        <w:spacing w:line="360" w:lineRule="auto"/>
        <w:jc w:val="both"/>
        <w:rPr>
          <w:rFonts w:hint="eastAsia" w:ascii="宋体" w:hAnsi="宋体" w:eastAsia="宋体" w:cs="宋体"/>
          <w:sz w:val="24"/>
          <w:szCs w:val="24"/>
        </w:rPr>
      </w:pPr>
    </w:p>
    <w:p w14:paraId="3BFFA349">
      <w:pPr>
        <w:spacing w:line="360" w:lineRule="auto"/>
        <w:jc w:val="both"/>
        <w:rPr>
          <w:rFonts w:hint="eastAsia" w:ascii="宋体" w:hAnsi="宋体" w:eastAsia="宋体" w:cs="宋体"/>
          <w:sz w:val="24"/>
          <w:szCs w:val="24"/>
        </w:rPr>
      </w:pPr>
    </w:p>
    <w:p w14:paraId="71C8EC97">
      <w:pPr>
        <w:spacing w:line="360" w:lineRule="auto"/>
        <w:jc w:val="both"/>
        <w:rPr>
          <w:rFonts w:hint="eastAsia" w:ascii="宋体" w:hAnsi="宋体" w:eastAsia="宋体" w:cs="宋体"/>
          <w:sz w:val="24"/>
          <w:szCs w:val="24"/>
        </w:rPr>
      </w:pPr>
      <w:r>
        <w:rPr>
          <w:rFonts w:hint="eastAsia" w:ascii="宋体" w:hAnsi="宋体" w:eastAsia="宋体" w:cs="宋体"/>
          <w:sz w:val="24"/>
          <w:szCs w:val="24"/>
        </w:rPr>
        <w:t>一、招标需求： 为认真贯彻落实党中央过“紧日子 ”要求，从严格控制单位运行经费支出，提高职工食堂餐饮服务水平，按照自治区机关事务管理局《新疆维吾尔自治区区直机关购买后勤服务管理办法》等文件要求，现就购买202</w:t>
      </w:r>
      <w:r>
        <w:rPr>
          <w:rFonts w:hint="eastAsia" w:ascii="宋体" w:hAnsi="宋体" w:eastAsia="宋体" w:cs="宋体"/>
          <w:sz w:val="24"/>
          <w:szCs w:val="24"/>
          <w:lang w:val="en-US" w:eastAsia="zh-CN"/>
        </w:rPr>
        <w:t>6</w:t>
      </w:r>
      <w:r>
        <w:rPr>
          <w:rFonts w:hint="eastAsia" w:ascii="宋体" w:hAnsi="宋体" w:eastAsia="宋体" w:cs="宋体"/>
          <w:sz w:val="24"/>
          <w:szCs w:val="24"/>
        </w:rPr>
        <w:t>年乌鲁木齐市沙依巴克区炉院街街道餐饮服务项目相关事宜安排如下。</w:t>
      </w:r>
    </w:p>
    <w:p w14:paraId="42662BCA">
      <w:pPr>
        <w:spacing w:line="360" w:lineRule="auto"/>
        <w:jc w:val="both"/>
        <w:rPr>
          <w:rFonts w:hint="eastAsia" w:ascii="宋体" w:hAnsi="宋体" w:eastAsia="宋体" w:cs="宋体"/>
          <w:sz w:val="24"/>
          <w:szCs w:val="24"/>
        </w:rPr>
      </w:pPr>
    </w:p>
    <w:p w14:paraId="0145D69F">
      <w:pPr>
        <w:spacing w:line="360" w:lineRule="auto"/>
        <w:jc w:val="both"/>
        <w:rPr>
          <w:rFonts w:hint="eastAsia" w:ascii="宋体" w:hAnsi="宋体" w:eastAsia="宋体" w:cs="宋体"/>
          <w:sz w:val="24"/>
          <w:szCs w:val="24"/>
        </w:rPr>
      </w:pPr>
      <w:r>
        <w:rPr>
          <w:rFonts w:hint="eastAsia" w:ascii="宋体" w:hAnsi="宋体" w:eastAsia="宋体" w:cs="宋体"/>
          <w:sz w:val="24"/>
          <w:szCs w:val="24"/>
        </w:rPr>
        <w:t>二、承包方式：</w:t>
      </w:r>
      <w:r>
        <w:rPr>
          <w:rFonts w:hint="eastAsia" w:ascii="宋体" w:hAnsi="宋体" w:eastAsia="宋体" w:cs="宋体"/>
          <w:sz w:val="24"/>
          <w:szCs w:val="24"/>
          <w:lang w:eastAsia="zh-CN"/>
        </w:rPr>
        <w:t>大包</w:t>
      </w:r>
      <w:r>
        <w:rPr>
          <w:rFonts w:hint="eastAsia" w:ascii="宋体" w:hAnsi="宋体" w:eastAsia="宋体" w:cs="宋体"/>
          <w:sz w:val="24"/>
          <w:szCs w:val="24"/>
        </w:rPr>
        <w:t>方式（食材及辅料采购、餐品制作、食堂卫生服务等）。</w:t>
      </w:r>
    </w:p>
    <w:p w14:paraId="7BFF2831">
      <w:pPr>
        <w:spacing w:line="360" w:lineRule="auto"/>
        <w:jc w:val="both"/>
        <w:rPr>
          <w:rFonts w:hint="eastAsia" w:ascii="宋体" w:hAnsi="宋体" w:eastAsia="宋体" w:cs="宋体"/>
          <w:sz w:val="24"/>
          <w:szCs w:val="24"/>
        </w:rPr>
      </w:pPr>
      <w:r>
        <w:rPr>
          <w:rFonts w:hint="eastAsia" w:ascii="宋体" w:hAnsi="宋体" w:eastAsia="宋体" w:cs="宋体"/>
          <w:sz w:val="24"/>
          <w:szCs w:val="24"/>
        </w:rPr>
        <w:t>合同履行期限：</w:t>
      </w:r>
      <w:r>
        <w:rPr>
          <w:rFonts w:hint="eastAsia" w:ascii="宋体" w:hAnsi="宋体" w:eastAsia="宋体" w:cs="宋体"/>
          <w:kern w:val="0"/>
          <w:sz w:val="24"/>
          <w:szCs w:val="24"/>
          <w:shd w:val="clear" w:color="auto" w:fill="FFFFFF"/>
        </w:rPr>
        <w:t>自合同签订之日起 1 年。</w:t>
      </w:r>
    </w:p>
    <w:p w14:paraId="62CC3538">
      <w:pPr>
        <w:spacing w:line="360" w:lineRule="auto"/>
        <w:jc w:val="both"/>
        <w:rPr>
          <w:rFonts w:hint="eastAsia" w:ascii="宋体" w:hAnsi="宋体" w:eastAsia="宋体" w:cs="宋体"/>
          <w:sz w:val="24"/>
          <w:szCs w:val="24"/>
        </w:rPr>
      </w:pPr>
    </w:p>
    <w:p w14:paraId="66E48946">
      <w:pPr>
        <w:spacing w:line="360" w:lineRule="auto"/>
        <w:jc w:val="both"/>
        <w:rPr>
          <w:rFonts w:hint="eastAsia" w:ascii="宋体" w:hAnsi="宋体" w:eastAsia="宋体" w:cs="宋体"/>
          <w:sz w:val="24"/>
          <w:szCs w:val="24"/>
        </w:rPr>
      </w:pPr>
      <w:r>
        <w:rPr>
          <w:rFonts w:hint="eastAsia" w:ascii="宋体" w:hAnsi="宋体" w:eastAsia="宋体" w:cs="宋体"/>
          <w:sz w:val="24"/>
          <w:szCs w:val="24"/>
        </w:rPr>
        <w:t xml:space="preserve">三、具体事项 </w:t>
      </w:r>
    </w:p>
    <w:p w14:paraId="339666B9">
      <w:pPr>
        <w:spacing w:line="360" w:lineRule="auto"/>
        <w:jc w:val="both"/>
        <w:rPr>
          <w:rFonts w:hint="eastAsia" w:ascii="宋体" w:hAnsi="宋体" w:eastAsia="宋体" w:cs="宋体"/>
          <w:sz w:val="24"/>
          <w:szCs w:val="24"/>
        </w:rPr>
      </w:pPr>
      <w:r>
        <w:rPr>
          <w:rFonts w:hint="eastAsia" w:ascii="宋体" w:hAnsi="宋体" w:eastAsia="宋体" w:cs="宋体"/>
          <w:sz w:val="24"/>
          <w:szCs w:val="24"/>
        </w:rPr>
        <w:t>（一）食堂概况：本项目为餐厅后堂运营服务外包，甲方提供场地使用权，投标人须自行配备相关经营需求的厨房设备。</w:t>
      </w:r>
    </w:p>
    <w:p w14:paraId="2E0FAB43">
      <w:pPr>
        <w:spacing w:line="360" w:lineRule="auto"/>
        <w:jc w:val="both"/>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（二）用餐人员：预计</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307</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人计算，不足/超过</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307</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人 时，以实际用餐人数计算</w:t>
      </w:r>
      <w:r>
        <w:rPr>
          <w:rFonts w:hint="eastAsia" w:ascii="宋体" w:hAnsi="宋体" w:eastAsia="宋体" w:cs="宋体"/>
          <w:sz w:val="24"/>
          <w:szCs w:val="24"/>
          <w:highlight w:val="none"/>
          <w:lang w:eastAsia="zh-CN"/>
        </w:rPr>
        <w:t>。</w:t>
      </w:r>
    </w:p>
    <w:p w14:paraId="11E3E4BF">
      <w:pPr>
        <w:spacing w:line="36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（三）餐费标准：每人每日</w:t>
      </w:r>
      <w:r>
        <w:rPr>
          <w:rFonts w:hint="eastAsia" w:ascii="宋体" w:hAnsi="宋体" w:eastAsia="宋体" w:cs="宋体"/>
          <w:sz w:val="24"/>
          <w:szCs w:val="24"/>
          <w:highlight w:val="none"/>
          <w:u w:val="single"/>
        </w:rPr>
        <w:t xml:space="preserve"> 1</w:t>
      </w:r>
      <w:r>
        <w:rPr>
          <w:rFonts w:hint="eastAsia" w:ascii="宋体" w:hAnsi="宋体" w:eastAsia="宋体" w:cs="宋体"/>
          <w:sz w:val="24"/>
          <w:szCs w:val="24"/>
          <w:highlight w:val="none"/>
          <w:u w:val="single"/>
          <w:lang w:val="en-US" w:eastAsia="zh-CN"/>
        </w:rPr>
        <w:t>1</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元</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其中</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早餐</w:t>
      </w:r>
      <w:r>
        <w:rPr>
          <w:rFonts w:hint="eastAsia" w:ascii="宋体" w:hAnsi="宋体" w:eastAsia="宋体" w:cs="宋体"/>
          <w:sz w:val="24"/>
          <w:szCs w:val="24"/>
          <w:highlight w:val="none"/>
          <w:u w:val="single"/>
        </w:rPr>
        <w:t xml:space="preserve">  1   </w:t>
      </w:r>
      <w:r>
        <w:rPr>
          <w:rFonts w:hint="eastAsia" w:ascii="宋体" w:hAnsi="宋体" w:eastAsia="宋体" w:cs="宋体"/>
          <w:sz w:val="24"/>
          <w:szCs w:val="24"/>
          <w:highlight w:val="none"/>
        </w:rPr>
        <w:t xml:space="preserve">元、中餐 </w:t>
      </w:r>
      <w:r>
        <w:rPr>
          <w:rFonts w:hint="eastAsia" w:ascii="宋体" w:hAnsi="宋体" w:eastAsia="宋体" w:cs="宋体"/>
          <w:sz w:val="24"/>
          <w:szCs w:val="24"/>
          <w:highlight w:val="none"/>
          <w:u w:val="single"/>
        </w:rPr>
        <w:t xml:space="preserve"> 1</w:t>
      </w:r>
      <w:r>
        <w:rPr>
          <w:rFonts w:hint="eastAsia" w:ascii="宋体" w:hAnsi="宋体" w:eastAsia="宋体" w:cs="宋体"/>
          <w:sz w:val="24"/>
          <w:szCs w:val="24"/>
          <w:highlight w:val="none"/>
          <w:u w:val="single"/>
          <w:lang w:val="en-US" w:eastAsia="zh-CN"/>
        </w:rPr>
        <w:t>0</w:t>
      </w:r>
      <w:r>
        <w:rPr>
          <w:rFonts w:hint="eastAsia" w:ascii="宋体" w:hAnsi="宋体" w:eastAsia="宋体" w:cs="宋体"/>
          <w:sz w:val="24"/>
          <w:szCs w:val="24"/>
          <w:highlight w:val="none"/>
        </w:rPr>
        <w:t xml:space="preserve"> 元</w:t>
      </w:r>
      <w:r>
        <w:rPr>
          <w:rFonts w:hint="eastAsia" w:ascii="宋体" w:hAnsi="宋体" w:eastAsia="宋体" w:cs="宋体"/>
          <w:sz w:val="24"/>
          <w:szCs w:val="24"/>
          <w:highlight w:val="none"/>
          <w:lang w:eastAsia="zh-CN"/>
        </w:rPr>
        <w:t>（具体标准：在编人员：</w:t>
      </w:r>
      <w:r>
        <w:rPr>
          <w:rFonts w:hint="eastAsia" w:ascii="宋体" w:hAnsi="宋体" w:eastAsia="宋体" w:cs="宋体"/>
          <w:sz w:val="24"/>
          <w:szCs w:val="24"/>
          <w:highlight w:val="none"/>
        </w:rPr>
        <w:t>每人每日</w:t>
      </w:r>
      <w:r>
        <w:rPr>
          <w:rFonts w:hint="eastAsia" w:ascii="宋体" w:hAnsi="宋体" w:eastAsia="宋体" w:cs="宋体"/>
          <w:sz w:val="24"/>
          <w:szCs w:val="24"/>
          <w:highlight w:val="none"/>
          <w:u w:val="single"/>
        </w:rPr>
        <w:t xml:space="preserve"> 1</w:t>
      </w:r>
      <w:r>
        <w:rPr>
          <w:rFonts w:hint="eastAsia" w:ascii="宋体" w:hAnsi="宋体" w:eastAsia="宋体" w:cs="宋体"/>
          <w:sz w:val="24"/>
          <w:szCs w:val="24"/>
          <w:highlight w:val="none"/>
          <w:u w:val="single"/>
          <w:lang w:val="en-US" w:eastAsia="zh-CN"/>
        </w:rPr>
        <w:t>5</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元</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其中</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早餐</w:t>
      </w:r>
      <w:r>
        <w:rPr>
          <w:rFonts w:hint="eastAsia" w:ascii="宋体" w:hAnsi="宋体" w:eastAsia="宋体" w:cs="宋体"/>
          <w:sz w:val="24"/>
          <w:szCs w:val="24"/>
          <w:highlight w:val="none"/>
          <w:u w:val="single"/>
        </w:rPr>
        <w:t xml:space="preserve">  1   </w:t>
      </w:r>
      <w:r>
        <w:rPr>
          <w:rFonts w:hint="eastAsia" w:ascii="宋体" w:hAnsi="宋体" w:eastAsia="宋体" w:cs="宋体"/>
          <w:sz w:val="24"/>
          <w:szCs w:val="24"/>
          <w:highlight w:val="none"/>
        </w:rPr>
        <w:t xml:space="preserve">元、中餐 </w:t>
      </w:r>
      <w:r>
        <w:rPr>
          <w:rFonts w:hint="eastAsia" w:ascii="宋体" w:hAnsi="宋体" w:eastAsia="宋体" w:cs="宋体"/>
          <w:sz w:val="24"/>
          <w:szCs w:val="24"/>
          <w:highlight w:val="none"/>
          <w:u w:val="single"/>
        </w:rPr>
        <w:t xml:space="preserve"> 1</w:t>
      </w:r>
      <w:r>
        <w:rPr>
          <w:rFonts w:hint="eastAsia" w:ascii="宋体" w:hAnsi="宋体" w:eastAsia="宋体" w:cs="宋体"/>
          <w:sz w:val="24"/>
          <w:szCs w:val="24"/>
          <w:highlight w:val="none"/>
          <w:u w:val="single"/>
          <w:lang w:val="en-US" w:eastAsia="zh-CN"/>
        </w:rPr>
        <w:t>4</w:t>
      </w:r>
      <w:r>
        <w:rPr>
          <w:rFonts w:hint="eastAsia" w:ascii="宋体" w:hAnsi="宋体" w:eastAsia="宋体" w:cs="宋体"/>
          <w:sz w:val="24"/>
          <w:szCs w:val="24"/>
          <w:highlight w:val="none"/>
        </w:rPr>
        <w:t xml:space="preserve"> 元</w:t>
      </w:r>
      <w:r>
        <w:rPr>
          <w:rFonts w:hint="eastAsia" w:ascii="宋体" w:hAnsi="宋体" w:eastAsia="宋体" w:cs="宋体"/>
          <w:sz w:val="24"/>
          <w:szCs w:val="24"/>
          <w:highlight w:val="none"/>
          <w:lang w:eastAsia="zh-CN"/>
        </w:rPr>
        <w:t>。非在编人员：</w:t>
      </w:r>
      <w:r>
        <w:rPr>
          <w:rFonts w:hint="eastAsia" w:ascii="宋体" w:hAnsi="宋体" w:eastAsia="宋体" w:cs="宋体"/>
          <w:sz w:val="24"/>
          <w:szCs w:val="24"/>
          <w:highlight w:val="none"/>
        </w:rPr>
        <w:t>每人每日</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7</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 xml:space="preserve"> 元</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其中</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早餐</w:t>
      </w:r>
      <w:r>
        <w:rPr>
          <w:rFonts w:hint="eastAsia" w:ascii="宋体" w:hAnsi="宋体" w:eastAsia="宋体" w:cs="宋体"/>
          <w:sz w:val="24"/>
          <w:szCs w:val="24"/>
          <w:highlight w:val="none"/>
          <w:u w:val="single"/>
        </w:rPr>
        <w:t xml:space="preserve">  1   </w:t>
      </w:r>
      <w:r>
        <w:rPr>
          <w:rFonts w:hint="eastAsia" w:ascii="宋体" w:hAnsi="宋体" w:eastAsia="宋体" w:cs="宋体"/>
          <w:sz w:val="24"/>
          <w:szCs w:val="24"/>
          <w:highlight w:val="none"/>
        </w:rPr>
        <w:t xml:space="preserve">元、中餐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6</w:t>
      </w:r>
      <w:r>
        <w:rPr>
          <w:rFonts w:hint="eastAsia" w:ascii="宋体" w:hAnsi="宋体" w:eastAsia="宋体" w:cs="宋体"/>
          <w:sz w:val="24"/>
          <w:szCs w:val="24"/>
          <w:highlight w:val="none"/>
        </w:rPr>
        <w:t xml:space="preserve"> 元）</w:t>
      </w:r>
      <w:r>
        <w:rPr>
          <w:rFonts w:hint="eastAsia" w:ascii="宋体" w:hAnsi="宋体" w:eastAsia="宋体" w:cs="宋体"/>
          <w:sz w:val="24"/>
          <w:szCs w:val="24"/>
          <w:highlight w:val="none"/>
          <w:lang w:eastAsia="zh-CN"/>
        </w:rPr>
        <w:t>。】</w:t>
      </w:r>
    </w:p>
    <w:p w14:paraId="1B5A4ADD">
      <w:pPr>
        <w:spacing w:line="360" w:lineRule="auto"/>
        <w:jc w:val="both"/>
        <w:rPr>
          <w:rFonts w:hint="eastAsia" w:ascii="宋体" w:hAnsi="宋体" w:eastAsia="宋体" w:cs="宋体"/>
          <w:sz w:val="24"/>
          <w:szCs w:val="24"/>
          <w:highlight w:val="none"/>
        </w:rPr>
      </w:pPr>
      <w:r>
        <w:rPr>
          <w:rFonts w:hint="eastAsia" w:ascii="宋体" w:hAnsi="宋体" w:eastAsia="宋体" w:cs="宋体"/>
          <w:sz w:val="24"/>
          <w:szCs w:val="24"/>
          <w:highlight w:val="none"/>
        </w:rPr>
        <w:t>就餐时间：</w:t>
      </w:r>
    </w:p>
    <w:p w14:paraId="05B24646">
      <w:pPr>
        <w:spacing w:line="360" w:lineRule="auto"/>
        <w:jc w:val="both"/>
        <w:rPr>
          <w:rFonts w:hint="eastAsia" w:ascii="宋体" w:hAnsi="宋体" w:eastAsia="宋体" w:cs="宋体"/>
          <w:sz w:val="24"/>
          <w:szCs w:val="24"/>
        </w:rPr>
      </w:pPr>
      <w:r>
        <w:rPr>
          <w:rFonts w:hint="eastAsia" w:ascii="宋体" w:hAnsi="宋体" w:eastAsia="宋体" w:cs="宋体"/>
          <w:color w:val="auto"/>
          <w:sz w:val="24"/>
          <w:szCs w:val="24"/>
        </w:rPr>
        <w:t>1、早餐供应时间全年在规定工作日内为 9：30 至 10：30；午餐供应时间全年在规定工作日内为13：30 至 14：30。乙方必须保证按时开餐，</w:t>
      </w:r>
      <w:r>
        <w:rPr>
          <w:rFonts w:hint="eastAsia" w:ascii="宋体" w:hAnsi="宋体" w:eastAsia="宋体" w:cs="宋体"/>
          <w:sz w:val="24"/>
          <w:szCs w:val="24"/>
        </w:rPr>
        <w:t>且不得提前闭餐，保证每位就餐干部职工都能吃上饭，吃热饭。</w:t>
      </w:r>
    </w:p>
    <w:p w14:paraId="37FC5B79">
      <w:pPr>
        <w:spacing w:line="360" w:lineRule="auto"/>
        <w:jc w:val="both"/>
        <w:rPr>
          <w:rFonts w:hint="eastAsia" w:ascii="宋体" w:hAnsi="宋体" w:eastAsia="宋体" w:cs="宋体"/>
          <w:sz w:val="24"/>
          <w:szCs w:val="24"/>
        </w:rPr>
      </w:pPr>
      <w:r>
        <w:rPr>
          <w:rFonts w:hint="eastAsia" w:ascii="宋体" w:hAnsi="宋体" w:eastAsia="宋体" w:cs="宋体"/>
          <w:sz w:val="24"/>
          <w:szCs w:val="24"/>
        </w:rPr>
        <w:t>2、乙方需承担甲方临时安排的工作餐、加班餐保障任务。具体标准甲方将提前告知乙方。</w:t>
      </w:r>
    </w:p>
    <w:p w14:paraId="24913F17">
      <w:pPr>
        <w:spacing w:line="360" w:lineRule="auto"/>
        <w:jc w:val="both"/>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（四）配餐方式：有固定点位制作（街道</w:t>
      </w:r>
      <w:r>
        <w:rPr>
          <w:rFonts w:hint="eastAsia" w:ascii="宋体" w:hAnsi="宋体" w:eastAsia="宋体" w:cs="宋体"/>
          <w:sz w:val="24"/>
          <w:szCs w:val="24"/>
          <w:highlight w:val="none"/>
          <w:lang w:eastAsia="zh-CN"/>
        </w:rPr>
        <w:t>三楼</w:t>
      </w:r>
      <w:r>
        <w:rPr>
          <w:rFonts w:hint="eastAsia" w:ascii="宋体" w:hAnsi="宋体" w:eastAsia="宋体" w:cs="宋体"/>
          <w:sz w:val="24"/>
          <w:szCs w:val="24"/>
          <w:highlight w:val="none"/>
        </w:rPr>
        <w:t>），其他社区到</w:t>
      </w:r>
      <w:r>
        <w:rPr>
          <w:rFonts w:hint="eastAsia" w:ascii="宋体" w:hAnsi="宋体" w:eastAsia="宋体" w:cs="宋体"/>
          <w:sz w:val="24"/>
          <w:szCs w:val="24"/>
          <w:highlight w:val="none"/>
          <w:lang w:eastAsia="zh-CN"/>
        </w:rPr>
        <w:t>固定</w:t>
      </w:r>
      <w:r>
        <w:rPr>
          <w:rFonts w:hint="eastAsia" w:ascii="宋体" w:hAnsi="宋体" w:eastAsia="宋体" w:cs="宋体"/>
          <w:sz w:val="24"/>
          <w:szCs w:val="24"/>
          <w:highlight w:val="none"/>
        </w:rPr>
        <w:t>点位打取饭，各社区</w:t>
      </w:r>
      <w:r>
        <w:rPr>
          <w:rFonts w:hint="eastAsia" w:ascii="宋体" w:hAnsi="宋体" w:eastAsia="宋体" w:cs="宋体"/>
          <w:sz w:val="24"/>
          <w:szCs w:val="24"/>
          <w:highlight w:val="none"/>
          <w:lang w:eastAsia="zh-CN"/>
        </w:rPr>
        <w:t>自行准备</w:t>
      </w:r>
      <w:r>
        <w:rPr>
          <w:rFonts w:hint="eastAsia" w:ascii="宋体" w:hAnsi="宋体" w:eastAsia="宋体" w:cs="宋体"/>
          <w:sz w:val="24"/>
          <w:szCs w:val="24"/>
          <w:highlight w:val="none"/>
        </w:rPr>
        <w:t>保温桶。</w:t>
      </w:r>
    </w:p>
    <w:p w14:paraId="115CAD04">
      <w:pPr>
        <w:spacing w:line="360" w:lineRule="auto"/>
        <w:jc w:val="both"/>
        <w:rPr>
          <w:rFonts w:hint="eastAsia" w:ascii="宋体" w:hAnsi="宋体" w:eastAsia="宋体" w:cs="宋体"/>
          <w:sz w:val="24"/>
          <w:szCs w:val="24"/>
        </w:rPr>
      </w:pPr>
      <w:r>
        <w:rPr>
          <w:rFonts w:hint="eastAsia" w:ascii="宋体" w:hAnsi="宋体" w:eastAsia="宋体" w:cs="宋体"/>
          <w:sz w:val="24"/>
          <w:szCs w:val="24"/>
        </w:rPr>
        <w:t>四、具体要求</w:t>
      </w:r>
    </w:p>
    <w:p w14:paraId="2EA67D13">
      <w:pPr>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（一）食材及辅料采购。</w:t>
      </w:r>
    </w:p>
    <w:p w14:paraId="7606BE7A">
      <w:pPr>
        <w:spacing w:line="360" w:lineRule="auto"/>
        <w:ind w:firstLine="480" w:firstLineChars="200"/>
        <w:jc w:val="both"/>
        <w:rPr>
          <w:rFonts w:hint="eastAsia" w:ascii="宋体" w:hAnsi="宋体" w:eastAsia="宋体" w:cs="宋体"/>
          <w:color w:val="auto"/>
          <w:sz w:val="24"/>
          <w:szCs w:val="24"/>
        </w:rPr>
      </w:pPr>
      <w:r>
        <w:rPr>
          <w:rFonts w:hint="eastAsia" w:ascii="宋体" w:hAnsi="宋体" w:eastAsia="宋体" w:cs="宋体"/>
          <w:color w:val="auto"/>
          <w:sz w:val="24"/>
          <w:szCs w:val="24"/>
        </w:rPr>
        <w:t>所购买的食材和辅料、调料等必须符合国家食品安全标准和质量认证，保证天然健康,食用油必须使用国家食品安全放心产品，不得使用棉籽油及转基因食 用油。购买本地牛羊肉及鱼类产品,不得使用来自疫区和污染区的国(境)外冷库冷链产品，尤其是海产品，必须严格执行国家《食品安全法》有关标准。</w:t>
      </w:r>
    </w:p>
    <w:p w14:paraId="1E671415">
      <w:pPr>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（二）食谱及菜品要求。</w:t>
      </w:r>
    </w:p>
    <w:p w14:paraId="6253689E">
      <w:pPr>
        <w:spacing w:line="360" w:lineRule="auto"/>
        <w:jc w:val="both"/>
        <w:rPr>
          <w:rFonts w:hint="eastAsia" w:ascii="宋体" w:hAnsi="宋体" w:eastAsia="宋体" w:cs="宋体"/>
          <w:sz w:val="24"/>
          <w:szCs w:val="24"/>
        </w:rPr>
      </w:pPr>
      <w:r>
        <w:rPr>
          <w:rFonts w:hint="eastAsia" w:ascii="宋体" w:hAnsi="宋体" w:eastAsia="宋体" w:cs="宋体"/>
          <w:sz w:val="24"/>
          <w:szCs w:val="24"/>
        </w:rPr>
        <w:t>每周更换一次食谱，每月更换一轮。早、中餐配备要求如下：</w:t>
      </w:r>
    </w:p>
    <w:p w14:paraId="44957940">
      <w:pPr>
        <w:spacing w:line="360" w:lineRule="auto"/>
        <w:jc w:val="both"/>
        <w:rPr>
          <w:rFonts w:hint="eastAsia" w:ascii="宋体" w:hAnsi="宋体" w:eastAsia="宋体" w:cs="宋体"/>
          <w:sz w:val="24"/>
          <w:szCs w:val="24"/>
        </w:rPr>
      </w:pPr>
      <w:r>
        <w:rPr>
          <w:rFonts w:hint="eastAsia" w:ascii="宋体" w:hAnsi="宋体" w:eastAsia="宋体" w:cs="宋体"/>
          <w:sz w:val="24"/>
          <w:szCs w:val="24"/>
        </w:rPr>
        <w:t>（1）早餐标准：主食类别至少1-2种，小菜类别至少1-2种，汤类（奶茶，稀饭，小米粥，杂粮粥，牛奶等）至少1种，每日提供鸡蛋。</w:t>
      </w:r>
    </w:p>
    <w:p w14:paraId="32CAF66E">
      <w:pPr>
        <w:spacing w:line="360" w:lineRule="auto"/>
        <w:jc w:val="both"/>
        <w:rPr>
          <w:rFonts w:hint="eastAsia" w:ascii="宋体" w:hAnsi="宋体" w:eastAsia="宋体" w:cs="宋体"/>
          <w:color w:val="auto"/>
          <w:sz w:val="24"/>
          <w:szCs w:val="24"/>
        </w:rPr>
      </w:pPr>
      <w:r>
        <w:rPr>
          <w:rFonts w:hint="eastAsia" w:ascii="宋体" w:hAnsi="宋体" w:eastAsia="宋体" w:cs="宋体"/>
          <w:sz w:val="24"/>
          <w:szCs w:val="24"/>
        </w:rPr>
        <w:t>（2）午餐标准：至少2种菜品，一荤一素，本餐食结构以米饭为主食基础，同时提供每日主食替换选项（包括但不限于）：面食(拌面、炒面等)、配搭时令小菜的荤抓饭、</w:t>
      </w:r>
      <w:r>
        <w:rPr>
          <w:rFonts w:hint="eastAsia" w:ascii="宋体" w:hAnsi="宋体" w:eastAsia="宋体" w:cs="宋体"/>
          <w:color w:val="auto"/>
          <w:sz w:val="24"/>
          <w:szCs w:val="24"/>
        </w:rPr>
        <w:t>双馅组合风味包子（荤素各一）、地道臊子面等多元化选择。所有替换主食，确保营养均衡搭配。配汤类至少一种。每周至少 1 次新疆特色饭菜（如：大盘鸡，烧鱼，牛肉大杂烩等）。配备至少一种水果（苹果，香蕉，梨）、按人数配备酸奶。</w:t>
      </w:r>
    </w:p>
    <w:p w14:paraId="27AD2678">
      <w:pPr>
        <w:spacing w:line="360" w:lineRule="auto"/>
        <w:jc w:val="both"/>
        <w:rPr>
          <w:rFonts w:hint="eastAsia" w:ascii="宋体" w:hAnsi="宋体" w:eastAsia="宋体" w:cs="宋体"/>
          <w:sz w:val="24"/>
          <w:szCs w:val="24"/>
        </w:rPr>
      </w:pPr>
      <w:r>
        <w:rPr>
          <w:rFonts w:hint="eastAsia" w:ascii="宋体" w:hAnsi="宋体" w:eastAsia="宋体" w:cs="宋体"/>
          <w:color w:val="auto"/>
          <w:sz w:val="24"/>
          <w:szCs w:val="24"/>
        </w:rPr>
        <w:t>（3）特殊节日前的会餐标准</w:t>
      </w:r>
      <w:r>
        <w:rPr>
          <w:rFonts w:hint="eastAsia" w:ascii="宋体" w:hAnsi="宋体" w:eastAsia="宋体" w:cs="宋体"/>
          <w:sz w:val="24"/>
          <w:szCs w:val="24"/>
        </w:rPr>
        <w:t>：以甲方要求为准，按在岗人数配餐，以米饭面食为主，其他同上，遇大型节日采取加菜模式。</w:t>
      </w:r>
    </w:p>
    <w:p w14:paraId="18F7A9EA">
      <w:pPr>
        <w:spacing w:line="360" w:lineRule="auto"/>
        <w:jc w:val="both"/>
        <w:rPr>
          <w:rFonts w:hint="eastAsia" w:ascii="宋体" w:hAnsi="宋体" w:eastAsia="宋体" w:cs="宋体"/>
          <w:sz w:val="24"/>
          <w:szCs w:val="24"/>
        </w:rPr>
      </w:pPr>
      <w:r>
        <w:rPr>
          <w:rFonts w:hint="eastAsia" w:ascii="宋体" w:hAnsi="宋体" w:eastAsia="宋体" w:cs="宋体"/>
          <w:sz w:val="24"/>
          <w:szCs w:val="24"/>
        </w:rPr>
        <w:t>（4）特殊节日的用餐标准要求：在以上用餐标准的基础上，至少加配一种荤菜、一种素菜、酸奶和水果（自定）。</w:t>
      </w:r>
    </w:p>
    <w:p w14:paraId="5D5052C4">
      <w:pPr>
        <w:spacing w:line="360" w:lineRule="auto"/>
        <w:jc w:val="both"/>
        <w:rPr>
          <w:rFonts w:hint="eastAsia" w:ascii="宋体" w:hAnsi="宋体" w:eastAsia="宋体" w:cs="宋体"/>
          <w:sz w:val="24"/>
          <w:szCs w:val="24"/>
        </w:rPr>
      </w:pPr>
      <w:r>
        <w:rPr>
          <w:rFonts w:hint="eastAsia" w:ascii="宋体" w:hAnsi="宋体" w:eastAsia="宋体" w:cs="宋体"/>
          <w:sz w:val="24"/>
          <w:szCs w:val="24"/>
        </w:rPr>
        <w:t>（5）周末用餐标准：餐标同上，以实际用餐人数为准核定金额。</w:t>
      </w:r>
    </w:p>
    <w:p w14:paraId="42EB0CAC">
      <w:pPr>
        <w:spacing w:line="360" w:lineRule="auto"/>
        <w:jc w:val="both"/>
        <w:rPr>
          <w:rFonts w:hint="eastAsia" w:ascii="宋体" w:hAnsi="宋体" w:eastAsia="宋体" w:cs="宋体"/>
          <w:sz w:val="24"/>
          <w:szCs w:val="24"/>
        </w:rPr>
      </w:pPr>
      <w:r>
        <w:rPr>
          <w:rFonts w:hint="eastAsia" w:ascii="宋体" w:hAnsi="宋体" w:eastAsia="宋体" w:cs="宋体"/>
          <w:sz w:val="24"/>
          <w:szCs w:val="24"/>
        </w:rPr>
        <w:t>（6）特殊用餐情况：将提前告知乙方做好备餐（特指午餐和晚餐），并以实际用餐人数为准核定金额。</w:t>
      </w:r>
    </w:p>
    <w:p w14:paraId="09C15E66">
      <w:pPr>
        <w:spacing w:line="360" w:lineRule="auto"/>
        <w:jc w:val="both"/>
        <w:rPr>
          <w:rFonts w:hint="eastAsia" w:ascii="宋体" w:hAnsi="宋体" w:eastAsia="宋体" w:cs="宋体"/>
          <w:sz w:val="24"/>
          <w:szCs w:val="24"/>
        </w:rPr>
      </w:pPr>
      <w:r>
        <w:rPr>
          <w:rFonts w:hint="eastAsia" w:ascii="宋体" w:hAnsi="宋体" w:eastAsia="宋体" w:cs="宋体"/>
          <w:sz w:val="24"/>
          <w:szCs w:val="24"/>
        </w:rPr>
        <w:t>（三）工作人员要求。</w:t>
      </w:r>
    </w:p>
    <w:p w14:paraId="3461F67C">
      <w:pPr>
        <w:spacing w:line="360" w:lineRule="auto"/>
        <w:jc w:val="both"/>
        <w:rPr>
          <w:rFonts w:hint="eastAsia" w:ascii="宋体" w:hAnsi="宋体" w:eastAsia="宋体" w:cs="宋体"/>
          <w:sz w:val="24"/>
          <w:szCs w:val="24"/>
        </w:rPr>
      </w:pPr>
      <w:r>
        <w:rPr>
          <w:rFonts w:hint="eastAsia" w:ascii="宋体" w:hAnsi="宋体" w:eastAsia="宋体" w:cs="宋体"/>
          <w:sz w:val="24"/>
          <w:szCs w:val="24"/>
        </w:rPr>
        <w:t>1.从业人员应持证上岗，并提供个人身份证、健康证、厨师证、无犯罪记录证明等证件资料。</w:t>
      </w:r>
    </w:p>
    <w:p w14:paraId="4A8BEA8C">
      <w:pPr>
        <w:spacing w:line="360" w:lineRule="auto"/>
        <w:jc w:val="both"/>
        <w:rPr>
          <w:rFonts w:hint="eastAsia" w:ascii="宋体" w:hAnsi="宋体" w:eastAsia="宋体" w:cs="宋体"/>
          <w:b/>
          <w:bCs/>
          <w:sz w:val="24"/>
          <w:szCs w:val="24"/>
        </w:rPr>
      </w:pPr>
      <w:r>
        <w:rPr>
          <w:rFonts w:hint="eastAsia" w:ascii="宋体" w:hAnsi="宋体" w:eastAsia="宋体" w:cs="宋体"/>
          <w:color w:val="auto"/>
          <w:sz w:val="24"/>
          <w:szCs w:val="24"/>
          <w:highlight w:val="none"/>
        </w:rPr>
        <w:t>2.在合同期内最少配备</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名工作人员（ 配备有资质厨师 2 个、面点师 </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个、配菜</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个、厨工 </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 个），</w:t>
      </w:r>
      <w:r>
        <w:rPr>
          <w:rFonts w:hint="eastAsia" w:ascii="宋体" w:hAnsi="宋体" w:eastAsia="宋体" w:cs="宋体"/>
          <w:color w:val="auto"/>
          <w:sz w:val="24"/>
          <w:szCs w:val="24"/>
        </w:rPr>
        <w:t>确保食堂工作正常运行，期间不得随意更换甲方认可</w:t>
      </w:r>
      <w:r>
        <w:rPr>
          <w:rFonts w:hint="eastAsia" w:ascii="宋体" w:hAnsi="宋体" w:eastAsia="宋体" w:cs="宋体"/>
          <w:sz w:val="24"/>
          <w:szCs w:val="24"/>
        </w:rPr>
        <w:t>的主要厨师。 对于甲方不满意的厨师和其他人员应当及时予以更换。</w:t>
      </w:r>
    </w:p>
    <w:p w14:paraId="0C2CB04D">
      <w:pPr>
        <w:spacing w:line="360" w:lineRule="auto"/>
        <w:jc w:val="both"/>
        <w:rPr>
          <w:rFonts w:hint="eastAsia" w:ascii="宋体" w:hAnsi="宋体" w:eastAsia="宋体" w:cs="宋体"/>
          <w:sz w:val="24"/>
          <w:szCs w:val="24"/>
        </w:rPr>
      </w:pPr>
      <w:r>
        <w:rPr>
          <w:rFonts w:hint="eastAsia" w:ascii="宋体" w:hAnsi="宋体" w:eastAsia="宋体" w:cs="宋体"/>
          <w:sz w:val="24"/>
          <w:szCs w:val="24"/>
        </w:rPr>
        <w:t>3. 工作人员必须统一着装，个人仪容仪表符合卫生制度标准，并严格遵守各项规章制度。</w:t>
      </w:r>
    </w:p>
    <w:p w14:paraId="5660D403">
      <w:pPr>
        <w:spacing w:line="360" w:lineRule="auto"/>
        <w:jc w:val="both"/>
        <w:rPr>
          <w:rFonts w:hint="eastAsia" w:ascii="宋体" w:hAnsi="宋体" w:eastAsia="宋体" w:cs="宋体"/>
          <w:sz w:val="24"/>
          <w:szCs w:val="24"/>
        </w:rPr>
      </w:pPr>
      <w:r>
        <w:rPr>
          <w:rFonts w:hint="eastAsia" w:ascii="宋体" w:hAnsi="宋体" w:eastAsia="宋体" w:cs="宋体"/>
          <w:sz w:val="24"/>
          <w:szCs w:val="24"/>
        </w:rPr>
        <w:t>（四）食材采购标准</w:t>
      </w:r>
    </w:p>
    <w:p w14:paraId="40866189">
      <w:pPr>
        <w:spacing w:line="360" w:lineRule="auto"/>
        <w:jc w:val="both"/>
        <w:rPr>
          <w:rFonts w:hint="eastAsia" w:ascii="宋体" w:hAnsi="宋体" w:eastAsia="宋体" w:cs="宋体"/>
          <w:sz w:val="24"/>
          <w:szCs w:val="24"/>
        </w:rPr>
      </w:pPr>
      <w:r>
        <w:rPr>
          <w:rFonts w:hint="eastAsia" w:ascii="宋体" w:hAnsi="宋体" w:eastAsia="宋体" w:cs="宋体"/>
          <w:sz w:val="24"/>
          <w:szCs w:val="24"/>
        </w:rPr>
        <w:t>1、主食标准:主食应符合国家食品安全标准，无异味、无杂质，确保食品安全。例如，大米应颗粒均匀、色泽呈白色或微黄、无任何杂质;面粉应颜色纯正、无哈欠味、无沉淀异物。在采购主食时选择有机食材，减少农药残留和化学添加物对健康的影响。</w:t>
      </w:r>
    </w:p>
    <w:p w14:paraId="2826F2A4">
      <w:pPr>
        <w:spacing w:line="360" w:lineRule="auto"/>
        <w:jc w:val="both"/>
        <w:rPr>
          <w:rFonts w:hint="eastAsia" w:ascii="宋体" w:hAnsi="宋体" w:eastAsia="宋体" w:cs="宋体"/>
          <w:sz w:val="24"/>
          <w:szCs w:val="24"/>
        </w:rPr>
      </w:pPr>
      <w:r>
        <w:rPr>
          <w:rFonts w:hint="eastAsia" w:ascii="宋体" w:hAnsi="宋体" w:eastAsia="宋体" w:cs="宋体"/>
          <w:sz w:val="24"/>
          <w:szCs w:val="24"/>
        </w:rPr>
        <w:t>2、肉类标准:符合GB31621的相关规定。采购鲜肉查验供货者的《定点屠宰许可证》和《营业执照》等资质证件。鲜肉有检疫检验合格标识。</w:t>
      </w:r>
    </w:p>
    <w:p w14:paraId="2EB85B37">
      <w:pPr>
        <w:spacing w:line="360" w:lineRule="auto"/>
        <w:jc w:val="both"/>
        <w:rPr>
          <w:rFonts w:hint="eastAsia" w:ascii="宋体" w:hAnsi="宋体" w:eastAsia="宋体" w:cs="宋体"/>
          <w:sz w:val="24"/>
          <w:szCs w:val="24"/>
        </w:rPr>
      </w:pPr>
      <w:r>
        <w:rPr>
          <w:rFonts w:hint="eastAsia" w:ascii="宋体" w:hAnsi="宋体" w:eastAsia="宋体" w:cs="宋体"/>
          <w:sz w:val="24"/>
          <w:szCs w:val="24"/>
        </w:rPr>
        <w:t>3、蔬菜标准:选择新鲜优质的蔬菜，选择有机种植或无农药残留的蔬菜。确保提供的蔬菜符合质量和卫生标准。多样化采购:这样可以确保膳食的均衡和多样性，获得更多种类的营养。</w:t>
      </w:r>
    </w:p>
    <w:p w14:paraId="1008A83D">
      <w:pPr>
        <w:spacing w:line="360" w:lineRule="auto"/>
        <w:jc w:val="both"/>
        <w:rPr>
          <w:rFonts w:hint="eastAsia" w:ascii="宋体" w:hAnsi="宋体" w:eastAsia="宋体" w:cs="宋体"/>
          <w:sz w:val="24"/>
          <w:szCs w:val="24"/>
        </w:rPr>
      </w:pPr>
      <w:r>
        <w:rPr>
          <w:rFonts w:hint="eastAsia" w:ascii="宋体" w:hAnsi="宋体" w:eastAsia="宋体" w:cs="宋体"/>
          <w:sz w:val="24"/>
          <w:szCs w:val="24"/>
        </w:rPr>
        <w:t>4、蛋类标准:蛋壳的完整性，颜色应该均匀，没有明显的斑点或者变色现象。气味确保没有异常气味。生产日期和保质期，并确保保质期内可以消费完毕。</w:t>
      </w:r>
    </w:p>
    <w:p w14:paraId="77B6BC54">
      <w:pPr>
        <w:spacing w:line="360" w:lineRule="auto"/>
        <w:jc w:val="both"/>
        <w:rPr>
          <w:rFonts w:hint="eastAsia" w:ascii="宋体" w:hAnsi="宋体" w:eastAsia="宋体" w:cs="宋体"/>
          <w:sz w:val="24"/>
          <w:szCs w:val="24"/>
        </w:rPr>
      </w:pPr>
      <w:r>
        <w:rPr>
          <w:rFonts w:hint="eastAsia" w:ascii="宋体" w:hAnsi="宋体" w:eastAsia="宋体" w:cs="宋体"/>
          <w:sz w:val="24"/>
          <w:szCs w:val="24"/>
        </w:rPr>
        <w:t>5、奶类标准:采购奶类的标准主要包括外观和包装、营养成分、微生物指标、添加物和残留物等方面。</w:t>
      </w:r>
    </w:p>
    <w:p w14:paraId="29FD59E6">
      <w:pPr>
        <w:spacing w:line="360" w:lineRule="auto"/>
        <w:jc w:val="both"/>
        <w:rPr>
          <w:rFonts w:hint="eastAsia" w:ascii="宋体" w:hAnsi="宋体" w:eastAsia="宋体" w:cs="宋体"/>
          <w:sz w:val="24"/>
          <w:szCs w:val="24"/>
        </w:rPr>
      </w:pPr>
      <w:r>
        <w:rPr>
          <w:rFonts w:hint="eastAsia" w:ascii="宋体" w:hAnsi="宋体" w:eastAsia="宋体" w:cs="宋体"/>
          <w:sz w:val="24"/>
          <w:szCs w:val="24"/>
        </w:rPr>
        <w:t>6、食用油标准:采购食用油的标准主要包括选择高质量的油品、油的加工方式和生产厂家、油的种类和风味特点选择正规渠道购买。</w:t>
      </w:r>
    </w:p>
    <w:p w14:paraId="07D49239">
      <w:pPr>
        <w:spacing w:line="360" w:lineRule="auto"/>
        <w:jc w:val="both"/>
        <w:rPr>
          <w:rFonts w:hint="eastAsia" w:ascii="宋体" w:hAnsi="宋体" w:eastAsia="宋体" w:cs="宋体"/>
          <w:b/>
          <w:bCs/>
          <w:sz w:val="24"/>
          <w:szCs w:val="24"/>
        </w:rPr>
      </w:pPr>
      <w:r>
        <w:rPr>
          <w:rFonts w:hint="eastAsia" w:ascii="宋体" w:hAnsi="宋体" w:eastAsia="宋体" w:cs="宋体"/>
          <w:sz w:val="24"/>
          <w:szCs w:val="24"/>
        </w:rPr>
        <w:t>7、调料及其他标准:调料应保持应有的色泽和新鲜度无杂质，且保持应有的色泽和新鲜度，应选择国内前三品牌的优质产品，调料应符合国家相关行业标准，确保产品质量稳定，营养丰富、绿色安全。符合相关法规，所有调料必须符合《中华人民共和国食品安全法》、《中华人民共和国食品安全法实施条例》、《餐饮业和集体用餐配送单位卫生规范》以及食品安全国家标准等要求。</w:t>
      </w:r>
    </w:p>
    <w:p w14:paraId="445635B4">
      <w:pPr>
        <w:spacing w:line="360" w:lineRule="auto"/>
        <w:jc w:val="both"/>
        <w:rPr>
          <w:rFonts w:hint="eastAsia" w:ascii="宋体" w:hAnsi="宋体" w:eastAsia="宋体" w:cs="宋体"/>
          <w:sz w:val="24"/>
          <w:szCs w:val="24"/>
        </w:rPr>
      </w:pPr>
      <w:r>
        <w:rPr>
          <w:rFonts w:hint="eastAsia" w:ascii="宋体" w:hAnsi="宋体" w:eastAsia="宋体" w:cs="宋体"/>
          <w:sz w:val="24"/>
          <w:szCs w:val="24"/>
        </w:rPr>
        <w:t>（五）其它要求。</w:t>
      </w:r>
    </w:p>
    <w:p w14:paraId="11A1FC4C">
      <w:pPr>
        <w:spacing w:line="360" w:lineRule="auto"/>
        <w:jc w:val="both"/>
        <w:rPr>
          <w:rFonts w:hint="eastAsia" w:ascii="宋体" w:hAnsi="宋体" w:eastAsia="宋体" w:cs="宋体"/>
          <w:sz w:val="24"/>
          <w:szCs w:val="24"/>
        </w:rPr>
      </w:pPr>
      <w:r>
        <w:rPr>
          <w:rFonts w:hint="eastAsia" w:ascii="宋体" w:hAnsi="宋体" w:eastAsia="宋体" w:cs="宋体"/>
          <w:sz w:val="24"/>
          <w:szCs w:val="24"/>
        </w:rPr>
        <w:t>1.承包方不得以任何理由及方式降低伙食质量标准。采购的主要食品米面油 及海鲜肉食类必须有相关检验报告，并由甲方指定人员监督，严禁提供腐烂及不合格产品。</w:t>
      </w:r>
    </w:p>
    <w:p w14:paraId="4C7F4B04">
      <w:pPr>
        <w:spacing w:line="360" w:lineRule="auto"/>
        <w:jc w:val="both"/>
        <w:rPr>
          <w:rFonts w:hint="eastAsia" w:ascii="宋体" w:hAnsi="宋体" w:eastAsia="宋体" w:cs="宋体"/>
          <w:sz w:val="24"/>
          <w:szCs w:val="24"/>
        </w:rPr>
      </w:pPr>
      <w:r>
        <w:rPr>
          <w:rFonts w:hint="eastAsia" w:ascii="宋体" w:hAnsi="宋体" w:eastAsia="宋体" w:cs="宋体"/>
          <w:sz w:val="24"/>
          <w:szCs w:val="24"/>
        </w:rPr>
        <w:t>2.承包方要以节约为本，不得有长明灯、长流水现象发生；设备若需维修及 更新及时报告发包方。必须定期保养、维护厨具等一切厨房设施，否则自行承担 厨具维修、更换等费用。</w:t>
      </w:r>
    </w:p>
    <w:p w14:paraId="034BE650">
      <w:pPr>
        <w:spacing w:line="360" w:lineRule="auto"/>
        <w:jc w:val="both"/>
        <w:rPr>
          <w:rFonts w:hint="eastAsia" w:ascii="宋体" w:hAnsi="宋体" w:eastAsia="宋体" w:cs="宋体"/>
          <w:sz w:val="24"/>
          <w:szCs w:val="24"/>
        </w:rPr>
      </w:pPr>
      <w:r>
        <w:rPr>
          <w:rFonts w:hint="eastAsia" w:ascii="宋体" w:hAnsi="宋体" w:eastAsia="宋体" w:cs="宋体"/>
          <w:sz w:val="24"/>
          <w:szCs w:val="24"/>
        </w:rPr>
        <w:t>食堂、厨房卫生要求：</w:t>
      </w:r>
    </w:p>
    <w:p w14:paraId="272E44E5">
      <w:pPr>
        <w:spacing w:line="360" w:lineRule="auto"/>
        <w:jc w:val="both"/>
        <w:rPr>
          <w:rFonts w:hint="eastAsia" w:ascii="宋体" w:hAnsi="宋体" w:eastAsia="宋体" w:cs="宋体"/>
          <w:sz w:val="24"/>
          <w:szCs w:val="24"/>
        </w:rPr>
      </w:pPr>
      <w:r>
        <w:rPr>
          <w:rFonts w:hint="eastAsia" w:ascii="宋体" w:hAnsi="宋体" w:eastAsia="宋体" w:cs="宋体"/>
          <w:sz w:val="24"/>
          <w:szCs w:val="24"/>
        </w:rPr>
        <w:t>（1）食堂、厨房应有纱门、纱窗、纱罩，保持无蝇；</w:t>
      </w:r>
    </w:p>
    <w:p w14:paraId="5A522CD4">
      <w:pPr>
        <w:spacing w:line="360" w:lineRule="auto"/>
        <w:jc w:val="both"/>
        <w:rPr>
          <w:rFonts w:hint="eastAsia" w:ascii="宋体" w:hAnsi="宋体" w:eastAsia="宋体" w:cs="宋体"/>
          <w:sz w:val="24"/>
          <w:szCs w:val="24"/>
        </w:rPr>
      </w:pPr>
      <w:r>
        <w:rPr>
          <w:rFonts w:hint="eastAsia" w:ascii="宋体" w:hAnsi="宋体" w:eastAsia="宋体" w:cs="宋体"/>
          <w:sz w:val="24"/>
          <w:szCs w:val="24"/>
        </w:rPr>
        <w:t>（2）食堂、厨房每餐后要及时擦扫干净，台布、椅罩要经常换洗，各类物 品要勤整理、勤擦拭，使之整洁有序，每周要大扫除一次；</w:t>
      </w:r>
    </w:p>
    <w:p w14:paraId="472C95D2">
      <w:pPr>
        <w:spacing w:line="360" w:lineRule="auto"/>
        <w:jc w:val="both"/>
        <w:rPr>
          <w:rFonts w:hint="eastAsia" w:ascii="宋体" w:hAnsi="宋体" w:eastAsia="宋体" w:cs="宋体"/>
          <w:sz w:val="24"/>
          <w:szCs w:val="24"/>
        </w:rPr>
      </w:pPr>
      <w:r>
        <w:rPr>
          <w:rFonts w:hint="eastAsia" w:ascii="宋体" w:hAnsi="宋体" w:eastAsia="宋体" w:cs="宋体"/>
          <w:sz w:val="24"/>
          <w:szCs w:val="24"/>
        </w:rPr>
        <w:t>（3）食堂、厨房排水应保持畅通，污水应及时倒入污水池，不积存脏水污物，环境应保持清洁、整齐；</w:t>
      </w:r>
    </w:p>
    <w:p w14:paraId="18CB4875">
      <w:pPr>
        <w:spacing w:line="360" w:lineRule="auto"/>
        <w:jc w:val="both"/>
        <w:rPr>
          <w:rFonts w:hint="eastAsia" w:ascii="宋体" w:hAnsi="宋体" w:eastAsia="宋体" w:cs="宋体"/>
          <w:sz w:val="24"/>
          <w:szCs w:val="24"/>
        </w:rPr>
      </w:pPr>
      <w:r>
        <w:rPr>
          <w:rFonts w:hint="eastAsia" w:ascii="宋体" w:hAnsi="宋体" w:eastAsia="宋体" w:cs="宋体"/>
          <w:sz w:val="24"/>
          <w:szCs w:val="24"/>
        </w:rPr>
        <w:t>（4）食堂厨房内禁止饲养家禽家畜，禁止携带有毒化学药剂等进入；</w:t>
      </w:r>
    </w:p>
    <w:p w14:paraId="79CA63C6">
      <w:pPr>
        <w:spacing w:line="360" w:lineRule="auto"/>
        <w:jc w:val="both"/>
        <w:rPr>
          <w:rFonts w:hint="eastAsia" w:ascii="宋体" w:hAnsi="宋体" w:eastAsia="宋体" w:cs="宋体"/>
          <w:sz w:val="24"/>
          <w:szCs w:val="24"/>
        </w:rPr>
      </w:pPr>
      <w:r>
        <w:rPr>
          <w:rFonts w:hint="eastAsia" w:ascii="宋体" w:hAnsi="宋体" w:eastAsia="宋体" w:cs="宋体"/>
          <w:sz w:val="24"/>
          <w:szCs w:val="24"/>
        </w:rPr>
        <w:t>2.炊具、厨具、食具卫生要求：</w:t>
      </w:r>
    </w:p>
    <w:p w14:paraId="19AB35EE">
      <w:pPr>
        <w:spacing w:line="360" w:lineRule="auto"/>
        <w:jc w:val="both"/>
        <w:rPr>
          <w:rFonts w:hint="eastAsia" w:ascii="宋体" w:hAnsi="宋体" w:eastAsia="宋体" w:cs="宋体"/>
          <w:sz w:val="24"/>
          <w:szCs w:val="24"/>
        </w:rPr>
      </w:pPr>
      <w:r>
        <w:rPr>
          <w:rFonts w:hint="eastAsia" w:ascii="宋体" w:hAnsi="宋体" w:eastAsia="宋体" w:cs="宋体"/>
          <w:sz w:val="24"/>
          <w:szCs w:val="24"/>
        </w:rPr>
        <w:t>（1）盛生食物和熟食物的容器不得混用；</w:t>
      </w:r>
    </w:p>
    <w:p w14:paraId="454C9A63">
      <w:pPr>
        <w:spacing w:line="360" w:lineRule="auto"/>
        <w:jc w:val="both"/>
        <w:rPr>
          <w:rFonts w:hint="eastAsia" w:ascii="宋体" w:hAnsi="宋体" w:eastAsia="宋体" w:cs="宋体"/>
          <w:sz w:val="24"/>
          <w:szCs w:val="24"/>
        </w:rPr>
      </w:pPr>
      <w:r>
        <w:rPr>
          <w:rFonts w:hint="eastAsia" w:ascii="宋体" w:hAnsi="宋体" w:eastAsia="宋体" w:cs="宋体"/>
          <w:sz w:val="24"/>
          <w:szCs w:val="24"/>
        </w:rPr>
        <w:t>（2）切生食物和熟食物的刀板不能混用并分别保管；</w:t>
      </w:r>
    </w:p>
    <w:p w14:paraId="3A5A455E">
      <w:pPr>
        <w:spacing w:line="360" w:lineRule="auto"/>
        <w:jc w:val="both"/>
        <w:rPr>
          <w:rFonts w:hint="eastAsia" w:ascii="宋体" w:hAnsi="宋体" w:eastAsia="宋体" w:cs="宋体"/>
          <w:sz w:val="24"/>
          <w:szCs w:val="24"/>
        </w:rPr>
      </w:pPr>
      <w:r>
        <w:rPr>
          <w:rFonts w:hint="eastAsia" w:ascii="宋体" w:hAnsi="宋体" w:eastAsia="宋体" w:cs="宋体"/>
          <w:sz w:val="24"/>
          <w:szCs w:val="24"/>
        </w:rPr>
        <w:t>（3）笼屉、菜盆、饭菜勺等小炊具用后要及时清洗晾干、放置有序；</w:t>
      </w:r>
    </w:p>
    <w:p w14:paraId="59A1657B">
      <w:pPr>
        <w:spacing w:line="360" w:lineRule="auto"/>
        <w:jc w:val="both"/>
        <w:rPr>
          <w:rFonts w:hint="eastAsia" w:ascii="宋体" w:hAnsi="宋体" w:eastAsia="宋体" w:cs="宋体"/>
          <w:sz w:val="24"/>
          <w:szCs w:val="24"/>
        </w:rPr>
      </w:pPr>
      <w:r>
        <w:rPr>
          <w:rFonts w:hint="eastAsia" w:ascii="宋体" w:hAnsi="宋体" w:eastAsia="宋体" w:cs="宋体"/>
          <w:sz w:val="24"/>
          <w:szCs w:val="24"/>
        </w:rPr>
        <w:t>（4）锅、锅盖、笼屉、发面盆缸等较大的炊具用后以热水洗净擦干，每周用碱水刷洗一次；</w:t>
      </w:r>
    </w:p>
    <w:p w14:paraId="2F045D9E">
      <w:pPr>
        <w:spacing w:line="360" w:lineRule="auto"/>
        <w:jc w:val="both"/>
        <w:rPr>
          <w:rFonts w:hint="eastAsia" w:ascii="宋体" w:hAnsi="宋体" w:eastAsia="宋体" w:cs="宋体"/>
          <w:sz w:val="24"/>
          <w:szCs w:val="24"/>
        </w:rPr>
      </w:pPr>
      <w:r>
        <w:rPr>
          <w:rFonts w:hint="eastAsia" w:ascii="宋体" w:hAnsi="宋体" w:eastAsia="宋体" w:cs="宋体"/>
          <w:sz w:val="24"/>
          <w:szCs w:val="24"/>
        </w:rPr>
        <w:t>（5）机械用具（绞肉机、切菜机、压面机等）用热水洗净，擦干保存；</w:t>
      </w:r>
    </w:p>
    <w:p w14:paraId="5E4C250F">
      <w:pPr>
        <w:spacing w:line="360" w:lineRule="auto"/>
        <w:jc w:val="both"/>
        <w:rPr>
          <w:rFonts w:hint="eastAsia" w:ascii="宋体" w:hAnsi="宋体" w:eastAsia="宋体" w:cs="宋体"/>
          <w:sz w:val="24"/>
          <w:szCs w:val="24"/>
        </w:rPr>
      </w:pPr>
      <w:r>
        <w:rPr>
          <w:rFonts w:hint="eastAsia" w:ascii="宋体" w:hAnsi="宋体" w:eastAsia="宋体" w:cs="宋体"/>
          <w:sz w:val="24"/>
          <w:szCs w:val="24"/>
        </w:rPr>
        <w:t>（6）食具要定期消毒，病员食具要专用独放，防止传染。</w:t>
      </w:r>
    </w:p>
    <w:p w14:paraId="6754D9DE">
      <w:pPr>
        <w:spacing w:line="360" w:lineRule="auto"/>
        <w:jc w:val="both"/>
        <w:rPr>
          <w:rFonts w:hint="eastAsia" w:ascii="宋体" w:hAnsi="宋体" w:eastAsia="宋体" w:cs="宋体"/>
          <w:sz w:val="24"/>
          <w:szCs w:val="24"/>
        </w:rPr>
      </w:pPr>
      <w:r>
        <w:rPr>
          <w:rFonts w:hint="eastAsia" w:ascii="宋体" w:hAnsi="宋体" w:eastAsia="宋体" w:cs="宋体"/>
          <w:sz w:val="24"/>
          <w:szCs w:val="24"/>
        </w:rPr>
        <w:t>3.工作人员个人卫生要求：</w:t>
      </w:r>
    </w:p>
    <w:p w14:paraId="1CE21C9E">
      <w:pPr>
        <w:spacing w:line="360" w:lineRule="auto"/>
        <w:jc w:val="both"/>
        <w:rPr>
          <w:rFonts w:hint="eastAsia" w:ascii="宋体" w:hAnsi="宋体" w:eastAsia="宋体" w:cs="宋体"/>
          <w:sz w:val="24"/>
          <w:szCs w:val="24"/>
        </w:rPr>
      </w:pPr>
      <w:r>
        <w:rPr>
          <w:rFonts w:hint="eastAsia" w:ascii="宋体" w:hAnsi="宋体" w:eastAsia="宋体" w:cs="宋体"/>
          <w:sz w:val="24"/>
          <w:szCs w:val="24"/>
        </w:rPr>
        <w:t>（1）定期接受卫生部门的健康检查；</w:t>
      </w:r>
    </w:p>
    <w:p w14:paraId="3E655AE6">
      <w:pPr>
        <w:spacing w:line="360" w:lineRule="auto"/>
        <w:jc w:val="both"/>
        <w:rPr>
          <w:rFonts w:hint="eastAsia" w:ascii="宋体" w:hAnsi="宋体" w:eastAsia="宋体" w:cs="宋体"/>
          <w:sz w:val="24"/>
          <w:szCs w:val="24"/>
        </w:rPr>
      </w:pPr>
      <w:r>
        <w:rPr>
          <w:rFonts w:hint="eastAsia" w:ascii="宋体" w:hAnsi="宋体" w:eastAsia="宋体" w:cs="宋体"/>
          <w:sz w:val="24"/>
          <w:szCs w:val="24"/>
        </w:rPr>
        <w:t>（2）做到"四勤"，勤洗手剪指甲、勤洗澡理发、勤洗衣服被褥、勤换工作服；</w:t>
      </w:r>
    </w:p>
    <w:p w14:paraId="1781DCD6">
      <w:pPr>
        <w:spacing w:line="360" w:lineRule="auto"/>
        <w:jc w:val="both"/>
        <w:rPr>
          <w:rFonts w:hint="eastAsia" w:ascii="宋体" w:hAnsi="宋体" w:eastAsia="宋体" w:cs="宋体"/>
          <w:sz w:val="24"/>
          <w:szCs w:val="24"/>
        </w:rPr>
      </w:pPr>
      <w:r>
        <w:rPr>
          <w:rFonts w:hint="eastAsia" w:ascii="宋体" w:hAnsi="宋体" w:eastAsia="宋体" w:cs="宋体"/>
          <w:sz w:val="24"/>
          <w:szCs w:val="24"/>
        </w:rPr>
        <w:t>（3）上班时不吸烟，穿工作服、戴口罩、戴工作帽，保持仪表整洁；</w:t>
      </w:r>
    </w:p>
    <w:p w14:paraId="7C9008BB">
      <w:pPr>
        <w:spacing w:line="360" w:lineRule="auto"/>
        <w:jc w:val="both"/>
        <w:rPr>
          <w:rFonts w:hint="eastAsia" w:ascii="宋体" w:hAnsi="宋体" w:eastAsia="宋体" w:cs="宋体"/>
          <w:sz w:val="24"/>
          <w:szCs w:val="24"/>
        </w:rPr>
      </w:pPr>
      <w:r>
        <w:rPr>
          <w:rFonts w:hint="eastAsia" w:ascii="宋体" w:hAnsi="宋体" w:eastAsia="宋体" w:cs="宋体"/>
          <w:sz w:val="24"/>
          <w:szCs w:val="24"/>
        </w:rPr>
        <w:t>（4）禁止穿工作服离开厨房、食堂或做与制作饭菜无关的工作，工作前、 便后或接触脏物后必须洗手；</w:t>
      </w:r>
    </w:p>
    <w:p w14:paraId="231E1AC0">
      <w:pPr>
        <w:spacing w:line="360" w:lineRule="auto"/>
        <w:jc w:val="both"/>
        <w:rPr>
          <w:rFonts w:hint="eastAsia" w:ascii="宋体" w:hAnsi="宋体" w:eastAsia="宋体" w:cs="宋体"/>
          <w:sz w:val="24"/>
          <w:szCs w:val="24"/>
        </w:rPr>
      </w:pPr>
      <w:r>
        <w:rPr>
          <w:rFonts w:hint="eastAsia" w:ascii="宋体" w:hAnsi="宋体" w:eastAsia="宋体" w:cs="宋体"/>
          <w:sz w:val="24"/>
          <w:szCs w:val="24"/>
        </w:rPr>
        <w:t>（5）不应对着食物咳嗽、打喷嚏，不能用工作服擦鼻涕、擦汗、擦手或厨 具等，不能随地吐痰</w:t>
      </w:r>
    </w:p>
    <w:p w14:paraId="23797D76">
      <w:pPr>
        <w:spacing w:line="360" w:lineRule="auto"/>
        <w:jc w:val="both"/>
        <w:rPr>
          <w:rFonts w:hint="eastAsia" w:ascii="宋体" w:hAnsi="宋体" w:eastAsia="宋体" w:cs="宋体"/>
          <w:sz w:val="24"/>
          <w:szCs w:val="24"/>
        </w:rPr>
      </w:pPr>
      <w:r>
        <w:rPr>
          <w:rFonts w:hint="eastAsia" w:ascii="宋体" w:hAnsi="宋体" w:eastAsia="宋体" w:cs="宋体"/>
          <w:sz w:val="24"/>
          <w:szCs w:val="24"/>
        </w:rPr>
        <w:t>八、质量要求</w:t>
      </w:r>
    </w:p>
    <w:p w14:paraId="2B456FD2">
      <w:pPr>
        <w:spacing w:line="360" w:lineRule="auto"/>
        <w:jc w:val="both"/>
        <w:rPr>
          <w:rFonts w:hint="eastAsia" w:ascii="宋体" w:hAnsi="宋体" w:eastAsia="宋体" w:cs="宋体"/>
          <w:sz w:val="24"/>
          <w:szCs w:val="24"/>
        </w:rPr>
      </w:pPr>
      <w:r>
        <w:rPr>
          <w:rFonts w:hint="eastAsia" w:ascii="宋体" w:hAnsi="宋体" w:eastAsia="宋体" w:cs="宋体"/>
          <w:sz w:val="24"/>
          <w:szCs w:val="24"/>
        </w:rPr>
        <w:t>服务过程中必须遵循公安、消防、卫生防疫等相关行政部门的有关行政管理规定，依法服务，避免服务过程中发生的一切纠纷和法律责任。</w:t>
      </w:r>
    </w:p>
    <w:p w14:paraId="7B5F0670">
      <w:pPr>
        <w:spacing w:line="360" w:lineRule="auto"/>
        <w:jc w:val="both"/>
        <w:rPr>
          <w:rFonts w:hint="eastAsia" w:ascii="宋体" w:hAnsi="宋体" w:eastAsia="宋体" w:cs="宋体"/>
          <w:sz w:val="24"/>
          <w:szCs w:val="24"/>
        </w:rPr>
      </w:pPr>
      <w:r>
        <w:rPr>
          <w:rFonts w:hint="eastAsia" w:ascii="宋体" w:hAnsi="宋体" w:eastAsia="宋体" w:cs="宋体"/>
          <w:sz w:val="24"/>
          <w:szCs w:val="24"/>
        </w:rPr>
        <w:t>做好消毒工作，把住病从口入关，严防食物中毒和食源性疾病。严格执行安 全生产制度，做好防火、防盗，加强设备维修，杜绝重大事故的发生。</w:t>
      </w:r>
    </w:p>
    <w:p w14:paraId="176E2C88">
      <w:pPr>
        <w:spacing w:line="360" w:lineRule="auto"/>
        <w:jc w:val="both"/>
        <w:rPr>
          <w:rFonts w:hint="eastAsia" w:ascii="宋体" w:hAnsi="宋体" w:eastAsia="宋体" w:cs="宋体"/>
          <w:sz w:val="24"/>
          <w:szCs w:val="24"/>
        </w:rPr>
      </w:pPr>
      <w:r>
        <w:rPr>
          <w:rFonts w:hint="eastAsia" w:ascii="宋体" w:hAnsi="宋体" w:eastAsia="宋体" w:cs="宋体"/>
          <w:sz w:val="24"/>
          <w:szCs w:val="24"/>
        </w:rPr>
        <w:t>1、饭菜供应时间及质量有保证。食堂提供的各类主、副食品，必须符合规 定的质量标准和分量要求，做到正点、优质、量足、热菜、热饭，注重食物品种 多样、营养搭配。不准提供变质、变味以及剩饭菜，公司将配合单位后勤每月定 期或不定期在职工中查询拜访饭菜质量、数量以及服务情况并将有关信息通知供 餐人员，供餐人员应虚心听取合理化意见，采取措施及时解决不良现象。按不同 季候，供餐适度安排主、副食物种，花样品种应经常变化，满足职工的需求。菜 谱按期公布并及时更新。</w:t>
      </w:r>
    </w:p>
    <w:p w14:paraId="0E31A381">
      <w:pPr>
        <w:spacing w:line="360" w:lineRule="auto"/>
        <w:jc w:val="both"/>
        <w:rPr>
          <w:rFonts w:hint="eastAsia" w:ascii="宋体" w:hAnsi="宋体" w:eastAsia="宋体" w:cs="宋体"/>
          <w:sz w:val="24"/>
          <w:szCs w:val="24"/>
        </w:rPr>
      </w:pPr>
      <w:r>
        <w:rPr>
          <w:rFonts w:hint="eastAsia" w:ascii="宋体" w:hAnsi="宋体" w:eastAsia="宋体" w:cs="宋体"/>
          <w:sz w:val="24"/>
          <w:szCs w:val="24"/>
        </w:rPr>
        <w:t>2、环境卫生符合要求。食堂室内外清洁卫生是指内到厨房卫生，外到食堂 卫生及周边环境卫生，均由供餐人员负责。</w:t>
      </w:r>
    </w:p>
    <w:p w14:paraId="1FA02090">
      <w:pPr>
        <w:spacing w:line="360" w:lineRule="auto"/>
        <w:jc w:val="both"/>
        <w:rPr>
          <w:rFonts w:hint="eastAsia" w:ascii="宋体" w:hAnsi="宋体" w:eastAsia="宋体" w:cs="宋体"/>
          <w:sz w:val="24"/>
          <w:szCs w:val="24"/>
        </w:rPr>
      </w:pPr>
      <w:r>
        <w:rPr>
          <w:rFonts w:hint="eastAsia" w:ascii="宋体" w:hAnsi="宋体" w:eastAsia="宋体" w:cs="宋体"/>
          <w:sz w:val="24"/>
          <w:szCs w:val="24"/>
        </w:rPr>
        <w:t>3、粗加工区卫生</w:t>
      </w:r>
    </w:p>
    <w:p w14:paraId="08CEF7F0">
      <w:pPr>
        <w:spacing w:line="360" w:lineRule="auto"/>
        <w:jc w:val="both"/>
        <w:rPr>
          <w:rFonts w:hint="eastAsia" w:ascii="宋体" w:hAnsi="宋体" w:eastAsia="宋体" w:cs="宋体"/>
          <w:sz w:val="24"/>
          <w:szCs w:val="24"/>
        </w:rPr>
      </w:pPr>
      <w:r>
        <w:rPr>
          <w:rFonts w:hint="eastAsia" w:ascii="宋体" w:hAnsi="宋体" w:eastAsia="宋体" w:cs="宋体"/>
          <w:sz w:val="24"/>
          <w:szCs w:val="24"/>
        </w:rPr>
        <w:t>①加工场所卫生：食物粗加工应该有固定的场所，有基本的防尘防蝇设施， 并配备货架或放置食物的货橱，与食堂配菜间、熟菜间、烹调间等分开。加工场 所的地面、墙裙应该保持洁净；食物粗加工应有足够供水，所供水质应符合国家 生活饮用水卫生标准。粗加工场所应有三个以上水池，做到荤素食物分池清洗。 洗涤拖把等洁净用品与清洗食物的水池分开。</w:t>
      </w:r>
    </w:p>
    <w:p w14:paraId="3D3C3CDD">
      <w:pPr>
        <w:spacing w:line="360" w:lineRule="auto"/>
        <w:jc w:val="both"/>
        <w:rPr>
          <w:rFonts w:hint="eastAsia" w:ascii="宋体" w:hAnsi="宋体" w:eastAsia="宋体" w:cs="宋体"/>
          <w:sz w:val="24"/>
          <w:szCs w:val="24"/>
        </w:rPr>
      </w:pPr>
      <w:r>
        <w:rPr>
          <w:rFonts w:hint="eastAsia" w:ascii="宋体" w:hAnsi="宋体" w:eastAsia="宋体" w:cs="宋体"/>
          <w:sz w:val="24"/>
          <w:szCs w:val="24"/>
        </w:rPr>
        <w:t>②粗加工操作卫生：各种荤素食品原料，在粗加工过程中，首先要检查食品 的质量，发现食品腐败变质、发霉、生虫、掺杂、掺假有毒有害等，均不宜清洁 加工。</w:t>
      </w:r>
    </w:p>
    <w:p w14:paraId="02D2B617">
      <w:pPr>
        <w:spacing w:line="360" w:lineRule="auto"/>
        <w:jc w:val="both"/>
        <w:rPr>
          <w:rFonts w:hint="eastAsia" w:ascii="宋体" w:hAnsi="宋体" w:eastAsia="宋体" w:cs="宋体"/>
          <w:sz w:val="24"/>
          <w:szCs w:val="24"/>
        </w:rPr>
      </w:pPr>
      <w:r>
        <w:rPr>
          <w:rFonts w:hint="eastAsia" w:ascii="宋体" w:hAnsi="宋体" w:eastAsia="宋体" w:cs="宋体"/>
          <w:sz w:val="24"/>
          <w:szCs w:val="24"/>
        </w:rPr>
        <w:t>A.肉类加工清洁前，应检查有无经过兽医卫生检疫检验，经过卫生检验属正 常的肉食品，清洗干净。肠、肚等内脏应与肉品分开清洗，分盛放，以免串味污 染。</w:t>
      </w:r>
    </w:p>
    <w:p w14:paraId="4FE490E1">
      <w:pPr>
        <w:spacing w:line="360" w:lineRule="auto"/>
        <w:jc w:val="both"/>
        <w:rPr>
          <w:rFonts w:hint="eastAsia" w:ascii="宋体" w:hAnsi="宋体" w:eastAsia="宋体" w:cs="宋体"/>
          <w:sz w:val="24"/>
          <w:szCs w:val="24"/>
        </w:rPr>
      </w:pPr>
      <w:r>
        <w:rPr>
          <w:rFonts w:hint="eastAsia" w:ascii="宋体" w:hAnsi="宋体" w:eastAsia="宋体" w:cs="宋体"/>
          <w:sz w:val="24"/>
          <w:szCs w:val="24"/>
        </w:rPr>
        <w:t>B.水产品清洗前应逐条检查鱼的质量，尤其要拣剔有毒鱼及某些鱼的有毒内 脏。水产品要刮鳞、去鳃和内脏，清洗干净后放入清洁的内，尽快送入厨房加工 烹调，暂时不用或一时用不完的应放入冰箱冷藏保存，以免鱼体变质。</w:t>
      </w:r>
    </w:p>
    <w:p w14:paraId="662D8CDE">
      <w:pPr>
        <w:spacing w:line="360" w:lineRule="auto"/>
        <w:jc w:val="both"/>
        <w:rPr>
          <w:rFonts w:hint="eastAsia" w:ascii="宋体" w:hAnsi="宋体" w:eastAsia="宋体" w:cs="宋体"/>
          <w:sz w:val="24"/>
          <w:szCs w:val="24"/>
        </w:rPr>
      </w:pPr>
      <w:r>
        <w:rPr>
          <w:rFonts w:hint="eastAsia" w:ascii="宋体" w:hAnsi="宋体" w:eastAsia="宋体" w:cs="宋体"/>
          <w:sz w:val="24"/>
          <w:szCs w:val="24"/>
        </w:rPr>
        <w:t>C.禽蛋类活禽宰杀前注意有无疾病，宰杀后脱净羽毛，去掉头爪，除净内脏， 清洗干净后送入厨房。</w:t>
      </w:r>
    </w:p>
    <w:p w14:paraId="6A6DA101">
      <w:pPr>
        <w:spacing w:line="360" w:lineRule="auto"/>
        <w:jc w:val="both"/>
        <w:rPr>
          <w:rFonts w:hint="eastAsia" w:ascii="宋体" w:hAnsi="宋体" w:eastAsia="宋体" w:cs="宋体"/>
          <w:sz w:val="24"/>
          <w:szCs w:val="24"/>
        </w:rPr>
      </w:pPr>
      <w:r>
        <w:rPr>
          <w:rFonts w:hint="eastAsia" w:ascii="宋体" w:hAnsi="宋体" w:eastAsia="宋体" w:cs="宋体"/>
          <w:sz w:val="24"/>
          <w:szCs w:val="24"/>
        </w:rPr>
        <w:t>D.蔬菜拣去枯萎黄叶，去掉泥沙杂物和不可食部分，再进行清洗，由于蔬菜 在种植时多采用人畜粪便用肥料，尤其蔬菜更应认真仔细清洗。为防止营养素流 失，对各种蔬菜均应按照“一拣，二洗、三切 ”的顺序进行操作。清洗后的蔬菜 要在清水中浸泡30 分钟以上，不宜放置过夜。</w:t>
      </w:r>
    </w:p>
    <w:p w14:paraId="1F6D484E">
      <w:pPr>
        <w:spacing w:line="360" w:lineRule="auto"/>
        <w:jc w:val="both"/>
        <w:rPr>
          <w:rFonts w:hint="eastAsia" w:ascii="宋体" w:hAnsi="宋体" w:eastAsia="宋体" w:cs="宋体"/>
          <w:sz w:val="24"/>
          <w:szCs w:val="24"/>
        </w:rPr>
      </w:pPr>
      <w:r>
        <w:rPr>
          <w:rFonts w:hint="eastAsia" w:ascii="宋体" w:hAnsi="宋体" w:eastAsia="宋体" w:cs="宋体"/>
          <w:sz w:val="24"/>
          <w:szCs w:val="24"/>
        </w:rPr>
        <w:t>4、切配卫生</w:t>
      </w:r>
    </w:p>
    <w:p w14:paraId="156E2541">
      <w:pPr>
        <w:spacing w:line="360" w:lineRule="auto"/>
        <w:jc w:val="both"/>
        <w:rPr>
          <w:rFonts w:hint="eastAsia" w:ascii="宋体" w:hAnsi="宋体" w:eastAsia="宋体" w:cs="宋体"/>
          <w:sz w:val="24"/>
          <w:szCs w:val="24"/>
        </w:rPr>
      </w:pPr>
      <w:r>
        <w:rPr>
          <w:rFonts w:hint="eastAsia" w:ascii="宋体" w:hAnsi="宋体" w:eastAsia="宋体" w:cs="宋体"/>
          <w:sz w:val="24"/>
          <w:szCs w:val="24"/>
        </w:rPr>
        <w:t>①切配场所卫生：切配间应有专间，墙裙应贴有白瓷砖，并无污迹和食物残 渣；墙壁、天花板的油漆无脱落、无霉斑；室内设有洗手池，下水道通畅，有食 品冰箱和带盖的废弃物箱（桶），加工下来的废弃物及时倒入箱内，并当日清除。 配菜结束，应及时做好冲洗，清洗等清洁工作，以保持室内清洁卫生。</w:t>
      </w:r>
    </w:p>
    <w:p w14:paraId="0BACF29B">
      <w:pPr>
        <w:spacing w:line="360" w:lineRule="auto"/>
        <w:jc w:val="both"/>
        <w:rPr>
          <w:rFonts w:hint="eastAsia" w:ascii="宋体" w:hAnsi="宋体" w:eastAsia="宋体" w:cs="宋体"/>
          <w:sz w:val="24"/>
          <w:szCs w:val="24"/>
        </w:rPr>
      </w:pPr>
      <w:r>
        <w:rPr>
          <w:rFonts w:hint="eastAsia" w:ascii="宋体" w:hAnsi="宋体" w:eastAsia="宋体" w:cs="宋体"/>
          <w:sz w:val="24"/>
          <w:szCs w:val="24"/>
        </w:rPr>
        <w:t>②工具、用具卫生：配菜用的工具、盛器保持清洁，刀、砧板用后洗刷干净， 刀不用时放入清洁的石灰水中，可防止生锈。砧板洗刷揩干后竖立存放，防止发 霉。抹布在使用过程中经常清洗，用后晾干。盛放生熟食品、荤素食品的、盛器 应分开使用，每次使用后应洗刷干净，用前消毒。</w:t>
      </w:r>
    </w:p>
    <w:p w14:paraId="667384B9">
      <w:pPr>
        <w:spacing w:line="360" w:lineRule="auto"/>
        <w:jc w:val="both"/>
        <w:rPr>
          <w:rFonts w:hint="eastAsia" w:ascii="宋体" w:hAnsi="宋体" w:eastAsia="宋体" w:cs="宋体"/>
          <w:sz w:val="24"/>
          <w:szCs w:val="24"/>
        </w:rPr>
      </w:pPr>
      <w:r>
        <w:rPr>
          <w:rFonts w:hint="eastAsia" w:ascii="宋体" w:hAnsi="宋体" w:eastAsia="宋体" w:cs="宋体"/>
          <w:sz w:val="24"/>
          <w:szCs w:val="24"/>
        </w:rPr>
        <w:t>③切配操作卫生：食品在切配时应注意食品的质量，如发现食品腐败变质、 污秽不洁或可疑被污染时，不应切配加工，将其剔除另作处理。切配食品应根据 不同烧煮烹调方法选择合适的原料。采用煎、炒等方法烹调，如炒肉丝、肉片、 鱼片等，要选择新鲜原料。质差的原料有大量细菌，一般煎、炒不易将污染在食 品上的细菌全部杀灭，食后易引起中毒。切配过鱼的刀、砧板、抹布必须洗刷干 净后，再切配其他食品，否则会造成交叉污染。</w:t>
      </w:r>
    </w:p>
    <w:p w14:paraId="34F7DAC5">
      <w:pPr>
        <w:spacing w:line="360" w:lineRule="auto"/>
        <w:jc w:val="both"/>
        <w:rPr>
          <w:rFonts w:hint="eastAsia" w:ascii="宋体" w:hAnsi="宋体" w:eastAsia="宋体" w:cs="宋体"/>
          <w:sz w:val="24"/>
          <w:szCs w:val="24"/>
        </w:rPr>
      </w:pPr>
      <w:r>
        <w:rPr>
          <w:rFonts w:hint="eastAsia" w:ascii="宋体" w:hAnsi="宋体" w:eastAsia="宋体" w:cs="宋体"/>
          <w:sz w:val="24"/>
          <w:szCs w:val="24"/>
        </w:rPr>
        <w:t>5、烧煮烹调卫生：</w:t>
      </w:r>
    </w:p>
    <w:p w14:paraId="17C1CE96">
      <w:pPr>
        <w:spacing w:line="360" w:lineRule="auto"/>
        <w:jc w:val="both"/>
        <w:rPr>
          <w:rFonts w:hint="eastAsia" w:ascii="宋体" w:hAnsi="宋体" w:eastAsia="宋体" w:cs="宋体"/>
          <w:sz w:val="24"/>
          <w:szCs w:val="24"/>
        </w:rPr>
      </w:pPr>
      <w:r>
        <w:rPr>
          <w:rFonts w:hint="eastAsia" w:ascii="宋体" w:hAnsi="宋体" w:eastAsia="宋体" w:cs="宋体"/>
          <w:sz w:val="24"/>
          <w:szCs w:val="24"/>
        </w:rPr>
        <w:t>①烧煮烹调场所卫生：灶面及灶台墙壁经常洗刷，做到无油污、无积灰、无 食物残渣、排气罩不滴油，工作结束做好地面、灶台、操作台和工用具的清洗、洗刷，保持加工场所清洁。生进、熟出最好做到分台或架桥式操作台，下面进生， 上面出熟，避免进、出菜在同一台面。</w:t>
      </w:r>
    </w:p>
    <w:p w14:paraId="49DC292E">
      <w:pPr>
        <w:spacing w:line="360" w:lineRule="auto"/>
        <w:jc w:val="both"/>
        <w:rPr>
          <w:rFonts w:hint="eastAsia" w:ascii="宋体" w:hAnsi="宋体" w:eastAsia="宋体" w:cs="宋体"/>
          <w:sz w:val="24"/>
          <w:szCs w:val="24"/>
        </w:rPr>
      </w:pPr>
      <w:r>
        <w:rPr>
          <w:rFonts w:hint="eastAsia" w:ascii="宋体" w:hAnsi="宋体" w:eastAsia="宋体" w:cs="宋体"/>
          <w:sz w:val="24"/>
          <w:szCs w:val="24"/>
        </w:rPr>
        <w:t>②烧煮、烹调操作卫生：饭菜烧煮，烧煮时必须充分加热，使食品每个部位 都均匀受热。防止产生有害物质。油炸食品时应经常补充新油和滤除油渣，减少 油中有害物质含量。烘烤食品应避免明火直接与食品接触。</w:t>
      </w:r>
    </w:p>
    <w:p w14:paraId="6DCD9F52">
      <w:pPr>
        <w:spacing w:line="360" w:lineRule="auto"/>
        <w:jc w:val="both"/>
        <w:rPr>
          <w:rFonts w:hint="eastAsia" w:ascii="宋体" w:hAnsi="宋体" w:eastAsia="宋体" w:cs="宋体"/>
          <w:sz w:val="24"/>
          <w:szCs w:val="24"/>
        </w:rPr>
      </w:pPr>
      <w:r>
        <w:rPr>
          <w:rFonts w:hint="eastAsia" w:ascii="宋体" w:hAnsi="宋体" w:eastAsia="宋体" w:cs="宋体"/>
          <w:sz w:val="24"/>
          <w:szCs w:val="24"/>
        </w:rPr>
        <w:t>③防止交叉污染。为避免食品污染和食物中毒，要求操作者在烧煮烹调食品 时注意操作卫生。盛放熟食的与餐具应生熟分开，熟食品应有明显标志，使用前 应严格消毒，不能用未消毒的餐具放熟食；饮具应保持清洁，烹调时不能用炒勺 或手指直接尝味，尝余下的汤或菜不应倒回锅内。</w:t>
      </w:r>
    </w:p>
    <w:p w14:paraId="64123B75">
      <w:pPr>
        <w:spacing w:line="360" w:lineRule="auto"/>
        <w:jc w:val="both"/>
        <w:rPr>
          <w:rFonts w:hint="eastAsia" w:ascii="宋体" w:hAnsi="宋体" w:eastAsia="宋体" w:cs="宋体"/>
          <w:sz w:val="24"/>
          <w:szCs w:val="24"/>
        </w:rPr>
      </w:pPr>
      <w:r>
        <w:rPr>
          <w:rFonts w:hint="eastAsia" w:ascii="宋体" w:hAnsi="宋体" w:eastAsia="宋体" w:cs="宋体"/>
          <w:sz w:val="24"/>
          <w:szCs w:val="24"/>
        </w:rPr>
        <w:t>6、餐具清洗消毒：</w:t>
      </w:r>
    </w:p>
    <w:p w14:paraId="11C61E03">
      <w:pPr>
        <w:spacing w:line="360" w:lineRule="auto"/>
        <w:jc w:val="both"/>
        <w:rPr>
          <w:rFonts w:hint="eastAsia" w:ascii="宋体" w:hAnsi="宋体" w:eastAsia="宋体" w:cs="宋体"/>
          <w:sz w:val="24"/>
          <w:szCs w:val="24"/>
        </w:rPr>
      </w:pPr>
      <w:r>
        <w:rPr>
          <w:rFonts w:hint="eastAsia" w:ascii="宋体" w:hAnsi="宋体" w:eastAsia="宋体" w:cs="宋体"/>
          <w:sz w:val="24"/>
          <w:szCs w:val="24"/>
        </w:rPr>
        <w:t>餐具清洗应专人负责要有记录。餐具清洗消毒场所应与切、配、烹调场所分 开、以免食物污染。餐具消毒可采用物理消毒和化学消毒两种。物理消毒必须按 “ 除残渣、碱水刷、净水冲、热力消 ”等四道工序进行，热力消毒的请求为 100℃ 10 分钟；化学消毒必须按除残渣、碱水刷、药物消、净水冲等四道工序进行， 如使用含氯消毒剂，有效氯浓度应到达 250PPM，消毒时间为 5 分钟。清洗消毒 好的餐具应存放在保洁厨内。</w:t>
      </w:r>
    </w:p>
    <w:p w14:paraId="708099C7">
      <w:pPr>
        <w:rPr>
          <w:rFonts w:hint="eastAsia" w:ascii="宋体" w:hAnsi="宋体" w:eastAsia="宋体" w:cs="宋体"/>
          <w:b/>
          <w:bCs/>
          <w:i w:val="0"/>
          <w:iCs w:val="0"/>
          <w:color w:val="auto"/>
          <w:kern w:val="44"/>
          <w:sz w:val="36"/>
          <w:szCs w:val="36"/>
          <w:highlight w:val="none"/>
          <w:lang w:val="en-US" w:eastAsia="zh-CN" w:bidi="ar-SA"/>
        </w:rPr>
      </w:pPr>
      <w:r>
        <w:rPr>
          <w:rFonts w:hint="eastAsia" w:ascii="宋体" w:hAnsi="宋体" w:eastAsia="宋体" w:cs="宋体"/>
          <w:sz w:val="24"/>
          <w:szCs w:val="24"/>
          <w:lang w:val="en-US" w:eastAsia="zh-CN"/>
        </w:rPr>
        <w:t>7、结算以实际用餐人数按季度计算。</w:t>
      </w:r>
      <w:r>
        <w:rPr>
          <w:rFonts w:hint="eastAsia" w:ascii="宋体" w:hAnsi="宋体" w:eastAsia="宋体" w:cs="宋体"/>
          <w:b/>
          <w:bCs/>
          <w:i w:val="0"/>
          <w:iCs w:val="0"/>
          <w:color w:val="auto"/>
          <w:kern w:val="44"/>
          <w:sz w:val="36"/>
          <w:szCs w:val="36"/>
          <w:highlight w:val="none"/>
          <w:lang w:val="en-US" w:eastAsia="zh-CN" w:bidi="ar-SA"/>
        </w:rPr>
        <w:br w:type="page"/>
      </w:r>
    </w:p>
    <w:p w14:paraId="4D82554F">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i w:val="0"/>
          <w:iCs w:val="0"/>
          <w:color w:val="auto"/>
          <w:kern w:val="44"/>
          <w:sz w:val="36"/>
          <w:szCs w:val="36"/>
          <w:highlight w:val="none"/>
          <w:lang w:val="en-US" w:eastAsia="zh-CN" w:bidi="ar-SA"/>
        </w:rPr>
      </w:pPr>
      <w:r>
        <w:rPr>
          <w:rFonts w:hint="eastAsia" w:ascii="宋体" w:hAnsi="宋体" w:eastAsia="宋体" w:cs="宋体"/>
          <w:b/>
          <w:bCs/>
          <w:i w:val="0"/>
          <w:iCs w:val="0"/>
          <w:color w:val="auto"/>
          <w:kern w:val="44"/>
          <w:sz w:val="36"/>
          <w:szCs w:val="36"/>
          <w:highlight w:val="none"/>
          <w:lang w:val="en-US" w:eastAsia="zh-CN" w:bidi="ar-SA"/>
        </w:rPr>
        <w:t>第四章 评审方法及标准</w:t>
      </w:r>
      <w:bookmarkEnd w:id="421"/>
    </w:p>
    <w:p w14:paraId="79A3CF49">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440" w:lineRule="exact"/>
        <w:ind w:left="420" w:leftChars="0" w:hanging="420" w:firstLineChars="0"/>
        <w:textAlignment w:val="auto"/>
        <w:rPr>
          <w:rFonts w:hint="eastAsia"/>
          <w:i w:val="0"/>
          <w:iCs w:val="0"/>
          <w:color w:val="auto"/>
          <w:sz w:val="28"/>
          <w:szCs w:val="28"/>
          <w:highlight w:val="none"/>
          <w:lang w:val="zh-CN" w:eastAsia="zh-CN"/>
        </w:rPr>
      </w:pPr>
      <w:bookmarkStart w:id="422" w:name="_Toc1665"/>
      <w:r>
        <w:rPr>
          <w:rFonts w:hint="eastAsia"/>
          <w:i w:val="0"/>
          <w:iCs w:val="0"/>
          <w:color w:val="auto"/>
          <w:sz w:val="28"/>
          <w:szCs w:val="28"/>
          <w:highlight w:val="none"/>
          <w:lang w:val="en-US" w:eastAsia="zh-CN"/>
        </w:rPr>
        <w:t>一、</w:t>
      </w:r>
      <w:r>
        <w:rPr>
          <w:rFonts w:hint="eastAsia"/>
          <w:i w:val="0"/>
          <w:iCs w:val="0"/>
          <w:color w:val="auto"/>
          <w:sz w:val="28"/>
          <w:szCs w:val="28"/>
          <w:highlight w:val="none"/>
          <w:lang w:val="zh-CN" w:eastAsia="zh-CN"/>
        </w:rPr>
        <w:t>评审方法</w:t>
      </w:r>
      <w:bookmarkEnd w:id="422"/>
    </w:p>
    <w:p w14:paraId="58F17002">
      <w:pPr>
        <w:pStyle w:val="41"/>
        <w:pageBreakBefore w:val="0"/>
        <w:kinsoku/>
        <w:overflowPunct/>
        <w:topLinePunct w:val="0"/>
        <w:autoSpaceDE/>
        <w:autoSpaceDN/>
        <w:bidi w:val="0"/>
        <w:spacing w:line="440" w:lineRule="exact"/>
        <w:ind w:firstLine="480"/>
        <w:textAlignment w:val="auto"/>
        <w:rPr>
          <w:i w:val="0"/>
          <w:iCs w:val="0"/>
          <w:color w:val="auto"/>
          <w:highlight w:val="none"/>
        </w:rPr>
      </w:pPr>
      <w:r>
        <w:rPr>
          <w:rFonts w:hint="eastAsia"/>
          <w:i w:val="0"/>
          <w:iCs w:val="0"/>
          <w:color w:val="auto"/>
          <w:highlight w:val="none"/>
        </w:rPr>
        <w:t>本项目采用综合评分法。综合评分法是指经磋商确定最终采购需求和提交最后报价</w:t>
      </w:r>
      <w:r>
        <w:rPr>
          <w:rFonts w:hint="eastAsia"/>
          <w:b/>
          <w:bCs/>
          <w:i w:val="0"/>
          <w:iCs w:val="0"/>
          <w:color w:val="auto"/>
          <w:szCs w:val="24"/>
          <w:highlight w:val="none"/>
          <w:lang w:val="zh-CN"/>
        </w:rPr>
        <w:t>（因落实政府采购政策进行价格调整的，以调整后的价格计算）</w:t>
      </w:r>
      <w:r>
        <w:rPr>
          <w:rFonts w:hint="eastAsia"/>
          <w:i w:val="0"/>
          <w:iCs w:val="0"/>
          <w:color w:val="auto"/>
          <w:highlight w:val="none"/>
        </w:rPr>
        <w:t>的供应商的响应文件满足磋商文件全部实质性要求且按评审因素的量化指标评审得分最高的供应商为成交候选供应商的评审方法。</w:t>
      </w:r>
    </w:p>
    <w:p w14:paraId="1B7551B3">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440" w:lineRule="exact"/>
        <w:ind w:left="420" w:leftChars="0" w:hanging="420" w:firstLineChars="0"/>
        <w:textAlignment w:val="auto"/>
        <w:rPr>
          <w:rFonts w:hint="eastAsia"/>
          <w:i w:val="0"/>
          <w:iCs w:val="0"/>
          <w:color w:val="auto"/>
          <w:sz w:val="28"/>
          <w:szCs w:val="28"/>
          <w:highlight w:val="none"/>
          <w:lang w:val="zh-CN" w:eastAsia="zh-CN"/>
        </w:rPr>
      </w:pPr>
      <w:bookmarkStart w:id="423" w:name="_Toc27740"/>
      <w:r>
        <w:rPr>
          <w:rFonts w:hint="eastAsia"/>
          <w:i w:val="0"/>
          <w:iCs w:val="0"/>
          <w:color w:val="auto"/>
          <w:sz w:val="28"/>
          <w:szCs w:val="28"/>
          <w:highlight w:val="none"/>
          <w:lang w:val="en-US" w:eastAsia="zh-CN"/>
        </w:rPr>
        <w:t>二、</w:t>
      </w:r>
      <w:r>
        <w:rPr>
          <w:rFonts w:hint="eastAsia"/>
          <w:i w:val="0"/>
          <w:iCs w:val="0"/>
          <w:color w:val="auto"/>
          <w:sz w:val="28"/>
          <w:szCs w:val="28"/>
          <w:highlight w:val="none"/>
          <w:lang w:val="zh-CN" w:eastAsia="zh-CN"/>
        </w:rPr>
        <w:t>评审程序</w:t>
      </w:r>
      <w:bookmarkEnd w:id="423"/>
    </w:p>
    <w:p w14:paraId="75646A5F">
      <w:pPr>
        <w:pStyle w:val="5"/>
        <w:keepNext/>
        <w:keepLines/>
        <w:pageBreakBefore w:val="0"/>
        <w:widowControl w:val="0"/>
        <w:numPr>
          <w:ilvl w:val="0"/>
          <w:numId w:val="0"/>
        </w:numPr>
        <w:kinsoku/>
        <w:wordWrap/>
        <w:overflowPunct/>
        <w:topLinePunct w:val="0"/>
        <w:autoSpaceDE/>
        <w:autoSpaceDN/>
        <w:bidi w:val="0"/>
        <w:adjustRightInd/>
        <w:snapToGrid/>
        <w:spacing w:before="80" w:after="80" w:line="440" w:lineRule="exact"/>
        <w:ind w:left="420" w:leftChars="0" w:hanging="420" w:firstLineChars="0"/>
        <w:textAlignment w:val="auto"/>
        <w:rPr>
          <w:rFonts w:hint="eastAsia" w:ascii="宋体" w:hAnsi="宋体" w:eastAsia="宋体" w:cs="宋体"/>
          <w:b/>
          <w:bCs/>
          <w:i w:val="0"/>
          <w:iCs w:val="0"/>
          <w:color w:val="auto"/>
          <w:kern w:val="2"/>
          <w:sz w:val="24"/>
          <w:szCs w:val="24"/>
          <w:highlight w:val="none"/>
          <w:lang w:val="zh-CN" w:eastAsia="zh-CN" w:bidi="ar-SA"/>
        </w:rPr>
      </w:pPr>
      <w:bookmarkStart w:id="424" w:name="_Toc16996"/>
      <w:bookmarkStart w:id="425" w:name="_Toc163493634"/>
      <w:r>
        <w:rPr>
          <w:rFonts w:hint="eastAsia" w:ascii="宋体" w:hAnsi="宋体" w:eastAsia="宋体" w:cs="宋体"/>
          <w:b/>
          <w:bCs/>
          <w:i w:val="0"/>
          <w:iCs w:val="0"/>
          <w:color w:val="auto"/>
          <w:kern w:val="2"/>
          <w:sz w:val="24"/>
          <w:szCs w:val="24"/>
          <w:highlight w:val="none"/>
          <w:lang w:val="zh-CN" w:eastAsia="zh-CN" w:bidi="ar-SA"/>
        </w:rPr>
        <w:t>（一）资格审查和符合性审查</w:t>
      </w:r>
      <w:bookmarkEnd w:id="424"/>
      <w:bookmarkEnd w:id="425"/>
    </w:p>
    <w:p w14:paraId="4E579E32">
      <w:pPr>
        <w:pageBreakBefore w:val="0"/>
        <w:tabs>
          <w:tab w:val="left" w:pos="312"/>
        </w:tabs>
        <w:kinsoku/>
        <w:wordWrap w:val="0"/>
        <w:overflowPunct/>
        <w:topLinePunct w:val="0"/>
        <w:autoSpaceDE/>
        <w:autoSpaceDN/>
        <w:bidi w:val="0"/>
        <w:adjustRightInd w:val="0"/>
        <w:snapToGrid w:val="0"/>
        <w:spacing w:line="440" w:lineRule="exact"/>
        <w:ind w:firstLine="480" w:firstLineChars="200"/>
        <w:textAlignment w:val="auto"/>
        <w:rPr>
          <w:rFonts w:hint="eastAsia"/>
          <w:i w:val="0"/>
          <w:iCs w:val="0"/>
          <w:color w:val="auto"/>
          <w:highlight w:val="none"/>
          <w:lang w:val="zh-CN"/>
        </w:rPr>
      </w:pPr>
      <w:r>
        <w:rPr>
          <w:rFonts w:hint="eastAsia"/>
          <w:i w:val="0"/>
          <w:iCs w:val="0"/>
          <w:color w:val="auto"/>
          <w:szCs w:val="24"/>
          <w:highlight w:val="none"/>
        </w:rPr>
        <w:t>1</w:t>
      </w:r>
      <w:r>
        <w:rPr>
          <w:i w:val="0"/>
          <w:iCs w:val="0"/>
          <w:color w:val="auto"/>
          <w:szCs w:val="24"/>
          <w:highlight w:val="none"/>
        </w:rPr>
        <w:t>.</w:t>
      </w:r>
      <w:r>
        <w:rPr>
          <w:rFonts w:hint="eastAsia"/>
          <w:i w:val="0"/>
          <w:iCs w:val="0"/>
          <w:color w:val="auto"/>
          <w:szCs w:val="24"/>
          <w:highlight w:val="none"/>
        </w:rPr>
        <w:t>磋商小组</w:t>
      </w:r>
      <w:r>
        <w:rPr>
          <w:rFonts w:hint="eastAsia" w:cs="宋体"/>
          <w:i w:val="0"/>
          <w:iCs w:val="0"/>
          <w:color w:val="auto"/>
          <w:highlight w:val="none"/>
        </w:rPr>
        <w:t>根据磋商文件规定的供应商资格条件、评</w:t>
      </w:r>
      <w:r>
        <w:rPr>
          <w:rFonts w:hint="eastAsia" w:cs="宋体"/>
          <w:i w:val="0"/>
          <w:iCs w:val="0"/>
          <w:color w:val="auto"/>
          <w:highlight w:val="none"/>
          <w:lang w:val="en-US" w:eastAsia="zh-CN"/>
        </w:rPr>
        <w:t>审</w:t>
      </w:r>
      <w:r>
        <w:rPr>
          <w:rFonts w:hint="eastAsia" w:cs="宋体"/>
          <w:i w:val="0"/>
          <w:iCs w:val="0"/>
          <w:color w:val="auto"/>
          <w:highlight w:val="none"/>
        </w:rPr>
        <w:t>成交的标准等事项，对供应商的响应文件进行评审。资格审查和符合性审查不符合磋商文件要求的响应文件，按</w:t>
      </w:r>
      <w:r>
        <w:rPr>
          <w:rFonts w:hint="eastAsia" w:cs="宋体"/>
          <w:b/>
          <w:bCs/>
          <w:i w:val="0"/>
          <w:iCs w:val="0"/>
          <w:color w:val="auto"/>
          <w:highlight w:val="none"/>
        </w:rPr>
        <w:t>无效文件</w:t>
      </w:r>
      <w:r>
        <w:rPr>
          <w:rFonts w:hint="eastAsia" w:cs="宋体"/>
          <w:i w:val="0"/>
          <w:iCs w:val="0"/>
          <w:color w:val="auto"/>
          <w:highlight w:val="none"/>
        </w:rPr>
        <w:t>处理，不进入磋商，并告知有关供应商</w:t>
      </w:r>
      <w:r>
        <w:rPr>
          <w:rFonts w:hint="eastAsia"/>
          <w:i w:val="0"/>
          <w:iCs w:val="0"/>
          <w:color w:val="auto"/>
          <w:highlight w:val="none"/>
          <w:lang w:val="zh-CN"/>
        </w:rPr>
        <w:t>。</w:t>
      </w:r>
    </w:p>
    <w:p w14:paraId="10081395">
      <w:pPr>
        <w:pStyle w:val="41"/>
        <w:pageBreakBefore w:val="0"/>
        <w:kinsoku/>
        <w:overflowPunct/>
        <w:topLinePunct w:val="0"/>
        <w:autoSpaceDE/>
        <w:autoSpaceDN/>
        <w:bidi w:val="0"/>
        <w:spacing w:line="440" w:lineRule="exact"/>
        <w:ind w:firstLine="480"/>
        <w:textAlignment w:val="auto"/>
        <w:rPr>
          <w:rFonts w:hint="eastAsia"/>
          <w:i w:val="0"/>
          <w:iCs w:val="0"/>
          <w:color w:val="auto"/>
          <w:highlight w:val="none"/>
        </w:rPr>
      </w:pPr>
      <w:r>
        <w:rPr>
          <w:rFonts w:hint="eastAsia"/>
          <w:i w:val="0"/>
          <w:iCs w:val="0"/>
          <w:color w:val="auto"/>
          <w:highlight w:val="none"/>
        </w:rPr>
        <w:t>2.</w:t>
      </w:r>
      <w:r>
        <w:rPr>
          <w:rFonts w:hint="eastAsia"/>
          <w:i w:val="0"/>
          <w:iCs w:val="0"/>
          <w:color w:val="auto"/>
          <w:highlight w:val="none"/>
          <w:lang w:val="en-US" w:eastAsia="zh-CN"/>
        </w:rPr>
        <w:t>通过</w:t>
      </w:r>
      <w:r>
        <w:rPr>
          <w:rFonts w:hint="eastAsia" w:cs="宋体"/>
          <w:i w:val="0"/>
          <w:iCs w:val="0"/>
          <w:color w:val="auto"/>
          <w:highlight w:val="none"/>
        </w:rPr>
        <w:t>资格性审查和符合性审查</w:t>
      </w:r>
      <w:r>
        <w:rPr>
          <w:rFonts w:hint="eastAsia" w:cs="宋体"/>
          <w:i w:val="0"/>
          <w:iCs w:val="0"/>
          <w:color w:val="auto"/>
          <w:highlight w:val="none"/>
          <w:lang w:val="en-US" w:eastAsia="zh-CN"/>
        </w:rPr>
        <w:t>的</w:t>
      </w:r>
      <w:r>
        <w:rPr>
          <w:rFonts w:hint="eastAsia"/>
          <w:i w:val="0"/>
          <w:iCs w:val="0"/>
          <w:color w:val="auto"/>
          <w:highlight w:val="none"/>
        </w:rPr>
        <w:t>有效</w:t>
      </w:r>
      <w:r>
        <w:rPr>
          <w:rFonts w:hint="eastAsia"/>
          <w:i w:val="0"/>
          <w:iCs w:val="0"/>
          <w:color w:val="auto"/>
          <w:highlight w:val="none"/>
          <w:lang w:eastAsia="zh-CN"/>
        </w:rPr>
        <w:t>供应商</w:t>
      </w:r>
      <w:r>
        <w:rPr>
          <w:rFonts w:hint="eastAsia"/>
          <w:i w:val="0"/>
          <w:iCs w:val="0"/>
          <w:color w:val="auto"/>
          <w:highlight w:val="none"/>
        </w:rPr>
        <w:t>不足3家的应当终止竞争性磋商采购活动，发布项目终止公告并说明原因，重新开展采购活动。</w:t>
      </w:r>
    </w:p>
    <w:p w14:paraId="156057B8">
      <w:pPr>
        <w:pStyle w:val="41"/>
        <w:pageBreakBefore w:val="0"/>
        <w:kinsoku/>
        <w:overflowPunct/>
        <w:topLinePunct w:val="0"/>
        <w:autoSpaceDE/>
        <w:autoSpaceDN/>
        <w:bidi w:val="0"/>
        <w:spacing w:line="440" w:lineRule="exact"/>
        <w:ind w:firstLine="480"/>
        <w:textAlignment w:val="auto"/>
        <w:rPr>
          <w:rFonts w:hint="default" w:eastAsia="宋体"/>
          <w:i w:val="0"/>
          <w:iCs w:val="0"/>
          <w:color w:val="auto"/>
          <w:highlight w:val="none"/>
          <w:lang w:val="en-US" w:eastAsia="zh-CN"/>
        </w:rPr>
      </w:pPr>
      <w:r>
        <w:rPr>
          <w:rFonts w:hint="eastAsia"/>
          <w:i w:val="0"/>
          <w:iCs w:val="0"/>
          <w:color w:val="auto"/>
          <w:highlight w:val="none"/>
          <w:lang w:val="en-US" w:eastAsia="zh-CN"/>
        </w:rPr>
        <w:t>3.根据《财政部关于政府采购竞争性磋商采购方式管理暂行办法有关问题的补充通知》的要求，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4E1C0129">
      <w:pPr>
        <w:pStyle w:val="5"/>
        <w:keepNext/>
        <w:keepLines/>
        <w:pageBreakBefore w:val="0"/>
        <w:widowControl w:val="0"/>
        <w:numPr>
          <w:ilvl w:val="0"/>
          <w:numId w:val="0"/>
        </w:numPr>
        <w:kinsoku/>
        <w:wordWrap/>
        <w:overflowPunct/>
        <w:topLinePunct w:val="0"/>
        <w:autoSpaceDE/>
        <w:autoSpaceDN/>
        <w:bidi w:val="0"/>
        <w:adjustRightInd/>
        <w:snapToGrid/>
        <w:spacing w:before="80" w:after="80" w:line="440" w:lineRule="exact"/>
        <w:ind w:left="420" w:leftChars="0" w:hanging="420" w:firstLineChars="0"/>
        <w:textAlignment w:val="auto"/>
        <w:rPr>
          <w:rFonts w:hint="eastAsia" w:ascii="宋体" w:hAnsi="宋体" w:eastAsia="宋体" w:cs="宋体"/>
          <w:b/>
          <w:bCs/>
          <w:i w:val="0"/>
          <w:iCs w:val="0"/>
          <w:color w:val="auto"/>
          <w:kern w:val="2"/>
          <w:sz w:val="24"/>
          <w:szCs w:val="24"/>
          <w:highlight w:val="none"/>
          <w:lang w:val="zh-CN" w:eastAsia="zh-CN" w:bidi="ar-SA"/>
        </w:rPr>
      </w:pPr>
      <w:bookmarkStart w:id="426" w:name="_Toc163493635"/>
      <w:bookmarkStart w:id="427" w:name="_Toc13167"/>
      <w:bookmarkStart w:id="428" w:name="_Hlk158124046"/>
      <w:bookmarkStart w:id="429" w:name="_Toc102116048"/>
      <w:bookmarkStart w:id="430" w:name="_Toc102057744"/>
      <w:bookmarkStart w:id="431" w:name="_Toc102119879"/>
      <w:bookmarkStart w:id="432" w:name="_Toc102056244"/>
      <w:bookmarkStart w:id="433" w:name="_Toc102116178"/>
      <w:bookmarkStart w:id="434" w:name="_Toc102114946"/>
      <w:r>
        <w:rPr>
          <w:rFonts w:hint="eastAsia" w:ascii="宋体" w:hAnsi="宋体" w:eastAsia="宋体" w:cs="宋体"/>
          <w:b/>
          <w:bCs/>
          <w:i w:val="0"/>
          <w:iCs w:val="0"/>
          <w:color w:val="auto"/>
          <w:kern w:val="2"/>
          <w:sz w:val="24"/>
          <w:szCs w:val="24"/>
          <w:highlight w:val="none"/>
          <w:lang w:val="en-US" w:eastAsia="zh-CN" w:bidi="ar-SA"/>
        </w:rPr>
        <w:t>（二）</w:t>
      </w:r>
      <w:r>
        <w:rPr>
          <w:rFonts w:hint="eastAsia" w:ascii="宋体" w:hAnsi="宋体" w:eastAsia="宋体" w:cs="宋体"/>
          <w:b/>
          <w:bCs/>
          <w:i w:val="0"/>
          <w:iCs w:val="0"/>
          <w:color w:val="auto"/>
          <w:kern w:val="2"/>
          <w:sz w:val="24"/>
          <w:szCs w:val="24"/>
          <w:highlight w:val="none"/>
          <w:lang w:val="zh-CN" w:eastAsia="zh-CN" w:bidi="ar-SA"/>
        </w:rPr>
        <w:t>响应文件澄清</w:t>
      </w:r>
      <w:bookmarkEnd w:id="426"/>
      <w:bookmarkEnd w:id="427"/>
    </w:p>
    <w:p w14:paraId="33D21241">
      <w:pPr>
        <w:pStyle w:val="41"/>
        <w:pageBreakBefore w:val="0"/>
        <w:kinsoku/>
        <w:overflowPunct/>
        <w:topLinePunct w:val="0"/>
        <w:autoSpaceDE/>
        <w:autoSpaceDN/>
        <w:bidi w:val="0"/>
        <w:spacing w:line="440" w:lineRule="exact"/>
        <w:ind w:firstLine="480"/>
        <w:textAlignment w:val="auto"/>
        <w:rPr>
          <w:rFonts w:hint="eastAsia" w:ascii="宋体" w:hAnsi="宋体" w:eastAsia="宋体"/>
          <w:i w:val="0"/>
          <w:iCs w:val="0"/>
          <w:color w:val="auto"/>
          <w:highlight w:val="none"/>
        </w:rPr>
      </w:pPr>
      <w:r>
        <w:rPr>
          <w:rFonts w:hint="eastAsia" w:ascii="宋体" w:hAnsi="宋体" w:eastAsia="宋体"/>
          <w:i w:val="0"/>
          <w:iCs w:val="0"/>
          <w:color w:val="auto"/>
          <w:highlight w:val="none"/>
        </w:rPr>
        <w:t>1.</w:t>
      </w:r>
      <w:r>
        <w:rPr>
          <w:rFonts w:hint="eastAsia" w:ascii="宋体" w:hAnsi="宋体" w:eastAsia="宋体"/>
          <w:i w:val="0"/>
          <w:iCs w:val="0"/>
          <w:color w:val="auto"/>
          <w:highlight w:val="none"/>
          <w:lang w:val="en-US" w:eastAsia="zh-CN"/>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756F006">
      <w:pPr>
        <w:pStyle w:val="41"/>
        <w:pageBreakBefore w:val="0"/>
        <w:kinsoku/>
        <w:overflowPunct/>
        <w:topLinePunct w:val="0"/>
        <w:autoSpaceDE/>
        <w:autoSpaceDN/>
        <w:bidi w:val="0"/>
        <w:spacing w:line="440" w:lineRule="exact"/>
        <w:ind w:firstLine="480"/>
        <w:textAlignment w:val="auto"/>
        <w:rPr>
          <w:i w:val="0"/>
          <w:iCs w:val="0"/>
          <w:color w:val="auto"/>
          <w:highlight w:val="none"/>
        </w:rPr>
      </w:pPr>
      <w:r>
        <w:rPr>
          <w:rFonts w:hint="eastAsia" w:ascii="宋体" w:hAnsi="宋体" w:eastAsia="宋体"/>
          <w:i w:val="0"/>
          <w:iCs w:val="0"/>
          <w:color w:val="auto"/>
          <w:highlight w:val="none"/>
          <w:lang w:val="en-US" w:eastAsia="zh-CN"/>
        </w:rPr>
        <w:t>2.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bookmarkEnd w:id="428"/>
    <w:p w14:paraId="5CA497FC">
      <w:pPr>
        <w:pStyle w:val="5"/>
        <w:keepNext/>
        <w:keepLines/>
        <w:pageBreakBefore w:val="0"/>
        <w:widowControl w:val="0"/>
        <w:numPr>
          <w:ilvl w:val="0"/>
          <w:numId w:val="0"/>
        </w:numPr>
        <w:kinsoku/>
        <w:wordWrap/>
        <w:overflowPunct/>
        <w:topLinePunct w:val="0"/>
        <w:autoSpaceDE/>
        <w:autoSpaceDN/>
        <w:bidi w:val="0"/>
        <w:adjustRightInd/>
        <w:snapToGrid/>
        <w:spacing w:before="80" w:after="80" w:line="440" w:lineRule="exact"/>
        <w:ind w:left="420" w:leftChars="0" w:hanging="420" w:firstLineChars="0"/>
        <w:textAlignment w:val="auto"/>
        <w:rPr>
          <w:rFonts w:hint="eastAsia" w:ascii="宋体" w:hAnsi="宋体" w:eastAsia="宋体" w:cs="宋体"/>
          <w:b/>
          <w:bCs/>
          <w:i w:val="0"/>
          <w:iCs w:val="0"/>
          <w:color w:val="auto"/>
          <w:kern w:val="2"/>
          <w:sz w:val="24"/>
          <w:szCs w:val="24"/>
          <w:highlight w:val="none"/>
          <w:lang w:val="zh-CN" w:eastAsia="zh-CN" w:bidi="ar-SA"/>
        </w:rPr>
      </w:pPr>
      <w:bookmarkStart w:id="435" w:name="_Toc10518"/>
      <w:bookmarkStart w:id="436" w:name="_Toc163493636"/>
      <w:r>
        <w:rPr>
          <w:rFonts w:hint="eastAsia" w:ascii="宋体" w:hAnsi="宋体" w:eastAsia="宋体" w:cs="宋体"/>
          <w:b/>
          <w:bCs/>
          <w:i w:val="0"/>
          <w:iCs w:val="0"/>
          <w:color w:val="auto"/>
          <w:kern w:val="2"/>
          <w:sz w:val="24"/>
          <w:szCs w:val="24"/>
          <w:highlight w:val="none"/>
          <w:lang w:val="en-US" w:eastAsia="zh-CN" w:bidi="ar-SA"/>
        </w:rPr>
        <w:t>（三）</w:t>
      </w:r>
      <w:r>
        <w:rPr>
          <w:rFonts w:hint="eastAsia" w:ascii="宋体" w:hAnsi="宋体" w:eastAsia="宋体" w:cs="宋体"/>
          <w:b/>
          <w:bCs/>
          <w:i w:val="0"/>
          <w:iCs w:val="0"/>
          <w:color w:val="auto"/>
          <w:kern w:val="2"/>
          <w:sz w:val="24"/>
          <w:szCs w:val="24"/>
          <w:highlight w:val="none"/>
          <w:lang w:val="zh-CN" w:eastAsia="zh-CN" w:bidi="ar-SA"/>
        </w:rPr>
        <w:t>磋商程序</w:t>
      </w:r>
      <w:bookmarkEnd w:id="435"/>
      <w:bookmarkEnd w:id="436"/>
    </w:p>
    <w:p w14:paraId="3520ED55">
      <w:pPr>
        <w:pStyle w:val="41"/>
        <w:pageBreakBefore w:val="0"/>
        <w:kinsoku/>
        <w:overflowPunct/>
        <w:topLinePunct w:val="0"/>
        <w:autoSpaceDE/>
        <w:autoSpaceDN/>
        <w:bidi w:val="0"/>
        <w:spacing w:line="440" w:lineRule="exact"/>
        <w:ind w:firstLine="480"/>
        <w:textAlignment w:val="auto"/>
        <w:rPr>
          <w:i w:val="0"/>
          <w:iCs w:val="0"/>
          <w:color w:val="auto"/>
          <w:highlight w:val="none"/>
        </w:rPr>
      </w:pPr>
      <w:r>
        <w:rPr>
          <w:rFonts w:hint="eastAsia"/>
          <w:i w:val="0"/>
          <w:iCs w:val="0"/>
          <w:color w:val="auto"/>
          <w:highlight w:val="none"/>
        </w:rPr>
        <w:t>磋商小组应当依据磋商文件规定的程序、评</w:t>
      </w:r>
      <w:r>
        <w:rPr>
          <w:rFonts w:hint="eastAsia"/>
          <w:i w:val="0"/>
          <w:iCs w:val="0"/>
          <w:color w:val="auto"/>
          <w:highlight w:val="none"/>
          <w:lang w:val="en-US" w:eastAsia="zh-CN"/>
        </w:rPr>
        <w:t>审</w:t>
      </w:r>
      <w:r>
        <w:rPr>
          <w:rFonts w:hint="eastAsia"/>
          <w:i w:val="0"/>
          <w:iCs w:val="0"/>
          <w:color w:val="auto"/>
          <w:highlight w:val="none"/>
        </w:rPr>
        <w:t>成交的标准等事项与</w:t>
      </w:r>
      <w:r>
        <w:rPr>
          <w:rFonts w:hint="eastAsia" w:cs="Helvetica"/>
          <w:i w:val="0"/>
          <w:iCs w:val="0"/>
          <w:color w:val="auto"/>
          <w:szCs w:val="24"/>
          <w:highlight w:val="none"/>
          <w:lang w:val="zh-CN"/>
        </w:rPr>
        <w:t>实质性</w:t>
      </w:r>
      <w:r>
        <w:rPr>
          <w:rFonts w:hint="eastAsia"/>
          <w:i w:val="0"/>
          <w:iCs w:val="0"/>
          <w:color w:val="auto"/>
          <w:highlight w:val="none"/>
        </w:rPr>
        <w:t>响应磋商文件要求的供应商</w:t>
      </w:r>
      <w:r>
        <w:rPr>
          <w:i w:val="0"/>
          <w:iCs w:val="0"/>
          <w:color w:val="auto"/>
          <w:highlight w:val="none"/>
        </w:rPr>
        <w:t>进行</w:t>
      </w:r>
      <w:r>
        <w:rPr>
          <w:rFonts w:hint="eastAsia"/>
          <w:i w:val="0"/>
          <w:iCs w:val="0"/>
          <w:color w:val="auto"/>
          <w:highlight w:val="none"/>
        </w:rPr>
        <w:t>磋商。</w:t>
      </w:r>
    </w:p>
    <w:p w14:paraId="6E36FA15">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1.第一轮磋商</w:t>
      </w:r>
    </w:p>
    <w:p w14:paraId="085D7BDA">
      <w:pPr>
        <w:pStyle w:val="41"/>
        <w:pageBreakBefore w:val="0"/>
        <w:kinsoku/>
        <w:overflowPunct/>
        <w:topLinePunct w:val="0"/>
        <w:autoSpaceDE/>
        <w:autoSpaceDN/>
        <w:bidi w:val="0"/>
        <w:spacing w:line="440" w:lineRule="exact"/>
        <w:ind w:firstLine="480"/>
        <w:textAlignment w:val="auto"/>
        <w:rPr>
          <w:rFonts w:cs="宋体"/>
          <w:i w:val="0"/>
          <w:iCs w:val="0"/>
          <w:color w:val="auto"/>
          <w:szCs w:val="24"/>
          <w:highlight w:val="none"/>
        </w:rPr>
      </w:pPr>
      <w:r>
        <w:rPr>
          <w:rFonts w:hint="eastAsia"/>
          <w:i w:val="0"/>
          <w:iCs w:val="0"/>
          <w:color w:val="auto"/>
          <w:highlight w:val="none"/>
          <w:lang w:val="zh-CN"/>
        </w:rPr>
        <w:t>1</w:t>
      </w:r>
      <w:r>
        <w:rPr>
          <w:i w:val="0"/>
          <w:iCs w:val="0"/>
          <w:color w:val="auto"/>
          <w:highlight w:val="none"/>
          <w:lang w:val="zh-CN"/>
        </w:rPr>
        <w:t>.1</w:t>
      </w:r>
      <w:r>
        <w:rPr>
          <w:rFonts w:hint="eastAsia"/>
          <w:i w:val="0"/>
          <w:iCs w:val="0"/>
          <w:color w:val="auto"/>
          <w:highlight w:val="none"/>
          <w:lang w:val="zh-CN"/>
        </w:rPr>
        <w:t>磋商小组将按照系统随机的顺序决定供应商的磋商顺序，并集中与单一供应商分别进行磋商</w:t>
      </w:r>
      <w:r>
        <w:rPr>
          <w:rFonts w:hint="eastAsia" w:cs="宋体"/>
          <w:i w:val="0"/>
          <w:iCs w:val="0"/>
          <w:color w:val="auto"/>
          <w:szCs w:val="24"/>
          <w:highlight w:val="none"/>
        </w:rPr>
        <w:t>。</w:t>
      </w:r>
    </w:p>
    <w:p w14:paraId="7C2AC2E3">
      <w:pPr>
        <w:pStyle w:val="41"/>
        <w:pageBreakBefore w:val="0"/>
        <w:kinsoku/>
        <w:overflowPunct/>
        <w:topLinePunct w:val="0"/>
        <w:autoSpaceDE/>
        <w:autoSpaceDN/>
        <w:bidi w:val="0"/>
        <w:spacing w:line="440" w:lineRule="exact"/>
        <w:ind w:firstLine="480"/>
        <w:textAlignment w:val="auto"/>
        <w:rPr>
          <w:rFonts w:cs="宋体"/>
          <w:i w:val="0"/>
          <w:iCs w:val="0"/>
          <w:color w:val="auto"/>
          <w:szCs w:val="24"/>
          <w:highlight w:val="none"/>
        </w:rPr>
      </w:pPr>
      <w:r>
        <w:rPr>
          <w:rFonts w:hint="eastAsia" w:cs="宋体"/>
          <w:i w:val="0"/>
          <w:iCs w:val="0"/>
          <w:color w:val="auto"/>
          <w:szCs w:val="24"/>
          <w:highlight w:val="none"/>
        </w:rPr>
        <w:t>1</w:t>
      </w:r>
      <w:r>
        <w:rPr>
          <w:rFonts w:cs="宋体"/>
          <w:i w:val="0"/>
          <w:iCs w:val="0"/>
          <w:color w:val="auto"/>
          <w:szCs w:val="24"/>
          <w:highlight w:val="none"/>
        </w:rPr>
        <w:t>.2</w:t>
      </w:r>
      <w:r>
        <w:rPr>
          <w:rFonts w:hint="eastAsia" w:cs="宋体"/>
          <w:i w:val="0"/>
          <w:iCs w:val="0"/>
          <w:color w:val="auto"/>
          <w:szCs w:val="24"/>
          <w:highlight w:val="none"/>
        </w:rPr>
        <w:t>磋商小组所有成员应当对照磋商文件和响应文件就采购需求、质量和服务等内容集中与单一供应商分别进行磋商，并给予所有参加磋商的供应商平等的磋商机会。在磋商中，磋商的任何一方不得透露与磋商有关的其他供应商的技术资料、价格和其他信息。</w:t>
      </w:r>
    </w:p>
    <w:p w14:paraId="10904269">
      <w:pPr>
        <w:pStyle w:val="41"/>
        <w:pageBreakBefore w:val="0"/>
        <w:kinsoku/>
        <w:overflowPunct/>
        <w:topLinePunct w:val="0"/>
        <w:autoSpaceDE/>
        <w:autoSpaceDN/>
        <w:bidi w:val="0"/>
        <w:spacing w:line="440" w:lineRule="exact"/>
        <w:ind w:firstLine="480"/>
        <w:textAlignment w:val="auto"/>
        <w:rPr>
          <w:rFonts w:hint="eastAsia" w:eastAsia="宋体" w:cs="宋体"/>
          <w:i w:val="0"/>
          <w:iCs w:val="0"/>
          <w:color w:val="auto"/>
          <w:szCs w:val="24"/>
          <w:highlight w:val="none"/>
          <w:lang w:eastAsia="zh-CN"/>
        </w:rPr>
      </w:pPr>
      <w:r>
        <w:rPr>
          <w:rFonts w:hint="eastAsia" w:cs="宋体"/>
          <w:i w:val="0"/>
          <w:iCs w:val="0"/>
          <w:color w:val="auto"/>
          <w:szCs w:val="24"/>
          <w:highlight w:val="none"/>
        </w:rPr>
        <w:t>1</w:t>
      </w:r>
      <w:r>
        <w:rPr>
          <w:rFonts w:cs="宋体"/>
          <w:i w:val="0"/>
          <w:iCs w:val="0"/>
          <w:color w:val="auto"/>
          <w:szCs w:val="24"/>
          <w:highlight w:val="none"/>
        </w:rPr>
        <w:t>.3</w:t>
      </w:r>
      <w:r>
        <w:rPr>
          <w:rFonts w:hint="eastAsia" w:cs="宋体"/>
          <w:i w:val="0"/>
          <w:iCs w:val="0"/>
          <w:color w:val="auto"/>
          <w:szCs w:val="24"/>
          <w:highlight w:val="none"/>
        </w:rPr>
        <w:t>磋商过程中，磋商小组可以根据磋商文件和磋商情况实质性变动采购需求中的技术、服务要求以及合同草案条款，但不得变动磋商文件中的其他内容。实质性变动的内容，须经采购人代表确认。</w:t>
      </w:r>
    </w:p>
    <w:p w14:paraId="717C3476">
      <w:pPr>
        <w:pStyle w:val="41"/>
        <w:pageBreakBefore w:val="0"/>
        <w:kinsoku/>
        <w:overflowPunct/>
        <w:topLinePunct w:val="0"/>
        <w:autoSpaceDE/>
        <w:autoSpaceDN/>
        <w:bidi w:val="0"/>
        <w:spacing w:line="440" w:lineRule="exact"/>
        <w:ind w:firstLine="480"/>
        <w:textAlignment w:val="auto"/>
        <w:rPr>
          <w:rFonts w:hint="eastAsia" w:cs="宋体"/>
          <w:i w:val="0"/>
          <w:iCs w:val="0"/>
          <w:color w:val="auto"/>
          <w:szCs w:val="24"/>
          <w:highlight w:val="none"/>
        </w:rPr>
      </w:pPr>
      <w:r>
        <w:rPr>
          <w:rFonts w:hint="eastAsia" w:cs="宋体"/>
          <w:i w:val="0"/>
          <w:iCs w:val="0"/>
          <w:color w:val="auto"/>
          <w:szCs w:val="24"/>
          <w:highlight w:val="none"/>
        </w:rPr>
        <w:t>1</w:t>
      </w:r>
      <w:r>
        <w:rPr>
          <w:rFonts w:cs="宋体"/>
          <w:i w:val="0"/>
          <w:iCs w:val="0"/>
          <w:color w:val="auto"/>
          <w:szCs w:val="24"/>
          <w:highlight w:val="none"/>
        </w:rPr>
        <w:t>.4</w:t>
      </w:r>
      <w:r>
        <w:rPr>
          <w:rFonts w:hint="eastAsia" w:cs="宋体"/>
          <w:i w:val="0"/>
          <w:iCs w:val="0"/>
          <w:color w:val="auto"/>
          <w:szCs w:val="24"/>
          <w:highlight w:val="none"/>
        </w:rPr>
        <w:t>对磋商文件作出的实质性变动的内容是磋商文件的有效组成部分。磋商小组应将磋商文件的变动情况以书面</w:t>
      </w:r>
      <w:r>
        <w:rPr>
          <w:rFonts w:hint="eastAsia" w:cs="宋体"/>
          <w:i w:val="0"/>
          <w:iCs w:val="0"/>
          <w:color w:val="auto"/>
          <w:szCs w:val="24"/>
          <w:highlight w:val="none"/>
          <w:lang w:val="en-US" w:eastAsia="zh-CN"/>
        </w:rPr>
        <w:t>形</w:t>
      </w:r>
      <w:r>
        <w:rPr>
          <w:rFonts w:hint="eastAsia" w:cs="宋体"/>
          <w:i w:val="0"/>
          <w:iCs w:val="0"/>
          <w:color w:val="auto"/>
          <w:szCs w:val="24"/>
          <w:highlight w:val="none"/>
        </w:rPr>
        <w:t>式通知所有参加磋商的供应商。</w:t>
      </w:r>
    </w:p>
    <w:p w14:paraId="0DA52989">
      <w:pPr>
        <w:pStyle w:val="41"/>
        <w:pageBreakBefore w:val="0"/>
        <w:kinsoku/>
        <w:overflowPunct/>
        <w:topLinePunct w:val="0"/>
        <w:autoSpaceDE/>
        <w:autoSpaceDN/>
        <w:bidi w:val="0"/>
        <w:spacing w:line="440" w:lineRule="exact"/>
        <w:ind w:firstLine="480"/>
        <w:textAlignment w:val="auto"/>
        <w:rPr>
          <w:rFonts w:hint="eastAsia" w:cs="宋体"/>
          <w:i w:val="0"/>
          <w:iCs w:val="0"/>
          <w:color w:val="auto"/>
          <w:szCs w:val="24"/>
          <w:highlight w:val="none"/>
        </w:rPr>
      </w:pPr>
      <w:r>
        <w:rPr>
          <w:rFonts w:hint="eastAsia" w:cs="宋体"/>
          <w:i w:val="0"/>
          <w:iCs w:val="0"/>
          <w:color w:val="auto"/>
          <w:szCs w:val="24"/>
          <w:highlight w:val="none"/>
        </w:rPr>
        <w:t>1</w:t>
      </w:r>
      <w:r>
        <w:rPr>
          <w:rFonts w:cs="宋体"/>
          <w:i w:val="0"/>
          <w:iCs w:val="0"/>
          <w:color w:val="auto"/>
          <w:szCs w:val="24"/>
          <w:highlight w:val="none"/>
        </w:rPr>
        <w:t>.5</w:t>
      </w:r>
      <w:r>
        <w:rPr>
          <w:rFonts w:hint="eastAsia" w:cs="宋体"/>
          <w:i w:val="0"/>
          <w:iCs w:val="0"/>
          <w:color w:val="auto"/>
          <w:szCs w:val="24"/>
          <w:highlight w:val="none"/>
        </w:rPr>
        <w:t>供应商应当按照磋商文件的变动情况和磋商小组的要求在规定的时间内重新提交响应文件，并由其法定代表人或授权代表签字或者加盖公章。由授权代表签字的，应当附法定代表人授权书。供应商为自然人的，应当由本人签字并附身份证明。逾时不提交的，视同退出磋商。</w:t>
      </w:r>
    </w:p>
    <w:p w14:paraId="2932D396">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2.多轮磋商</w:t>
      </w:r>
    </w:p>
    <w:p w14:paraId="2199E266">
      <w:pPr>
        <w:pStyle w:val="41"/>
        <w:pageBreakBefore w:val="0"/>
        <w:kinsoku/>
        <w:overflowPunct/>
        <w:topLinePunct w:val="0"/>
        <w:autoSpaceDE/>
        <w:autoSpaceDN/>
        <w:bidi w:val="0"/>
        <w:spacing w:line="440" w:lineRule="exact"/>
        <w:ind w:firstLine="480"/>
        <w:textAlignment w:val="auto"/>
        <w:rPr>
          <w:i w:val="0"/>
          <w:iCs w:val="0"/>
          <w:color w:val="auto"/>
          <w:highlight w:val="none"/>
        </w:rPr>
      </w:pPr>
      <w:r>
        <w:rPr>
          <w:i w:val="0"/>
          <w:iCs w:val="0"/>
          <w:color w:val="auto"/>
          <w:highlight w:val="none"/>
        </w:rPr>
        <w:t>2.1</w:t>
      </w:r>
      <w:r>
        <w:rPr>
          <w:rFonts w:hint="eastAsia"/>
          <w:i w:val="0"/>
          <w:iCs w:val="0"/>
          <w:color w:val="auto"/>
          <w:highlight w:val="none"/>
        </w:rPr>
        <w:t>磋商文件中不能详细列明采购标的的技术、服务要求，需经磋商由供应商提供最终设计方案或解决方案的项目，磋商小组可以根据采购人对采购需求的确认情况，进行多轮磋商，直到采购人代表最终确认采购需求为止。</w:t>
      </w:r>
    </w:p>
    <w:p w14:paraId="1156D507">
      <w:pPr>
        <w:pStyle w:val="41"/>
        <w:pageBreakBefore w:val="0"/>
        <w:kinsoku/>
        <w:overflowPunct/>
        <w:topLinePunct w:val="0"/>
        <w:autoSpaceDE/>
        <w:autoSpaceDN/>
        <w:bidi w:val="0"/>
        <w:spacing w:line="440" w:lineRule="exact"/>
        <w:ind w:firstLine="480"/>
        <w:textAlignment w:val="auto"/>
        <w:rPr>
          <w:i w:val="0"/>
          <w:iCs w:val="0"/>
          <w:color w:val="auto"/>
          <w:sz w:val="28"/>
          <w:highlight w:val="none"/>
        </w:rPr>
      </w:pPr>
      <w:r>
        <w:rPr>
          <w:rFonts w:hint="eastAsia"/>
          <w:i w:val="0"/>
          <w:iCs w:val="0"/>
          <w:color w:val="auto"/>
          <w:highlight w:val="none"/>
        </w:rPr>
        <w:t>2</w:t>
      </w:r>
      <w:r>
        <w:rPr>
          <w:i w:val="0"/>
          <w:iCs w:val="0"/>
          <w:color w:val="auto"/>
          <w:highlight w:val="none"/>
        </w:rPr>
        <w:t>.3</w:t>
      </w:r>
      <w:r>
        <w:rPr>
          <w:rFonts w:hint="eastAsia"/>
          <w:i w:val="0"/>
          <w:iCs w:val="0"/>
          <w:color w:val="auto"/>
          <w:highlight w:val="none"/>
        </w:rPr>
        <w:t>磋商程序同第一轮磋商。</w:t>
      </w:r>
    </w:p>
    <w:p w14:paraId="2984028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3.最后报价</w:t>
      </w:r>
    </w:p>
    <w:p w14:paraId="186FFD39">
      <w:pPr>
        <w:pStyle w:val="41"/>
        <w:pageBreakBefore w:val="0"/>
        <w:kinsoku/>
        <w:overflowPunct/>
        <w:topLinePunct w:val="0"/>
        <w:autoSpaceDE/>
        <w:autoSpaceDN/>
        <w:bidi w:val="0"/>
        <w:spacing w:line="440" w:lineRule="exact"/>
        <w:ind w:firstLine="480"/>
        <w:textAlignment w:val="auto"/>
        <w:rPr>
          <w:i w:val="0"/>
          <w:iCs w:val="0"/>
          <w:color w:val="auto"/>
          <w:highlight w:val="none"/>
        </w:rPr>
      </w:pPr>
      <w:r>
        <w:rPr>
          <w:rFonts w:hint="eastAsia"/>
          <w:i w:val="0"/>
          <w:iCs w:val="0"/>
          <w:color w:val="auto"/>
          <w:highlight w:val="none"/>
        </w:rPr>
        <w:t>3</w:t>
      </w:r>
      <w:r>
        <w:rPr>
          <w:i w:val="0"/>
          <w:iCs w:val="0"/>
          <w:color w:val="auto"/>
          <w:highlight w:val="none"/>
        </w:rPr>
        <w:t>.1</w:t>
      </w:r>
      <w:r>
        <w:rPr>
          <w:rFonts w:hint="eastAsia"/>
          <w:i w:val="0"/>
          <w:iCs w:val="0"/>
          <w:color w:val="auto"/>
          <w:highlight w:val="none"/>
        </w:rPr>
        <w:t>磋商文件中能够详细列明采购标的的技术、服务要求的，磋商结束后，磋商小组应当要求所有</w:t>
      </w:r>
      <w:r>
        <w:rPr>
          <w:rFonts w:hint="eastAsia"/>
          <w:i w:val="0"/>
          <w:iCs w:val="0"/>
          <w:color w:val="auto"/>
          <w:highlight w:val="none"/>
          <w:lang w:val="en-US" w:eastAsia="zh-CN"/>
        </w:rPr>
        <w:t>实质性响应</w:t>
      </w:r>
      <w:r>
        <w:rPr>
          <w:rFonts w:hint="eastAsia"/>
          <w:i w:val="0"/>
          <w:iCs w:val="0"/>
          <w:color w:val="auto"/>
          <w:highlight w:val="none"/>
        </w:rPr>
        <w:t>的供应商，在规定时间内，以书面的方式经授权代表签字（或加盖公章）后提交最后报价，提交最后报价的供应商不得少于3家</w:t>
      </w:r>
      <w:r>
        <w:rPr>
          <w:rFonts w:hint="eastAsia"/>
          <w:i w:val="0"/>
          <w:iCs w:val="0"/>
          <w:color w:val="auto"/>
          <w:szCs w:val="24"/>
          <w:highlight w:val="none"/>
          <w:lang w:val="zh-CN"/>
        </w:rPr>
        <w:t>（</w:t>
      </w:r>
      <w:r>
        <w:rPr>
          <w:rFonts w:hint="eastAsia"/>
          <w:i w:val="0"/>
          <w:iCs w:val="0"/>
          <w:color w:val="auto"/>
          <w:highlight w:val="none"/>
        </w:rPr>
        <w:t>市场竞争不充分的科研项目，以及需要扶持的科技成果转化项目可以为</w:t>
      </w:r>
      <w:r>
        <w:rPr>
          <w:i w:val="0"/>
          <w:iCs w:val="0"/>
          <w:color w:val="auto"/>
          <w:highlight w:val="none"/>
        </w:rPr>
        <w:t>2家</w:t>
      </w:r>
      <w:r>
        <w:rPr>
          <w:rFonts w:hint="eastAsia"/>
          <w:i w:val="0"/>
          <w:iCs w:val="0"/>
          <w:color w:val="auto"/>
          <w:highlight w:val="none"/>
        </w:rPr>
        <w:t>，</w:t>
      </w:r>
      <w:r>
        <w:rPr>
          <w:rFonts w:hint="eastAsia"/>
          <w:i w:val="0"/>
          <w:iCs w:val="0"/>
          <w:snapToGrid w:val="0"/>
          <w:color w:val="auto"/>
          <w:highlight w:val="none"/>
        </w:rPr>
        <w:t>政府购买服务项目[含政府和社会资本合作项目]，在采购过程中符合要求的供应商[社会资本]只有2家的</w:t>
      </w:r>
      <w:r>
        <w:rPr>
          <w:rFonts w:hint="eastAsia"/>
          <w:i w:val="0"/>
          <w:iCs w:val="0"/>
          <w:color w:val="auto"/>
          <w:highlight w:val="none"/>
        </w:rPr>
        <w:t>可以为</w:t>
      </w:r>
      <w:r>
        <w:rPr>
          <w:i w:val="0"/>
          <w:iCs w:val="0"/>
          <w:color w:val="auto"/>
          <w:highlight w:val="none"/>
        </w:rPr>
        <w:t>2家</w:t>
      </w:r>
      <w:r>
        <w:rPr>
          <w:i w:val="0"/>
          <w:iCs w:val="0"/>
          <w:color w:val="auto"/>
          <w:szCs w:val="24"/>
          <w:highlight w:val="none"/>
          <w:lang w:val="zh-CN"/>
        </w:rPr>
        <w:t>）</w:t>
      </w:r>
      <w:r>
        <w:rPr>
          <w:rFonts w:hint="eastAsia"/>
          <w:i w:val="0"/>
          <w:iCs w:val="0"/>
          <w:color w:val="auto"/>
          <w:highlight w:val="none"/>
        </w:rPr>
        <w:t>。</w:t>
      </w:r>
    </w:p>
    <w:p w14:paraId="4B855E9D">
      <w:pPr>
        <w:pStyle w:val="41"/>
        <w:pageBreakBefore w:val="0"/>
        <w:kinsoku/>
        <w:overflowPunct/>
        <w:topLinePunct w:val="0"/>
        <w:autoSpaceDE/>
        <w:autoSpaceDN/>
        <w:bidi w:val="0"/>
        <w:spacing w:line="440" w:lineRule="exact"/>
        <w:ind w:firstLine="480"/>
        <w:textAlignment w:val="auto"/>
        <w:rPr>
          <w:rFonts w:hint="eastAsia"/>
          <w:i w:val="0"/>
          <w:iCs w:val="0"/>
          <w:color w:val="auto"/>
          <w:highlight w:val="none"/>
        </w:rPr>
      </w:pPr>
      <w:r>
        <w:rPr>
          <w:i w:val="0"/>
          <w:iCs w:val="0"/>
          <w:color w:val="auto"/>
          <w:highlight w:val="none"/>
        </w:rPr>
        <w:t>3.2</w:t>
      </w:r>
      <w:r>
        <w:rPr>
          <w:rFonts w:hint="eastAsia"/>
          <w:i w:val="0"/>
          <w:iCs w:val="0"/>
          <w:color w:val="auto"/>
          <w:highlight w:val="none"/>
        </w:rPr>
        <w:t>磋商文件中不能详细列明采购标的的技术、服务要求，需经磋商由供应商提供最</w:t>
      </w:r>
      <w:r>
        <w:rPr>
          <w:rFonts w:hint="eastAsia"/>
          <w:i w:val="0"/>
          <w:iCs w:val="0"/>
          <w:color w:val="auto"/>
          <w:highlight w:val="none"/>
          <w:lang w:val="en-US" w:eastAsia="zh-CN"/>
        </w:rPr>
        <w:t>终</w:t>
      </w:r>
      <w:r>
        <w:rPr>
          <w:rFonts w:hint="eastAsia"/>
          <w:i w:val="0"/>
          <w:iCs w:val="0"/>
          <w:color w:val="auto"/>
          <w:highlight w:val="none"/>
        </w:rPr>
        <w:t>设计方案或解决方案的，磋商结束后，磋商小组应当按照少数服从多数的原则投票推荐3家以上供应商的设计方案或者解决方案，并要求其在规定时间内提交最后报价。</w:t>
      </w:r>
    </w:p>
    <w:p w14:paraId="174AC392">
      <w:pPr>
        <w:pStyle w:val="41"/>
        <w:pageBreakBefore w:val="0"/>
        <w:kinsoku/>
        <w:overflowPunct/>
        <w:topLinePunct w:val="0"/>
        <w:autoSpaceDE/>
        <w:autoSpaceDN/>
        <w:bidi w:val="0"/>
        <w:spacing w:line="440" w:lineRule="exact"/>
        <w:ind w:firstLine="480"/>
        <w:textAlignment w:val="auto"/>
        <w:rPr>
          <w:rFonts w:ascii="宋体" w:hAnsi="宋体" w:eastAsia="宋体"/>
          <w:i w:val="0"/>
          <w:iCs w:val="0"/>
          <w:color w:val="auto"/>
          <w:highlight w:val="none"/>
        </w:rPr>
      </w:pPr>
      <w:r>
        <w:rPr>
          <w:i w:val="0"/>
          <w:iCs w:val="0"/>
          <w:color w:val="auto"/>
          <w:highlight w:val="none"/>
        </w:rPr>
        <w:t>3.</w:t>
      </w:r>
      <w:r>
        <w:rPr>
          <w:rFonts w:hint="eastAsia"/>
          <w:i w:val="0"/>
          <w:iCs w:val="0"/>
          <w:color w:val="auto"/>
          <w:highlight w:val="none"/>
          <w:lang w:val="en-US" w:eastAsia="zh-CN"/>
        </w:rPr>
        <w:t>3</w:t>
      </w:r>
      <w:r>
        <w:rPr>
          <w:rFonts w:hint="eastAsia"/>
          <w:i w:val="0"/>
          <w:iCs w:val="0"/>
          <w:color w:val="auto"/>
          <w:highlight w:val="none"/>
        </w:rPr>
        <w:t>最后报价是供应商响应文件的有效组成部分。逾时不提交的，视同退出</w:t>
      </w:r>
      <w:r>
        <w:rPr>
          <w:rFonts w:hint="eastAsia" w:ascii="宋体" w:hAnsi="宋体" w:eastAsia="宋体"/>
          <w:i w:val="0"/>
          <w:iCs w:val="0"/>
          <w:color w:val="auto"/>
          <w:highlight w:val="none"/>
        </w:rPr>
        <w:t>磋商。</w:t>
      </w:r>
    </w:p>
    <w:p w14:paraId="271C284E">
      <w:pPr>
        <w:pStyle w:val="41"/>
        <w:pageBreakBefore w:val="0"/>
        <w:kinsoku/>
        <w:overflowPunct/>
        <w:topLinePunct w:val="0"/>
        <w:autoSpaceDE/>
        <w:autoSpaceDN/>
        <w:bidi w:val="0"/>
        <w:spacing w:line="440" w:lineRule="exact"/>
        <w:ind w:firstLine="480"/>
        <w:textAlignment w:val="auto"/>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最后</w:t>
      </w:r>
      <w:r>
        <w:rPr>
          <w:rFonts w:ascii="宋体" w:hAnsi="宋体" w:eastAsia="宋体"/>
          <w:i w:val="0"/>
          <w:iCs w:val="0"/>
          <w:color w:val="auto"/>
          <w:highlight w:val="none"/>
          <w:lang w:val="zh-CN"/>
        </w:rPr>
        <w:t>报价出现</w:t>
      </w:r>
      <w:r>
        <w:rPr>
          <w:rFonts w:hint="eastAsia" w:ascii="宋体" w:hAnsi="宋体" w:eastAsia="宋体"/>
          <w:i w:val="0"/>
          <w:iCs w:val="0"/>
          <w:color w:val="auto"/>
          <w:highlight w:val="none"/>
          <w:lang w:val="zh-CN"/>
        </w:rPr>
        <w:t>前后不一致的</w:t>
      </w:r>
      <w:r>
        <w:rPr>
          <w:rFonts w:ascii="宋体" w:hAnsi="宋体" w:eastAsia="宋体"/>
          <w:i w:val="0"/>
          <w:iCs w:val="0"/>
          <w:color w:val="auto"/>
          <w:highlight w:val="none"/>
          <w:lang w:val="zh-CN"/>
        </w:rPr>
        <w:t>，按照下列规定修正：</w:t>
      </w:r>
    </w:p>
    <w:p w14:paraId="184984DB">
      <w:pPr>
        <w:pStyle w:val="41"/>
        <w:pageBreakBefore w:val="0"/>
        <w:kinsoku/>
        <w:overflowPunct/>
        <w:topLinePunct w:val="0"/>
        <w:autoSpaceDE/>
        <w:autoSpaceDN/>
        <w:bidi w:val="0"/>
        <w:spacing w:line="440" w:lineRule="exact"/>
        <w:ind w:firstLine="480"/>
        <w:textAlignment w:val="auto"/>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（1）</w:t>
      </w:r>
      <w:r>
        <w:rPr>
          <w:rFonts w:ascii="宋体" w:hAnsi="宋体" w:eastAsia="宋体"/>
          <w:i w:val="0"/>
          <w:iCs w:val="0"/>
          <w:color w:val="auto"/>
          <w:highlight w:val="none"/>
          <w:lang w:val="zh-CN"/>
        </w:rPr>
        <w:t>大写金额和小写金额不一致的，以大写金额为准</w:t>
      </w:r>
      <w:r>
        <w:rPr>
          <w:rFonts w:hint="eastAsia" w:ascii="宋体" w:hAnsi="宋体" w:eastAsia="宋体"/>
          <w:i w:val="0"/>
          <w:iCs w:val="0"/>
          <w:color w:val="auto"/>
          <w:highlight w:val="none"/>
          <w:lang w:val="zh-CN"/>
        </w:rPr>
        <w:t>；</w:t>
      </w:r>
    </w:p>
    <w:p w14:paraId="0C46EA24">
      <w:pPr>
        <w:pStyle w:val="41"/>
        <w:pageBreakBefore w:val="0"/>
        <w:kinsoku/>
        <w:overflowPunct/>
        <w:topLinePunct w:val="0"/>
        <w:autoSpaceDE/>
        <w:autoSpaceDN/>
        <w:bidi w:val="0"/>
        <w:spacing w:line="440" w:lineRule="exact"/>
        <w:ind w:firstLine="480"/>
        <w:textAlignment w:val="auto"/>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（2）</w:t>
      </w:r>
      <w:r>
        <w:rPr>
          <w:rFonts w:ascii="宋体" w:hAnsi="宋体" w:eastAsia="宋体"/>
          <w:i w:val="0"/>
          <w:iCs w:val="0"/>
          <w:color w:val="auto"/>
          <w:highlight w:val="none"/>
          <w:lang w:val="zh-CN"/>
        </w:rPr>
        <w:t>单价金额</w:t>
      </w:r>
      <w:r>
        <w:rPr>
          <w:rFonts w:ascii="宋体" w:hAnsi="宋体" w:eastAsia="宋体"/>
          <w:i w:val="0"/>
          <w:iCs w:val="0"/>
          <w:color w:val="auto"/>
          <w:highlight w:val="none"/>
        </w:rPr>
        <w:t>小数点</w:t>
      </w:r>
      <w:r>
        <w:rPr>
          <w:rFonts w:ascii="宋体" w:hAnsi="宋体" w:eastAsia="宋体"/>
          <w:i w:val="0"/>
          <w:iCs w:val="0"/>
          <w:color w:val="auto"/>
          <w:highlight w:val="none"/>
          <w:lang w:val="zh-CN"/>
        </w:rPr>
        <w:t>或百分比有明显错位的，以</w:t>
      </w:r>
      <w:r>
        <w:rPr>
          <w:rFonts w:hint="eastAsia" w:ascii="宋体" w:hAnsi="宋体" w:eastAsia="宋体"/>
          <w:i w:val="0"/>
          <w:iCs w:val="0"/>
          <w:color w:val="auto"/>
          <w:highlight w:val="none"/>
          <w:lang w:val="zh-CN"/>
        </w:rPr>
        <w:t>最后报价表</w:t>
      </w:r>
      <w:r>
        <w:rPr>
          <w:rFonts w:ascii="宋体" w:hAnsi="宋体" w:eastAsia="宋体"/>
          <w:i w:val="0"/>
          <w:iCs w:val="0"/>
          <w:color w:val="auto"/>
          <w:highlight w:val="none"/>
          <w:lang w:val="zh-CN"/>
        </w:rPr>
        <w:t>的总价为准，并修改单价</w:t>
      </w:r>
      <w:r>
        <w:rPr>
          <w:rFonts w:hint="eastAsia" w:ascii="宋体" w:hAnsi="宋体" w:eastAsia="宋体"/>
          <w:i w:val="0"/>
          <w:iCs w:val="0"/>
          <w:color w:val="auto"/>
          <w:highlight w:val="none"/>
          <w:lang w:val="zh-CN"/>
        </w:rPr>
        <w:t>；</w:t>
      </w:r>
    </w:p>
    <w:p w14:paraId="38F00E8C">
      <w:pPr>
        <w:pStyle w:val="41"/>
        <w:pageBreakBefore w:val="0"/>
        <w:kinsoku/>
        <w:overflowPunct/>
        <w:topLinePunct w:val="0"/>
        <w:autoSpaceDE/>
        <w:autoSpaceDN/>
        <w:bidi w:val="0"/>
        <w:spacing w:line="440" w:lineRule="exact"/>
        <w:ind w:firstLine="480"/>
        <w:textAlignment w:val="auto"/>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（3）</w:t>
      </w:r>
      <w:r>
        <w:rPr>
          <w:rFonts w:ascii="宋体" w:hAnsi="宋体" w:eastAsia="宋体"/>
          <w:i w:val="0"/>
          <w:iCs w:val="0"/>
          <w:color w:val="auto"/>
          <w:highlight w:val="none"/>
          <w:lang w:val="zh-CN"/>
        </w:rPr>
        <w:t>总价金额与按单价汇总金额不一致的，以单价金额计算结果为准</w:t>
      </w:r>
      <w:r>
        <w:rPr>
          <w:rFonts w:hint="eastAsia" w:ascii="宋体" w:hAnsi="宋体" w:eastAsia="宋体"/>
          <w:i w:val="0"/>
          <w:iCs w:val="0"/>
          <w:color w:val="auto"/>
          <w:highlight w:val="none"/>
          <w:lang w:val="zh-CN"/>
        </w:rPr>
        <w:t>；</w:t>
      </w:r>
    </w:p>
    <w:p w14:paraId="666E4BFE">
      <w:pPr>
        <w:pStyle w:val="41"/>
        <w:pageBreakBefore w:val="0"/>
        <w:kinsoku/>
        <w:overflowPunct/>
        <w:topLinePunct w:val="0"/>
        <w:autoSpaceDE/>
        <w:autoSpaceDN/>
        <w:bidi w:val="0"/>
        <w:spacing w:line="440" w:lineRule="exact"/>
        <w:ind w:firstLine="480"/>
        <w:textAlignment w:val="auto"/>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（4）</w:t>
      </w:r>
      <w:r>
        <w:rPr>
          <w:rFonts w:ascii="宋体" w:hAnsi="宋体" w:eastAsia="宋体"/>
          <w:i w:val="0"/>
          <w:iCs w:val="0"/>
          <w:color w:val="auto"/>
          <w:highlight w:val="none"/>
          <w:lang w:val="zh-CN"/>
        </w:rPr>
        <w:t>同时出现</w:t>
      </w:r>
      <w:r>
        <w:rPr>
          <w:rFonts w:ascii="宋体" w:hAnsi="宋体" w:eastAsia="宋体"/>
          <w:i w:val="0"/>
          <w:iCs w:val="0"/>
          <w:color w:val="auto"/>
          <w:highlight w:val="none"/>
        </w:rPr>
        <w:t>两种</w:t>
      </w:r>
      <w:r>
        <w:rPr>
          <w:rFonts w:ascii="宋体" w:hAnsi="宋体" w:eastAsia="宋体"/>
          <w:i w:val="0"/>
          <w:iCs w:val="0"/>
          <w:color w:val="auto"/>
          <w:highlight w:val="none"/>
          <w:lang w:val="zh-CN"/>
        </w:rPr>
        <w:t>以上不一致的，按照前款规定的顺序修正</w:t>
      </w:r>
      <w:r>
        <w:rPr>
          <w:rFonts w:hint="eastAsia" w:ascii="宋体" w:hAnsi="宋体" w:eastAsia="宋体"/>
          <w:i w:val="0"/>
          <w:iCs w:val="0"/>
          <w:color w:val="auto"/>
          <w:highlight w:val="none"/>
          <w:lang w:val="zh-CN"/>
        </w:rPr>
        <w:t>；</w:t>
      </w:r>
    </w:p>
    <w:p w14:paraId="2809B63C">
      <w:pPr>
        <w:pStyle w:val="41"/>
        <w:pageBreakBefore w:val="0"/>
        <w:kinsoku/>
        <w:overflowPunct/>
        <w:topLinePunct w:val="0"/>
        <w:autoSpaceDE/>
        <w:autoSpaceDN/>
        <w:bidi w:val="0"/>
        <w:spacing w:line="440" w:lineRule="exact"/>
        <w:ind w:firstLine="480"/>
        <w:textAlignment w:val="auto"/>
        <w:rPr>
          <w:rFonts w:ascii="宋体" w:hAnsi="宋体" w:eastAsia="宋体"/>
          <w:i w:val="0"/>
          <w:iCs w:val="0"/>
          <w:color w:val="auto"/>
          <w:highlight w:val="none"/>
        </w:rPr>
      </w:pPr>
      <w:r>
        <w:rPr>
          <w:rFonts w:hint="eastAsia" w:ascii="宋体" w:hAnsi="宋体" w:eastAsia="宋体"/>
          <w:i w:val="0"/>
          <w:iCs w:val="0"/>
          <w:color w:val="auto"/>
          <w:highlight w:val="none"/>
          <w:lang w:val="zh-CN"/>
        </w:rPr>
        <w:t>（5）</w:t>
      </w:r>
      <w:r>
        <w:rPr>
          <w:rFonts w:ascii="宋体" w:hAnsi="宋体" w:eastAsia="宋体"/>
          <w:i w:val="0"/>
          <w:iCs w:val="0"/>
          <w:color w:val="auto"/>
          <w:highlight w:val="none"/>
          <w:lang w:val="zh-CN"/>
        </w:rPr>
        <w:t>修正后的报价</w:t>
      </w:r>
      <w:r>
        <w:rPr>
          <w:rFonts w:hint="eastAsia" w:ascii="宋体" w:hAnsi="宋体" w:eastAsia="宋体"/>
          <w:i w:val="0"/>
          <w:iCs w:val="0"/>
          <w:color w:val="auto"/>
          <w:highlight w:val="none"/>
          <w:lang w:val="zh-CN"/>
        </w:rPr>
        <w:t>应通过书面方式</w:t>
      </w:r>
      <w:r>
        <w:rPr>
          <w:rFonts w:ascii="宋体" w:hAnsi="宋体" w:eastAsia="宋体"/>
          <w:i w:val="0"/>
          <w:iCs w:val="0"/>
          <w:color w:val="auto"/>
          <w:highlight w:val="none"/>
          <w:lang w:val="zh-CN"/>
        </w:rPr>
        <w:t>通知</w:t>
      </w:r>
      <w:r>
        <w:rPr>
          <w:rFonts w:hint="eastAsia" w:ascii="宋体" w:hAnsi="宋体" w:eastAsia="宋体"/>
          <w:i w:val="0"/>
          <w:iCs w:val="0"/>
          <w:color w:val="auto"/>
          <w:highlight w:val="none"/>
          <w:lang w:val="zh-CN"/>
        </w:rPr>
        <w:t>供应商，由</w:t>
      </w:r>
      <w:r>
        <w:rPr>
          <w:rFonts w:ascii="宋体" w:hAnsi="宋体" w:eastAsia="宋体"/>
          <w:i w:val="0"/>
          <w:iCs w:val="0"/>
          <w:color w:val="auto"/>
          <w:highlight w:val="none"/>
          <w:lang w:val="zh-CN"/>
        </w:rPr>
        <w:t>供应商</w:t>
      </w:r>
      <w:r>
        <w:rPr>
          <w:rFonts w:hint="eastAsia" w:ascii="宋体" w:hAnsi="宋体" w:eastAsia="宋体"/>
          <w:i w:val="0"/>
          <w:iCs w:val="0"/>
          <w:color w:val="auto"/>
          <w:highlight w:val="none"/>
          <w:lang w:val="zh-CN"/>
        </w:rPr>
        <w:t>授权代表签字（或加盖公章）</w:t>
      </w:r>
      <w:r>
        <w:rPr>
          <w:rFonts w:ascii="宋体" w:hAnsi="宋体" w:eastAsia="宋体"/>
          <w:i w:val="0"/>
          <w:iCs w:val="0"/>
          <w:color w:val="auto"/>
          <w:highlight w:val="none"/>
          <w:lang w:val="zh-CN"/>
        </w:rPr>
        <w:t>确认后产生约束力，供应商不确认的，</w:t>
      </w:r>
      <w:r>
        <w:rPr>
          <w:rFonts w:hint="eastAsia" w:ascii="宋体" w:hAnsi="宋体" w:eastAsia="宋体"/>
          <w:i w:val="0"/>
          <w:iCs w:val="0"/>
          <w:color w:val="auto"/>
          <w:highlight w:val="none"/>
          <w:lang w:val="zh-CN"/>
        </w:rPr>
        <w:t>按照</w:t>
      </w:r>
      <w:r>
        <w:rPr>
          <w:rFonts w:ascii="宋体" w:hAnsi="宋体" w:eastAsia="宋体"/>
          <w:i w:val="0"/>
          <w:iCs w:val="0"/>
          <w:color w:val="auto"/>
          <w:highlight w:val="none"/>
          <w:lang w:val="zh-CN"/>
        </w:rPr>
        <w:t>无效</w:t>
      </w:r>
      <w:r>
        <w:rPr>
          <w:rFonts w:hint="eastAsia" w:ascii="宋体" w:hAnsi="宋体" w:eastAsia="宋体"/>
          <w:i w:val="0"/>
          <w:iCs w:val="0"/>
          <w:color w:val="auto"/>
          <w:highlight w:val="none"/>
          <w:lang w:val="zh-CN"/>
        </w:rPr>
        <w:t>响应处理</w:t>
      </w:r>
      <w:r>
        <w:rPr>
          <w:rFonts w:ascii="宋体" w:hAnsi="宋体" w:eastAsia="宋体"/>
          <w:i w:val="0"/>
          <w:iCs w:val="0"/>
          <w:color w:val="auto"/>
          <w:highlight w:val="none"/>
          <w:lang w:val="zh-CN"/>
        </w:rPr>
        <w:t>。</w:t>
      </w:r>
    </w:p>
    <w:p w14:paraId="00F39F19">
      <w:pPr>
        <w:pageBreakBefore w:val="0"/>
        <w:tabs>
          <w:tab w:val="left" w:pos="993"/>
        </w:tabs>
        <w:kinsoku/>
        <w:wordWrap w:val="0"/>
        <w:overflowPunct/>
        <w:topLinePunct w:val="0"/>
        <w:autoSpaceDE/>
        <w:autoSpaceDN/>
        <w:bidi w:val="0"/>
        <w:adjustRightInd w:val="0"/>
        <w:snapToGrid w:val="0"/>
        <w:spacing w:line="440" w:lineRule="exact"/>
        <w:ind w:firstLine="480" w:firstLineChars="200"/>
        <w:textAlignment w:val="auto"/>
        <w:rPr>
          <w:i w:val="0"/>
          <w:iCs w:val="0"/>
          <w:color w:val="auto"/>
          <w:highlight w:val="none"/>
        </w:rPr>
      </w:pPr>
      <w:r>
        <w:rPr>
          <w:rFonts w:hint="eastAsia" w:ascii="宋体" w:hAnsi="宋体" w:eastAsia="宋体"/>
          <w:i w:val="0"/>
          <w:iCs w:val="0"/>
          <w:color w:val="auto"/>
          <w:highlight w:val="none"/>
          <w:lang w:val="en-US" w:eastAsia="zh-CN"/>
        </w:rPr>
        <w:t>3.4已提交响应文件的供应商，在提交最后报价之前，可以根据磋商情况退出磋商，退出磋商供应商的磋商保证金</w:t>
      </w:r>
      <w:r>
        <w:rPr>
          <w:rFonts w:hint="eastAsia"/>
          <w:i w:val="0"/>
          <w:iCs w:val="0"/>
          <w:color w:val="auto"/>
          <w:highlight w:val="none"/>
          <w:lang w:val="en-US" w:eastAsia="zh-CN"/>
        </w:rPr>
        <w:t>可予以</w:t>
      </w:r>
      <w:r>
        <w:rPr>
          <w:rFonts w:hint="eastAsia" w:ascii="宋体" w:hAnsi="宋体" w:eastAsia="宋体"/>
          <w:i w:val="0"/>
          <w:iCs w:val="0"/>
          <w:color w:val="auto"/>
          <w:highlight w:val="none"/>
          <w:lang w:val="en-US" w:eastAsia="zh-CN"/>
        </w:rPr>
        <w:t>退还</w:t>
      </w:r>
      <w:r>
        <w:rPr>
          <w:i w:val="0"/>
          <w:iCs w:val="0"/>
          <w:color w:val="auto"/>
          <w:szCs w:val="24"/>
          <w:highlight w:val="none"/>
          <w:lang w:val="zh-CN"/>
        </w:rPr>
        <w:t>。</w:t>
      </w:r>
    </w:p>
    <w:p w14:paraId="6C160EAF">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437" w:name="_Toc102116179"/>
      <w:bookmarkStart w:id="438" w:name="_Toc102057745"/>
      <w:bookmarkStart w:id="439" w:name="_Toc102116049"/>
      <w:bookmarkStart w:id="440" w:name="_Toc102119880"/>
      <w:bookmarkStart w:id="441" w:name="_Toc102056245"/>
      <w:bookmarkStart w:id="442" w:name="_Toc102114947"/>
      <w:r>
        <w:rPr>
          <w:rFonts w:hint="eastAsia" w:ascii="宋体" w:hAnsi="宋体" w:eastAsia="宋体" w:cs="宋体"/>
          <w:b/>
          <w:bCs/>
          <w:i w:val="0"/>
          <w:iCs w:val="0"/>
          <w:color w:val="auto"/>
          <w:kern w:val="2"/>
          <w:sz w:val="24"/>
          <w:szCs w:val="24"/>
          <w:highlight w:val="none"/>
          <w:lang w:val="en-US" w:eastAsia="zh-CN" w:bidi="ar-SA"/>
        </w:rPr>
        <w:t>4.商务技术评审</w:t>
      </w:r>
    </w:p>
    <w:p w14:paraId="10860B19">
      <w:pPr>
        <w:pStyle w:val="41"/>
        <w:pageBreakBefore w:val="0"/>
        <w:kinsoku/>
        <w:overflowPunct/>
        <w:topLinePunct w:val="0"/>
        <w:autoSpaceDE/>
        <w:autoSpaceDN/>
        <w:bidi w:val="0"/>
        <w:spacing w:line="440" w:lineRule="exact"/>
        <w:ind w:firstLine="480"/>
        <w:textAlignment w:val="auto"/>
        <w:rPr>
          <w:rFonts w:hint="eastAsia"/>
          <w:i w:val="0"/>
          <w:iCs w:val="0"/>
          <w:color w:val="auto"/>
          <w:highlight w:val="none"/>
          <w:lang w:val="zh-CN"/>
        </w:rPr>
      </w:pPr>
      <w:r>
        <w:rPr>
          <w:rFonts w:hint="eastAsia"/>
          <w:i w:val="0"/>
          <w:iCs w:val="0"/>
          <w:color w:val="auto"/>
          <w:highlight w:val="none"/>
          <w:lang w:val="zh-CN"/>
        </w:rPr>
        <w:t>4</w:t>
      </w:r>
      <w:r>
        <w:rPr>
          <w:i w:val="0"/>
          <w:iCs w:val="0"/>
          <w:color w:val="auto"/>
          <w:highlight w:val="none"/>
          <w:lang w:val="zh-CN"/>
        </w:rPr>
        <w:t>.1</w:t>
      </w:r>
      <w:r>
        <w:rPr>
          <w:rFonts w:hint="eastAsia"/>
          <w:i w:val="0"/>
          <w:iCs w:val="0"/>
          <w:color w:val="auto"/>
          <w:highlight w:val="none"/>
          <w:lang w:val="zh-CN"/>
        </w:rPr>
        <w:t>经磋商确定最终采购需求和提交最后报价的供应商后，由磋商小组采用综合评分法对提交最后报价的供应商的响应文件和最后报价进行综合评分。</w:t>
      </w:r>
    </w:p>
    <w:bookmarkEnd w:id="429"/>
    <w:bookmarkEnd w:id="430"/>
    <w:bookmarkEnd w:id="431"/>
    <w:bookmarkEnd w:id="432"/>
    <w:bookmarkEnd w:id="433"/>
    <w:bookmarkEnd w:id="434"/>
    <w:bookmarkEnd w:id="437"/>
    <w:bookmarkEnd w:id="438"/>
    <w:bookmarkEnd w:id="439"/>
    <w:bookmarkEnd w:id="440"/>
    <w:bookmarkEnd w:id="441"/>
    <w:bookmarkEnd w:id="442"/>
    <w:p w14:paraId="3FC2C2C9">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443" w:name="_Toc102116051"/>
      <w:bookmarkStart w:id="444" w:name="_Toc102114949"/>
      <w:bookmarkStart w:id="445" w:name="_Toc102057747"/>
      <w:bookmarkStart w:id="446" w:name="_Toc102056247"/>
      <w:bookmarkStart w:id="447" w:name="_Toc102116181"/>
      <w:bookmarkStart w:id="448" w:name="_Toc102119882"/>
      <w:r>
        <w:rPr>
          <w:rFonts w:hint="eastAsia" w:ascii="宋体" w:hAnsi="宋体" w:eastAsia="宋体" w:cs="宋体"/>
          <w:b/>
          <w:bCs/>
          <w:i w:val="0"/>
          <w:iCs w:val="0"/>
          <w:color w:val="auto"/>
          <w:kern w:val="2"/>
          <w:sz w:val="24"/>
          <w:szCs w:val="24"/>
          <w:highlight w:val="none"/>
          <w:lang w:val="en-US" w:eastAsia="zh-CN" w:bidi="ar-SA"/>
        </w:rPr>
        <w:t>5.报价评</w:t>
      </w:r>
      <w:bookmarkEnd w:id="443"/>
      <w:bookmarkEnd w:id="444"/>
      <w:bookmarkEnd w:id="445"/>
      <w:bookmarkEnd w:id="446"/>
      <w:bookmarkEnd w:id="447"/>
      <w:bookmarkEnd w:id="448"/>
      <w:r>
        <w:rPr>
          <w:rFonts w:hint="eastAsia" w:ascii="宋体" w:hAnsi="宋体" w:eastAsia="宋体" w:cs="宋体"/>
          <w:b/>
          <w:bCs/>
          <w:i w:val="0"/>
          <w:iCs w:val="0"/>
          <w:color w:val="auto"/>
          <w:kern w:val="2"/>
          <w:sz w:val="24"/>
          <w:szCs w:val="24"/>
          <w:highlight w:val="none"/>
          <w:lang w:val="en-US" w:eastAsia="zh-CN" w:bidi="ar-SA"/>
        </w:rPr>
        <w:t>审</w:t>
      </w:r>
    </w:p>
    <w:p w14:paraId="721C740D">
      <w:pPr>
        <w:pStyle w:val="41"/>
        <w:pageBreakBefore w:val="0"/>
        <w:kinsoku/>
        <w:overflowPunct/>
        <w:topLinePunct w:val="0"/>
        <w:autoSpaceDE/>
        <w:autoSpaceDN/>
        <w:bidi w:val="0"/>
        <w:spacing w:line="440" w:lineRule="exact"/>
        <w:ind w:firstLine="480"/>
        <w:textAlignment w:val="auto"/>
        <w:rPr>
          <w:bCs/>
          <w:i w:val="0"/>
          <w:iCs w:val="0"/>
          <w:color w:val="auto"/>
          <w:szCs w:val="21"/>
          <w:highlight w:val="none"/>
          <w:lang w:val="zh-CN"/>
        </w:rPr>
      </w:pPr>
      <w:r>
        <w:rPr>
          <w:rFonts w:hint="eastAsia"/>
          <w:i w:val="0"/>
          <w:iCs w:val="0"/>
          <w:color w:val="auto"/>
          <w:highlight w:val="none"/>
          <w:lang w:val="zh-CN"/>
        </w:rPr>
        <w:t>5</w:t>
      </w:r>
      <w:r>
        <w:rPr>
          <w:i w:val="0"/>
          <w:iCs w:val="0"/>
          <w:color w:val="auto"/>
          <w:highlight w:val="none"/>
          <w:lang w:val="zh-CN"/>
        </w:rPr>
        <w:t>.1</w:t>
      </w:r>
      <w:r>
        <w:rPr>
          <w:rFonts w:hint="eastAsia"/>
          <w:i w:val="0"/>
          <w:iCs w:val="0"/>
          <w:color w:val="auto"/>
          <w:highlight w:val="none"/>
          <w:lang w:val="zh-CN"/>
        </w:rPr>
        <w:t>报价合理性说明：磋商</w:t>
      </w:r>
      <w:r>
        <w:rPr>
          <w:i w:val="0"/>
          <w:iCs w:val="0"/>
          <w:color w:val="auto"/>
          <w:highlight w:val="none"/>
          <w:lang w:val="zh-CN"/>
        </w:rPr>
        <w:t>小组认为供应商的</w:t>
      </w:r>
      <w:r>
        <w:rPr>
          <w:rFonts w:hint="eastAsia"/>
          <w:i w:val="0"/>
          <w:iCs w:val="0"/>
          <w:color w:val="auto"/>
          <w:highlight w:val="none"/>
          <w:lang w:val="zh-CN"/>
        </w:rPr>
        <w:t>最后</w:t>
      </w:r>
      <w:r>
        <w:rPr>
          <w:i w:val="0"/>
          <w:iCs w:val="0"/>
          <w:color w:val="auto"/>
          <w:highlight w:val="none"/>
          <w:lang w:val="zh-CN"/>
        </w:rPr>
        <w:t>报价明显低于其他供应商</w:t>
      </w:r>
      <w:r>
        <w:rPr>
          <w:rFonts w:hint="eastAsia"/>
          <w:i w:val="0"/>
          <w:iCs w:val="0"/>
          <w:color w:val="auto"/>
          <w:highlight w:val="none"/>
          <w:lang w:val="zh-CN"/>
        </w:rPr>
        <w:t>最后</w:t>
      </w:r>
      <w:r>
        <w:rPr>
          <w:i w:val="0"/>
          <w:iCs w:val="0"/>
          <w:color w:val="auto"/>
          <w:highlight w:val="none"/>
          <w:lang w:val="zh-CN"/>
        </w:rPr>
        <w:t>报价，有可能影响</w:t>
      </w:r>
      <w:r>
        <w:rPr>
          <w:rFonts w:hint="eastAsia"/>
          <w:i w:val="0"/>
          <w:iCs w:val="0"/>
          <w:color w:val="auto"/>
          <w:highlight w:val="none"/>
          <w:lang w:val="en-US" w:eastAsia="zh-CN"/>
        </w:rPr>
        <w:t>服务</w:t>
      </w:r>
      <w:r>
        <w:rPr>
          <w:i w:val="0"/>
          <w:iCs w:val="0"/>
          <w:color w:val="auto"/>
          <w:highlight w:val="none"/>
          <w:lang w:val="zh-CN"/>
        </w:rPr>
        <w:t>质量或者不能诚信履约的，应当要求其</w:t>
      </w:r>
      <w:r>
        <w:rPr>
          <w:rFonts w:hint="eastAsia"/>
          <w:i w:val="0"/>
          <w:iCs w:val="0"/>
          <w:color w:val="auto"/>
          <w:highlight w:val="none"/>
          <w:lang w:val="zh-CN"/>
        </w:rPr>
        <w:t>在</w:t>
      </w:r>
      <w:r>
        <w:rPr>
          <w:i w:val="0"/>
          <w:iCs w:val="0"/>
          <w:color w:val="auto"/>
          <w:highlight w:val="none"/>
          <w:lang w:val="zh-CN"/>
        </w:rPr>
        <w:t>合理的时间内提供说明，必要时提交相关证明材料；供应商不能证明其</w:t>
      </w:r>
      <w:r>
        <w:rPr>
          <w:rFonts w:hint="eastAsia"/>
          <w:i w:val="0"/>
          <w:iCs w:val="0"/>
          <w:color w:val="auto"/>
          <w:highlight w:val="none"/>
          <w:lang w:val="zh-CN"/>
        </w:rPr>
        <w:t>最后</w:t>
      </w:r>
      <w:r>
        <w:rPr>
          <w:i w:val="0"/>
          <w:iCs w:val="0"/>
          <w:color w:val="auto"/>
          <w:highlight w:val="none"/>
          <w:lang w:val="zh-CN"/>
        </w:rPr>
        <w:t>报价合理性的，</w:t>
      </w:r>
      <w:r>
        <w:rPr>
          <w:rFonts w:hint="eastAsia"/>
          <w:i w:val="0"/>
          <w:iCs w:val="0"/>
          <w:color w:val="auto"/>
          <w:highlight w:val="none"/>
          <w:lang w:val="zh-CN"/>
        </w:rPr>
        <w:t>磋商</w:t>
      </w:r>
      <w:r>
        <w:rPr>
          <w:i w:val="0"/>
          <w:iCs w:val="0"/>
          <w:color w:val="auto"/>
          <w:highlight w:val="none"/>
          <w:lang w:val="zh-CN"/>
        </w:rPr>
        <w:t>小组</w:t>
      </w:r>
      <w:r>
        <w:rPr>
          <w:rFonts w:hint="eastAsia"/>
          <w:i w:val="0"/>
          <w:iCs w:val="0"/>
          <w:color w:val="auto"/>
          <w:highlight w:val="none"/>
          <w:lang w:val="zh-CN"/>
        </w:rPr>
        <w:t>应当将其作</w:t>
      </w:r>
      <w:r>
        <w:rPr>
          <w:b/>
          <w:i w:val="0"/>
          <w:iCs w:val="0"/>
          <w:color w:val="auto"/>
          <w:highlight w:val="none"/>
          <w:lang w:val="zh-CN"/>
        </w:rPr>
        <w:t>无效</w:t>
      </w:r>
      <w:r>
        <w:rPr>
          <w:rFonts w:hint="eastAsia"/>
          <w:b/>
          <w:i w:val="0"/>
          <w:iCs w:val="0"/>
          <w:color w:val="auto"/>
          <w:highlight w:val="none"/>
          <w:lang w:val="zh-CN"/>
        </w:rPr>
        <w:t>响应</w:t>
      </w:r>
      <w:r>
        <w:rPr>
          <w:b/>
          <w:i w:val="0"/>
          <w:iCs w:val="0"/>
          <w:color w:val="auto"/>
          <w:highlight w:val="none"/>
          <w:lang w:val="zh-CN"/>
        </w:rPr>
        <w:t>处理</w:t>
      </w:r>
      <w:r>
        <w:rPr>
          <w:i w:val="0"/>
          <w:iCs w:val="0"/>
          <w:color w:val="auto"/>
          <w:highlight w:val="none"/>
          <w:lang w:val="zh-CN"/>
        </w:rPr>
        <w:t>。</w:t>
      </w:r>
    </w:p>
    <w:p w14:paraId="1A9C11D5">
      <w:pPr>
        <w:pStyle w:val="41"/>
        <w:pageBreakBefore w:val="0"/>
        <w:kinsoku/>
        <w:overflowPunct/>
        <w:topLinePunct w:val="0"/>
        <w:autoSpaceDE/>
        <w:autoSpaceDN/>
        <w:bidi w:val="0"/>
        <w:spacing w:line="440" w:lineRule="exact"/>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5.1.1供应商应根据答疑内容在规定的时间内提供说明和成本清单等相关证明材料，磋商小组认定相关证明材料对此报价的说明或者证明材料可以佐证此报价的服务质量和具有诚信履约能力，予以通过审查；</w:t>
      </w:r>
    </w:p>
    <w:p w14:paraId="7BE73330">
      <w:pPr>
        <w:pStyle w:val="41"/>
        <w:pageBreakBefore w:val="0"/>
        <w:kinsoku/>
        <w:overflowPunct/>
        <w:topLinePunct w:val="0"/>
        <w:autoSpaceDE/>
        <w:autoSpaceDN/>
        <w:bidi w:val="0"/>
        <w:spacing w:line="440" w:lineRule="exact"/>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5.1.2供应商提供的说明或者证明材料必须按照国家财务会计制度的规定要求，逐项就供应商提供的货物和服务的主营业务成本、税收及附加、销售费用、管理费用、财务费用等成本构成事项详细陈述，并由法定代表人或者其授权代表签字确认并加盖公章；</w:t>
      </w:r>
    </w:p>
    <w:p w14:paraId="2952C3D1">
      <w:pPr>
        <w:pStyle w:val="41"/>
        <w:pageBreakBefore w:val="0"/>
        <w:kinsoku/>
        <w:overflowPunct/>
        <w:topLinePunct w:val="0"/>
        <w:autoSpaceDE/>
        <w:autoSpaceDN/>
        <w:bidi w:val="0"/>
        <w:spacing w:line="440" w:lineRule="exact"/>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5.1.3供应商不能合理说明或者不能提供相关证明材料的，由磋商小组认定该供应商以低于成本报价竞标，有可能影响服务质量或者不能诚信履约，应当</w:t>
      </w:r>
      <w:r>
        <w:rPr>
          <w:rFonts w:hint="eastAsia"/>
          <w:i w:val="0"/>
          <w:iCs w:val="0"/>
          <w:color w:val="auto"/>
          <w:highlight w:val="none"/>
          <w:lang w:val="zh-CN"/>
        </w:rPr>
        <w:t>将其作为</w:t>
      </w:r>
      <w:r>
        <w:rPr>
          <w:b/>
          <w:i w:val="0"/>
          <w:iCs w:val="0"/>
          <w:color w:val="auto"/>
          <w:highlight w:val="none"/>
          <w:lang w:val="zh-CN"/>
        </w:rPr>
        <w:t>无效</w:t>
      </w:r>
      <w:r>
        <w:rPr>
          <w:rFonts w:hint="eastAsia"/>
          <w:b/>
          <w:i w:val="0"/>
          <w:iCs w:val="0"/>
          <w:color w:val="auto"/>
          <w:highlight w:val="none"/>
          <w:lang w:val="zh-CN"/>
        </w:rPr>
        <w:t>响应</w:t>
      </w:r>
      <w:r>
        <w:rPr>
          <w:b/>
          <w:i w:val="0"/>
          <w:iCs w:val="0"/>
          <w:color w:val="auto"/>
          <w:highlight w:val="none"/>
          <w:lang w:val="zh-CN"/>
        </w:rPr>
        <w:t>处理</w:t>
      </w:r>
      <w:r>
        <w:rPr>
          <w:rFonts w:hint="eastAsia" w:ascii="宋体" w:hAnsi="宋体" w:eastAsia="宋体"/>
          <w:i w:val="0"/>
          <w:iCs w:val="0"/>
          <w:color w:val="auto"/>
          <w:highlight w:val="none"/>
          <w:lang w:val="en-US" w:eastAsia="zh-CN"/>
        </w:rPr>
        <w:t>；</w:t>
      </w:r>
    </w:p>
    <w:p w14:paraId="16DCE3B4">
      <w:pPr>
        <w:pStyle w:val="41"/>
        <w:pageBreakBefore w:val="0"/>
        <w:shd w:val="clear"/>
        <w:kinsoku/>
        <w:overflowPunct/>
        <w:topLinePunct w:val="0"/>
        <w:autoSpaceDE/>
        <w:autoSpaceDN/>
        <w:bidi w:val="0"/>
        <w:spacing w:line="440" w:lineRule="exact"/>
        <w:ind w:firstLine="480"/>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5.1.4供应商也可以有预见性地准备好上述要求的书面说明和相关证明材料并加盖公章。</w:t>
      </w:r>
    </w:p>
    <w:p w14:paraId="0D859C08">
      <w:pPr>
        <w:pStyle w:val="41"/>
        <w:pageBreakBefore w:val="0"/>
        <w:shd w:val="clear"/>
        <w:kinsoku/>
        <w:overflowPunct/>
        <w:topLinePunct w:val="0"/>
        <w:autoSpaceDE/>
        <w:autoSpaceDN/>
        <w:bidi w:val="0"/>
        <w:spacing w:line="440" w:lineRule="exact"/>
        <w:ind w:firstLine="480"/>
        <w:textAlignment w:val="auto"/>
        <w:rPr>
          <w:rFonts w:hint="default" w:ascii="宋体" w:hAnsi="宋体" w:eastAsia="宋体"/>
          <w:i w:val="0"/>
          <w:iCs w:val="0"/>
          <w:color w:val="auto"/>
          <w:highlight w:val="none"/>
          <w:lang w:val="en-US" w:eastAsia="zh-CN"/>
        </w:rPr>
      </w:pPr>
      <w:r>
        <w:rPr>
          <w:rFonts w:hint="eastAsia"/>
          <w:i w:val="0"/>
          <w:iCs w:val="0"/>
          <w:color w:val="auto"/>
          <w:highlight w:val="none"/>
          <w:lang w:val="en-US" w:eastAsia="zh-CN"/>
        </w:rPr>
        <w:t>5.2价格</w:t>
      </w:r>
    </w:p>
    <w:p w14:paraId="00091A58">
      <w:pPr>
        <w:pStyle w:val="41"/>
        <w:pageBreakBefore w:val="0"/>
        <w:shd w:val="clear"/>
        <w:kinsoku/>
        <w:overflowPunct/>
        <w:topLinePunct w:val="0"/>
        <w:autoSpaceDE/>
        <w:autoSpaceDN/>
        <w:bidi w:val="0"/>
        <w:spacing w:line="440" w:lineRule="exact"/>
        <w:ind w:firstLine="480"/>
        <w:textAlignment w:val="auto"/>
        <w:rPr>
          <w:i w:val="0"/>
          <w:iCs w:val="0"/>
          <w:color w:val="auto"/>
          <w:highlight w:val="none"/>
          <w:lang w:val="zh-CN"/>
        </w:rPr>
      </w:pPr>
      <w:r>
        <w:rPr>
          <w:rFonts w:hint="eastAsia"/>
          <w:i w:val="0"/>
          <w:iCs w:val="0"/>
          <w:color w:val="auto"/>
          <w:highlight w:val="none"/>
          <w:lang w:val="zh-CN"/>
        </w:rPr>
        <w:t>5</w:t>
      </w:r>
      <w:r>
        <w:rPr>
          <w:i w:val="0"/>
          <w:iCs w:val="0"/>
          <w:color w:val="auto"/>
          <w:highlight w:val="none"/>
          <w:lang w:val="zh-CN"/>
        </w:rPr>
        <w:t>.</w:t>
      </w:r>
      <w:r>
        <w:rPr>
          <w:rFonts w:hint="eastAsia"/>
          <w:i w:val="0"/>
          <w:iCs w:val="0"/>
          <w:color w:val="auto"/>
          <w:highlight w:val="none"/>
          <w:lang w:val="en-US" w:eastAsia="zh-CN"/>
        </w:rPr>
        <w:t>3</w:t>
      </w:r>
      <w:r>
        <w:rPr>
          <w:rFonts w:hint="eastAsia"/>
          <w:i w:val="0"/>
          <w:iCs w:val="0"/>
          <w:color w:val="auto"/>
          <w:highlight w:val="none"/>
          <w:lang w:val="zh-CN"/>
        </w:rPr>
        <w:t>价格扣除：</w:t>
      </w:r>
      <w:r>
        <w:rPr>
          <w:i w:val="0"/>
          <w:iCs w:val="0"/>
          <w:color w:val="auto"/>
          <w:highlight w:val="none"/>
          <w:lang w:val="zh-CN"/>
        </w:rPr>
        <w:t xml:space="preserve"> </w:t>
      </w:r>
    </w:p>
    <w:p w14:paraId="48B84817">
      <w:pPr>
        <w:pStyle w:val="41"/>
        <w:pageBreakBefore w:val="0"/>
        <w:numPr>
          <w:ilvl w:val="0"/>
          <w:numId w:val="0"/>
        </w:numPr>
        <w:shd w:val="clear" w:color="auto"/>
        <w:kinsoku/>
        <w:overflowPunct/>
        <w:topLinePunct w:val="0"/>
        <w:autoSpaceDE/>
        <w:autoSpaceDN/>
        <w:bidi w:val="0"/>
        <w:spacing w:line="440" w:lineRule="exact"/>
        <w:ind w:firstLine="480" w:firstLineChars="200"/>
        <w:textAlignment w:val="auto"/>
        <w:rPr>
          <w:i w:val="0"/>
          <w:iCs w:val="0"/>
          <w:color w:val="auto"/>
          <w:highlight w:val="none"/>
        </w:rPr>
      </w:pPr>
      <w:r>
        <w:rPr>
          <w:rFonts w:ascii="宋体" w:hAnsi="宋体" w:eastAsia="宋体" w:cstheme="minorBidi"/>
          <w:i w:val="0"/>
          <w:iCs w:val="0"/>
          <w:color w:val="auto"/>
          <w:kern w:val="2"/>
          <w:sz w:val="24"/>
          <w:szCs w:val="22"/>
          <w:highlight w:val="none"/>
          <w:lang w:val="en-US" w:eastAsia="zh-CN" w:bidi="ar-SA"/>
        </w:rPr>
        <w:t>（1）</w:t>
      </w:r>
      <w:r>
        <w:rPr>
          <w:rFonts w:hint="eastAsia"/>
          <w:i w:val="0"/>
          <w:iCs w:val="0"/>
          <w:color w:val="auto"/>
          <w:highlight w:val="none"/>
        </w:rPr>
        <w:t>非专门面向中小企业的采购项目或采购包，对符合规定的小微企业（监狱企业、残疾人福利性单位、联合体各方均为小微企业的联合体、符合小微企业划分标准的个体工商户视同小微企业）报价按照竞争性磋商文件</w:t>
      </w:r>
      <w:r>
        <w:rPr>
          <w:rFonts w:hint="eastAsia"/>
          <w:i w:val="0"/>
          <w:iCs w:val="0"/>
          <w:color w:val="auto"/>
          <w:highlight w:val="none"/>
          <w:lang w:eastAsia="zh-CN"/>
        </w:rPr>
        <w:t>“</w:t>
      </w:r>
      <w:r>
        <w:rPr>
          <w:rFonts w:hint="eastAsia"/>
          <w:i w:val="0"/>
          <w:iCs w:val="0"/>
          <w:color w:val="auto"/>
          <w:highlight w:val="none"/>
        </w:rPr>
        <w:t>供应商须知前附表”中的规定扣除，对小微企业中的监狱企业、残疾人福利性单位、采购产品纳入创新产品应用示范推荐目录内企业、采购产品获得节能产品或环境标志产品认证证书的企业报价按照本竞争性磋商文件</w:t>
      </w:r>
      <w:r>
        <w:rPr>
          <w:rFonts w:hint="eastAsia"/>
          <w:i w:val="0"/>
          <w:iCs w:val="0"/>
          <w:color w:val="auto"/>
          <w:highlight w:val="none"/>
          <w:lang w:eastAsia="zh-CN"/>
        </w:rPr>
        <w:t>“</w:t>
      </w:r>
      <w:r>
        <w:rPr>
          <w:rFonts w:hint="eastAsia"/>
          <w:i w:val="0"/>
          <w:iCs w:val="0"/>
          <w:color w:val="auto"/>
          <w:highlight w:val="none"/>
        </w:rPr>
        <w:t>供应商须知前附表”中的规定扣除，用扣除后的价格计算评审基准价。</w:t>
      </w:r>
    </w:p>
    <w:p w14:paraId="342BE1B2">
      <w:pPr>
        <w:pStyle w:val="41"/>
        <w:pageBreakBefore w:val="0"/>
        <w:numPr>
          <w:ilvl w:val="0"/>
          <w:numId w:val="0"/>
        </w:numPr>
        <w:shd w:val="clear" w:color="auto"/>
        <w:kinsoku/>
        <w:overflowPunct/>
        <w:topLinePunct w:val="0"/>
        <w:autoSpaceDE/>
        <w:autoSpaceDN/>
        <w:bidi w:val="0"/>
        <w:spacing w:line="440" w:lineRule="exact"/>
        <w:ind w:firstLine="480" w:firstLineChars="200"/>
        <w:textAlignment w:val="auto"/>
        <w:rPr>
          <w:i w:val="0"/>
          <w:iCs w:val="0"/>
          <w:color w:val="auto"/>
          <w:highlight w:val="none"/>
        </w:rPr>
      </w:pPr>
      <w:r>
        <w:rPr>
          <w:rFonts w:ascii="宋体" w:hAnsi="宋体" w:eastAsia="宋体" w:cstheme="minorBidi"/>
          <w:i w:val="0"/>
          <w:iCs w:val="0"/>
          <w:color w:val="auto"/>
          <w:kern w:val="2"/>
          <w:sz w:val="24"/>
          <w:szCs w:val="22"/>
          <w:highlight w:val="none"/>
          <w:lang w:val="en-US" w:eastAsia="zh-CN" w:bidi="ar-SA"/>
        </w:rPr>
        <w:t>（2）</w:t>
      </w:r>
      <w:r>
        <w:rPr>
          <w:rFonts w:hint="eastAsia"/>
          <w:i w:val="0"/>
          <w:iCs w:val="0"/>
          <w:color w:val="auto"/>
          <w:highlight w:val="none"/>
        </w:rPr>
        <w:t>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p>
    <w:p w14:paraId="7972A9CA">
      <w:pPr>
        <w:pStyle w:val="41"/>
        <w:pageBreakBefore w:val="0"/>
        <w:numPr>
          <w:ilvl w:val="0"/>
          <w:numId w:val="0"/>
        </w:numPr>
        <w:shd w:val="clear" w:color="auto"/>
        <w:kinsoku/>
        <w:overflowPunct/>
        <w:topLinePunct w:val="0"/>
        <w:autoSpaceDE/>
        <w:autoSpaceDN/>
        <w:bidi w:val="0"/>
        <w:spacing w:line="440" w:lineRule="exact"/>
        <w:ind w:firstLine="480" w:firstLineChars="200"/>
        <w:textAlignment w:val="auto"/>
        <w:rPr>
          <w:rFonts w:ascii="宋体" w:hAnsi="宋体" w:eastAsia="宋体" w:cstheme="minorBidi"/>
          <w:i w:val="0"/>
          <w:iCs w:val="0"/>
          <w:color w:val="auto"/>
          <w:kern w:val="2"/>
          <w:sz w:val="24"/>
          <w:szCs w:val="22"/>
          <w:highlight w:val="none"/>
          <w:lang w:val="en-US" w:eastAsia="zh-CN" w:bidi="ar-SA"/>
        </w:rPr>
      </w:pPr>
      <w:r>
        <w:rPr>
          <w:rFonts w:ascii="宋体" w:hAnsi="宋体" w:eastAsia="宋体" w:cstheme="minorBidi"/>
          <w:i w:val="0"/>
          <w:iCs w:val="0"/>
          <w:color w:val="auto"/>
          <w:kern w:val="2"/>
          <w:sz w:val="24"/>
          <w:szCs w:val="22"/>
          <w:highlight w:val="none"/>
          <w:lang w:val="en-US" w:eastAsia="zh-CN" w:bidi="ar-SA"/>
        </w:rPr>
        <w:t>（3）组成联合体或者接受分包的小微企业与联合体内其他企业、分包企业</w:t>
      </w:r>
      <w:r>
        <w:rPr>
          <w:rFonts w:hint="default" w:ascii="宋体" w:hAnsi="宋体" w:eastAsia="宋体" w:cstheme="minorBidi"/>
          <w:i w:val="0"/>
          <w:iCs w:val="0"/>
          <w:color w:val="auto"/>
          <w:kern w:val="2"/>
          <w:sz w:val="24"/>
          <w:szCs w:val="22"/>
          <w:highlight w:val="none"/>
          <w:lang w:val="en-US" w:eastAsia="zh-CN" w:bidi="ar-SA"/>
        </w:rPr>
        <w:t>之间存在直接控股、管理关系的，不享受价格扣除优惠政策。</w:t>
      </w:r>
    </w:p>
    <w:p w14:paraId="02ECE3E0">
      <w:pPr>
        <w:pStyle w:val="41"/>
        <w:pageBreakBefore w:val="0"/>
        <w:numPr>
          <w:ilvl w:val="0"/>
          <w:numId w:val="0"/>
        </w:numPr>
        <w:shd w:val="clear" w:color="auto"/>
        <w:kinsoku/>
        <w:overflowPunct/>
        <w:topLinePunct w:val="0"/>
        <w:autoSpaceDE/>
        <w:autoSpaceDN/>
        <w:bidi w:val="0"/>
        <w:spacing w:line="440" w:lineRule="exact"/>
        <w:ind w:firstLine="480" w:firstLineChars="200"/>
        <w:textAlignment w:val="auto"/>
        <w:rPr>
          <w:rFonts w:ascii="宋体" w:hAnsi="宋体" w:eastAsia="宋体" w:cstheme="minorBidi"/>
          <w:i w:val="0"/>
          <w:iCs w:val="0"/>
          <w:color w:val="auto"/>
          <w:kern w:val="2"/>
          <w:sz w:val="24"/>
          <w:szCs w:val="22"/>
          <w:highlight w:val="none"/>
          <w:lang w:val="en-US" w:eastAsia="zh-CN" w:bidi="ar-SA"/>
        </w:rPr>
      </w:pPr>
      <w:r>
        <w:rPr>
          <w:rFonts w:ascii="宋体" w:hAnsi="宋体" w:eastAsia="宋体" w:cstheme="minorBidi"/>
          <w:i w:val="0"/>
          <w:iCs w:val="0"/>
          <w:color w:val="auto"/>
          <w:kern w:val="2"/>
          <w:sz w:val="24"/>
          <w:szCs w:val="22"/>
          <w:highlight w:val="none"/>
          <w:lang w:val="en-US" w:eastAsia="zh-CN" w:bidi="ar-SA"/>
        </w:rPr>
        <w:t>（</w:t>
      </w:r>
      <w:r>
        <w:rPr>
          <w:rFonts w:hint="eastAsia" w:cstheme="minorBidi"/>
          <w:i w:val="0"/>
          <w:iCs w:val="0"/>
          <w:color w:val="auto"/>
          <w:kern w:val="2"/>
          <w:sz w:val="24"/>
          <w:szCs w:val="22"/>
          <w:highlight w:val="none"/>
          <w:lang w:val="en-US" w:eastAsia="zh-CN" w:bidi="ar-SA"/>
        </w:rPr>
        <w:t>4</w:t>
      </w:r>
      <w:r>
        <w:rPr>
          <w:rFonts w:ascii="宋体" w:hAnsi="宋体" w:eastAsia="宋体" w:cstheme="minorBidi"/>
          <w:i w:val="0"/>
          <w:iCs w:val="0"/>
          <w:color w:val="auto"/>
          <w:kern w:val="2"/>
          <w:sz w:val="24"/>
          <w:szCs w:val="22"/>
          <w:highlight w:val="none"/>
          <w:lang w:val="en-US" w:eastAsia="zh-CN" w:bidi="ar-SA"/>
        </w:rPr>
        <w:t>）价格扣除比例对小型企业和微型企业同等对待，不作区分。</w:t>
      </w:r>
    </w:p>
    <w:p w14:paraId="19955508">
      <w:pPr>
        <w:pStyle w:val="41"/>
        <w:pageBreakBefore w:val="0"/>
        <w:numPr>
          <w:ilvl w:val="0"/>
          <w:numId w:val="0"/>
        </w:numPr>
        <w:shd w:val="clear" w:color="auto"/>
        <w:kinsoku/>
        <w:overflowPunct/>
        <w:topLinePunct w:val="0"/>
        <w:autoSpaceDE/>
        <w:autoSpaceDN/>
        <w:bidi w:val="0"/>
        <w:spacing w:line="440" w:lineRule="exact"/>
        <w:ind w:firstLine="480" w:firstLineChars="200"/>
        <w:textAlignment w:val="auto"/>
        <w:rPr>
          <w:rFonts w:hint="eastAsia"/>
          <w:i w:val="0"/>
          <w:iCs w:val="0"/>
          <w:color w:val="auto"/>
          <w:highlight w:val="none"/>
        </w:rPr>
      </w:pPr>
      <w:r>
        <w:rPr>
          <w:rFonts w:ascii="宋体" w:hAnsi="宋体" w:eastAsia="宋体" w:cstheme="minorBidi"/>
          <w:i w:val="0"/>
          <w:iCs w:val="0"/>
          <w:color w:val="auto"/>
          <w:kern w:val="2"/>
          <w:sz w:val="24"/>
          <w:szCs w:val="22"/>
          <w:highlight w:val="none"/>
          <w:lang w:val="en-US" w:eastAsia="zh-CN" w:bidi="ar-SA"/>
        </w:rPr>
        <w:t>（</w:t>
      </w:r>
      <w:r>
        <w:rPr>
          <w:rFonts w:hint="eastAsia" w:cstheme="minorBidi"/>
          <w:i w:val="0"/>
          <w:iCs w:val="0"/>
          <w:color w:val="auto"/>
          <w:kern w:val="2"/>
          <w:sz w:val="24"/>
          <w:szCs w:val="22"/>
          <w:highlight w:val="none"/>
          <w:lang w:val="en-US" w:eastAsia="zh-CN" w:bidi="ar-SA"/>
        </w:rPr>
        <w:t>5</w:t>
      </w:r>
      <w:r>
        <w:rPr>
          <w:rFonts w:ascii="宋体" w:hAnsi="宋体" w:eastAsia="宋体" w:cstheme="minorBidi"/>
          <w:i w:val="0"/>
          <w:iCs w:val="0"/>
          <w:color w:val="auto"/>
          <w:kern w:val="2"/>
          <w:sz w:val="24"/>
          <w:szCs w:val="22"/>
          <w:highlight w:val="none"/>
          <w:lang w:val="en-US" w:eastAsia="zh-CN" w:bidi="ar-SA"/>
        </w:rPr>
        <w:t>）</w:t>
      </w:r>
      <w:r>
        <w:rPr>
          <w:rFonts w:hint="eastAsia"/>
          <w:i w:val="0"/>
          <w:iCs w:val="0"/>
          <w:color w:val="auto"/>
          <w:highlight w:val="none"/>
        </w:rPr>
        <w:t>专门面向中小企业、预留部分采购份额面向中小企业采购的项目或采购包，评审时不再进行价格扣除。</w:t>
      </w:r>
    </w:p>
    <w:p w14:paraId="1DE9090E">
      <w:pPr>
        <w:pStyle w:val="41"/>
        <w:pageBreakBefore w:val="0"/>
        <w:numPr>
          <w:ilvl w:val="0"/>
          <w:numId w:val="0"/>
        </w:numPr>
        <w:shd w:val="clear" w:color="auto"/>
        <w:kinsoku/>
        <w:overflowPunct/>
        <w:topLinePunct w:val="0"/>
        <w:autoSpaceDE/>
        <w:autoSpaceDN/>
        <w:bidi w:val="0"/>
        <w:spacing w:line="440" w:lineRule="exact"/>
        <w:ind w:firstLine="480" w:firstLineChars="200"/>
        <w:textAlignment w:val="auto"/>
        <w:rPr>
          <w:i w:val="0"/>
          <w:iCs w:val="0"/>
          <w:color w:val="auto"/>
          <w:highlight w:val="none"/>
        </w:rPr>
      </w:pPr>
      <w:r>
        <w:rPr>
          <w:rFonts w:hint="eastAsia"/>
          <w:i w:val="0"/>
          <w:iCs w:val="0"/>
          <w:color w:val="auto"/>
          <w:highlight w:val="none"/>
          <w:lang w:eastAsia="zh-CN"/>
        </w:rPr>
        <w:t>（</w:t>
      </w:r>
      <w:r>
        <w:rPr>
          <w:rFonts w:hint="eastAsia"/>
          <w:i w:val="0"/>
          <w:iCs w:val="0"/>
          <w:color w:val="auto"/>
          <w:highlight w:val="none"/>
          <w:lang w:val="en-US" w:eastAsia="zh-CN"/>
        </w:rPr>
        <w:t>6）若供应商同时属于小型或微型企业、监狱企业、残疾人福利性单位 中的两种及以上，将不重复享受小微企业价格扣减的优惠政策。</w:t>
      </w:r>
    </w:p>
    <w:p w14:paraId="2C96D654">
      <w:pPr>
        <w:pStyle w:val="41"/>
        <w:pageBreakBefore w:val="0"/>
        <w:shd w:val="clear"/>
        <w:kinsoku/>
        <w:overflowPunct/>
        <w:topLinePunct w:val="0"/>
        <w:autoSpaceDE/>
        <w:autoSpaceDN/>
        <w:bidi w:val="0"/>
        <w:spacing w:line="440" w:lineRule="exact"/>
        <w:ind w:firstLine="480"/>
        <w:textAlignment w:val="auto"/>
        <w:rPr>
          <w:rFonts w:hint="eastAsia"/>
          <w:i w:val="0"/>
          <w:iCs w:val="0"/>
          <w:color w:val="auto"/>
          <w:highlight w:val="none"/>
          <w:lang w:val="zh-CN"/>
        </w:rPr>
      </w:pPr>
      <w:r>
        <w:rPr>
          <w:i w:val="0"/>
          <w:iCs w:val="0"/>
          <w:color w:val="auto"/>
          <w:highlight w:val="none"/>
          <w:lang w:val="zh-CN"/>
        </w:rPr>
        <w:t>5.3价格分采用</w:t>
      </w:r>
      <w:r>
        <w:rPr>
          <w:i w:val="0"/>
          <w:iCs w:val="0"/>
          <w:color w:val="auto"/>
          <w:szCs w:val="24"/>
          <w:highlight w:val="none"/>
          <w:lang w:val="zh-CN"/>
        </w:rPr>
        <w:t>低价</w:t>
      </w:r>
      <w:r>
        <w:rPr>
          <w:i w:val="0"/>
          <w:iCs w:val="0"/>
          <w:color w:val="auto"/>
          <w:highlight w:val="none"/>
          <w:lang w:val="zh-CN"/>
        </w:rPr>
        <w:t>优先法计算，</w:t>
      </w:r>
      <w:r>
        <w:rPr>
          <w:rFonts w:hint="eastAsia"/>
          <w:i w:val="0"/>
          <w:iCs w:val="0"/>
          <w:color w:val="auto"/>
          <w:highlight w:val="none"/>
          <w:lang w:val="zh-CN"/>
        </w:rPr>
        <w:t>即满足磋商文件要求且最后报价最低的供应商的价格为磋商基准价，其价格分为满分。其他供应商的价格分统一按照下列公式计算：</w:t>
      </w:r>
    </w:p>
    <w:p w14:paraId="47313612">
      <w:pPr>
        <w:pStyle w:val="41"/>
        <w:pageBreakBefore w:val="0"/>
        <w:shd w:val="clear"/>
        <w:kinsoku/>
        <w:overflowPunct/>
        <w:topLinePunct w:val="0"/>
        <w:autoSpaceDE/>
        <w:autoSpaceDN/>
        <w:bidi w:val="0"/>
        <w:spacing w:line="440" w:lineRule="exact"/>
        <w:ind w:firstLine="480"/>
        <w:textAlignment w:val="auto"/>
        <w:rPr>
          <w:rFonts w:hint="eastAsia"/>
          <w:i w:val="0"/>
          <w:iCs w:val="0"/>
          <w:color w:val="auto"/>
          <w:highlight w:val="none"/>
          <w:lang w:val="zh-CN"/>
        </w:rPr>
      </w:pPr>
      <w:r>
        <w:rPr>
          <w:rFonts w:hint="eastAsia"/>
          <w:i w:val="0"/>
          <w:iCs w:val="0"/>
          <w:color w:val="auto"/>
          <w:highlight w:val="none"/>
          <w:lang w:val="zh-CN"/>
        </w:rPr>
        <w:t>磋商报价得分=（磋商基准价/最后磋商报价）×</w:t>
      </w:r>
      <w:r>
        <w:rPr>
          <w:rFonts w:hint="eastAsia"/>
          <w:i w:val="0"/>
          <w:iCs w:val="0"/>
          <w:color w:val="auto"/>
          <w:highlight w:val="none"/>
        </w:rPr>
        <w:t>价格分值</w:t>
      </w:r>
    </w:p>
    <w:p w14:paraId="509B7D8A">
      <w:pPr>
        <w:pStyle w:val="41"/>
        <w:pageBreakBefore w:val="0"/>
        <w:shd w:val="clear"/>
        <w:kinsoku/>
        <w:overflowPunct/>
        <w:topLinePunct w:val="0"/>
        <w:autoSpaceDE/>
        <w:autoSpaceDN/>
        <w:bidi w:val="0"/>
        <w:spacing w:line="440" w:lineRule="exact"/>
        <w:ind w:firstLine="480"/>
        <w:textAlignment w:val="auto"/>
        <w:rPr>
          <w:i w:val="0"/>
          <w:iCs w:val="0"/>
          <w:color w:val="auto"/>
          <w:highlight w:val="none"/>
          <w:lang w:val="zh-CN"/>
        </w:rPr>
      </w:pPr>
      <w:r>
        <w:rPr>
          <w:rFonts w:hint="eastAsia"/>
          <w:i w:val="0"/>
          <w:iCs w:val="0"/>
          <w:color w:val="auto"/>
          <w:highlight w:val="none"/>
          <w:lang w:val="zh-CN"/>
        </w:rPr>
        <w:t>项目评审过程中，不得去掉最后报价中的最高报价和最低报价。</w:t>
      </w:r>
      <w:r>
        <w:rPr>
          <w:i w:val="0"/>
          <w:iCs w:val="0"/>
          <w:color w:val="auto"/>
          <w:highlight w:val="none"/>
          <w:lang w:val="zh-CN"/>
        </w:rPr>
        <w:t>计算方法详见本章“三、</w:t>
      </w:r>
      <w:r>
        <w:rPr>
          <w:rFonts w:hint="eastAsia"/>
          <w:i w:val="0"/>
          <w:iCs w:val="0"/>
          <w:color w:val="auto"/>
          <w:highlight w:val="none"/>
          <w:lang w:val="zh-CN"/>
        </w:rPr>
        <w:t>评审</w:t>
      </w:r>
      <w:r>
        <w:rPr>
          <w:i w:val="0"/>
          <w:iCs w:val="0"/>
          <w:color w:val="auto"/>
          <w:highlight w:val="none"/>
          <w:lang w:val="zh-CN"/>
        </w:rPr>
        <w:t>标准”中的具体计算公式。</w:t>
      </w:r>
    </w:p>
    <w:p w14:paraId="754625F6">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449" w:name="_Toc102119884"/>
      <w:bookmarkStart w:id="450" w:name="_Toc102056249"/>
      <w:bookmarkStart w:id="451" w:name="_Toc102057749"/>
      <w:bookmarkStart w:id="452" w:name="_Toc102114951"/>
      <w:bookmarkStart w:id="453" w:name="_Toc102116053"/>
      <w:bookmarkStart w:id="454" w:name="_Toc102116183"/>
      <w:bookmarkStart w:id="455" w:name="_Toc102056250"/>
      <w:bookmarkStart w:id="456" w:name="_Toc102057750"/>
      <w:bookmarkStart w:id="457" w:name="_Toc102114952"/>
      <w:bookmarkStart w:id="458" w:name="_Toc102116054"/>
      <w:bookmarkStart w:id="459" w:name="_Toc102116184"/>
      <w:bookmarkStart w:id="460" w:name="_Toc102119885"/>
      <w:r>
        <w:rPr>
          <w:rFonts w:hint="eastAsia" w:ascii="宋体" w:hAnsi="宋体" w:eastAsia="宋体" w:cs="宋体"/>
          <w:b/>
          <w:bCs/>
          <w:i w:val="0"/>
          <w:iCs w:val="0"/>
          <w:color w:val="auto"/>
          <w:kern w:val="2"/>
          <w:sz w:val="24"/>
          <w:szCs w:val="24"/>
          <w:highlight w:val="none"/>
          <w:lang w:val="en-US" w:eastAsia="zh-CN" w:bidi="ar-SA"/>
        </w:rPr>
        <w:t>6.计分办法</w:t>
      </w:r>
      <w:bookmarkEnd w:id="449"/>
      <w:bookmarkEnd w:id="450"/>
      <w:bookmarkEnd w:id="451"/>
      <w:bookmarkEnd w:id="452"/>
      <w:bookmarkEnd w:id="453"/>
      <w:bookmarkEnd w:id="454"/>
      <w:r>
        <w:rPr>
          <w:rFonts w:hint="eastAsia" w:ascii="宋体" w:hAnsi="宋体" w:eastAsia="宋体" w:cs="宋体"/>
          <w:b/>
          <w:bCs/>
          <w:i w:val="0"/>
          <w:iCs w:val="0"/>
          <w:color w:val="auto"/>
          <w:kern w:val="2"/>
          <w:sz w:val="24"/>
          <w:szCs w:val="24"/>
          <w:highlight w:val="none"/>
          <w:lang w:val="en-US" w:eastAsia="zh-CN" w:bidi="ar-SA"/>
        </w:rPr>
        <w:t>及复核</w:t>
      </w:r>
    </w:p>
    <w:p w14:paraId="6ADF7DA8">
      <w:pPr>
        <w:pStyle w:val="41"/>
        <w:pageBreakBefore w:val="0"/>
        <w:kinsoku/>
        <w:overflowPunct/>
        <w:topLinePunct w:val="0"/>
        <w:autoSpaceDE/>
        <w:autoSpaceDN/>
        <w:bidi w:val="0"/>
        <w:spacing w:line="440" w:lineRule="exact"/>
        <w:ind w:firstLine="480"/>
        <w:textAlignment w:val="auto"/>
        <w:rPr>
          <w:i w:val="0"/>
          <w:iCs w:val="0"/>
          <w:color w:val="auto"/>
          <w:kern w:val="0"/>
          <w:highlight w:val="none"/>
          <w:lang w:val="zh-CN"/>
        </w:rPr>
      </w:pPr>
      <w:r>
        <w:rPr>
          <w:rFonts w:hint="eastAsia"/>
          <w:i w:val="0"/>
          <w:iCs w:val="0"/>
          <w:color w:val="auto"/>
          <w:highlight w:val="none"/>
          <w:lang w:val="zh-CN"/>
        </w:rPr>
        <w:t>6</w:t>
      </w:r>
      <w:r>
        <w:rPr>
          <w:i w:val="0"/>
          <w:iCs w:val="0"/>
          <w:color w:val="auto"/>
          <w:highlight w:val="none"/>
          <w:lang w:val="zh-CN"/>
        </w:rPr>
        <w:t>.1</w:t>
      </w:r>
      <w:r>
        <w:rPr>
          <w:rFonts w:hint="eastAsia"/>
          <w:i w:val="0"/>
          <w:iCs w:val="0"/>
          <w:color w:val="auto"/>
          <w:highlight w:val="none"/>
          <w:lang w:val="zh-CN"/>
        </w:rPr>
        <w:t>评审过程中，各项分值一般精确到小数点后两位，评审得分应当为商务评分、技术评分、报价评分之和。磋商小组各成员应当汇总每个供应商的得分。</w:t>
      </w:r>
    </w:p>
    <w:p w14:paraId="19B885C9">
      <w:pPr>
        <w:pStyle w:val="41"/>
        <w:pageBreakBefore w:val="0"/>
        <w:kinsoku/>
        <w:overflowPunct/>
        <w:topLinePunct w:val="0"/>
        <w:autoSpaceDE/>
        <w:autoSpaceDN/>
        <w:bidi w:val="0"/>
        <w:spacing w:line="440" w:lineRule="exact"/>
        <w:ind w:firstLine="480"/>
        <w:textAlignment w:val="auto"/>
        <w:rPr>
          <w:i w:val="0"/>
          <w:iCs w:val="0"/>
          <w:color w:val="auto"/>
          <w:highlight w:val="none"/>
          <w:lang w:val="zh-CN"/>
        </w:rPr>
      </w:pPr>
      <w:r>
        <w:rPr>
          <w:rFonts w:hint="eastAsia"/>
          <w:i w:val="0"/>
          <w:iCs w:val="0"/>
          <w:color w:val="auto"/>
          <w:highlight w:val="none"/>
          <w:lang w:val="zh-CN"/>
        </w:rPr>
        <w:t>6</w:t>
      </w:r>
      <w:r>
        <w:rPr>
          <w:i w:val="0"/>
          <w:iCs w:val="0"/>
          <w:color w:val="auto"/>
          <w:highlight w:val="none"/>
          <w:lang w:val="zh-CN"/>
        </w:rPr>
        <w:t>.2</w:t>
      </w:r>
      <w:r>
        <w:rPr>
          <w:rFonts w:hint="eastAsia"/>
          <w:i w:val="0"/>
          <w:iCs w:val="0"/>
          <w:color w:val="auto"/>
          <w:highlight w:val="none"/>
          <w:lang w:val="zh-CN"/>
        </w:rPr>
        <w:t>评审结果汇总完成后，采购代理机构应当对评审结果进行复核。经复核发现存在以下情形之一的，磋商小组应当当场修改评审结果，并在评审报告中记载：</w:t>
      </w:r>
    </w:p>
    <w:p w14:paraId="6D08A4DB">
      <w:pPr>
        <w:pStyle w:val="41"/>
        <w:pageBreakBefore w:val="0"/>
        <w:kinsoku/>
        <w:overflowPunct/>
        <w:topLinePunct w:val="0"/>
        <w:autoSpaceDE/>
        <w:autoSpaceDN/>
        <w:bidi w:val="0"/>
        <w:spacing w:line="440" w:lineRule="exact"/>
        <w:ind w:firstLine="480"/>
        <w:textAlignment w:val="auto"/>
        <w:rPr>
          <w:rFonts w:cs="Times New Roman"/>
          <w:i w:val="0"/>
          <w:iCs w:val="0"/>
          <w:color w:val="auto"/>
          <w:szCs w:val="20"/>
          <w:highlight w:val="none"/>
          <w:lang w:val="zh-CN"/>
        </w:rPr>
      </w:pPr>
      <w:r>
        <w:rPr>
          <w:rFonts w:hint="eastAsia"/>
          <w:i w:val="0"/>
          <w:iCs w:val="0"/>
          <w:color w:val="auto"/>
          <w:highlight w:val="none"/>
          <w:lang w:val="zh-CN"/>
        </w:rPr>
        <w:t>（1）</w:t>
      </w:r>
      <w:r>
        <w:rPr>
          <w:rFonts w:hint="eastAsia"/>
          <w:i w:val="0"/>
          <w:iCs w:val="0"/>
          <w:color w:val="auto"/>
          <w:highlight w:val="none"/>
          <w:lang w:val="zh-CN" w:eastAsia="zh-CN"/>
        </w:rPr>
        <w:t>资格性检查认定错误</w:t>
      </w:r>
      <w:r>
        <w:rPr>
          <w:rFonts w:hint="eastAsia"/>
          <w:i w:val="0"/>
          <w:iCs w:val="0"/>
          <w:color w:val="auto"/>
          <w:highlight w:val="none"/>
          <w:lang w:val="zh-CN"/>
        </w:rPr>
        <w:t xml:space="preserve">的； </w:t>
      </w:r>
    </w:p>
    <w:p w14:paraId="42D1275F">
      <w:pPr>
        <w:pStyle w:val="41"/>
        <w:pageBreakBefore w:val="0"/>
        <w:kinsoku/>
        <w:overflowPunct/>
        <w:topLinePunct w:val="0"/>
        <w:autoSpaceDE/>
        <w:autoSpaceDN/>
        <w:bidi w:val="0"/>
        <w:spacing w:line="440" w:lineRule="exact"/>
        <w:ind w:firstLine="480"/>
        <w:textAlignment w:val="auto"/>
        <w:rPr>
          <w:rFonts w:cs="Times New Roman"/>
          <w:i w:val="0"/>
          <w:iCs w:val="0"/>
          <w:color w:val="auto"/>
          <w:szCs w:val="20"/>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2</w:t>
      </w:r>
      <w:r>
        <w:rPr>
          <w:rFonts w:hint="eastAsia"/>
          <w:i w:val="0"/>
          <w:iCs w:val="0"/>
          <w:color w:val="auto"/>
          <w:highlight w:val="none"/>
          <w:lang w:val="zh-CN"/>
        </w:rPr>
        <w:t xml:space="preserve">）分值汇总计算错误的； </w:t>
      </w:r>
    </w:p>
    <w:p w14:paraId="24BF23EF">
      <w:pPr>
        <w:pStyle w:val="41"/>
        <w:pageBreakBefore w:val="0"/>
        <w:kinsoku/>
        <w:overflowPunct/>
        <w:topLinePunct w:val="0"/>
        <w:autoSpaceDE/>
        <w:autoSpaceDN/>
        <w:bidi w:val="0"/>
        <w:spacing w:line="440" w:lineRule="exact"/>
        <w:ind w:firstLine="480"/>
        <w:textAlignment w:val="auto"/>
        <w:rPr>
          <w:i w:val="0"/>
          <w:iCs w:val="0"/>
          <w:color w:val="auto"/>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3</w:t>
      </w:r>
      <w:r>
        <w:rPr>
          <w:rFonts w:hint="eastAsia"/>
          <w:i w:val="0"/>
          <w:iCs w:val="0"/>
          <w:color w:val="auto"/>
          <w:highlight w:val="none"/>
          <w:lang w:val="zh-CN"/>
        </w:rPr>
        <w:t>）分项评分超出评分标准范围的；</w:t>
      </w:r>
    </w:p>
    <w:p w14:paraId="08C2AD02">
      <w:pPr>
        <w:pStyle w:val="41"/>
        <w:pageBreakBefore w:val="0"/>
        <w:kinsoku/>
        <w:overflowPunct/>
        <w:topLinePunct w:val="0"/>
        <w:autoSpaceDE/>
        <w:autoSpaceDN/>
        <w:bidi w:val="0"/>
        <w:spacing w:line="440" w:lineRule="exact"/>
        <w:ind w:firstLine="480"/>
        <w:textAlignment w:val="auto"/>
        <w:rPr>
          <w:i w:val="0"/>
          <w:iCs w:val="0"/>
          <w:color w:val="auto"/>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4</w:t>
      </w:r>
      <w:r>
        <w:rPr>
          <w:rFonts w:hint="eastAsia"/>
          <w:i w:val="0"/>
          <w:iCs w:val="0"/>
          <w:color w:val="auto"/>
          <w:highlight w:val="none"/>
          <w:lang w:val="zh-CN"/>
        </w:rPr>
        <w:t>）</w:t>
      </w:r>
      <w:r>
        <w:rPr>
          <w:rFonts w:hint="eastAsia" w:cs="Helvetica"/>
          <w:i w:val="0"/>
          <w:iCs w:val="0"/>
          <w:color w:val="auto"/>
          <w:szCs w:val="24"/>
          <w:highlight w:val="none"/>
          <w:lang w:val="zh-CN"/>
        </w:rPr>
        <w:t>磋商小组</w:t>
      </w:r>
      <w:r>
        <w:rPr>
          <w:rFonts w:hint="eastAsia"/>
          <w:i w:val="0"/>
          <w:iCs w:val="0"/>
          <w:color w:val="auto"/>
          <w:highlight w:val="none"/>
          <w:lang w:val="zh-CN"/>
        </w:rPr>
        <w:t>成员对客观</w:t>
      </w:r>
      <w:r>
        <w:rPr>
          <w:rFonts w:hint="eastAsia"/>
          <w:i w:val="0"/>
          <w:iCs w:val="0"/>
          <w:color w:val="auto"/>
          <w:highlight w:val="none"/>
          <w:lang w:val="en-US" w:eastAsia="zh-CN"/>
        </w:rPr>
        <w:t>分</w:t>
      </w:r>
      <w:r>
        <w:rPr>
          <w:rFonts w:hint="eastAsia"/>
          <w:i w:val="0"/>
          <w:iCs w:val="0"/>
          <w:color w:val="auto"/>
          <w:highlight w:val="none"/>
          <w:lang w:val="zh-CN"/>
        </w:rPr>
        <w:t>评分不一致的；</w:t>
      </w:r>
    </w:p>
    <w:p w14:paraId="4CAD3587">
      <w:pPr>
        <w:pStyle w:val="41"/>
        <w:pageBreakBefore w:val="0"/>
        <w:kinsoku/>
        <w:overflowPunct/>
        <w:topLinePunct w:val="0"/>
        <w:autoSpaceDE/>
        <w:autoSpaceDN/>
        <w:bidi w:val="0"/>
        <w:spacing w:line="440" w:lineRule="exact"/>
        <w:ind w:firstLine="480"/>
        <w:textAlignment w:val="auto"/>
        <w:rPr>
          <w:i w:val="0"/>
          <w:iCs w:val="0"/>
          <w:color w:val="auto"/>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5</w:t>
      </w:r>
      <w:r>
        <w:rPr>
          <w:rFonts w:hint="eastAsia"/>
          <w:i w:val="0"/>
          <w:iCs w:val="0"/>
          <w:color w:val="auto"/>
          <w:highlight w:val="none"/>
          <w:lang w:val="zh-CN"/>
        </w:rPr>
        <w:t>）经</w:t>
      </w:r>
      <w:r>
        <w:rPr>
          <w:rFonts w:hint="eastAsia" w:cs="Helvetica"/>
          <w:i w:val="0"/>
          <w:iCs w:val="0"/>
          <w:color w:val="auto"/>
          <w:szCs w:val="24"/>
          <w:highlight w:val="none"/>
          <w:lang w:val="zh-CN"/>
        </w:rPr>
        <w:t>磋商小组</w:t>
      </w:r>
      <w:r>
        <w:rPr>
          <w:rFonts w:hint="eastAsia" w:cs="Helvetica"/>
          <w:i w:val="0"/>
          <w:iCs w:val="0"/>
          <w:color w:val="auto"/>
          <w:szCs w:val="24"/>
          <w:highlight w:val="none"/>
          <w:lang w:val="en-US" w:eastAsia="zh-CN"/>
        </w:rPr>
        <w:t>一致</w:t>
      </w:r>
      <w:r>
        <w:rPr>
          <w:rFonts w:hint="eastAsia"/>
          <w:i w:val="0"/>
          <w:iCs w:val="0"/>
          <w:color w:val="auto"/>
          <w:highlight w:val="none"/>
          <w:lang w:val="zh-CN"/>
        </w:rPr>
        <w:t>认定评分畸高、畸低的。</w:t>
      </w:r>
    </w:p>
    <w:p w14:paraId="569F3A00">
      <w:pPr>
        <w:pStyle w:val="41"/>
        <w:pageBreakBefore w:val="0"/>
        <w:kinsoku/>
        <w:overflowPunct/>
        <w:topLinePunct w:val="0"/>
        <w:autoSpaceDE/>
        <w:autoSpaceDN/>
        <w:bidi w:val="0"/>
        <w:spacing w:line="440" w:lineRule="exact"/>
        <w:ind w:firstLine="480"/>
        <w:textAlignment w:val="auto"/>
        <w:rPr>
          <w:rFonts w:hint="eastAsia"/>
          <w:i w:val="0"/>
          <w:iCs w:val="0"/>
          <w:color w:val="auto"/>
          <w:highlight w:val="none"/>
          <w:lang w:val="zh-CN"/>
        </w:rPr>
      </w:pPr>
      <w:r>
        <w:rPr>
          <w:rFonts w:hint="eastAsia"/>
          <w:i w:val="0"/>
          <w:iCs w:val="0"/>
          <w:color w:val="auto"/>
          <w:highlight w:val="none"/>
          <w:lang w:val="zh-CN"/>
        </w:rPr>
        <w:t>6</w:t>
      </w:r>
      <w:r>
        <w:rPr>
          <w:i w:val="0"/>
          <w:iCs w:val="0"/>
          <w:color w:val="auto"/>
          <w:highlight w:val="none"/>
          <w:lang w:val="zh-CN"/>
        </w:rPr>
        <w:t>.3</w:t>
      </w:r>
      <w:r>
        <w:rPr>
          <w:rFonts w:hint="eastAsia"/>
          <w:i w:val="0"/>
          <w:iCs w:val="0"/>
          <w:color w:val="auto"/>
          <w:highlight w:val="none"/>
          <w:lang w:val="zh-CN"/>
        </w:rPr>
        <w:t>各供应商的最终得分为磋商小组所有成员对各供应商评审得分汇总后的算术平均值。</w:t>
      </w:r>
    </w:p>
    <w:p w14:paraId="2481B632">
      <w:pPr>
        <w:pStyle w:val="41"/>
        <w:pageBreakBefore w:val="0"/>
        <w:kinsoku/>
        <w:overflowPunct/>
        <w:topLinePunct w:val="0"/>
        <w:autoSpaceDE/>
        <w:autoSpaceDN/>
        <w:bidi w:val="0"/>
        <w:spacing w:line="440" w:lineRule="exact"/>
        <w:ind w:firstLine="480"/>
        <w:textAlignment w:val="auto"/>
        <w:rPr>
          <w:rFonts w:hint="eastAsia"/>
          <w:i w:val="0"/>
          <w:iCs w:val="0"/>
          <w:color w:val="auto"/>
          <w:highlight w:val="none"/>
          <w:lang w:val="en-US" w:eastAsia="zh-CN"/>
        </w:rPr>
      </w:pPr>
      <w:r>
        <w:rPr>
          <w:rFonts w:hint="eastAsia"/>
          <w:i w:val="0"/>
          <w:iCs w:val="0"/>
          <w:color w:val="auto"/>
          <w:highlight w:val="none"/>
          <w:lang w:val="en-US" w:eastAsia="zh-CN"/>
        </w:rPr>
        <w:t>6.4除资格性检查认定错误、分值汇总计算错误、分项评分超出评分标准范围、客观分评分不一致、经磋商小组一致认定评分畸高、畸低的情形外，采购人或者采购代理机构不得以任何理由组织重新评审。采购人、采购代理机构发现磋商小组未按照磋商文件规定的评审标准进行评审的，应当重新开展采购活动，并同时书面报告本级财政部门。</w:t>
      </w:r>
    </w:p>
    <w:p w14:paraId="16A834DD">
      <w:pPr>
        <w:pStyle w:val="41"/>
        <w:pageBreakBefore w:val="0"/>
        <w:kinsoku/>
        <w:overflowPunct/>
        <w:topLinePunct w:val="0"/>
        <w:autoSpaceDE/>
        <w:autoSpaceDN/>
        <w:bidi w:val="0"/>
        <w:spacing w:line="440" w:lineRule="exact"/>
        <w:ind w:firstLine="480"/>
        <w:textAlignment w:val="auto"/>
        <w:rPr>
          <w:rFonts w:hint="eastAsia"/>
          <w:i w:val="0"/>
          <w:iCs w:val="0"/>
          <w:color w:val="auto"/>
          <w:highlight w:val="none"/>
          <w:lang w:val="en-US" w:eastAsia="zh-CN"/>
        </w:rPr>
      </w:pPr>
      <w:r>
        <w:rPr>
          <w:rFonts w:hint="eastAsia"/>
          <w:i w:val="0"/>
          <w:iCs w:val="0"/>
          <w:color w:val="auto"/>
          <w:highlight w:val="none"/>
          <w:lang w:val="en-US" w:eastAsia="zh-CN"/>
        </w:rPr>
        <w:t>6.5采购人或者采购代理机构不得通过对样品进行检测、对供应商进行考察等方式改变评审结果。</w:t>
      </w:r>
    </w:p>
    <w:p w14:paraId="0454CB58">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7.评审报告</w:t>
      </w:r>
      <w:bookmarkEnd w:id="455"/>
      <w:bookmarkEnd w:id="456"/>
      <w:bookmarkEnd w:id="457"/>
      <w:bookmarkEnd w:id="458"/>
      <w:bookmarkEnd w:id="459"/>
      <w:bookmarkEnd w:id="460"/>
    </w:p>
    <w:p w14:paraId="5E7A6D8A">
      <w:pPr>
        <w:pStyle w:val="41"/>
        <w:pageBreakBefore w:val="0"/>
        <w:kinsoku/>
        <w:overflowPunct/>
        <w:topLinePunct w:val="0"/>
        <w:autoSpaceDE/>
        <w:autoSpaceDN/>
        <w:bidi w:val="0"/>
        <w:spacing w:line="440" w:lineRule="exact"/>
        <w:ind w:firstLine="480"/>
        <w:textAlignment w:val="auto"/>
        <w:rPr>
          <w:rFonts w:cs="Helvetica"/>
          <w:i w:val="0"/>
          <w:iCs w:val="0"/>
          <w:color w:val="auto"/>
          <w:szCs w:val="24"/>
          <w:highlight w:val="none"/>
          <w:lang w:val="zh-CN"/>
        </w:rPr>
      </w:pPr>
      <w:r>
        <w:rPr>
          <w:rFonts w:hint="eastAsia" w:cs="Helvetica"/>
          <w:i w:val="0"/>
          <w:iCs w:val="0"/>
          <w:color w:val="auto"/>
          <w:szCs w:val="24"/>
          <w:highlight w:val="none"/>
          <w:lang w:val="en-US" w:eastAsia="zh-CN"/>
        </w:rPr>
        <w:t>7</w:t>
      </w:r>
      <w:r>
        <w:rPr>
          <w:rFonts w:cs="Helvetica"/>
          <w:i w:val="0"/>
          <w:iCs w:val="0"/>
          <w:color w:val="auto"/>
          <w:szCs w:val="24"/>
          <w:highlight w:val="none"/>
          <w:lang w:val="zh-CN"/>
        </w:rPr>
        <w:t>.1</w:t>
      </w:r>
      <w:r>
        <w:rPr>
          <w:rFonts w:hint="eastAsia" w:cs="Helvetica"/>
          <w:i w:val="0"/>
          <w:iCs w:val="0"/>
          <w:color w:val="auto"/>
          <w:szCs w:val="24"/>
          <w:highlight w:val="none"/>
          <w:lang w:val="zh-CN"/>
        </w:rPr>
        <w:t>磋商小组</w:t>
      </w:r>
      <w:r>
        <w:rPr>
          <w:rFonts w:hint="eastAsia"/>
          <w:i w:val="0"/>
          <w:iCs w:val="0"/>
          <w:color w:val="auto"/>
          <w:highlight w:val="none"/>
        </w:rPr>
        <w:t>从质量和服务均能满足磋商文件实质性要求的供应商中，按照</w:t>
      </w:r>
      <w:r>
        <w:rPr>
          <w:rFonts w:hint="eastAsia"/>
          <w:i w:val="0"/>
          <w:iCs w:val="0"/>
          <w:color w:val="auto"/>
          <w:highlight w:val="none"/>
          <w:lang w:val="en-US" w:eastAsia="zh-CN"/>
        </w:rPr>
        <w:t>评审</w:t>
      </w:r>
      <w:r>
        <w:rPr>
          <w:rFonts w:hint="eastAsia"/>
          <w:i w:val="0"/>
          <w:iCs w:val="0"/>
          <w:color w:val="auto"/>
          <w:highlight w:val="none"/>
        </w:rPr>
        <w:t>得分由高到低的顺序推荐3名</w:t>
      </w:r>
      <w:r>
        <w:rPr>
          <w:rFonts w:hint="eastAsia"/>
          <w:i w:val="0"/>
          <w:iCs w:val="0"/>
          <w:color w:val="auto"/>
          <w:szCs w:val="24"/>
          <w:highlight w:val="none"/>
          <w:lang w:val="zh-CN"/>
        </w:rPr>
        <w:t>（</w:t>
      </w:r>
      <w:r>
        <w:rPr>
          <w:rFonts w:hint="eastAsia"/>
          <w:i w:val="0"/>
          <w:iCs w:val="0"/>
          <w:color w:val="auto"/>
          <w:highlight w:val="none"/>
        </w:rPr>
        <w:t>市场竞争不充分的科研项目，以及需要扶持的科技成果转化项目可以为</w:t>
      </w:r>
      <w:r>
        <w:rPr>
          <w:i w:val="0"/>
          <w:iCs w:val="0"/>
          <w:color w:val="auto"/>
          <w:highlight w:val="none"/>
        </w:rPr>
        <w:t>2家</w:t>
      </w:r>
      <w:r>
        <w:rPr>
          <w:rFonts w:hint="eastAsia"/>
          <w:i w:val="0"/>
          <w:iCs w:val="0"/>
          <w:color w:val="auto"/>
          <w:highlight w:val="none"/>
        </w:rPr>
        <w:t>，</w:t>
      </w:r>
      <w:r>
        <w:rPr>
          <w:rFonts w:hint="eastAsia"/>
          <w:i w:val="0"/>
          <w:iCs w:val="0"/>
          <w:snapToGrid w:val="0"/>
          <w:color w:val="auto"/>
          <w:highlight w:val="none"/>
        </w:rPr>
        <w:t>政府购买服务项目[含政府和社会资本合作项目]，在采购过程中符合要求的供应商[社会资本]只有2家的</w:t>
      </w:r>
      <w:r>
        <w:rPr>
          <w:rFonts w:hint="eastAsia"/>
          <w:i w:val="0"/>
          <w:iCs w:val="0"/>
          <w:color w:val="auto"/>
          <w:highlight w:val="none"/>
        </w:rPr>
        <w:t>可以为</w:t>
      </w:r>
      <w:r>
        <w:rPr>
          <w:i w:val="0"/>
          <w:iCs w:val="0"/>
          <w:color w:val="auto"/>
          <w:highlight w:val="none"/>
        </w:rPr>
        <w:t>2家</w:t>
      </w:r>
      <w:r>
        <w:rPr>
          <w:i w:val="0"/>
          <w:iCs w:val="0"/>
          <w:color w:val="auto"/>
          <w:szCs w:val="24"/>
          <w:highlight w:val="none"/>
          <w:lang w:val="zh-CN"/>
        </w:rPr>
        <w:t>）</w:t>
      </w:r>
      <w:r>
        <w:rPr>
          <w:rFonts w:hint="eastAsia"/>
          <w:i w:val="0"/>
          <w:iCs w:val="0"/>
          <w:color w:val="auto"/>
          <w:highlight w:val="none"/>
        </w:rPr>
        <w:t>以上</w:t>
      </w:r>
      <w:r>
        <w:rPr>
          <w:rFonts w:hint="eastAsia" w:cs="Helvetica"/>
          <w:i w:val="0"/>
          <w:iCs w:val="0"/>
          <w:color w:val="auto"/>
          <w:szCs w:val="24"/>
          <w:highlight w:val="none"/>
          <w:lang w:val="zh-CN"/>
        </w:rPr>
        <w:t>成交</w:t>
      </w:r>
      <w:r>
        <w:rPr>
          <w:rFonts w:hint="eastAsia"/>
          <w:i w:val="0"/>
          <w:iCs w:val="0"/>
          <w:color w:val="auto"/>
          <w:highlight w:val="none"/>
        </w:rPr>
        <w:t>候选供应商。评审得</w:t>
      </w:r>
      <w:r>
        <w:rPr>
          <w:i w:val="0"/>
          <w:iCs w:val="0"/>
          <w:color w:val="auto"/>
          <w:highlight w:val="none"/>
        </w:rPr>
        <w:t>分相同的，</w:t>
      </w:r>
      <w:r>
        <w:rPr>
          <w:rFonts w:hint="eastAsia" w:cs="Helvetica"/>
          <w:i w:val="0"/>
          <w:iCs w:val="0"/>
          <w:color w:val="auto"/>
          <w:szCs w:val="24"/>
          <w:highlight w:val="none"/>
          <w:lang w:val="zh-CN"/>
        </w:rPr>
        <w:t>磋商小组</w:t>
      </w:r>
      <w:r>
        <w:rPr>
          <w:rFonts w:hint="eastAsia"/>
          <w:i w:val="0"/>
          <w:iCs w:val="0"/>
          <w:color w:val="auto"/>
          <w:highlight w:val="none"/>
        </w:rPr>
        <w:t>按照最后报价由低到高的顺序</w:t>
      </w:r>
      <w:r>
        <w:rPr>
          <w:i w:val="0"/>
          <w:iCs w:val="0"/>
          <w:color w:val="auto"/>
          <w:highlight w:val="none"/>
        </w:rPr>
        <w:t>推荐</w:t>
      </w:r>
      <w:r>
        <w:rPr>
          <w:rFonts w:hint="eastAsia"/>
          <w:i w:val="0"/>
          <w:iCs w:val="0"/>
          <w:color w:val="auto"/>
          <w:highlight w:val="none"/>
        </w:rPr>
        <w:t>；</w:t>
      </w:r>
      <w:r>
        <w:rPr>
          <w:rFonts w:hint="eastAsia"/>
          <w:i w:val="0"/>
          <w:iCs w:val="0"/>
          <w:color w:val="auto"/>
          <w:highlight w:val="none"/>
          <w:lang w:val="en-US" w:eastAsia="zh-CN"/>
        </w:rPr>
        <w:t>评审</w:t>
      </w:r>
      <w:r>
        <w:rPr>
          <w:rFonts w:hint="eastAsia"/>
          <w:i w:val="0"/>
          <w:iCs w:val="0"/>
          <w:color w:val="auto"/>
          <w:highlight w:val="none"/>
        </w:rPr>
        <w:t>得分且最后报价相同的，按</w:t>
      </w:r>
      <w:r>
        <w:rPr>
          <w:rFonts w:hint="eastAsia"/>
          <w:i w:val="0"/>
          <w:iCs w:val="0"/>
          <w:color w:val="auto"/>
          <w:highlight w:val="none"/>
          <w:lang w:val="en-US" w:eastAsia="zh-CN"/>
        </w:rPr>
        <w:t>照</w:t>
      </w:r>
      <w:r>
        <w:rPr>
          <w:rFonts w:hint="eastAsia"/>
          <w:i w:val="0"/>
          <w:iCs w:val="0"/>
          <w:color w:val="auto"/>
          <w:highlight w:val="none"/>
        </w:rPr>
        <w:t>技术</w:t>
      </w:r>
      <w:r>
        <w:rPr>
          <w:rFonts w:hint="eastAsia"/>
          <w:i w:val="0"/>
          <w:iCs w:val="0"/>
          <w:color w:val="auto"/>
          <w:highlight w:val="none"/>
          <w:lang w:val="en-US" w:eastAsia="zh-CN"/>
        </w:rPr>
        <w:t>指标</w:t>
      </w:r>
      <w:r>
        <w:rPr>
          <w:rFonts w:hint="eastAsia"/>
          <w:i w:val="0"/>
          <w:iCs w:val="0"/>
          <w:color w:val="auto"/>
          <w:highlight w:val="none"/>
        </w:rPr>
        <w:t>优劣顺序推荐</w:t>
      </w:r>
      <w:r>
        <w:rPr>
          <w:rFonts w:hint="eastAsia" w:cs="Helvetica"/>
          <w:i w:val="0"/>
          <w:iCs w:val="0"/>
          <w:color w:val="auto"/>
          <w:szCs w:val="24"/>
          <w:highlight w:val="none"/>
          <w:lang w:val="zh-CN"/>
        </w:rPr>
        <w:t>。响应文件满足磋商文件全部实质性要求且评审得分</w:t>
      </w:r>
      <w:r>
        <w:rPr>
          <w:rFonts w:cs="Helvetica"/>
          <w:i w:val="0"/>
          <w:iCs w:val="0"/>
          <w:color w:val="auto"/>
          <w:szCs w:val="24"/>
          <w:highlight w:val="none"/>
          <w:lang w:val="zh-CN"/>
        </w:rPr>
        <w:t>最高</w:t>
      </w:r>
      <w:r>
        <w:rPr>
          <w:rFonts w:hint="eastAsia" w:cs="Helvetica"/>
          <w:i w:val="0"/>
          <w:iCs w:val="0"/>
          <w:color w:val="auto"/>
          <w:szCs w:val="24"/>
          <w:highlight w:val="none"/>
          <w:lang w:val="zh-CN"/>
        </w:rPr>
        <w:t>的供应商为排名第一的成交候选供应商。</w:t>
      </w:r>
      <w:r>
        <w:rPr>
          <w:rFonts w:hint="eastAsia"/>
          <w:i w:val="0"/>
          <w:iCs w:val="0"/>
          <w:color w:val="auto"/>
          <w:highlight w:val="none"/>
        </w:rPr>
        <w:t>磋商小组依据评审结果</w:t>
      </w:r>
      <w:r>
        <w:rPr>
          <w:rFonts w:hint="eastAsia"/>
          <w:i w:val="0"/>
          <w:iCs w:val="0"/>
          <w:color w:val="auto"/>
          <w:highlight w:val="none"/>
          <w:lang w:eastAsia="zh-CN"/>
        </w:rPr>
        <w:t>形成评审报告</w:t>
      </w:r>
      <w:r>
        <w:rPr>
          <w:rFonts w:hint="eastAsia" w:ascii="宋体" w:hAnsi="宋体" w:eastAsia="宋体"/>
          <w:i w:val="0"/>
          <w:iCs w:val="0"/>
          <w:color w:val="auto"/>
          <w:highlight w:val="none"/>
          <w:lang w:eastAsia="zh-CN"/>
        </w:rPr>
        <w:t>。</w:t>
      </w:r>
    </w:p>
    <w:p w14:paraId="503E4226">
      <w:pPr>
        <w:pStyle w:val="41"/>
        <w:pageBreakBefore w:val="0"/>
        <w:kinsoku/>
        <w:overflowPunct/>
        <w:topLinePunct w:val="0"/>
        <w:autoSpaceDE/>
        <w:autoSpaceDN/>
        <w:bidi w:val="0"/>
        <w:spacing w:line="440" w:lineRule="exact"/>
        <w:ind w:firstLine="480"/>
        <w:textAlignment w:val="auto"/>
        <w:rPr>
          <w:rFonts w:hint="eastAsia" w:cs="Helvetica"/>
          <w:i w:val="0"/>
          <w:iCs w:val="0"/>
          <w:color w:val="auto"/>
          <w:szCs w:val="24"/>
          <w:highlight w:val="none"/>
          <w:lang w:val="zh-CN"/>
        </w:rPr>
      </w:pPr>
      <w:r>
        <w:rPr>
          <w:rFonts w:hint="eastAsia" w:cs="Helvetica"/>
          <w:i w:val="0"/>
          <w:iCs w:val="0"/>
          <w:color w:val="auto"/>
          <w:szCs w:val="24"/>
          <w:highlight w:val="none"/>
          <w:lang w:val="en-US" w:eastAsia="zh-CN"/>
        </w:rPr>
        <w:t>7</w:t>
      </w:r>
      <w:r>
        <w:rPr>
          <w:rFonts w:cs="Helvetica"/>
          <w:i w:val="0"/>
          <w:iCs w:val="0"/>
          <w:color w:val="auto"/>
          <w:szCs w:val="24"/>
          <w:highlight w:val="none"/>
          <w:lang w:val="zh-CN"/>
        </w:rPr>
        <w:t>.</w:t>
      </w:r>
      <w:r>
        <w:rPr>
          <w:rFonts w:hint="eastAsia" w:cs="Helvetica"/>
          <w:i w:val="0"/>
          <w:iCs w:val="0"/>
          <w:color w:val="auto"/>
          <w:szCs w:val="24"/>
          <w:highlight w:val="none"/>
          <w:lang w:val="en-US" w:eastAsia="zh-CN"/>
        </w:rPr>
        <w:t>2</w:t>
      </w:r>
      <w:r>
        <w:rPr>
          <w:rFonts w:hint="eastAsia"/>
          <w:i w:val="0"/>
          <w:iCs w:val="0"/>
          <w:color w:val="auto"/>
          <w:highlight w:val="none"/>
          <w:lang w:val="zh-CN" w:eastAsia="zh-CN"/>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r>
        <w:rPr>
          <w:rFonts w:hint="eastAsia" w:cs="Helvetica"/>
          <w:i w:val="0"/>
          <w:iCs w:val="0"/>
          <w:color w:val="auto"/>
          <w:szCs w:val="24"/>
          <w:highlight w:val="none"/>
          <w:lang w:val="zh-CN"/>
        </w:rPr>
        <w:t>。</w:t>
      </w:r>
    </w:p>
    <w:p w14:paraId="44DBF114">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8.响应无效的情形</w:t>
      </w:r>
    </w:p>
    <w:p w14:paraId="5360D611">
      <w:pPr>
        <w:keepNext w:val="0"/>
        <w:keepLines w:val="0"/>
        <w:pageBreakBefore w:val="0"/>
        <w:widowControl/>
        <w:suppressLineNumbers w:val="0"/>
        <w:kinsoku/>
        <w:overflowPunct/>
        <w:topLinePunct w:val="0"/>
        <w:autoSpaceDE/>
        <w:autoSpaceDN/>
        <w:bidi w:val="0"/>
        <w:spacing w:line="440" w:lineRule="exact"/>
        <w:ind w:firstLine="480" w:firstLineChars="200"/>
        <w:jc w:val="left"/>
        <w:textAlignment w:val="auto"/>
        <w:rPr>
          <w:rFonts w:hint="eastAsia" w:cstheme="minorBidi"/>
          <w:i w:val="0"/>
          <w:iCs w:val="0"/>
          <w:color w:val="auto"/>
          <w:kern w:val="2"/>
          <w:sz w:val="24"/>
          <w:szCs w:val="22"/>
          <w:highlight w:val="none"/>
          <w:lang w:val="en-US" w:eastAsia="zh-CN" w:bidi="ar-SA"/>
        </w:rPr>
      </w:pPr>
      <w:r>
        <w:rPr>
          <w:rFonts w:hint="eastAsia" w:cstheme="minorBidi"/>
          <w:i w:val="0"/>
          <w:iCs w:val="0"/>
          <w:color w:val="auto"/>
          <w:kern w:val="2"/>
          <w:sz w:val="24"/>
          <w:szCs w:val="22"/>
          <w:highlight w:val="none"/>
          <w:lang w:val="en-US" w:eastAsia="zh-CN" w:bidi="ar-SA"/>
        </w:rPr>
        <w:t>8.1</w:t>
      </w:r>
      <w:r>
        <w:rPr>
          <w:rFonts w:hint="eastAsia" w:ascii="宋体" w:hAnsi="宋体" w:eastAsia="宋体" w:cs="宋体"/>
          <w:b w:val="0"/>
          <w:bCs w:val="0"/>
          <w:i w:val="0"/>
          <w:iCs w:val="0"/>
          <w:color w:val="auto"/>
          <w:sz w:val="24"/>
          <w:szCs w:val="24"/>
          <w:highlight w:val="none"/>
        </w:rPr>
        <w:t>供应商存在下列情况之一的，</w:t>
      </w:r>
      <w:r>
        <w:rPr>
          <w:rFonts w:hint="eastAsia" w:cs="宋体"/>
          <w:b w:val="0"/>
          <w:bCs w:val="0"/>
          <w:i w:val="0"/>
          <w:iCs w:val="0"/>
          <w:color w:val="auto"/>
          <w:sz w:val="24"/>
          <w:szCs w:val="24"/>
          <w:highlight w:val="none"/>
          <w:lang w:val="en-US" w:eastAsia="zh-CN"/>
        </w:rPr>
        <w:t>其</w:t>
      </w:r>
      <w:r>
        <w:rPr>
          <w:rFonts w:hint="eastAsia" w:cs="宋体"/>
          <w:b/>
          <w:bCs/>
          <w:i w:val="0"/>
          <w:iCs w:val="0"/>
          <w:color w:val="auto"/>
          <w:sz w:val="24"/>
          <w:szCs w:val="24"/>
          <w:highlight w:val="none"/>
          <w:lang w:val="en-US" w:eastAsia="zh-CN"/>
        </w:rPr>
        <w:t>响应</w:t>
      </w:r>
      <w:r>
        <w:rPr>
          <w:rFonts w:hint="eastAsia" w:ascii="宋体" w:hAnsi="宋体" w:eastAsia="宋体" w:cs="宋体"/>
          <w:b/>
          <w:bCs/>
          <w:i w:val="0"/>
          <w:iCs w:val="0"/>
          <w:color w:val="auto"/>
          <w:sz w:val="24"/>
          <w:szCs w:val="24"/>
          <w:highlight w:val="none"/>
        </w:rPr>
        <w:t>无效</w:t>
      </w:r>
      <w:r>
        <w:rPr>
          <w:rFonts w:hint="eastAsia" w:ascii="宋体" w:hAnsi="宋体" w:eastAsia="宋体" w:cs="宋体"/>
          <w:b w:val="0"/>
          <w:bCs w:val="0"/>
          <w:i w:val="0"/>
          <w:iCs w:val="0"/>
          <w:color w:val="auto"/>
          <w:sz w:val="24"/>
          <w:szCs w:val="24"/>
          <w:highlight w:val="none"/>
        </w:rPr>
        <w:t>：</w:t>
      </w:r>
    </w:p>
    <w:p w14:paraId="49BC5947">
      <w:pPr>
        <w:pStyle w:val="63"/>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1）</w:t>
      </w:r>
      <w:r>
        <w:rPr>
          <w:rFonts w:hint="eastAsia" w:ascii="宋体" w:hAnsi="宋体" w:eastAsia="宋体" w:cs="宋体"/>
          <w:b w:val="0"/>
          <w:bCs w:val="0"/>
          <w:i w:val="0"/>
          <w:iCs w:val="0"/>
          <w:color w:val="auto"/>
          <w:sz w:val="24"/>
          <w:szCs w:val="24"/>
          <w:highlight w:val="none"/>
        </w:rPr>
        <w:t>不同供应商的响应文件由同一单位或者个人编制；</w:t>
      </w:r>
    </w:p>
    <w:p w14:paraId="545F554D">
      <w:pPr>
        <w:pStyle w:val="63"/>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2）</w:t>
      </w:r>
      <w:r>
        <w:rPr>
          <w:rFonts w:hint="eastAsia" w:ascii="宋体" w:hAnsi="宋体" w:eastAsia="宋体" w:cs="宋体"/>
          <w:b w:val="0"/>
          <w:bCs w:val="0"/>
          <w:i w:val="0"/>
          <w:iCs w:val="0"/>
          <w:color w:val="auto"/>
          <w:sz w:val="24"/>
          <w:szCs w:val="24"/>
          <w:highlight w:val="none"/>
        </w:rPr>
        <w:t>不同供应商委托同一单位或者个人办理</w:t>
      </w:r>
      <w:r>
        <w:rPr>
          <w:rFonts w:hint="eastAsia" w:ascii="宋体" w:hAnsi="宋体" w:eastAsia="宋体" w:cs="宋体"/>
          <w:b w:val="0"/>
          <w:bCs w:val="0"/>
          <w:i w:val="0"/>
          <w:iCs w:val="0"/>
          <w:color w:val="auto"/>
          <w:sz w:val="24"/>
          <w:szCs w:val="24"/>
          <w:highlight w:val="none"/>
          <w:lang w:val="en-US" w:eastAsia="zh-CN"/>
        </w:rPr>
        <w:t>磋商响应</w:t>
      </w:r>
      <w:r>
        <w:rPr>
          <w:rFonts w:hint="eastAsia" w:ascii="宋体" w:hAnsi="宋体" w:eastAsia="宋体" w:cs="宋体"/>
          <w:b w:val="0"/>
          <w:bCs w:val="0"/>
          <w:i w:val="0"/>
          <w:iCs w:val="0"/>
          <w:color w:val="auto"/>
          <w:sz w:val="24"/>
          <w:szCs w:val="24"/>
          <w:highlight w:val="none"/>
        </w:rPr>
        <w:t>事宜；</w:t>
      </w:r>
    </w:p>
    <w:p w14:paraId="0418FA4C">
      <w:pPr>
        <w:pStyle w:val="63"/>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3）</w:t>
      </w:r>
      <w:r>
        <w:rPr>
          <w:rFonts w:hint="eastAsia" w:ascii="宋体" w:hAnsi="宋体" w:eastAsia="宋体" w:cs="宋体"/>
          <w:b w:val="0"/>
          <w:bCs w:val="0"/>
          <w:i w:val="0"/>
          <w:iCs w:val="0"/>
          <w:color w:val="auto"/>
          <w:sz w:val="24"/>
          <w:szCs w:val="24"/>
          <w:highlight w:val="none"/>
        </w:rPr>
        <w:t>不同供应商的响应文件载明的项目管理成员或者联系人员为同一人；</w:t>
      </w:r>
    </w:p>
    <w:p w14:paraId="4C8B8AE3">
      <w:pPr>
        <w:pStyle w:val="63"/>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4）</w:t>
      </w:r>
      <w:r>
        <w:rPr>
          <w:rFonts w:hint="eastAsia" w:ascii="宋体" w:hAnsi="宋体" w:eastAsia="宋体" w:cs="宋体"/>
          <w:b w:val="0"/>
          <w:bCs w:val="0"/>
          <w:i w:val="0"/>
          <w:iCs w:val="0"/>
          <w:color w:val="auto"/>
          <w:sz w:val="24"/>
          <w:szCs w:val="24"/>
          <w:highlight w:val="none"/>
        </w:rPr>
        <w:t>不同供应商的响应文件异常一致或者</w:t>
      </w:r>
      <w:r>
        <w:rPr>
          <w:rFonts w:hint="eastAsia" w:ascii="宋体" w:hAnsi="宋体" w:eastAsia="宋体" w:cs="宋体"/>
          <w:b w:val="0"/>
          <w:bCs w:val="0"/>
          <w:i w:val="0"/>
          <w:iCs w:val="0"/>
          <w:color w:val="auto"/>
          <w:sz w:val="24"/>
          <w:szCs w:val="24"/>
          <w:highlight w:val="none"/>
          <w:lang w:val="en-US" w:eastAsia="zh-CN"/>
        </w:rPr>
        <w:t>磋商</w:t>
      </w:r>
      <w:r>
        <w:rPr>
          <w:rFonts w:hint="eastAsia" w:ascii="宋体" w:hAnsi="宋体" w:eastAsia="宋体" w:cs="宋体"/>
          <w:b w:val="0"/>
          <w:bCs w:val="0"/>
          <w:i w:val="0"/>
          <w:iCs w:val="0"/>
          <w:color w:val="auto"/>
          <w:sz w:val="24"/>
          <w:szCs w:val="24"/>
          <w:highlight w:val="none"/>
        </w:rPr>
        <w:t>报价呈规律性差异；</w:t>
      </w:r>
    </w:p>
    <w:p w14:paraId="1677611C">
      <w:pPr>
        <w:pStyle w:val="63"/>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5）</w:t>
      </w:r>
      <w:r>
        <w:rPr>
          <w:rFonts w:hint="eastAsia" w:ascii="宋体" w:hAnsi="宋体" w:eastAsia="宋体" w:cs="宋体"/>
          <w:b w:val="0"/>
          <w:bCs w:val="0"/>
          <w:i w:val="0"/>
          <w:iCs w:val="0"/>
          <w:color w:val="auto"/>
          <w:sz w:val="24"/>
          <w:szCs w:val="24"/>
          <w:highlight w:val="none"/>
        </w:rPr>
        <w:t>不同供应商的响应文件相互混装；</w:t>
      </w:r>
    </w:p>
    <w:p w14:paraId="658F5D27">
      <w:pPr>
        <w:pStyle w:val="63"/>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6）</w:t>
      </w:r>
      <w:r>
        <w:rPr>
          <w:rFonts w:hint="eastAsia" w:ascii="宋体" w:hAnsi="宋体" w:eastAsia="宋体" w:cs="宋体"/>
          <w:b w:val="0"/>
          <w:bCs w:val="0"/>
          <w:i w:val="0"/>
          <w:iCs w:val="0"/>
          <w:color w:val="auto"/>
          <w:sz w:val="24"/>
          <w:szCs w:val="24"/>
          <w:highlight w:val="none"/>
        </w:rPr>
        <w:t>不同供应商的磋商保证金从同一单位或者个人的账户转出</w:t>
      </w:r>
      <w:r>
        <w:rPr>
          <w:rFonts w:hint="eastAsia" w:ascii="宋体" w:hAnsi="宋体" w:eastAsia="宋体" w:cs="宋体"/>
          <w:b w:val="0"/>
          <w:bCs w:val="0"/>
          <w:i w:val="0"/>
          <w:iCs w:val="0"/>
          <w:color w:val="auto"/>
          <w:sz w:val="24"/>
          <w:szCs w:val="24"/>
          <w:highlight w:val="none"/>
          <w:lang w:val="en-US" w:eastAsia="zh-CN"/>
        </w:rPr>
        <w:t>；</w:t>
      </w:r>
    </w:p>
    <w:p w14:paraId="00C93CF4">
      <w:pPr>
        <w:pStyle w:val="41"/>
        <w:pageBreakBefore w:val="0"/>
        <w:kinsoku/>
        <w:overflowPunct/>
        <w:topLinePunct w:val="0"/>
        <w:autoSpaceDE/>
        <w:autoSpaceDN/>
        <w:bidi w:val="0"/>
        <w:spacing w:line="440" w:lineRule="exact"/>
        <w:textAlignment w:val="auto"/>
        <w:rPr>
          <w:rFonts w:hint="eastAsia"/>
          <w:i w:val="0"/>
          <w:iCs w:val="0"/>
          <w:color w:val="auto"/>
          <w:highlight w:val="none"/>
          <w:lang w:val="en-US" w:eastAsia="zh-CN"/>
        </w:rPr>
      </w:pPr>
      <w:r>
        <w:rPr>
          <w:rFonts w:hint="eastAsia"/>
          <w:i w:val="0"/>
          <w:iCs w:val="0"/>
          <w:color w:val="auto"/>
          <w:highlight w:val="none"/>
          <w:lang w:val="en-US" w:eastAsia="zh-CN"/>
        </w:rPr>
        <w:t>（7）</w:t>
      </w:r>
      <w:r>
        <w:rPr>
          <w:rFonts w:hint="eastAsia"/>
          <w:i w:val="0"/>
          <w:iCs w:val="0"/>
          <w:color w:val="auto"/>
          <w:highlight w:val="none"/>
          <w:lang w:val="zh-CN" w:eastAsia="zh-CN"/>
        </w:rPr>
        <w:t>不同</w:t>
      </w:r>
      <w:r>
        <w:rPr>
          <w:rFonts w:hint="eastAsia"/>
          <w:i w:val="0"/>
          <w:iCs w:val="0"/>
          <w:color w:val="auto"/>
          <w:highlight w:val="none"/>
          <w:lang w:val="en-US" w:eastAsia="zh-CN"/>
        </w:rPr>
        <w:t>供应商</w:t>
      </w:r>
      <w:r>
        <w:rPr>
          <w:rFonts w:hint="eastAsia"/>
          <w:i w:val="0"/>
          <w:iCs w:val="0"/>
          <w:color w:val="auto"/>
          <w:highlight w:val="none"/>
          <w:lang w:val="zh-CN" w:eastAsia="zh-CN"/>
        </w:rPr>
        <w:t>使用同一电脑（机器特征值一致：如MAC地址等）或使用同一电子密钥，编制或上传电子</w:t>
      </w:r>
      <w:r>
        <w:rPr>
          <w:rFonts w:hint="eastAsia"/>
          <w:i w:val="0"/>
          <w:iCs w:val="0"/>
          <w:color w:val="auto"/>
          <w:highlight w:val="none"/>
          <w:lang w:val="en-US" w:eastAsia="zh-CN"/>
        </w:rPr>
        <w:t>响应</w:t>
      </w:r>
      <w:r>
        <w:rPr>
          <w:rFonts w:hint="eastAsia"/>
          <w:i w:val="0"/>
          <w:iCs w:val="0"/>
          <w:color w:val="auto"/>
          <w:highlight w:val="none"/>
          <w:lang w:val="zh-CN" w:eastAsia="zh-CN"/>
        </w:rPr>
        <w:t>文件</w:t>
      </w:r>
      <w:r>
        <w:rPr>
          <w:rFonts w:hint="eastAsia"/>
          <w:i w:val="0"/>
          <w:iCs w:val="0"/>
          <w:color w:val="auto"/>
          <w:highlight w:val="none"/>
          <w:lang w:val="en-US" w:eastAsia="zh-CN"/>
        </w:rPr>
        <w:t>；</w:t>
      </w:r>
    </w:p>
    <w:p w14:paraId="61787A0B">
      <w:pPr>
        <w:pStyle w:val="41"/>
        <w:pageBreakBefore w:val="0"/>
        <w:kinsoku/>
        <w:overflowPunct/>
        <w:topLinePunct w:val="0"/>
        <w:autoSpaceDE/>
        <w:autoSpaceDN/>
        <w:bidi w:val="0"/>
        <w:spacing w:line="440" w:lineRule="exact"/>
        <w:textAlignment w:val="auto"/>
        <w:rPr>
          <w:rFonts w:hint="eastAsia"/>
          <w:i w:val="0"/>
          <w:iCs w:val="0"/>
          <w:color w:val="auto"/>
          <w:highlight w:val="none"/>
          <w:lang w:val="en-US" w:eastAsia="zh-CN"/>
        </w:rPr>
      </w:pPr>
      <w:r>
        <w:rPr>
          <w:rFonts w:hint="eastAsia"/>
          <w:i w:val="0"/>
          <w:iCs w:val="0"/>
          <w:color w:val="auto"/>
          <w:highlight w:val="none"/>
          <w:lang w:val="en-US" w:eastAsia="zh-CN"/>
        </w:rPr>
        <w:t>（8）法律、法规、规章和竞争性磋商文件规定的其他响应无效的情形。</w:t>
      </w:r>
    </w:p>
    <w:p w14:paraId="4A152A6C">
      <w:pPr>
        <w:pStyle w:val="63"/>
        <w:pageBreakBefore w:val="0"/>
        <w:kinsoku/>
        <w:wordWrap/>
        <w:overflowPunct/>
        <w:topLinePunct w:val="0"/>
        <w:autoSpaceDE/>
        <w:autoSpaceDN/>
        <w:bidi w:val="0"/>
        <w:spacing w:line="440" w:lineRule="exact"/>
        <w:ind w:firstLine="480" w:firstLineChars="200"/>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val="en-US" w:eastAsia="zh-CN"/>
        </w:rPr>
        <w:t>8</w:t>
      </w:r>
      <w:r>
        <w:rPr>
          <w:rFonts w:hint="eastAsia" w:ascii="宋体" w:hAnsi="宋体" w:eastAsia="宋体" w:cs="宋体"/>
          <w:b w:val="0"/>
          <w:bCs w:val="0"/>
          <w:i w:val="0"/>
          <w:iCs w:val="0"/>
          <w:color w:val="auto"/>
          <w:sz w:val="24"/>
          <w:szCs w:val="24"/>
          <w:highlight w:val="none"/>
        </w:rPr>
        <w:t>.</w:t>
      </w:r>
      <w:r>
        <w:rPr>
          <w:rFonts w:hint="eastAsia" w:ascii="宋体" w:hAnsi="宋体" w:eastAsia="宋体" w:cs="宋体"/>
          <w:b w:val="0"/>
          <w:bCs w:val="0"/>
          <w:i w:val="0"/>
          <w:iCs w:val="0"/>
          <w:color w:val="auto"/>
          <w:sz w:val="24"/>
          <w:szCs w:val="24"/>
          <w:highlight w:val="none"/>
          <w:lang w:val="en-US" w:eastAsia="zh-CN"/>
        </w:rPr>
        <w:t>2</w:t>
      </w:r>
      <w:r>
        <w:rPr>
          <w:rFonts w:hint="eastAsia" w:ascii="宋体" w:hAnsi="宋体" w:eastAsia="宋体" w:cs="宋体"/>
          <w:b w:val="0"/>
          <w:bCs w:val="0"/>
          <w:i w:val="0"/>
          <w:iCs w:val="0"/>
          <w:color w:val="auto"/>
          <w:sz w:val="24"/>
          <w:szCs w:val="24"/>
          <w:highlight w:val="none"/>
        </w:rPr>
        <w:t xml:space="preserve"> </w:t>
      </w:r>
      <w:r>
        <w:rPr>
          <w:rFonts w:hint="eastAsia" w:ascii="宋体" w:hAnsi="宋体" w:eastAsia="宋体" w:cs="宋体"/>
          <w:b w:val="0"/>
          <w:bCs w:val="0"/>
          <w:i w:val="0"/>
          <w:iCs w:val="0"/>
          <w:color w:val="auto"/>
          <w:sz w:val="24"/>
          <w:szCs w:val="24"/>
          <w:highlight w:val="none"/>
          <w:lang w:val="en-US" w:eastAsia="zh-CN"/>
        </w:rPr>
        <w:t>磋商</w:t>
      </w:r>
      <w:r>
        <w:rPr>
          <w:rFonts w:hint="eastAsia" w:ascii="宋体" w:hAnsi="宋体" w:eastAsia="宋体" w:cs="宋体"/>
          <w:b w:val="0"/>
          <w:bCs w:val="0"/>
          <w:i w:val="0"/>
          <w:iCs w:val="0"/>
          <w:color w:val="auto"/>
          <w:sz w:val="24"/>
          <w:szCs w:val="24"/>
          <w:highlight w:val="none"/>
        </w:rPr>
        <w:t>小组应当审查</w:t>
      </w:r>
      <w:r>
        <w:rPr>
          <w:rFonts w:hint="eastAsia" w:ascii="宋体" w:hAnsi="宋体" w:eastAsia="宋体" w:cs="宋体"/>
          <w:b w:val="0"/>
          <w:bCs w:val="0"/>
          <w:i w:val="0"/>
          <w:iCs w:val="0"/>
          <w:color w:val="auto"/>
          <w:sz w:val="24"/>
          <w:szCs w:val="24"/>
          <w:highlight w:val="none"/>
          <w:lang w:val="en-US" w:eastAsia="zh-CN"/>
        </w:rPr>
        <w:t>所有供应商的</w:t>
      </w:r>
      <w:r>
        <w:rPr>
          <w:rFonts w:hint="eastAsia" w:ascii="宋体" w:hAnsi="宋体" w:eastAsia="宋体" w:cs="宋体"/>
          <w:b w:val="0"/>
          <w:bCs w:val="0"/>
          <w:i w:val="0"/>
          <w:iCs w:val="0"/>
          <w:color w:val="auto"/>
          <w:sz w:val="24"/>
          <w:szCs w:val="24"/>
          <w:highlight w:val="none"/>
        </w:rPr>
        <w:t>响应文件是否对竞争性磋商文件提出的所有实质性要求和条件做出响应。未能在实质上响应的</w:t>
      </w:r>
      <w:r>
        <w:rPr>
          <w:rFonts w:hint="eastAsia" w:ascii="宋体" w:hAnsi="宋体" w:eastAsia="宋体" w:cs="宋体"/>
          <w:b w:val="0"/>
          <w:bCs w:val="0"/>
          <w:i w:val="0"/>
          <w:iCs w:val="0"/>
          <w:color w:val="auto"/>
          <w:sz w:val="24"/>
          <w:szCs w:val="24"/>
          <w:highlight w:val="none"/>
          <w:lang w:val="en-US" w:eastAsia="zh-CN"/>
        </w:rPr>
        <w:t>供应商</w:t>
      </w:r>
      <w:r>
        <w:rPr>
          <w:rFonts w:hint="eastAsia" w:ascii="宋体" w:hAnsi="宋体" w:eastAsia="宋体" w:cs="宋体"/>
          <w:b w:val="0"/>
          <w:bCs w:val="0"/>
          <w:i w:val="0"/>
          <w:iCs w:val="0"/>
          <w:color w:val="auto"/>
          <w:sz w:val="24"/>
          <w:szCs w:val="24"/>
          <w:highlight w:val="none"/>
        </w:rPr>
        <w:t>，其</w:t>
      </w:r>
      <w:r>
        <w:rPr>
          <w:rFonts w:hint="eastAsia" w:ascii="宋体" w:hAnsi="宋体" w:eastAsia="宋体" w:cs="宋体"/>
          <w:b/>
          <w:bCs/>
          <w:i w:val="0"/>
          <w:iCs w:val="0"/>
          <w:color w:val="auto"/>
          <w:sz w:val="24"/>
          <w:szCs w:val="24"/>
          <w:highlight w:val="none"/>
          <w:lang w:val="en-US" w:eastAsia="zh-CN"/>
        </w:rPr>
        <w:t>响应无效</w:t>
      </w:r>
      <w:r>
        <w:rPr>
          <w:rFonts w:hint="eastAsia" w:ascii="宋体" w:hAnsi="宋体" w:eastAsia="宋体" w:cs="宋体"/>
          <w:b w:val="0"/>
          <w:bCs w:val="0"/>
          <w:i w:val="0"/>
          <w:iCs w:val="0"/>
          <w:color w:val="auto"/>
          <w:sz w:val="24"/>
          <w:szCs w:val="24"/>
          <w:highlight w:val="none"/>
        </w:rPr>
        <w:t>。</w:t>
      </w:r>
    </w:p>
    <w:p w14:paraId="7BBDD7AC">
      <w:pPr>
        <w:pStyle w:val="41"/>
        <w:pageBreakBefore w:val="0"/>
        <w:kinsoku/>
        <w:overflowPunct/>
        <w:topLinePunct w:val="0"/>
        <w:autoSpaceDE/>
        <w:autoSpaceDN/>
        <w:bidi w:val="0"/>
        <w:spacing w:line="440" w:lineRule="exact"/>
        <w:ind w:firstLine="480"/>
        <w:textAlignment w:val="auto"/>
        <w:rPr>
          <w:rFonts w:hint="eastAsia" w:cs="Helvetica"/>
          <w:i w:val="0"/>
          <w:iCs w:val="0"/>
          <w:color w:val="auto"/>
          <w:szCs w:val="24"/>
          <w:highlight w:val="none"/>
          <w:lang w:val="zh-CN"/>
        </w:rPr>
      </w:pPr>
      <w:r>
        <w:rPr>
          <w:rFonts w:hint="eastAsia" w:ascii="宋体" w:hAnsi="宋体" w:eastAsia="宋体" w:cs="宋体"/>
          <w:b w:val="0"/>
          <w:bCs w:val="0"/>
          <w:i w:val="0"/>
          <w:iCs w:val="0"/>
          <w:color w:val="auto"/>
          <w:sz w:val="24"/>
          <w:szCs w:val="24"/>
          <w:highlight w:val="none"/>
          <w:lang w:val="en-US" w:eastAsia="zh-CN"/>
        </w:rPr>
        <w:t>8</w:t>
      </w:r>
      <w:r>
        <w:rPr>
          <w:rFonts w:hint="eastAsia" w:ascii="宋体" w:hAnsi="宋体" w:eastAsia="宋体" w:cs="宋体"/>
          <w:b w:val="0"/>
          <w:bCs w:val="0"/>
          <w:i w:val="0"/>
          <w:iCs w:val="0"/>
          <w:color w:val="auto"/>
          <w:sz w:val="24"/>
          <w:szCs w:val="24"/>
          <w:highlight w:val="none"/>
        </w:rPr>
        <w:t>.</w:t>
      </w:r>
      <w:r>
        <w:rPr>
          <w:rFonts w:hint="eastAsia" w:ascii="宋体" w:hAnsi="宋体" w:eastAsia="宋体" w:cs="宋体"/>
          <w:b w:val="0"/>
          <w:bCs w:val="0"/>
          <w:i w:val="0"/>
          <w:iCs w:val="0"/>
          <w:color w:val="auto"/>
          <w:sz w:val="24"/>
          <w:szCs w:val="24"/>
          <w:highlight w:val="none"/>
          <w:lang w:val="en-US" w:eastAsia="zh-CN"/>
        </w:rPr>
        <w:t>3</w:t>
      </w:r>
      <w:r>
        <w:rPr>
          <w:rFonts w:hint="eastAsia" w:ascii="宋体" w:hAnsi="宋体" w:eastAsia="宋体" w:cs="宋体"/>
          <w:b w:val="0"/>
          <w:bCs w:val="0"/>
          <w:i w:val="0"/>
          <w:iCs w:val="0"/>
          <w:color w:val="auto"/>
          <w:sz w:val="24"/>
          <w:szCs w:val="24"/>
          <w:highlight w:val="none"/>
        </w:rPr>
        <w:t xml:space="preserve"> 供应商不得误导、干扰</w:t>
      </w:r>
      <w:r>
        <w:rPr>
          <w:rFonts w:hint="eastAsia" w:ascii="宋体" w:hAnsi="宋体" w:eastAsia="宋体" w:cs="宋体"/>
          <w:b w:val="0"/>
          <w:bCs w:val="0"/>
          <w:i w:val="0"/>
          <w:iCs w:val="0"/>
          <w:color w:val="auto"/>
          <w:sz w:val="24"/>
          <w:szCs w:val="24"/>
          <w:highlight w:val="none"/>
          <w:lang w:val="en-US" w:eastAsia="zh-CN"/>
        </w:rPr>
        <w:t>磋商小组</w:t>
      </w:r>
      <w:r>
        <w:rPr>
          <w:rFonts w:hint="eastAsia" w:ascii="宋体" w:hAnsi="宋体" w:eastAsia="宋体" w:cs="宋体"/>
          <w:b w:val="0"/>
          <w:bCs w:val="0"/>
          <w:i w:val="0"/>
          <w:iCs w:val="0"/>
          <w:color w:val="auto"/>
          <w:sz w:val="24"/>
          <w:szCs w:val="24"/>
          <w:highlight w:val="none"/>
        </w:rPr>
        <w:t>的评审活动，否则其</w:t>
      </w:r>
      <w:r>
        <w:rPr>
          <w:rFonts w:hint="eastAsia" w:ascii="宋体" w:hAnsi="宋体" w:eastAsia="宋体" w:cs="宋体"/>
          <w:b/>
          <w:bCs/>
          <w:i w:val="0"/>
          <w:iCs w:val="0"/>
          <w:color w:val="auto"/>
          <w:sz w:val="24"/>
          <w:szCs w:val="24"/>
          <w:highlight w:val="none"/>
          <w:lang w:val="en-US" w:eastAsia="zh-CN"/>
        </w:rPr>
        <w:t>响应无效</w:t>
      </w:r>
      <w:r>
        <w:rPr>
          <w:rFonts w:hint="eastAsia" w:ascii="宋体" w:hAnsi="宋体" w:eastAsia="宋体" w:cs="宋体"/>
          <w:b w:val="0"/>
          <w:bCs w:val="0"/>
          <w:i w:val="0"/>
          <w:iCs w:val="0"/>
          <w:color w:val="auto"/>
          <w:sz w:val="24"/>
          <w:szCs w:val="24"/>
          <w:highlight w:val="none"/>
        </w:rPr>
        <w:t>。</w:t>
      </w:r>
    </w:p>
    <w:p w14:paraId="2AD96D43">
      <w:pPr>
        <w:pStyle w:val="6"/>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461" w:name="_Toc102116152"/>
      <w:bookmarkStart w:id="462" w:name="_Toc102116022"/>
      <w:bookmarkStart w:id="463" w:name="_Toc102056218"/>
      <w:bookmarkStart w:id="464" w:name="_Toc102119853"/>
      <w:bookmarkStart w:id="465" w:name="_Toc102057718"/>
      <w:bookmarkStart w:id="466" w:name="_Toc102114920"/>
      <w:r>
        <w:rPr>
          <w:rFonts w:hint="eastAsia" w:ascii="宋体" w:hAnsi="宋体" w:eastAsia="宋体" w:cs="宋体"/>
          <w:b/>
          <w:bCs/>
          <w:i w:val="0"/>
          <w:iCs w:val="0"/>
          <w:color w:val="auto"/>
          <w:kern w:val="2"/>
          <w:sz w:val="24"/>
          <w:szCs w:val="24"/>
          <w:highlight w:val="none"/>
          <w:lang w:val="en-US" w:eastAsia="zh-CN" w:bidi="ar-SA"/>
        </w:rPr>
        <w:t>9.停止评审的情形</w:t>
      </w:r>
      <w:bookmarkEnd w:id="461"/>
      <w:bookmarkEnd w:id="462"/>
      <w:bookmarkEnd w:id="463"/>
      <w:bookmarkEnd w:id="464"/>
      <w:bookmarkEnd w:id="465"/>
      <w:bookmarkEnd w:id="466"/>
    </w:p>
    <w:p w14:paraId="3E928339">
      <w:pPr>
        <w:keepNext w:val="0"/>
        <w:keepLines w:val="0"/>
        <w:pageBreakBefore w:val="0"/>
        <w:widowControl/>
        <w:suppressLineNumbers w:val="0"/>
        <w:kinsoku/>
        <w:overflowPunct/>
        <w:topLinePunct w:val="0"/>
        <w:autoSpaceDE/>
        <w:autoSpaceDN/>
        <w:bidi w:val="0"/>
        <w:spacing w:line="440" w:lineRule="exact"/>
        <w:ind w:firstLine="480" w:firstLineChars="200"/>
        <w:jc w:val="left"/>
        <w:textAlignment w:val="auto"/>
        <w:rPr>
          <w:rFonts w:hint="eastAsia" w:ascii="宋体" w:hAnsi="宋体" w:eastAsia="宋体" w:cstheme="minorBidi"/>
          <w:i w:val="0"/>
          <w:iCs w:val="0"/>
          <w:color w:val="auto"/>
          <w:kern w:val="2"/>
          <w:sz w:val="24"/>
          <w:szCs w:val="22"/>
          <w:highlight w:val="none"/>
          <w:lang w:val="zh-CN" w:eastAsia="zh-CN" w:bidi="ar-SA"/>
        </w:rPr>
      </w:pPr>
      <w:r>
        <w:rPr>
          <w:rFonts w:hint="eastAsia" w:ascii="宋体" w:hAnsi="宋体" w:eastAsia="宋体" w:cstheme="minorBidi"/>
          <w:i w:val="0"/>
          <w:iCs w:val="0"/>
          <w:color w:val="auto"/>
          <w:kern w:val="2"/>
          <w:sz w:val="24"/>
          <w:szCs w:val="22"/>
          <w:highlight w:val="none"/>
          <w:lang w:val="en-US" w:eastAsia="zh-CN" w:bidi="ar-SA"/>
        </w:rPr>
        <w:t>9</w:t>
      </w:r>
      <w:r>
        <w:rPr>
          <w:rFonts w:hint="eastAsia" w:ascii="宋体" w:hAnsi="宋体" w:eastAsia="宋体" w:cstheme="minorBidi"/>
          <w:i w:val="0"/>
          <w:iCs w:val="0"/>
          <w:color w:val="auto"/>
          <w:kern w:val="2"/>
          <w:sz w:val="24"/>
          <w:szCs w:val="22"/>
          <w:highlight w:val="none"/>
          <w:lang w:val="zh-CN" w:eastAsia="zh-CN" w:bidi="ar-SA"/>
        </w:rPr>
        <w:t>.1</w:t>
      </w:r>
      <w:r>
        <w:rPr>
          <w:rFonts w:hint="eastAsia" w:ascii="宋体" w:hAnsi="宋体" w:eastAsia="宋体" w:cstheme="minorBidi"/>
          <w:i w:val="0"/>
          <w:iCs w:val="0"/>
          <w:color w:val="auto"/>
          <w:kern w:val="2"/>
          <w:sz w:val="24"/>
          <w:szCs w:val="22"/>
          <w:highlight w:val="none"/>
          <w:lang w:val="en-US" w:eastAsia="zh-CN" w:bidi="ar-SA"/>
        </w:rPr>
        <w:t>磋商小组在评审过程中发现供应商有行贿、提供虚假材料或者串通等违法行为的，应当及时向财政部门报告。</w:t>
      </w:r>
    </w:p>
    <w:p w14:paraId="091B5A47">
      <w:pPr>
        <w:pStyle w:val="41"/>
        <w:pageBreakBefore w:val="0"/>
        <w:kinsoku/>
        <w:overflowPunct/>
        <w:topLinePunct w:val="0"/>
        <w:autoSpaceDE/>
        <w:autoSpaceDN/>
        <w:bidi w:val="0"/>
        <w:spacing w:line="440" w:lineRule="exact"/>
        <w:ind w:firstLine="480"/>
        <w:textAlignment w:val="auto"/>
        <w:rPr>
          <w:rFonts w:hint="eastAsia"/>
          <w:i w:val="0"/>
          <w:iCs w:val="0"/>
          <w:color w:val="auto"/>
          <w:highlight w:val="none"/>
          <w:lang w:val="zh-CN"/>
        </w:rPr>
      </w:pPr>
      <w:r>
        <w:rPr>
          <w:rFonts w:hint="eastAsia"/>
          <w:i w:val="0"/>
          <w:iCs w:val="0"/>
          <w:color w:val="auto"/>
          <w:highlight w:val="none"/>
          <w:lang w:val="en-US" w:eastAsia="zh-CN"/>
        </w:rPr>
        <w:t>9.2</w:t>
      </w:r>
      <w:r>
        <w:rPr>
          <w:rFonts w:hint="eastAsia"/>
          <w:i w:val="0"/>
          <w:iCs w:val="0"/>
          <w:color w:val="auto"/>
          <w:highlight w:val="none"/>
          <w:lang w:val="zh-CN"/>
        </w:rPr>
        <w:t>磋商小组发现磋商文件存在歧义、重大缺陷导致评审工作无法进行，或者磋商文件内容违反国家有关强制性规定的，应当停止评审工作，与采购人或者采购代理机构沟通并作书面记录。采购人或者采购代理机构确认后，应当修改磋商文件，重新组织采购活动。</w:t>
      </w:r>
    </w:p>
    <w:p w14:paraId="11381A8C">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440" w:lineRule="exact"/>
        <w:ind w:left="420" w:leftChars="0" w:hanging="420" w:firstLineChars="0"/>
        <w:textAlignment w:val="auto"/>
        <w:rPr>
          <w:rFonts w:hint="default"/>
          <w:i w:val="0"/>
          <w:iCs w:val="0"/>
          <w:color w:val="auto"/>
          <w:sz w:val="28"/>
          <w:szCs w:val="28"/>
          <w:highlight w:val="none"/>
          <w:lang w:val="en-US" w:eastAsia="zh-CN"/>
        </w:rPr>
      </w:pPr>
      <w:bookmarkStart w:id="467" w:name="_Toc18235"/>
      <w:r>
        <w:rPr>
          <w:rFonts w:hint="eastAsia"/>
          <w:i w:val="0"/>
          <w:iCs w:val="0"/>
          <w:color w:val="auto"/>
          <w:sz w:val="28"/>
          <w:szCs w:val="28"/>
          <w:highlight w:val="none"/>
          <w:lang w:val="en-US" w:eastAsia="zh-CN"/>
        </w:rPr>
        <w:t>三、</w:t>
      </w:r>
      <w:r>
        <w:rPr>
          <w:rFonts w:hint="eastAsia"/>
          <w:i w:val="0"/>
          <w:iCs w:val="0"/>
          <w:color w:val="auto"/>
          <w:sz w:val="28"/>
          <w:szCs w:val="28"/>
          <w:highlight w:val="none"/>
          <w:lang w:val="zh-CN" w:eastAsia="zh-CN"/>
        </w:rPr>
        <w:t>评审</w:t>
      </w:r>
      <w:r>
        <w:rPr>
          <w:rFonts w:hint="eastAsia"/>
          <w:i w:val="0"/>
          <w:iCs w:val="0"/>
          <w:color w:val="auto"/>
          <w:sz w:val="28"/>
          <w:szCs w:val="28"/>
          <w:highlight w:val="none"/>
          <w:lang w:val="en-US" w:eastAsia="zh-CN"/>
        </w:rPr>
        <w:t>其他要求</w:t>
      </w:r>
      <w:bookmarkEnd w:id="467"/>
    </w:p>
    <w:p w14:paraId="4EE02F69">
      <w:pPr>
        <w:pStyle w:val="41"/>
        <w:keepNext w:val="0"/>
        <w:keepLines w:val="0"/>
        <w:pageBreakBefore w:val="0"/>
        <w:widowControl w:val="0"/>
        <w:kinsoku/>
        <w:overflowPunct/>
        <w:topLinePunct w:val="0"/>
        <w:autoSpaceDE/>
        <w:autoSpaceDN/>
        <w:bidi w:val="0"/>
        <w:adjustRightInd/>
        <w:snapToGrid/>
        <w:spacing w:line="440" w:lineRule="exact"/>
        <w:ind w:firstLine="480" w:firstLineChars="0"/>
        <w:textAlignment w:val="auto"/>
        <w:rPr>
          <w:rFonts w:hint="eastAsia"/>
          <w:i w:val="0"/>
          <w:iCs w:val="0"/>
          <w:color w:val="auto"/>
          <w:highlight w:val="none"/>
          <w:shd w:val="clear" w:color="auto" w:fill="FFFFFF" w:themeFill="background1"/>
          <w:lang w:val="en-US" w:eastAsia="zh-CN"/>
        </w:rPr>
      </w:pPr>
      <w:r>
        <w:rPr>
          <w:rFonts w:hint="eastAsia"/>
          <w:i w:val="0"/>
          <w:iCs w:val="0"/>
          <w:color w:val="auto"/>
          <w:highlight w:val="none"/>
          <w:shd w:val="clear" w:color="auto" w:fill="FFFFFF" w:themeFill="background1"/>
          <w:lang w:val="en-US" w:eastAsia="zh-CN"/>
        </w:rPr>
        <w:t>无。</w:t>
      </w:r>
    </w:p>
    <w:p w14:paraId="29138E3B">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440" w:lineRule="exact"/>
        <w:ind w:left="420" w:leftChars="0" w:hanging="420" w:firstLineChars="0"/>
        <w:textAlignment w:val="auto"/>
        <w:rPr>
          <w:rFonts w:hint="eastAsia"/>
          <w:i w:val="0"/>
          <w:iCs w:val="0"/>
          <w:color w:val="auto"/>
          <w:sz w:val="28"/>
          <w:szCs w:val="28"/>
          <w:highlight w:val="none"/>
          <w:lang w:val="zh-CN" w:eastAsia="zh-CN"/>
        </w:rPr>
      </w:pPr>
      <w:bookmarkStart w:id="468" w:name="_Toc9008"/>
      <w:r>
        <w:rPr>
          <w:rFonts w:hint="eastAsia"/>
          <w:i w:val="0"/>
          <w:iCs w:val="0"/>
          <w:color w:val="auto"/>
          <w:sz w:val="28"/>
          <w:szCs w:val="28"/>
          <w:highlight w:val="none"/>
          <w:lang w:val="en-US" w:eastAsia="zh-CN"/>
        </w:rPr>
        <w:t>四、</w:t>
      </w:r>
      <w:r>
        <w:rPr>
          <w:rFonts w:hint="eastAsia"/>
          <w:i w:val="0"/>
          <w:iCs w:val="0"/>
          <w:color w:val="auto"/>
          <w:sz w:val="28"/>
          <w:szCs w:val="28"/>
          <w:highlight w:val="none"/>
          <w:lang w:val="zh-CN" w:eastAsia="zh-CN"/>
        </w:rPr>
        <w:t>评审标准</w:t>
      </w:r>
      <w:bookmarkEnd w:id="468"/>
    </w:p>
    <w:p w14:paraId="7FC9ADCA">
      <w:pPr>
        <w:pStyle w:val="5"/>
        <w:keepNext/>
        <w:keepLines/>
        <w:pageBreakBefore w:val="0"/>
        <w:widowControl w:val="0"/>
        <w:numPr>
          <w:ilvl w:val="0"/>
          <w:numId w:val="0"/>
        </w:numPr>
        <w:kinsoku/>
        <w:wordWrap/>
        <w:overflowPunct/>
        <w:topLinePunct w:val="0"/>
        <w:autoSpaceDE/>
        <w:autoSpaceDN/>
        <w:bidi w:val="0"/>
        <w:adjustRightInd/>
        <w:snapToGrid/>
        <w:spacing w:before="80" w:after="80" w:line="440" w:lineRule="exact"/>
        <w:ind w:left="420" w:leftChars="0" w:hanging="420" w:firstLineChars="0"/>
        <w:textAlignment w:val="auto"/>
        <w:rPr>
          <w:rFonts w:hint="eastAsia" w:ascii="宋体" w:hAnsi="宋体" w:eastAsia="宋体" w:cs="宋体"/>
          <w:b/>
          <w:bCs/>
          <w:i w:val="0"/>
          <w:iCs w:val="0"/>
          <w:color w:val="auto"/>
          <w:kern w:val="2"/>
          <w:sz w:val="24"/>
          <w:szCs w:val="24"/>
          <w:highlight w:val="none"/>
          <w:lang w:val="zh-CN" w:eastAsia="zh-CN" w:bidi="ar-SA"/>
        </w:rPr>
      </w:pPr>
      <w:bookmarkStart w:id="469" w:name="_Toc4370"/>
      <w:bookmarkStart w:id="470" w:name="_Toc163493638"/>
      <w:r>
        <w:rPr>
          <w:rFonts w:hint="eastAsia" w:ascii="宋体" w:hAnsi="宋体" w:eastAsia="宋体" w:cs="宋体"/>
          <w:b/>
          <w:bCs/>
          <w:i w:val="0"/>
          <w:iCs w:val="0"/>
          <w:color w:val="auto"/>
          <w:kern w:val="2"/>
          <w:sz w:val="24"/>
          <w:szCs w:val="24"/>
          <w:highlight w:val="none"/>
          <w:lang w:val="en-US" w:eastAsia="zh-CN" w:bidi="ar-SA"/>
        </w:rPr>
        <w:t>（一）</w:t>
      </w:r>
      <w:r>
        <w:rPr>
          <w:rFonts w:hint="eastAsia" w:ascii="宋体" w:hAnsi="宋体" w:eastAsia="宋体" w:cs="宋体"/>
          <w:b/>
          <w:bCs/>
          <w:i w:val="0"/>
          <w:iCs w:val="0"/>
          <w:color w:val="auto"/>
          <w:kern w:val="2"/>
          <w:sz w:val="24"/>
          <w:szCs w:val="24"/>
          <w:highlight w:val="none"/>
          <w:lang w:val="zh-CN" w:eastAsia="zh-CN" w:bidi="ar-SA"/>
        </w:rPr>
        <w:t>资格审查表</w:t>
      </w:r>
      <w:bookmarkEnd w:id="469"/>
      <w:bookmarkEnd w:id="470"/>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57" w:type="dxa"/>
          <w:left w:w="108" w:type="dxa"/>
          <w:bottom w:w="57" w:type="dxa"/>
          <w:right w:w="108" w:type="dxa"/>
        </w:tblCellMar>
      </w:tblPr>
      <w:tblGrid>
        <w:gridCol w:w="746"/>
        <w:gridCol w:w="1496"/>
        <w:gridCol w:w="5050"/>
        <w:gridCol w:w="1233"/>
      </w:tblGrid>
      <w:tr w14:paraId="4541E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454" w:hRule="atLeast"/>
          <w:jc w:val="center"/>
        </w:trPr>
        <w:tc>
          <w:tcPr>
            <w:tcW w:w="437" w:type="pct"/>
            <w:shd w:val="clear" w:color="auto" w:fill="auto"/>
            <w:vAlign w:val="center"/>
          </w:tcPr>
          <w:p w14:paraId="6EA8B30A">
            <w:pPr>
              <w:pStyle w:val="52"/>
              <w:spacing w:line="240" w:lineRule="auto"/>
              <w:jc w:val="center"/>
              <w:rPr>
                <w:rFonts w:hint="eastAsia" w:ascii="宋体" w:hAnsi="宋体" w:eastAsia="宋体" w:cs="宋体"/>
                <w:b/>
                <w:bCs/>
                <w:i w:val="0"/>
                <w:iCs w:val="0"/>
                <w:color w:val="auto"/>
                <w:sz w:val="21"/>
                <w:szCs w:val="21"/>
                <w:highlight w:val="none"/>
              </w:rPr>
            </w:pPr>
            <w:bookmarkStart w:id="471" w:name="_Toc156490348"/>
            <w:r>
              <w:rPr>
                <w:rFonts w:hint="eastAsia" w:ascii="宋体" w:hAnsi="宋体" w:eastAsia="宋体" w:cs="宋体"/>
                <w:b/>
                <w:bCs/>
                <w:i w:val="0"/>
                <w:iCs w:val="0"/>
                <w:color w:val="auto"/>
                <w:sz w:val="21"/>
                <w:szCs w:val="21"/>
                <w:highlight w:val="none"/>
              </w:rPr>
              <w:t>序号</w:t>
            </w:r>
          </w:p>
        </w:tc>
        <w:tc>
          <w:tcPr>
            <w:tcW w:w="878" w:type="pct"/>
            <w:shd w:val="clear" w:color="auto" w:fill="auto"/>
            <w:vAlign w:val="center"/>
          </w:tcPr>
          <w:p w14:paraId="17B41B65">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审查因素</w:t>
            </w:r>
          </w:p>
        </w:tc>
        <w:tc>
          <w:tcPr>
            <w:tcW w:w="2961" w:type="pct"/>
            <w:shd w:val="clear" w:color="auto" w:fill="auto"/>
            <w:vAlign w:val="center"/>
          </w:tcPr>
          <w:p w14:paraId="193E6858">
            <w:pPr>
              <w:pStyle w:val="52"/>
              <w:spacing w:line="240" w:lineRule="auto"/>
              <w:jc w:val="cente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审查内容</w:t>
            </w:r>
          </w:p>
        </w:tc>
        <w:tc>
          <w:tcPr>
            <w:tcW w:w="723" w:type="pct"/>
            <w:shd w:val="clear" w:color="auto" w:fill="auto"/>
            <w:vAlign w:val="center"/>
          </w:tcPr>
          <w:p w14:paraId="6F255403">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格式要求</w:t>
            </w:r>
          </w:p>
        </w:tc>
      </w:tr>
      <w:tr w14:paraId="53C6D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920" w:hRule="atLeast"/>
          <w:jc w:val="center"/>
        </w:trPr>
        <w:tc>
          <w:tcPr>
            <w:tcW w:w="437" w:type="pct"/>
            <w:shd w:val="clear" w:color="auto" w:fill="auto"/>
            <w:vAlign w:val="center"/>
          </w:tcPr>
          <w:p w14:paraId="1A01EA2C">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1</w:t>
            </w:r>
          </w:p>
        </w:tc>
        <w:tc>
          <w:tcPr>
            <w:tcW w:w="878" w:type="pct"/>
            <w:shd w:val="clear" w:color="auto" w:fill="auto"/>
            <w:vAlign w:val="center"/>
          </w:tcPr>
          <w:p w14:paraId="56F1203B">
            <w:pPr>
              <w:pStyle w:val="52"/>
              <w:spacing w:line="240" w:lineRule="auto"/>
              <w:jc w:val="both"/>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满足《政府采购法》第二十二条规定</w:t>
            </w:r>
          </w:p>
        </w:tc>
        <w:tc>
          <w:tcPr>
            <w:tcW w:w="2961" w:type="pct"/>
            <w:shd w:val="clear" w:color="auto" w:fill="auto"/>
            <w:vAlign w:val="center"/>
          </w:tcPr>
          <w:p w14:paraId="39C3BEC9">
            <w:pPr>
              <w:pStyle w:val="52"/>
              <w:spacing w:line="240" w:lineRule="auto"/>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具体规定见“第一章 竞争性磋商公告”</w:t>
            </w:r>
          </w:p>
        </w:tc>
        <w:tc>
          <w:tcPr>
            <w:tcW w:w="723" w:type="pct"/>
            <w:shd w:val="clear" w:color="auto" w:fill="auto"/>
            <w:vAlign w:val="center"/>
          </w:tcPr>
          <w:p w14:paraId="63A554A2">
            <w:pPr>
              <w:pStyle w:val="52"/>
              <w:spacing w:line="240" w:lineRule="auto"/>
              <w:jc w:val="center"/>
              <w:rPr>
                <w:rFonts w:hint="eastAsia" w:ascii="宋体" w:hAnsi="宋体" w:eastAsia="宋体" w:cs="宋体"/>
                <w:b/>
                <w:bCs/>
                <w:i w:val="0"/>
                <w:iCs w:val="0"/>
                <w:color w:val="auto"/>
                <w:sz w:val="21"/>
                <w:szCs w:val="21"/>
                <w:highlight w:val="none"/>
              </w:rPr>
            </w:pPr>
          </w:p>
        </w:tc>
      </w:tr>
      <w:tr w14:paraId="3C160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90" w:hRule="atLeast"/>
          <w:jc w:val="center"/>
        </w:trPr>
        <w:tc>
          <w:tcPr>
            <w:tcW w:w="437" w:type="pct"/>
            <w:shd w:val="clear" w:color="auto" w:fill="auto"/>
            <w:vAlign w:val="center"/>
          </w:tcPr>
          <w:p w14:paraId="3FED9D5D">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1-1</w:t>
            </w:r>
          </w:p>
        </w:tc>
        <w:tc>
          <w:tcPr>
            <w:tcW w:w="878" w:type="pct"/>
            <w:shd w:val="clear" w:color="auto" w:fill="auto"/>
            <w:vAlign w:val="center"/>
          </w:tcPr>
          <w:p w14:paraId="31C34359">
            <w:pPr>
              <w:pStyle w:val="79"/>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color w:val="auto"/>
                <w:sz w:val="21"/>
                <w:szCs w:val="21"/>
                <w:highlight w:val="none"/>
              </w:rPr>
              <w:t>具有独立承担民事责任的能力</w:t>
            </w:r>
          </w:p>
        </w:tc>
        <w:tc>
          <w:tcPr>
            <w:tcW w:w="2961" w:type="pct"/>
            <w:shd w:val="clear" w:color="auto" w:fill="auto"/>
            <w:vAlign w:val="center"/>
          </w:tcPr>
          <w:p w14:paraId="1DC6A871">
            <w:pPr>
              <w:pStyle w:val="79"/>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pacing w:val="-6"/>
                <w:sz w:val="21"/>
                <w:szCs w:val="21"/>
                <w:highlight w:val="none"/>
                <w:lang w:val="en-US" w:eastAsia="zh-CN"/>
              </w:rPr>
            </w:pPr>
            <w:r>
              <w:rPr>
                <w:rFonts w:hint="eastAsia" w:ascii="宋体" w:hAnsi="宋体" w:eastAsia="宋体" w:cs="宋体"/>
                <w:color w:val="auto"/>
                <w:sz w:val="21"/>
                <w:szCs w:val="21"/>
                <w:highlight w:val="none"/>
                <w:lang w:eastAsia="zh-CN"/>
              </w:rPr>
              <w:t>如</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eastAsia="zh-CN"/>
              </w:rPr>
              <w:t>是企业，应提供“营业执照”；如</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eastAsia="zh-CN"/>
              </w:rPr>
              <w:t>是事业单位，应提供 “事业单位法人证书”；如</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eastAsia="zh-CN"/>
              </w:rPr>
              <w:t>是社会团体，应提供“社会团体法人登记证书”；如</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eastAsia="zh-CN"/>
              </w:rPr>
              <w:t>是个体工商户，应提供有效的“个体工商户营业执照”；如</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lang w:eastAsia="zh-CN"/>
              </w:rPr>
              <w:t>是自然人，应提供有效的自然人身份证明。</w:t>
            </w:r>
          </w:p>
        </w:tc>
        <w:tc>
          <w:tcPr>
            <w:tcW w:w="723" w:type="pct"/>
            <w:shd w:val="clear" w:color="auto" w:fill="auto"/>
            <w:vAlign w:val="center"/>
          </w:tcPr>
          <w:p w14:paraId="6C23292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格式见《第六章 响应文件格式》</w:t>
            </w:r>
          </w:p>
        </w:tc>
      </w:tr>
      <w:tr w14:paraId="5A5E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90" w:hRule="atLeast"/>
          <w:jc w:val="center"/>
        </w:trPr>
        <w:tc>
          <w:tcPr>
            <w:tcW w:w="437" w:type="pct"/>
            <w:shd w:val="clear" w:color="auto" w:fill="auto"/>
            <w:vAlign w:val="center"/>
          </w:tcPr>
          <w:p w14:paraId="7C9A3910">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1-2</w:t>
            </w:r>
          </w:p>
        </w:tc>
        <w:tc>
          <w:tcPr>
            <w:tcW w:w="878" w:type="pct"/>
            <w:shd w:val="clear" w:color="auto" w:fill="auto"/>
            <w:vAlign w:val="center"/>
          </w:tcPr>
          <w:p w14:paraId="174BA105">
            <w:pPr>
              <w:pStyle w:val="79"/>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z w:val="21"/>
                <w:szCs w:val="21"/>
                <w:highlight w:val="none"/>
                <w:lang w:val="en-US" w:eastAsia="zh-CN" w:bidi="ar-SA"/>
              </w:rPr>
            </w:pPr>
            <w:r>
              <w:rPr>
                <w:rFonts w:hint="eastAsia" w:ascii="宋体" w:hAnsi="宋体" w:eastAsia="宋体" w:cs="宋体"/>
                <w:color w:val="auto"/>
                <w:sz w:val="21"/>
                <w:szCs w:val="21"/>
                <w:highlight w:val="none"/>
              </w:rPr>
              <w:t>具有良好的商业信誉和健全的财务会计制度</w:t>
            </w:r>
          </w:p>
        </w:tc>
        <w:tc>
          <w:tcPr>
            <w:tcW w:w="2961" w:type="pct"/>
            <w:shd w:val="clear" w:color="auto" w:fill="auto"/>
            <w:vAlign w:val="center"/>
          </w:tcPr>
          <w:p w14:paraId="3D457196">
            <w:pPr>
              <w:pStyle w:val="79"/>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pacing w:val="-6"/>
                <w:sz w:val="21"/>
                <w:szCs w:val="21"/>
                <w:highlight w:val="none"/>
                <w:lang w:val="en-US" w:eastAsia="zh-CN" w:bidi="ar-SA"/>
              </w:rPr>
            </w:pPr>
            <w:r>
              <w:rPr>
                <w:rFonts w:hint="eastAsia" w:ascii="宋体" w:hAnsi="宋体" w:eastAsia="宋体" w:cs="宋体"/>
                <w:color w:val="auto"/>
                <w:sz w:val="21"/>
                <w:szCs w:val="21"/>
                <w:highlight w:val="none"/>
                <w:lang w:val="en-US" w:eastAsia="zh-CN"/>
              </w:rPr>
              <w:t>投标时，若供应商成立超过一年需提供202</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年</w:t>
            </w:r>
            <w:r>
              <w:rPr>
                <w:rFonts w:hint="eastAsia" w:ascii="宋体" w:hAnsi="宋体" w:cs="宋体"/>
                <w:color w:val="auto"/>
                <w:sz w:val="21"/>
                <w:szCs w:val="21"/>
                <w:highlight w:val="none"/>
                <w:lang w:val="en-US" w:eastAsia="zh-CN"/>
              </w:rPr>
              <w:t>或</w:t>
            </w:r>
            <w:r>
              <w:rPr>
                <w:rFonts w:hint="eastAsia" w:ascii="宋体" w:hAnsi="宋体" w:eastAsia="宋体" w:cs="宋体"/>
                <w:color w:val="auto"/>
                <w:sz w:val="21"/>
                <w:szCs w:val="21"/>
                <w:highlight w:val="none"/>
                <w:lang w:val="en-US" w:eastAsia="zh-CN"/>
              </w:rPr>
              <w:t>202</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年的财务状况报表或经第三方审计出具的审计报告复印件/扫描件并加盖公章，供应商成立不足一年（含一年）需提供近三个月内任意一个月的财务报</w:t>
            </w:r>
            <w:r>
              <w:rPr>
                <w:rFonts w:hint="eastAsia" w:ascii="宋体" w:hAnsi="宋体" w:cs="宋体"/>
                <w:color w:val="auto"/>
                <w:sz w:val="21"/>
                <w:szCs w:val="21"/>
                <w:highlight w:val="none"/>
                <w:lang w:val="en-US" w:eastAsia="zh-CN"/>
              </w:rPr>
              <w:t>表</w:t>
            </w:r>
            <w:r>
              <w:rPr>
                <w:rFonts w:hint="eastAsia" w:ascii="宋体" w:hAnsi="宋体" w:eastAsia="宋体" w:cs="宋体"/>
                <w:color w:val="auto"/>
                <w:sz w:val="21"/>
                <w:szCs w:val="21"/>
                <w:highlight w:val="none"/>
                <w:lang w:val="en-US" w:eastAsia="zh-CN"/>
              </w:rPr>
              <w:t>复印件/扫描件并加盖公章（需包含资产负债表、现金流量表、利润表）或近三个月内任意一个月的银行资信证明材料复印件/扫描件并加盖公章；</w:t>
            </w:r>
          </w:p>
        </w:tc>
        <w:tc>
          <w:tcPr>
            <w:tcW w:w="723" w:type="pct"/>
            <w:shd w:val="clear" w:color="auto" w:fill="auto"/>
            <w:vAlign w:val="center"/>
          </w:tcPr>
          <w:p w14:paraId="2835420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格式见《第六章 响应文件格式》</w:t>
            </w:r>
          </w:p>
        </w:tc>
      </w:tr>
      <w:tr w14:paraId="6DDCC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3270" w:hRule="atLeast"/>
          <w:jc w:val="center"/>
        </w:trPr>
        <w:tc>
          <w:tcPr>
            <w:tcW w:w="437" w:type="pct"/>
            <w:shd w:val="clear" w:color="auto" w:fill="auto"/>
            <w:vAlign w:val="center"/>
          </w:tcPr>
          <w:p w14:paraId="0F7DFCD3">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1-3</w:t>
            </w:r>
          </w:p>
        </w:tc>
        <w:tc>
          <w:tcPr>
            <w:tcW w:w="878" w:type="pct"/>
            <w:shd w:val="clear" w:color="auto" w:fill="auto"/>
            <w:vAlign w:val="center"/>
          </w:tcPr>
          <w:p w14:paraId="3B45511E">
            <w:pPr>
              <w:pStyle w:val="79"/>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z w:val="21"/>
                <w:szCs w:val="21"/>
                <w:highlight w:val="none"/>
                <w:lang w:val="en-US" w:eastAsia="zh-CN" w:bidi="ar-SA"/>
              </w:rPr>
            </w:pPr>
            <w:r>
              <w:rPr>
                <w:rFonts w:hint="eastAsia" w:ascii="宋体" w:hAnsi="宋体" w:eastAsia="宋体" w:cs="宋体"/>
                <w:color w:val="auto"/>
                <w:sz w:val="21"/>
                <w:szCs w:val="21"/>
                <w:highlight w:val="none"/>
              </w:rPr>
              <w:t>有依法缴纳税收和社会保障资金的良好记录</w:t>
            </w:r>
          </w:p>
        </w:tc>
        <w:tc>
          <w:tcPr>
            <w:tcW w:w="2961" w:type="pct"/>
            <w:shd w:val="clear" w:color="auto" w:fill="auto"/>
            <w:vAlign w:val="center"/>
          </w:tcPr>
          <w:p w14:paraId="61FB7B77">
            <w:pPr>
              <w:pStyle w:val="79"/>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依法缴纳税收的证明材料：本项目</w:t>
            </w:r>
            <w:r>
              <w:rPr>
                <w:rFonts w:hint="eastAsia" w:ascii="宋体" w:hAnsi="宋体" w:eastAsia="宋体" w:cs="宋体"/>
                <w:color w:val="auto"/>
                <w:sz w:val="21"/>
                <w:szCs w:val="21"/>
                <w:highlight w:val="none"/>
                <w:lang w:eastAsia="zh-CN"/>
              </w:rPr>
              <w:t>响应截止</w:t>
            </w:r>
            <w:r>
              <w:rPr>
                <w:rFonts w:hint="eastAsia" w:ascii="宋体" w:hAnsi="宋体" w:eastAsia="宋体" w:cs="宋体"/>
                <w:color w:val="auto"/>
                <w:sz w:val="21"/>
                <w:szCs w:val="21"/>
                <w:highlight w:val="none"/>
              </w:rPr>
              <w:t xml:space="preserve">时间前 6 个月内（至少提供1个月）缴纳税收的凭据（完税证、缴款书、印花税票、银行代扣（代缴）转账凭证等均可）； </w:t>
            </w:r>
          </w:p>
          <w:p w14:paraId="75087E93">
            <w:pPr>
              <w:pStyle w:val="79"/>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依法缴纳社会保障资金的证明材料：本项目</w:t>
            </w:r>
            <w:r>
              <w:rPr>
                <w:rFonts w:hint="eastAsia" w:ascii="宋体" w:hAnsi="宋体" w:eastAsia="宋体" w:cs="宋体"/>
                <w:color w:val="auto"/>
                <w:sz w:val="21"/>
                <w:szCs w:val="21"/>
                <w:highlight w:val="none"/>
                <w:lang w:eastAsia="zh-CN"/>
              </w:rPr>
              <w:t>响应截止</w:t>
            </w:r>
            <w:r>
              <w:rPr>
                <w:rFonts w:hint="eastAsia" w:ascii="宋体" w:hAnsi="宋体" w:eastAsia="宋体" w:cs="宋体"/>
                <w:color w:val="auto"/>
                <w:sz w:val="21"/>
                <w:szCs w:val="21"/>
                <w:highlight w:val="none"/>
              </w:rPr>
              <w:t xml:space="preserve">时间时间前 6个月内（至少提供1个月）缴纳社会保险的凭据（专用收据或社会保险交纳清单）； </w:t>
            </w:r>
          </w:p>
          <w:p w14:paraId="398C096A">
            <w:pPr>
              <w:pStyle w:val="79"/>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为其他组织或自然人的，也需要按此项规定提供缴纳税收的凭据和交纳社会保险的凭据。如</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的社会保险为委托第三方代缴，还需同时提供</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与第三方服务机构签署的服务合同（合同中应明确写明第三方为</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代缴其社会保险）。</w:t>
            </w:r>
          </w:p>
          <w:p w14:paraId="7ECA98FF">
            <w:pPr>
              <w:pStyle w:val="79"/>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pacing w:val="-6"/>
                <w:sz w:val="21"/>
                <w:szCs w:val="21"/>
                <w:highlight w:val="none"/>
                <w:lang w:val="en-US" w:eastAsia="zh-CN" w:bidi="ar-SA"/>
              </w:rPr>
            </w:pPr>
            <w:r>
              <w:rPr>
                <w:rFonts w:hint="eastAsia" w:ascii="宋体" w:hAnsi="宋体" w:eastAsia="宋体" w:cs="宋体"/>
                <w:color w:val="auto"/>
                <w:sz w:val="21"/>
                <w:szCs w:val="21"/>
                <w:highlight w:val="none"/>
              </w:rPr>
              <w:t>依法不需要缴纳社会保障资金的</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，须提供相应文件证明其依法不需要缴纳社会保障资金。</w:t>
            </w:r>
          </w:p>
        </w:tc>
        <w:tc>
          <w:tcPr>
            <w:tcW w:w="723" w:type="pct"/>
            <w:shd w:val="clear" w:color="auto" w:fill="auto"/>
            <w:vAlign w:val="center"/>
          </w:tcPr>
          <w:p w14:paraId="53D5BE9C">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格式见《第六章 响应文件格式》</w:t>
            </w:r>
          </w:p>
        </w:tc>
      </w:tr>
      <w:tr w14:paraId="2CC2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90" w:hRule="atLeast"/>
          <w:jc w:val="center"/>
        </w:trPr>
        <w:tc>
          <w:tcPr>
            <w:tcW w:w="437" w:type="pct"/>
            <w:shd w:val="clear" w:color="auto" w:fill="auto"/>
            <w:vAlign w:val="center"/>
          </w:tcPr>
          <w:p w14:paraId="0848BC1A">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1-4</w:t>
            </w:r>
          </w:p>
        </w:tc>
        <w:tc>
          <w:tcPr>
            <w:tcW w:w="878" w:type="pct"/>
            <w:shd w:val="clear" w:color="auto" w:fill="auto"/>
            <w:vAlign w:val="center"/>
          </w:tcPr>
          <w:p w14:paraId="4BF90B78">
            <w:pPr>
              <w:pStyle w:val="79"/>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z w:val="21"/>
                <w:szCs w:val="21"/>
                <w:highlight w:val="none"/>
                <w:lang w:val="en-US" w:eastAsia="zh-CN" w:bidi="ar-SA"/>
              </w:rPr>
            </w:pPr>
            <w:r>
              <w:rPr>
                <w:rFonts w:hint="eastAsia" w:ascii="宋体" w:hAnsi="宋体" w:eastAsia="宋体" w:cs="宋体"/>
                <w:color w:val="auto"/>
                <w:sz w:val="21"/>
                <w:szCs w:val="21"/>
                <w:highlight w:val="none"/>
              </w:rPr>
              <w:t>具有履行合同所必需的设备和专业技术能力</w:t>
            </w:r>
          </w:p>
        </w:tc>
        <w:tc>
          <w:tcPr>
            <w:tcW w:w="2961" w:type="pct"/>
            <w:shd w:val="clear" w:color="auto" w:fill="auto"/>
            <w:vAlign w:val="center"/>
          </w:tcPr>
          <w:p w14:paraId="4EE865B2">
            <w:pPr>
              <w:pStyle w:val="79"/>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pacing w:val="-6"/>
                <w:sz w:val="21"/>
                <w:szCs w:val="21"/>
                <w:highlight w:val="none"/>
                <w:lang w:val="en-US" w:eastAsia="zh-CN" w:bidi="ar-SA"/>
              </w:rPr>
            </w:pP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履行合同所必须的设备和专业技术能力的证明材料或声明。</w:t>
            </w:r>
          </w:p>
        </w:tc>
        <w:tc>
          <w:tcPr>
            <w:tcW w:w="723" w:type="pct"/>
            <w:shd w:val="clear" w:color="auto" w:fill="auto"/>
            <w:vAlign w:val="center"/>
          </w:tcPr>
          <w:p w14:paraId="3CDF388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格式见《第六章 响应文件格式》</w:t>
            </w:r>
          </w:p>
        </w:tc>
      </w:tr>
      <w:tr w14:paraId="332D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90" w:hRule="atLeast"/>
          <w:jc w:val="center"/>
        </w:trPr>
        <w:tc>
          <w:tcPr>
            <w:tcW w:w="437" w:type="pct"/>
            <w:shd w:val="clear" w:color="auto" w:fill="auto"/>
            <w:vAlign w:val="center"/>
          </w:tcPr>
          <w:p w14:paraId="37D79E8A">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1-5</w:t>
            </w:r>
          </w:p>
        </w:tc>
        <w:tc>
          <w:tcPr>
            <w:tcW w:w="878" w:type="pct"/>
            <w:shd w:val="clear" w:color="auto" w:fill="auto"/>
            <w:vAlign w:val="center"/>
          </w:tcPr>
          <w:p w14:paraId="23649951">
            <w:pPr>
              <w:pStyle w:val="79"/>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z w:val="21"/>
                <w:szCs w:val="21"/>
                <w:highlight w:val="none"/>
                <w:lang w:val="en-US" w:eastAsia="zh-CN" w:bidi="ar-SA"/>
              </w:rPr>
            </w:pPr>
            <w:r>
              <w:rPr>
                <w:rFonts w:hint="eastAsia" w:ascii="宋体" w:hAnsi="宋体" w:eastAsia="宋体" w:cs="宋体"/>
                <w:color w:val="auto"/>
                <w:sz w:val="21"/>
                <w:szCs w:val="21"/>
                <w:highlight w:val="none"/>
              </w:rPr>
              <w:t>参加政府采购活动前三年内，在经营活动中没有重大违法记录</w:t>
            </w:r>
          </w:p>
        </w:tc>
        <w:tc>
          <w:tcPr>
            <w:tcW w:w="2961" w:type="pct"/>
            <w:shd w:val="clear" w:color="auto" w:fill="auto"/>
            <w:vAlign w:val="center"/>
          </w:tcPr>
          <w:p w14:paraId="0566470D">
            <w:pPr>
              <w:pStyle w:val="79"/>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pacing w:val="-6"/>
                <w:sz w:val="21"/>
                <w:szCs w:val="21"/>
                <w:highlight w:val="none"/>
                <w:lang w:val="en-US" w:eastAsia="zh-CN" w:bidi="ar-SA"/>
              </w:rPr>
            </w:pPr>
            <w:r>
              <w:rPr>
                <w:rFonts w:hint="eastAsia" w:ascii="宋体" w:hAnsi="宋体" w:eastAsia="宋体" w:cs="宋体"/>
                <w:color w:val="auto"/>
                <w:sz w:val="21"/>
                <w:szCs w:val="21"/>
                <w:highlight w:val="none"/>
              </w:rPr>
              <w:t>参加政府采购活动前3年内在经营活动中没有重大违法记录的书面声明。</w:t>
            </w:r>
          </w:p>
        </w:tc>
        <w:tc>
          <w:tcPr>
            <w:tcW w:w="723" w:type="pct"/>
            <w:shd w:val="clear" w:color="auto" w:fill="auto"/>
            <w:vAlign w:val="center"/>
          </w:tcPr>
          <w:p w14:paraId="0E254FAF">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格式见《第六章 响应文件格式》</w:t>
            </w:r>
          </w:p>
        </w:tc>
      </w:tr>
      <w:tr w14:paraId="45835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90" w:hRule="atLeast"/>
          <w:jc w:val="center"/>
        </w:trPr>
        <w:tc>
          <w:tcPr>
            <w:tcW w:w="437" w:type="pct"/>
            <w:shd w:val="clear" w:color="auto" w:fill="auto"/>
            <w:vAlign w:val="center"/>
          </w:tcPr>
          <w:p w14:paraId="0F99C38B">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1-6</w:t>
            </w:r>
          </w:p>
        </w:tc>
        <w:tc>
          <w:tcPr>
            <w:tcW w:w="878" w:type="pct"/>
            <w:shd w:val="clear" w:color="auto" w:fill="auto"/>
            <w:vAlign w:val="center"/>
          </w:tcPr>
          <w:p w14:paraId="781C06E9">
            <w:pPr>
              <w:pStyle w:val="79"/>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pacing w:val="-6"/>
                <w:kern w:val="0"/>
                <w:sz w:val="21"/>
                <w:szCs w:val="21"/>
                <w:highlight w:val="none"/>
                <w:lang w:val="en-US" w:eastAsia="zh-CN" w:bidi="ar"/>
              </w:rPr>
            </w:pPr>
            <w:r>
              <w:rPr>
                <w:rFonts w:hint="eastAsia" w:ascii="宋体" w:hAnsi="宋体" w:eastAsia="宋体" w:cs="宋体"/>
                <w:color w:val="auto"/>
                <w:sz w:val="21"/>
                <w:szCs w:val="21"/>
                <w:highlight w:val="none"/>
              </w:rPr>
              <w:t>未列入失信被执行人、重大税收违法案件当事人名单、政府采购严重违法失信行为记录名单</w:t>
            </w:r>
          </w:p>
        </w:tc>
        <w:tc>
          <w:tcPr>
            <w:tcW w:w="2961" w:type="pct"/>
            <w:shd w:val="clear" w:color="auto" w:fill="auto"/>
            <w:vAlign w:val="center"/>
          </w:tcPr>
          <w:p w14:paraId="2EF4E77B">
            <w:pPr>
              <w:pStyle w:val="79"/>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pacing w:val="-6"/>
                <w:kern w:val="0"/>
                <w:sz w:val="21"/>
                <w:szCs w:val="21"/>
                <w:highlight w:val="none"/>
                <w:lang w:val="en-US" w:eastAsia="zh-CN" w:bidi="ar"/>
              </w:rPr>
            </w:pP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“信用中国”网站或“中国政府采购网”查询信息：1、未被列入失信被执行人；2、不是重大税收违法案件当事人名单的</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；3、未被列入政府采购严重违法失信行为记录名单。</w:t>
            </w:r>
          </w:p>
        </w:tc>
        <w:tc>
          <w:tcPr>
            <w:tcW w:w="723" w:type="pct"/>
            <w:shd w:val="clear" w:color="auto" w:fill="auto"/>
            <w:vAlign w:val="center"/>
          </w:tcPr>
          <w:p w14:paraId="550216C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格式见《第六章 响应文件格式》</w:t>
            </w:r>
          </w:p>
        </w:tc>
      </w:tr>
      <w:tr w14:paraId="3DEE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824" w:hRule="atLeast"/>
          <w:jc w:val="center"/>
        </w:trPr>
        <w:tc>
          <w:tcPr>
            <w:tcW w:w="437" w:type="pct"/>
            <w:shd w:val="clear" w:color="auto" w:fill="auto"/>
            <w:vAlign w:val="center"/>
          </w:tcPr>
          <w:p w14:paraId="63FEDFB2">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1-7</w:t>
            </w:r>
          </w:p>
        </w:tc>
        <w:tc>
          <w:tcPr>
            <w:tcW w:w="878" w:type="pct"/>
            <w:shd w:val="clear" w:color="auto" w:fill="auto"/>
            <w:vAlign w:val="center"/>
          </w:tcPr>
          <w:p w14:paraId="1FBA0CE6">
            <w:pPr>
              <w:pStyle w:val="52"/>
              <w:spacing w:line="240" w:lineRule="auto"/>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法律、行政法规规定的其他条件</w:t>
            </w:r>
          </w:p>
        </w:tc>
        <w:tc>
          <w:tcPr>
            <w:tcW w:w="2961" w:type="pct"/>
            <w:shd w:val="clear" w:color="auto" w:fill="auto"/>
            <w:vAlign w:val="center"/>
          </w:tcPr>
          <w:p w14:paraId="10ECC0DF">
            <w:pPr>
              <w:pStyle w:val="52"/>
              <w:spacing w:line="240" w:lineRule="auto"/>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法律、行政法规规定的其他条件</w:t>
            </w:r>
          </w:p>
        </w:tc>
        <w:tc>
          <w:tcPr>
            <w:tcW w:w="723" w:type="pct"/>
            <w:shd w:val="clear" w:color="auto" w:fill="auto"/>
            <w:vAlign w:val="center"/>
          </w:tcPr>
          <w:p w14:paraId="36D55E83">
            <w:pPr>
              <w:pStyle w:val="52"/>
              <w:spacing w:line="240" w:lineRule="auto"/>
              <w:jc w:val="center"/>
              <w:rPr>
                <w:rFonts w:hint="eastAsia" w:ascii="宋体" w:hAnsi="宋体" w:eastAsia="宋体" w:cs="宋体"/>
                <w:b/>
                <w:bCs/>
                <w:i w:val="0"/>
                <w:iCs w:val="0"/>
                <w:color w:val="auto"/>
                <w:sz w:val="21"/>
                <w:szCs w:val="21"/>
                <w:highlight w:val="none"/>
              </w:rPr>
            </w:pPr>
          </w:p>
        </w:tc>
      </w:tr>
      <w:tr w14:paraId="749D7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764" w:hRule="atLeast"/>
          <w:jc w:val="center"/>
        </w:trPr>
        <w:tc>
          <w:tcPr>
            <w:tcW w:w="437" w:type="pct"/>
            <w:shd w:val="clear" w:color="auto" w:fill="auto"/>
            <w:vAlign w:val="center"/>
          </w:tcPr>
          <w:p w14:paraId="7D70709F">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2</w:t>
            </w:r>
          </w:p>
        </w:tc>
        <w:tc>
          <w:tcPr>
            <w:tcW w:w="878" w:type="pct"/>
            <w:shd w:val="clear" w:color="auto" w:fill="auto"/>
            <w:vAlign w:val="center"/>
          </w:tcPr>
          <w:p w14:paraId="1260EC7D">
            <w:pPr>
              <w:pStyle w:val="52"/>
              <w:spacing w:line="240" w:lineRule="auto"/>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落实政府采购政策需满足的资格要求</w:t>
            </w:r>
          </w:p>
        </w:tc>
        <w:tc>
          <w:tcPr>
            <w:tcW w:w="2961" w:type="pct"/>
            <w:shd w:val="clear" w:color="auto" w:fill="auto"/>
            <w:vAlign w:val="center"/>
          </w:tcPr>
          <w:p w14:paraId="4A7ED4E2">
            <w:pPr>
              <w:pStyle w:val="52"/>
              <w:spacing w:line="240" w:lineRule="auto"/>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具体要求见“第一章 竞争性磋商公告”</w:t>
            </w:r>
          </w:p>
        </w:tc>
        <w:tc>
          <w:tcPr>
            <w:tcW w:w="723" w:type="pct"/>
            <w:shd w:val="clear" w:color="auto" w:fill="auto"/>
            <w:vAlign w:val="center"/>
          </w:tcPr>
          <w:p w14:paraId="1E9B443D">
            <w:pPr>
              <w:pStyle w:val="52"/>
              <w:spacing w:line="240" w:lineRule="auto"/>
              <w:jc w:val="center"/>
              <w:rPr>
                <w:rFonts w:hint="eastAsia" w:ascii="宋体" w:hAnsi="宋体" w:eastAsia="宋体" w:cs="宋体"/>
                <w:b/>
                <w:bCs/>
                <w:i w:val="0"/>
                <w:iCs w:val="0"/>
                <w:color w:val="auto"/>
                <w:sz w:val="21"/>
                <w:szCs w:val="21"/>
                <w:highlight w:val="none"/>
              </w:rPr>
            </w:pPr>
          </w:p>
        </w:tc>
      </w:tr>
      <w:tr w14:paraId="0E644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518" w:hRule="atLeast"/>
          <w:jc w:val="center"/>
        </w:trPr>
        <w:tc>
          <w:tcPr>
            <w:tcW w:w="437" w:type="pct"/>
            <w:shd w:val="clear" w:color="auto" w:fill="auto"/>
            <w:vAlign w:val="center"/>
          </w:tcPr>
          <w:p w14:paraId="54E6EEA5">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2-1</w:t>
            </w:r>
          </w:p>
        </w:tc>
        <w:tc>
          <w:tcPr>
            <w:tcW w:w="878" w:type="pct"/>
            <w:shd w:val="clear" w:color="auto" w:fill="auto"/>
            <w:vAlign w:val="center"/>
          </w:tcPr>
          <w:p w14:paraId="7D84FF84">
            <w:pPr>
              <w:pStyle w:val="52"/>
              <w:spacing w:line="240" w:lineRule="auto"/>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lang w:val="en-US" w:eastAsia="zh-CN" w:bidi="ar"/>
              </w:rPr>
              <w:t>中小企业政策</w:t>
            </w:r>
          </w:p>
        </w:tc>
        <w:tc>
          <w:tcPr>
            <w:tcW w:w="2961" w:type="pct"/>
            <w:shd w:val="clear" w:color="auto" w:fill="auto"/>
            <w:vAlign w:val="center"/>
          </w:tcPr>
          <w:p w14:paraId="492660E3">
            <w:pPr>
              <w:pStyle w:val="52"/>
              <w:spacing w:line="240" w:lineRule="auto"/>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lang w:val="en-US" w:eastAsia="zh-CN" w:bidi="ar"/>
              </w:rPr>
              <w:t>具体要求见</w:t>
            </w:r>
            <w:r>
              <w:rPr>
                <w:rFonts w:hint="eastAsia" w:ascii="宋体" w:hAnsi="宋体" w:eastAsia="宋体" w:cs="宋体"/>
                <w:i w:val="0"/>
                <w:iCs w:val="0"/>
                <w:color w:val="auto"/>
                <w:sz w:val="21"/>
                <w:szCs w:val="21"/>
                <w:highlight w:val="none"/>
                <w:lang w:val="en-US" w:eastAsia="zh-CN"/>
              </w:rPr>
              <w:t>“第一章 竞争性磋商公告”</w:t>
            </w:r>
          </w:p>
        </w:tc>
        <w:tc>
          <w:tcPr>
            <w:tcW w:w="723" w:type="pct"/>
            <w:shd w:val="clear" w:color="auto" w:fill="auto"/>
            <w:vAlign w:val="center"/>
          </w:tcPr>
          <w:p w14:paraId="75D74742">
            <w:pPr>
              <w:pStyle w:val="52"/>
              <w:spacing w:line="240" w:lineRule="auto"/>
              <w:jc w:val="center"/>
              <w:rPr>
                <w:rFonts w:hint="eastAsia" w:ascii="宋体" w:hAnsi="宋体" w:eastAsia="宋体" w:cs="宋体"/>
                <w:b/>
                <w:bCs/>
                <w:i w:val="0"/>
                <w:iCs w:val="0"/>
                <w:color w:val="auto"/>
                <w:sz w:val="21"/>
                <w:szCs w:val="21"/>
                <w:highlight w:val="none"/>
              </w:rPr>
            </w:pPr>
          </w:p>
        </w:tc>
      </w:tr>
      <w:tr w14:paraId="112B2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3575" w:hRule="atLeast"/>
          <w:jc w:val="center"/>
        </w:trPr>
        <w:tc>
          <w:tcPr>
            <w:tcW w:w="437" w:type="pct"/>
            <w:shd w:val="clear" w:color="auto" w:fill="auto"/>
            <w:vAlign w:val="center"/>
          </w:tcPr>
          <w:p w14:paraId="15321CBF">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2-1-1</w:t>
            </w:r>
          </w:p>
        </w:tc>
        <w:tc>
          <w:tcPr>
            <w:tcW w:w="878" w:type="pct"/>
            <w:shd w:val="clear" w:color="auto" w:fill="auto"/>
            <w:vAlign w:val="center"/>
          </w:tcPr>
          <w:p w14:paraId="2C53752D">
            <w:pPr>
              <w:pStyle w:val="52"/>
              <w:spacing w:line="240" w:lineRule="auto"/>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lang w:val="en-US" w:eastAsia="zh-CN" w:bidi="ar"/>
              </w:rPr>
              <w:t>中小企业证明文件</w:t>
            </w:r>
          </w:p>
        </w:tc>
        <w:tc>
          <w:tcPr>
            <w:tcW w:w="2961" w:type="pct"/>
            <w:shd w:val="clear" w:color="auto" w:fill="auto"/>
            <w:vAlign w:val="center"/>
          </w:tcPr>
          <w:p w14:paraId="2F3DBD7C">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【当本项目（包）涉及预留份额专门面向中小企业采购，此时建议在《资格证明文件》中提供】</w:t>
            </w:r>
          </w:p>
          <w:p w14:paraId="1F5DB1DF">
            <w:pPr>
              <w:keepNext w:val="0"/>
              <w:keepLines w:val="0"/>
              <w:widowControl/>
              <w:suppressLineNumbers w:val="0"/>
              <w:spacing w:line="240" w:lineRule="auto"/>
              <w:jc w:val="left"/>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1、</w:t>
            </w:r>
            <w:r>
              <w:rPr>
                <w:rFonts w:hint="eastAsia" w:ascii="宋体" w:hAnsi="宋体" w:eastAsia="宋体" w:cs="宋体"/>
                <w:i w:val="0"/>
                <w:iCs w:val="0"/>
                <w:color w:val="auto"/>
                <w:spacing w:val="-6"/>
                <w:kern w:val="0"/>
                <w:sz w:val="21"/>
                <w:szCs w:val="21"/>
                <w:highlight w:val="none"/>
                <w:lang w:val="en-US" w:eastAsia="zh-CN" w:bidi="ar"/>
              </w:rPr>
              <w:t>供应商</w:t>
            </w:r>
            <w:r>
              <w:rPr>
                <w:rFonts w:hint="eastAsia" w:ascii="宋体" w:hAnsi="宋体" w:eastAsia="宋体" w:cs="宋体"/>
                <w:i w:val="0"/>
                <w:iCs w:val="0"/>
                <w:color w:val="auto"/>
                <w:kern w:val="0"/>
                <w:sz w:val="21"/>
                <w:szCs w:val="21"/>
                <w:highlight w:val="none"/>
                <w:lang w:val="en-US" w:eastAsia="zh-CN" w:bidi="ar"/>
              </w:rPr>
              <w:t xml:space="preserve">单独响应的，应提供“中小企业声明函”或“残疾人福利性单位声明函”或由省级以上监狱管理局、戒毒管理局（含新疆生产建设兵团）出具的属于监狱企业的证明文件。 </w:t>
            </w:r>
          </w:p>
          <w:p w14:paraId="6FB49724">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2、</w:t>
            </w:r>
            <w:r>
              <w:rPr>
                <w:rFonts w:hint="eastAsia" w:ascii="宋体" w:hAnsi="宋体" w:eastAsia="宋体" w:cs="宋体"/>
                <w:i w:val="0"/>
                <w:iCs w:val="0"/>
                <w:color w:val="auto"/>
                <w:spacing w:val="-6"/>
                <w:kern w:val="0"/>
                <w:sz w:val="21"/>
                <w:szCs w:val="21"/>
                <w:highlight w:val="none"/>
                <w:lang w:val="en-US" w:eastAsia="zh-CN" w:bidi="ar"/>
              </w:rPr>
              <w:t>如</w:t>
            </w:r>
            <w:r>
              <w:rPr>
                <w:rFonts w:hint="eastAsia" w:ascii="宋体" w:hAnsi="宋体" w:eastAsia="宋体" w:cs="宋体"/>
                <w:i w:val="0"/>
                <w:iCs w:val="0"/>
                <w:color w:val="auto"/>
                <w:sz w:val="21"/>
                <w:szCs w:val="21"/>
                <w:highlight w:val="none"/>
                <w:lang w:val="en-US" w:eastAsia="zh-CN"/>
              </w:rPr>
              <w:t>竞争性磋商</w:t>
            </w:r>
            <w:r>
              <w:rPr>
                <w:rFonts w:hint="eastAsia" w:ascii="宋体" w:hAnsi="宋体" w:eastAsia="宋体" w:cs="宋体"/>
                <w:i w:val="0"/>
                <w:iCs w:val="0"/>
                <w:color w:val="auto"/>
                <w:spacing w:val="-6"/>
                <w:kern w:val="0"/>
                <w:sz w:val="21"/>
                <w:szCs w:val="21"/>
                <w:highlight w:val="none"/>
                <w:lang w:val="en-US" w:eastAsia="zh-CN" w:bidi="ar"/>
              </w:rPr>
              <w:t>文件允许以联合体形式参加或者允许合同分包的，且供应商为联合体或拟进行合同分包的，则联合体中的中小企业、签订分包意向协议书的中小企业具体情况须在“中小企业声明函”或“残疾人福利性单位声明函”或由省级以上监狱管理局、戒毒管理局（含新疆生产建设兵团）出具的属于监狱企业的证明文件中如实填报，且满足</w:t>
            </w:r>
            <w:r>
              <w:rPr>
                <w:rFonts w:hint="eastAsia" w:ascii="宋体" w:hAnsi="宋体" w:eastAsia="宋体" w:cs="宋体"/>
                <w:i w:val="0"/>
                <w:iCs w:val="0"/>
                <w:color w:val="auto"/>
                <w:sz w:val="21"/>
                <w:szCs w:val="21"/>
                <w:highlight w:val="none"/>
                <w:lang w:val="en-US" w:eastAsia="zh-CN"/>
              </w:rPr>
              <w:t>竞争性磋商</w:t>
            </w:r>
            <w:r>
              <w:rPr>
                <w:rFonts w:hint="eastAsia" w:ascii="宋体" w:hAnsi="宋体" w:eastAsia="宋体" w:cs="宋体"/>
                <w:i w:val="0"/>
                <w:iCs w:val="0"/>
                <w:color w:val="auto"/>
                <w:spacing w:val="-6"/>
                <w:kern w:val="0"/>
                <w:sz w:val="21"/>
                <w:szCs w:val="21"/>
                <w:highlight w:val="none"/>
                <w:lang w:val="en-US" w:eastAsia="zh-CN" w:bidi="ar"/>
              </w:rPr>
              <w:t>文件关于预留份额的要求。</w:t>
            </w:r>
          </w:p>
        </w:tc>
        <w:tc>
          <w:tcPr>
            <w:tcW w:w="723" w:type="pct"/>
            <w:shd w:val="clear" w:color="auto" w:fill="auto"/>
            <w:vAlign w:val="center"/>
          </w:tcPr>
          <w:p w14:paraId="0FC39B94">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格式见《第六章 响应文件格式》</w:t>
            </w:r>
          </w:p>
        </w:tc>
      </w:tr>
      <w:tr w14:paraId="2B7A5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90" w:hRule="atLeast"/>
          <w:jc w:val="center"/>
        </w:trPr>
        <w:tc>
          <w:tcPr>
            <w:tcW w:w="437" w:type="pct"/>
            <w:shd w:val="clear" w:color="auto" w:fill="auto"/>
            <w:vAlign w:val="center"/>
          </w:tcPr>
          <w:p w14:paraId="3E8E8164">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2-1-2</w:t>
            </w:r>
          </w:p>
        </w:tc>
        <w:tc>
          <w:tcPr>
            <w:tcW w:w="878" w:type="pct"/>
            <w:shd w:val="clear" w:color="auto" w:fill="auto"/>
            <w:vAlign w:val="center"/>
          </w:tcPr>
          <w:p w14:paraId="335A1D3C">
            <w:pPr>
              <w:pStyle w:val="52"/>
              <w:spacing w:line="240" w:lineRule="auto"/>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lang w:val="en-US" w:eastAsia="zh-CN" w:bidi="ar"/>
              </w:rPr>
              <w:t>拟分包情况说明及分包意向协议书</w:t>
            </w:r>
            <w:r>
              <w:rPr>
                <w:rFonts w:hint="eastAsia" w:cs="宋体"/>
                <w:color w:val="auto"/>
                <w:kern w:val="0"/>
                <w:szCs w:val="21"/>
                <w:highlight w:val="none"/>
                <w:lang w:eastAsia="zh-CN" w:bidi="ar"/>
              </w:rPr>
              <w:t>（</w:t>
            </w:r>
            <w:r>
              <w:rPr>
                <w:rFonts w:hint="eastAsia" w:cs="宋体"/>
                <w:color w:val="auto"/>
                <w:kern w:val="0"/>
                <w:szCs w:val="21"/>
                <w:highlight w:val="none"/>
                <w:lang w:val="en-US" w:eastAsia="zh-CN" w:bidi="ar"/>
              </w:rPr>
              <w:t>本项目不适用</w:t>
            </w:r>
            <w:r>
              <w:rPr>
                <w:rFonts w:hint="eastAsia" w:cs="宋体"/>
                <w:color w:val="auto"/>
                <w:kern w:val="0"/>
                <w:szCs w:val="21"/>
                <w:highlight w:val="none"/>
                <w:lang w:eastAsia="zh-CN" w:bidi="ar"/>
              </w:rPr>
              <w:t>）</w:t>
            </w:r>
          </w:p>
        </w:tc>
        <w:tc>
          <w:tcPr>
            <w:tcW w:w="2961" w:type="pct"/>
            <w:shd w:val="clear" w:color="auto" w:fill="auto"/>
            <w:vAlign w:val="center"/>
          </w:tcPr>
          <w:p w14:paraId="62762905">
            <w:pPr>
              <w:keepNext w:val="0"/>
              <w:keepLines w:val="0"/>
              <w:widowControl/>
              <w:suppressLineNumbers w:val="0"/>
              <w:spacing w:line="240" w:lineRule="auto"/>
              <w:jc w:val="left"/>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如本项目（包）要求通过分包措施预留部分采购份额面向中小企业采购、且</w:t>
            </w:r>
            <w:r>
              <w:rPr>
                <w:rFonts w:hint="eastAsia" w:ascii="宋体" w:hAnsi="宋体" w:eastAsia="宋体" w:cs="宋体"/>
                <w:i w:val="0"/>
                <w:iCs w:val="0"/>
                <w:color w:val="auto"/>
                <w:spacing w:val="-6"/>
                <w:kern w:val="0"/>
                <w:sz w:val="21"/>
                <w:szCs w:val="21"/>
                <w:highlight w:val="none"/>
                <w:lang w:val="en-US" w:eastAsia="zh-CN" w:bidi="ar"/>
              </w:rPr>
              <w:t>供应商</w:t>
            </w:r>
            <w:r>
              <w:rPr>
                <w:rFonts w:hint="eastAsia" w:ascii="宋体" w:hAnsi="宋体" w:eastAsia="宋体" w:cs="宋体"/>
                <w:i w:val="0"/>
                <w:iCs w:val="0"/>
                <w:color w:val="auto"/>
                <w:kern w:val="0"/>
                <w:sz w:val="21"/>
                <w:szCs w:val="21"/>
                <w:highlight w:val="none"/>
                <w:lang w:val="en-US" w:eastAsia="zh-CN" w:bidi="ar"/>
              </w:rPr>
              <w:t xml:space="preserve">因落实政府采购政策拟进行分包的，必须提供；否则无须提供。 </w:t>
            </w:r>
          </w:p>
          <w:p w14:paraId="11B918C7">
            <w:pPr>
              <w:pStyle w:val="52"/>
              <w:spacing w:line="240" w:lineRule="auto"/>
              <w:jc w:val="both"/>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kern w:val="0"/>
                <w:sz w:val="21"/>
                <w:szCs w:val="21"/>
                <w:highlight w:val="none"/>
                <w:lang w:val="en-US" w:eastAsia="zh-CN" w:bidi="ar"/>
              </w:rPr>
              <w:t>对于预留份额专门面向中小企业采购的项目（包），组成联合体或者接受分包合同的中小企业与联合体内其他企业、分包企业之间不得存在直接控股、管理关系。</w:t>
            </w:r>
          </w:p>
        </w:tc>
        <w:tc>
          <w:tcPr>
            <w:tcW w:w="723" w:type="pct"/>
            <w:shd w:val="clear" w:color="auto" w:fill="auto"/>
            <w:vAlign w:val="center"/>
          </w:tcPr>
          <w:p w14:paraId="06656FE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格式见《第六章 响应文件格式》</w:t>
            </w:r>
          </w:p>
          <w:p w14:paraId="06F64FFB">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1"/>
                <w:szCs w:val="21"/>
                <w:highlight w:val="none"/>
                <w:lang w:val="en-US" w:eastAsia="zh-CN" w:bidi="ar"/>
              </w:rPr>
            </w:pPr>
          </w:p>
        </w:tc>
      </w:tr>
      <w:tr w14:paraId="6FE5B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860" w:hRule="atLeast"/>
          <w:jc w:val="center"/>
        </w:trPr>
        <w:tc>
          <w:tcPr>
            <w:tcW w:w="437" w:type="pct"/>
            <w:shd w:val="clear" w:color="auto" w:fill="auto"/>
            <w:vAlign w:val="center"/>
          </w:tcPr>
          <w:p w14:paraId="47343007">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2-2</w:t>
            </w:r>
          </w:p>
        </w:tc>
        <w:tc>
          <w:tcPr>
            <w:tcW w:w="878" w:type="pct"/>
            <w:shd w:val="clear" w:color="auto" w:fill="auto"/>
            <w:vAlign w:val="center"/>
          </w:tcPr>
          <w:p w14:paraId="45A042FB">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spacing w:val="-6"/>
                <w:kern w:val="0"/>
                <w:sz w:val="21"/>
                <w:szCs w:val="21"/>
                <w:highlight w:val="none"/>
                <w:lang w:val="en-US" w:eastAsia="zh-CN" w:bidi="ar"/>
              </w:rPr>
              <w:t>其它落实政府采购政策的资格要求</w:t>
            </w:r>
          </w:p>
        </w:tc>
        <w:tc>
          <w:tcPr>
            <w:tcW w:w="2961" w:type="pct"/>
            <w:shd w:val="clear" w:color="auto" w:fill="auto"/>
            <w:vAlign w:val="center"/>
          </w:tcPr>
          <w:p w14:paraId="34169742">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如有，见</w:t>
            </w:r>
            <w:r>
              <w:rPr>
                <w:rFonts w:hint="eastAsia" w:ascii="宋体" w:hAnsi="宋体" w:eastAsia="宋体" w:cs="宋体"/>
                <w:i w:val="0"/>
                <w:iCs w:val="0"/>
                <w:color w:val="auto"/>
                <w:sz w:val="21"/>
                <w:szCs w:val="21"/>
                <w:highlight w:val="none"/>
                <w:lang w:val="en-US" w:eastAsia="zh-CN"/>
              </w:rPr>
              <w:t>“第一章 竞争性磋商公告”</w:t>
            </w:r>
          </w:p>
        </w:tc>
        <w:tc>
          <w:tcPr>
            <w:tcW w:w="723" w:type="pct"/>
            <w:shd w:val="clear" w:color="auto" w:fill="auto"/>
            <w:vAlign w:val="center"/>
          </w:tcPr>
          <w:p w14:paraId="4432CDD1">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提供证明文件的电子件或电子证照</w:t>
            </w:r>
          </w:p>
        </w:tc>
      </w:tr>
      <w:tr w14:paraId="0E5E7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179" w:hRule="atLeast"/>
          <w:jc w:val="center"/>
        </w:trPr>
        <w:tc>
          <w:tcPr>
            <w:tcW w:w="437" w:type="pct"/>
            <w:shd w:val="clear" w:color="auto" w:fill="auto"/>
            <w:vAlign w:val="center"/>
          </w:tcPr>
          <w:p w14:paraId="12294255">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3</w:t>
            </w:r>
          </w:p>
        </w:tc>
        <w:tc>
          <w:tcPr>
            <w:tcW w:w="878" w:type="pct"/>
            <w:shd w:val="clear" w:color="auto" w:fill="auto"/>
            <w:vAlign w:val="center"/>
          </w:tcPr>
          <w:p w14:paraId="54EFAA2A">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本项目的特定资格要求</w:t>
            </w:r>
          </w:p>
        </w:tc>
        <w:tc>
          <w:tcPr>
            <w:tcW w:w="2961" w:type="pct"/>
            <w:shd w:val="clear" w:color="auto" w:fill="auto"/>
            <w:vAlign w:val="center"/>
          </w:tcPr>
          <w:p w14:paraId="00A37450">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如有，见</w:t>
            </w:r>
            <w:r>
              <w:rPr>
                <w:rFonts w:hint="eastAsia" w:ascii="宋体" w:hAnsi="宋体" w:eastAsia="宋体" w:cs="宋体"/>
                <w:i w:val="0"/>
                <w:iCs w:val="0"/>
                <w:color w:val="auto"/>
                <w:sz w:val="21"/>
                <w:szCs w:val="21"/>
                <w:highlight w:val="none"/>
                <w:lang w:val="en-US" w:eastAsia="zh-CN"/>
              </w:rPr>
              <w:t>“第一章 竞争性磋商公告”</w:t>
            </w:r>
          </w:p>
        </w:tc>
        <w:tc>
          <w:tcPr>
            <w:tcW w:w="723" w:type="pct"/>
            <w:shd w:val="clear" w:color="auto" w:fill="auto"/>
            <w:vAlign w:val="center"/>
          </w:tcPr>
          <w:p w14:paraId="156F7E34">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p>
        </w:tc>
      </w:tr>
      <w:tr w14:paraId="3319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454" w:hRule="atLeast"/>
          <w:jc w:val="center"/>
        </w:trPr>
        <w:tc>
          <w:tcPr>
            <w:tcW w:w="437" w:type="pct"/>
            <w:shd w:val="clear" w:color="auto" w:fill="auto"/>
            <w:vAlign w:val="center"/>
          </w:tcPr>
          <w:p w14:paraId="397933C2">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3-1</w:t>
            </w:r>
          </w:p>
        </w:tc>
        <w:tc>
          <w:tcPr>
            <w:tcW w:w="878" w:type="pct"/>
            <w:shd w:val="clear" w:color="auto" w:fill="auto"/>
            <w:vAlign w:val="center"/>
          </w:tcPr>
          <w:p w14:paraId="7F226DD1">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本项目对于联合体的要求</w:t>
            </w:r>
            <w:r>
              <w:rPr>
                <w:rFonts w:hint="eastAsia" w:cs="宋体"/>
                <w:color w:val="auto"/>
                <w:kern w:val="0"/>
                <w:szCs w:val="21"/>
                <w:highlight w:val="none"/>
                <w:lang w:eastAsia="zh-CN" w:bidi="ar"/>
              </w:rPr>
              <w:t>（</w:t>
            </w:r>
            <w:r>
              <w:rPr>
                <w:rFonts w:hint="eastAsia" w:cs="宋体"/>
                <w:color w:val="auto"/>
                <w:kern w:val="0"/>
                <w:szCs w:val="21"/>
                <w:highlight w:val="none"/>
                <w:lang w:val="en-US" w:eastAsia="zh-CN" w:bidi="ar"/>
              </w:rPr>
              <w:t>本项目不适用</w:t>
            </w:r>
            <w:r>
              <w:rPr>
                <w:rFonts w:hint="eastAsia" w:cs="宋体"/>
                <w:color w:val="auto"/>
                <w:kern w:val="0"/>
                <w:szCs w:val="21"/>
                <w:highlight w:val="none"/>
                <w:lang w:eastAsia="zh-CN" w:bidi="ar"/>
              </w:rPr>
              <w:t>）</w:t>
            </w:r>
          </w:p>
        </w:tc>
        <w:tc>
          <w:tcPr>
            <w:tcW w:w="2961" w:type="pct"/>
            <w:shd w:val="clear" w:color="auto" w:fill="auto"/>
            <w:vAlign w:val="center"/>
          </w:tcPr>
          <w:p w14:paraId="71F764B8">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1、如本项目接受联合体磋商，且</w:t>
            </w:r>
            <w:r>
              <w:rPr>
                <w:rFonts w:hint="eastAsia" w:ascii="宋体" w:hAnsi="宋体" w:eastAsia="宋体" w:cs="宋体"/>
                <w:i w:val="0"/>
                <w:iCs w:val="0"/>
                <w:color w:val="auto"/>
                <w:spacing w:val="-6"/>
                <w:kern w:val="0"/>
                <w:sz w:val="21"/>
                <w:szCs w:val="21"/>
                <w:highlight w:val="none"/>
                <w:lang w:val="en-US" w:eastAsia="zh-CN" w:bidi="ar"/>
              </w:rPr>
              <w:t>供应商</w:t>
            </w:r>
            <w:r>
              <w:rPr>
                <w:rFonts w:hint="eastAsia" w:ascii="宋体" w:hAnsi="宋体" w:eastAsia="宋体" w:cs="宋体"/>
                <w:i w:val="0"/>
                <w:iCs w:val="0"/>
                <w:color w:val="auto"/>
                <w:kern w:val="0"/>
                <w:sz w:val="21"/>
                <w:szCs w:val="21"/>
                <w:highlight w:val="none"/>
                <w:lang w:val="en-US" w:eastAsia="zh-CN" w:bidi="ar"/>
              </w:rPr>
              <w:t xml:space="preserve">为联合体时必须提供《联合体协议书》，明确各方拟承担的工作和责任，并指定联合体牵头人，授权其代表所有联合体成员负责本项目磋商和合同实施阶段的牵头、协调工作。该联合体协议书应当作为响应文件的组成部分，与响应文件其他内容同时递交。 </w:t>
            </w:r>
          </w:p>
          <w:p w14:paraId="517DB6B7">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 xml:space="preserve">2、联合体各成员单位均须提供本表中序号1-1、1-2 的证明文件。联合体各成员单位均应满足本表 1-3 及 1-4 项规定。 </w:t>
            </w:r>
          </w:p>
          <w:p w14:paraId="75AA7FA6">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3、</w:t>
            </w:r>
            <w:r>
              <w:rPr>
                <w:rFonts w:hint="eastAsia" w:ascii="宋体" w:hAnsi="宋体" w:eastAsia="宋体" w:cs="宋体"/>
                <w:i w:val="0"/>
                <w:iCs w:val="0"/>
                <w:color w:val="auto"/>
                <w:spacing w:val="-6"/>
                <w:kern w:val="0"/>
                <w:sz w:val="21"/>
                <w:szCs w:val="21"/>
                <w:highlight w:val="none"/>
                <w:lang w:val="en-US" w:eastAsia="zh-CN" w:bidi="ar"/>
              </w:rPr>
              <w:t xml:space="preserve">本表序号 </w:t>
            </w:r>
            <w:r>
              <w:rPr>
                <w:rFonts w:hint="eastAsia" w:ascii="宋体" w:hAnsi="宋体" w:eastAsia="宋体" w:cs="宋体"/>
                <w:i w:val="0"/>
                <w:iCs w:val="0"/>
                <w:color w:val="auto"/>
                <w:kern w:val="0"/>
                <w:sz w:val="21"/>
                <w:szCs w:val="21"/>
                <w:highlight w:val="none"/>
                <w:lang w:val="en-US" w:eastAsia="zh-CN" w:bidi="ar"/>
              </w:rPr>
              <w:t xml:space="preserve">3-2 及 </w:t>
            </w:r>
            <w:r>
              <w:rPr>
                <w:rFonts w:hint="eastAsia" w:ascii="宋体" w:hAnsi="宋体" w:eastAsia="宋体" w:cs="宋体"/>
                <w:i w:val="0"/>
                <w:iCs w:val="0"/>
                <w:color w:val="auto"/>
                <w:spacing w:val="-6"/>
                <w:kern w:val="0"/>
                <w:sz w:val="21"/>
                <w:szCs w:val="21"/>
                <w:highlight w:val="none"/>
                <w:lang w:val="en-US" w:eastAsia="zh-CN" w:bidi="ar"/>
              </w:rPr>
              <w:t>3-3 项规定的其他特定资格要求中的每一小项要求，按照《联合体协议书》的分工，联合体各方应具备承担工作所需的特定资格要求并提供证明材料。</w:t>
            </w:r>
            <w:r>
              <w:rPr>
                <w:rFonts w:hint="eastAsia" w:ascii="宋体" w:hAnsi="宋体" w:eastAsia="宋体" w:cs="宋体"/>
                <w:i w:val="0"/>
                <w:iCs w:val="0"/>
                <w:color w:val="auto"/>
                <w:kern w:val="0"/>
                <w:sz w:val="21"/>
                <w:szCs w:val="21"/>
                <w:highlight w:val="none"/>
                <w:lang w:val="en-US" w:eastAsia="zh-CN" w:bidi="ar"/>
              </w:rPr>
              <w:t xml:space="preserve"> </w:t>
            </w:r>
          </w:p>
          <w:p w14:paraId="6C940A5D">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 xml:space="preserve">4、联合体中有同类资质的供应商按照联合体分工承担相同工作的，应当按照资质等级较低的供应商确定资质等级。 </w:t>
            </w:r>
          </w:p>
          <w:p w14:paraId="44D93A1E">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 xml:space="preserve">5、以联合体形式参加政府采购活动的，联合体各方不得再单独参加或者与其他供应商另外组成联合体参加同一合同项下的政府采购活动。 </w:t>
            </w:r>
          </w:p>
          <w:p w14:paraId="7D878FCE">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 xml:space="preserve">6、若联合体中任一成员单位中途退出，则该联合体的响应无效。 </w:t>
            </w:r>
          </w:p>
          <w:p w14:paraId="4FF9B429">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7、本项目不接受联合体磋商时，</w:t>
            </w:r>
            <w:r>
              <w:rPr>
                <w:rFonts w:hint="eastAsia" w:ascii="宋体" w:hAnsi="宋体" w:eastAsia="宋体" w:cs="宋体"/>
                <w:i w:val="0"/>
                <w:iCs w:val="0"/>
                <w:color w:val="auto"/>
                <w:spacing w:val="-6"/>
                <w:kern w:val="0"/>
                <w:sz w:val="21"/>
                <w:szCs w:val="21"/>
                <w:highlight w:val="none"/>
                <w:lang w:val="en-US" w:eastAsia="zh-CN" w:bidi="ar"/>
              </w:rPr>
              <w:t>供应商</w:t>
            </w:r>
            <w:r>
              <w:rPr>
                <w:rFonts w:hint="eastAsia" w:ascii="宋体" w:hAnsi="宋体" w:eastAsia="宋体" w:cs="宋体"/>
                <w:i w:val="0"/>
                <w:iCs w:val="0"/>
                <w:color w:val="auto"/>
                <w:kern w:val="0"/>
                <w:sz w:val="21"/>
                <w:szCs w:val="21"/>
                <w:highlight w:val="none"/>
                <w:lang w:val="en-US" w:eastAsia="zh-CN" w:bidi="ar"/>
              </w:rPr>
              <w:t>不得为联合体。</w:t>
            </w:r>
          </w:p>
        </w:tc>
        <w:tc>
          <w:tcPr>
            <w:tcW w:w="723" w:type="pct"/>
            <w:shd w:val="clear" w:color="auto" w:fill="auto"/>
            <w:vAlign w:val="center"/>
          </w:tcPr>
          <w:p w14:paraId="599BE434">
            <w:pPr>
              <w:pStyle w:val="52"/>
              <w:spacing w:line="240" w:lineRule="auto"/>
              <w:jc w:val="left"/>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 xml:space="preserve">提供《联合体协议书》原件的电子件 </w:t>
            </w:r>
          </w:p>
          <w:p w14:paraId="76D91C9A">
            <w:pPr>
              <w:pStyle w:val="52"/>
              <w:spacing w:line="240" w:lineRule="auto"/>
              <w:jc w:val="left"/>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格式见《第六章 响应文件格式》</w:t>
            </w:r>
          </w:p>
        </w:tc>
      </w:tr>
      <w:tr w14:paraId="67508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454" w:hRule="atLeast"/>
          <w:jc w:val="center"/>
        </w:trPr>
        <w:tc>
          <w:tcPr>
            <w:tcW w:w="437" w:type="pct"/>
            <w:shd w:val="clear" w:color="auto" w:fill="auto"/>
            <w:vAlign w:val="center"/>
          </w:tcPr>
          <w:p w14:paraId="777E2B93">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3-2</w:t>
            </w:r>
          </w:p>
        </w:tc>
        <w:tc>
          <w:tcPr>
            <w:tcW w:w="878" w:type="pct"/>
            <w:shd w:val="clear" w:color="auto" w:fill="auto"/>
            <w:vAlign w:val="center"/>
          </w:tcPr>
          <w:p w14:paraId="051DCADA">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政府购买服务承接主体的要求</w:t>
            </w:r>
            <w:r>
              <w:rPr>
                <w:rFonts w:hint="eastAsia" w:cs="宋体"/>
                <w:color w:val="auto"/>
                <w:kern w:val="0"/>
                <w:szCs w:val="21"/>
                <w:highlight w:val="none"/>
                <w:lang w:eastAsia="zh-CN" w:bidi="ar"/>
              </w:rPr>
              <w:t>（</w:t>
            </w:r>
            <w:r>
              <w:rPr>
                <w:rFonts w:hint="eastAsia" w:cs="宋体"/>
                <w:color w:val="auto"/>
                <w:kern w:val="0"/>
                <w:szCs w:val="21"/>
                <w:highlight w:val="none"/>
                <w:lang w:val="en-US" w:eastAsia="zh-CN" w:bidi="ar"/>
              </w:rPr>
              <w:t>本项目不适用</w:t>
            </w:r>
            <w:r>
              <w:rPr>
                <w:rFonts w:hint="eastAsia" w:cs="宋体"/>
                <w:color w:val="auto"/>
                <w:kern w:val="0"/>
                <w:szCs w:val="21"/>
                <w:highlight w:val="none"/>
                <w:lang w:eastAsia="zh-CN" w:bidi="ar"/>
              </w:rPr>
              <w:t>）</w:t>
            </w:r>
          </w:p>
        </w:tc>
        <w:tc>
          <w:tcPr>
            <w:tcW w:w="2961" w:type="pct"/>
            <w:shd w:val="clear" w:color="auto" w:fill="auto"/>
            <w:vAlign w:val="center"/>
          </w:tcPr>
          <w:p w14:paraId="0FD94462">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如本项目属于政府购买服务，</w:t>
            </w:r>
            <w:r>
              <w:rPr>
                <w:rFonts w:hint="eastAsia" w:ascii="宋体" w:hAnsi="宋体" w:eastAsia="宋体" w:cs="宋体"/>
                <w:i w:val="0"/>
                <w:iCs w:val="0"/>
                <w:color w:val="auto"/>
                <w:spacing w:val="-6"/>
                <w:kern w:val="0"/>
                <w:sz w:val="21"/>
                <w:szCs w:val="21"/>
                <w:highlight w:val="none"/>
                <w:lang w:val="en-US" w:eastAsia="zh-CN" w:bidi="ar"/>
              </w:rPr>
              <w:t>供应商</w:t>
            </w:r>
            <w:r>
              <w:rPr>
                <w:rFonts w:hint="eastAsia" w:ascii="宋体" w:hAnsi="宋体" w:eastAsia="宋体" w:cs="宋体"/>
                <w:i w:val="0"/>
                <w:iCs w:val="0"/>
                <w:color w:val="auto"/>
                <w:kern w:val="0"/>
                <w:sz w:val="21"/>
                <w:szCs w:val="21"/>
                <w:highlight w:val="none"/>
                <w:lang w:val="en-US" w:eastAsia="zh-CN" w:bidi="ar"/>
              </w:rPr>
              <w:t>不属于公益一类事业单位、使用事业编制且由财政拨款保障的群团组织。</w:t>
            </w:r>
          </w:p>
        </w:tc>
        <w:tc>
          <w:tcPr>
            <w:tcW w:w="723" w:type="pct"/>
            <w:shd w:val="clear" w:color="auto" w:fill="auto"/>
            <w:vAlign w:val="center"/>
          </w:tcPr>
          <w:p w14:paraId="0A438944">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提供证明文件的电子件或电子证照</w:t>
            </w:r>
          </w:p>
        </w:tc>
      </w:tr>
      <w:tr w14:paraId="07EA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57" w:type="dxa"/>
            <w:left w:w="108" w:type="dxa"/>
            <w:bottom w:w="57" w:type="dxa"/>
            <w:right w:w="108" w:type="dxa"/>
          </w:tblCellMar>
        </w:tblPrEx>
        <w:trPr>
          <w:trHeight w:val="454" w:hRule="atLeast"/>
          <w:jc w:val="center"/>
        </w:trPr>
        <w:tc>
          <w:tcPr>
            <w:tcW w:w="437" w:type="pct"/>
            <w:shd w:val="clear" w:color="auto" w:fill="auto"/>
            <w:vAlign w:val="center"/>
          </w:tcPr>
          <w:p w14:paraId="532F2E39">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3-3</w:t>
            </w:r>
          </w:p>
        </w:tc>
        <w:tc>
          <w:tcPr>
            <w:tcW w:w="878" w:type="pct"/>
            <w:shd w:val="clear" w:color="auto" w:fill="auto"/>
            <w:vAlign w:val="center"/>
          </w:tcPr>
          <w:p w14:paraId="542E22A5">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其他特定资格要求</w:t>
            </w:r>
          </w:p>
        </w:tc>
        <w:tc>
          <w:tcPr>
            <w:tcW w:w="2961" w:type="pct"/>
            <w:shd w:val="clear" w:color="auto" w:fill="auto"/>
            <w:vAlign w:val="center"/>
          </w:tcPr>
          <w:p w14:paraId="22041818">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如有，见</w:t>
            </w:r>
            <w:r>
              <w:rPr>
                <w:rFonts w:hint="eastAsia" w:ascii="宋体" w:hAnsi="宋体" w:eastAsia="宋体" w:cs="宋体"/>
                <w:i w:val="0"/>
                <w:iCs w:val="0"/>
                <w:color w:val="auto"/>
                <w:sz w:val="21"/>
                <w:szCs w:val="21"/>
                <w:highlight w:val="none"/>
                <w:lang w:val="en-US" w:eastAsia="zh-CN"/>
              </w:rPr>
              <w:t>“第一章 竞争性磋商公告”</w:t>
            </w:r>
          </w:p>
        </w:tc>
        <w:tc>
          <w:tcPr>
            <w:tcW w:w="723" w:type="pct"/>
            <w:shd w:val="clear" w:color="auto" w:fill="auto"/>
            <w:vAlign w:val="center"/>
          </w:tcPr>
          <w:p w14:paraId="3396FB3B">
            <w:pPr>
              <w:pStyle w:val="52"/>
              <w:spacing w:line="240" w:lineRule="auto"/>
              <w:jc w:val="both"/>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提供证明文件的电子件或电子证照</w:t>
            </w:r>
          </w:p>
        </w:tc>
      </w:tr>
    </w:tbl>
    <w:p w14:paraId="384166CD">
      <w:pPr>
        <w:keepNext w:val="0"/>
        <w:keepLines w:val="0"/>
        <w:pageBreakBefore w:val="0"/>
        <w:widowControl w:val="0"/>
        <w:kinsoku/>
        <w:overflowPunct/>
        <w:topLinePunct w:val="0"/>
        <w:autoSpaceDE/>
        <w:autoSpaceDN/>
        <w:bidi w:val="0"/>
        <w:adjustRightInd/>
        <w:snapToGrid/>
        <w:spacing w:line="420" w:lineRule="exact"/>
        <w:textAlignment w:val="auto"/>
        <w:rPr>
          <w:b/>
          <w:bCs/>
          <w:i w:val="0"/>
          <w:iCs w:val="0"/>
          <w:color w:val="auto"/>
          <w:sz w:val="21"/>
          <w:szCs w:val="21"/>
          <w:highlight w:val="none"/>
        </w:rPr>
      </w:pPr>
      <w:r>
        <w:rPr>
          <w:rFonts w:hint="eastAsia"/>
          <w:b/>
          <w:bCs/>
          <w:i w:val="0"/>
          <w:iCs w:val="0"/>
          <w:color w:val="auto"/>
          <w:sz w:val="21"/>
          <w:szCs w:val="21"/>
          <w:highlight w:val="none"/>
        </w:rPr>
        <w:t>备注：</w:t>
      </w:r>
    </w:p>
    <w:p w14:paraId="059FB921">
      <w:pPr>
        <w:pStyle w:val="45"/>
        <w:keepNext w:val="0"/>
        <w:keepLines w:val="0"/>
        <w:pageBreakBefore w:val="0"/>
        <w:widowControl w:val="0"/>
        <w:kinsoku/>
        <w:overflowPunct/>
        <w:topLinePunct w:val="0"/>
        <w:autoSpaceDE/>
        <w:autoSpaceDN/>
        <w:bidi w:val="0"/>
        <w:adjustRightInd/>
        <w:snapToGrid/>
        <w:spacing w:line="420" w:lineRule="exact"/>
        <w:ind w:firstLine="480"/>
        <w:textAlignment w:val="auto"/>
        <w:rPr>
          <w:i w:val="0"/>
          <w:iCs w:val="0"/>
          <w:color w:val="auto"/>
          <w:sz w:val="21"/>
          <w:szCs w:val="21"/>
          <w:highlight w:val="none"/>
        </w:rPr>
      </w:pPr>
      <w:r>
        <w:rPr>
          <w:i w:val="0"/>
          <w:iCs w:val="0"/>
          <w:color w:val="auto"/>
          <w:sz w:val="21"/>
          <w:szCs w:val="21"/>
          <w:highlight w:val="none"/>
        </w:rPr>
        <w:t>1.</w:t>
      </w:r>
      <w:r>
        <w:rPr>
          <w:rFonts w:hint="eastAsia"/>
          <w:i w:val="0"/>
          <w:iCs w:val="0"/>
          <w:color w:val="auto"/>
          <w:sz w:val="21"/>
          <w:szCs w:val="21"/>
          <w:highlight w:val="none"/>
          <w:lang w:eastAsia="zh-CN"/>
        </w:rPr>
        <w:t>供应商须按上表格式要求提供相关证明文件</w:t>
      </w:r>
      <w:r>
        <w:rPr>
          <w:rFonts w:hint="eastAsia"/>
          <w:i w:val="0"/>
          <w:iCs w:val="0"/>
          <w:color w:val="auto"/>
          <w:sz w:val="21"/>
          <w:szCs w:val="21"/>
          <w:highlight w:val="none"/>
        </w:rPr>
        <w:t>，响应文件中须编入清晰的扫描件或网页截图。所有证明材料须清晰可辨认，如因证明材料模糊无法辨认，缺页、漏页导致无法进行评审认定的</w:t>
      </w:r>
      <w:r>
        <w:rPr>
          <w:rFonts w:hint="eastAsia"/>
          <w:i w:val="0"/>
          <w:iCs w:val="0"/>
          <w:color w:val="auto"/>
          <w:sz w:val="21"/>
          <w:szCs w:val="21"/>
          <w:highlight w:val="none"/>
          <w:lang w:eastAsia="zh-CN"/>
        </w:rPr>
        <w:t>，</w:t>
      </w:r>
      <w:r>
        <w:rPr>
          <w:rFonts w:hint="eastAsia"/>
          <w:i w:val="0"/>
          <w:iCs w:val="0"/>
          <w:color w:val="auto"/>
          <w:sz w:val="21"/>
          <w:szCs w:val="21"/>
          <w:highlight w:val="none"/>
        </w:rPr>
        <w:t>责任由供应商</w:t>
      </w:r>
      <w:r>
        <w:rPr>
          <w:rFonts w:hint="eastAsia"/>
          <w:i w:val="0"/>
          <w:iCs w:val="0"/>
          <w:color w:val="auto"/>
          <w:sz w:val="21"/>
          <w:szCs w:val="21"/>
          <w:highlight w:val="none"/>
          <w:lang w:val="en-US" w:eastAsia="zh-CN"/>
        </w:rPr>
        <w:t>承担</w:t>
      </w:r>
      <w:r>
        <w:rPr>
          <w:rFonts w:hint="eastAsia"/>
          <w:i w:val="0"/>
          <w:iCs w:val="0"/>
          <w:color w:val="auto"/>
          <w:sz w:val="21"/>
          <w:szCs w:val="21"/>
          <w:highlight w:val="none"/>
        </w:rPr>
        <w:t>。</w:t>
      </w:r>
    </w:p>
    <w:p w14:paraId="2E303F51">
      <w:pPr>
        <w:pStyle w:val="45"/>
        <w:keepNext w:val="0"/>
        <w:keepLines w:val="0"/>
        <w:pageBreakBefore w:val="0"/>
        <w:widowControl w:val="0"/>
        <w:numPr>
          <w:ilvl w:val="0"/>
          <w:numId w:val="0"/>
        </w:numPr>
        <w:kinsoku/>
        <w:overflowPunct/>
        <w:topLinePunct w:val="0"/>
        <w:autoSpaceDE/>
        <w:autoSpaceDN/>
        <w:bidi w:val="0"/>
        <w:adjustRightInd/>
        <w:snapToGrid/>
        <w:spacing w:line="420" w:lineRule="exact"/>
        <w:ind w:firstLine="420" w:firstLineChars="200"/>
        <w:textAlignment w:val="auto"/>
        <w:rPr>
          <w:i w:val="0"/>
          <w:iCs w:val="0"/>
          <w:color w:val="auto"/>
          <w:sz w:val="21"/>
          <w:szCs w:val="21"/>
          <w:highlight w:val="none"/>
        </w:rPr>
      </w:pPr>
      <w:r>
        <w:rPr>
          <w:rFonts w:ascii="宋体" w:hAnsi="宋体" w:eastAsia="宋体" w:cstheme="minorBidi"/>
          <w:i w:val="0"/>
          <w:iCs w:val="0"/>
          <w:color w:val="auto"/>
          <w:kern w:val="2"/>
          <w:sz w:val="21"/>
          <w:szCs w:val="21"/>
          <w:highlight w:val="none"/>
          <w:lang w:val="en-US" w:eastAsia="zh-CN" w:bidi="ar-SA"/>
        </w:rPr>
        <w:t>2.</w:t>
      </w:r>
      <w:r>
        <w:rPr>
          <w:rFonts w:hint="eastAsia"/>
          <w:i w:val="0"/>
          <w:iCs w:val="0"/>
          <w:color w:val="auto"/>
          <w:sz w:val="21"/>
          <w:szCs w:val="21"/>
          <w:highlight w:val="none"/>
          <w:lang w:val="zh-CN"/>
        </w:rPr>
        <w:t>信用信息核</w:t>
      </w:r>
      <w:r>
        <w:rPr>
          <w:rFonts w:hint="eastAsia"/>
          <w:i w:val="0"/>
          <w:iCs w:val="0"/>
          <w:color w:val="auto"/>
          <w:sz w:val="21"/>
          <w:szCs w:val="21"/>
          <w:highlight w:val="none"/>
        </w:rPr>
        <w:t>查</w:t>
      </w:r>
    </w:p>
    <w:p w14:paraId="16D3291E">
      <w:pPr>
        <w:pStyle w:val="41"/>
        <w:keepNext w:val="0"/>
        <w:keepLines w:val="0"/>
        <w:pageBreakBefore w:val="0"/>
        <w:widowControl w:val="0"/>
        <w:kinsoku/>
        <w:overflowPunct/>
        <w:topLinePunct w:val="0"/>
        <w:autoSpaceDE/>
        <w:autoSpaceDN/>
        <w:bidi w:val="0"/>
        <w:adjustRightInd/>
        <w:snapToGrid/>
        <w:spacing w:line="420" w:lineRule="exact"/>
        <w:ind w:firstLine="480"/>
        <w:textAlignment w:val="auto"/>
        <w:rPr>
          <w:i w:val="0"/>
          <w:iCs w:val="0"/>
          <w:color w:val="auto"/>
          <w:sz w:val="21"/>
          <w:szCs w:val="21"/>
          <w:highlight w:val="none"/>
        </w:rPr>
      </w:pPr>
      <w:r>
        <w:rPr>
          <w:rFonts w:hint="eastAsia"/>
          <w:i w:val="0"/>
          <w:iCs w:val="0"/>
          <w:color w:val="auto"/>
          <w:sz w:val="21"/>
          <w:szCs w:val="21"/>
          <w:highlight w:val="none"/>
        </w:rPr>
        <w:t>2.1资格审查</w:t>
      </w:r>
      <w:r>
        <w:rPr>
          <w:rFonts w:hint="eastAsia"/>
          <w:i w:val="0"/>
          <w:iCs w:val="0"/>
          <w:color w:val="auto"/>
          <w:sz w:val="21"/>
          <w:szCs w:val="21"/>
          <w:highlight w:val="none"/>
          <w:lang w:eastAsia="zh-CN"/>
        </w:rPr>
        <w:t>阶段</w:t>
      </w:r>
      <w:r>
        <w:rPr>
          <w:rFonts w:hint="eastAsia"/>
          <w:i w:val="0"/>
          <w:iCs w:val="0"/>
          <w:color w:val="auto"/>
          <w:sz w:val="21"/>
          <w:szCs w:val="21"/>
          <w:highlight w:val="none"/>
        </w:rPr>
        <w:t>应当核查供应商信用记录，供应商被列入失信被执行人、重大税收违法失信主体、政府采购严重违法失信行为记录名单的，采购</w:t>
      </w:r>
      <w:r>
        <w:rPr>
          <w:rFonts w:hint="eastAsia"/>
          <w:i w:val="0"/>
          <w:iCs w:val="0"/>
          <w:color w:val="auto"/>
          <w:sz w:val="21"/>
          <w:szCs w:val="21"/>
          <w:highlight w:val="none"/>
          <w:lang w:val="en-US" w:eastAsia="zh-CN"/>
        </w:rPr>
        <w:t>人</w:t>
      </w:r>
      <w:r>
        <w:rPr>
          <w:rFonts w:hint="eastAsia"/>
          <w:i w:val="0"/>
          <w:iCs w:val="0"/>
          <w:color w:val="auto"/>
          <w:sz w:val="21"/>
          <w:szCs w:val="21"/>
          <w:highlight w:val="none"/>
        </w:rPr>
        <w:t>拒绝其参与政府采购活动。</w:t>
      </w:r>
    </w:p>
    <w:p w14:paraId="0097155B">
      <w:pPr>
        <w:pStyle w:val="41"/>
        <w:keepNext w:val="0"/>
        <w:keepLines w:val="0"/>
        <w:pageBreakBefore w:val="0"/>
        <w:widowControl w:val="0"/>
        <w:kinsoku/>
        <w:overflowPunct/>
        <w:topLinePunct w:val="0"/>
        <w:autoSpaceDE/>
        <w:autoSpaceDN/>
        <w:bidi w:val="0"/>
        <w:adjustRightInd/>
        <w:snapToGrid/>
        <w:spacing w:line="420" w:lineRule="exact"/>
        <w:ind w:firstLine="480"/>
        <w:textAlignment w:val="auto"/>
        <w:rPr>
          <w:i w:val="0"/>
          <w:iCs w:val="0"/>
          <w:color w:val="auto"/>
          <w:sz w:val="21"/>
          <w:szCs w:val="21"/>
          <w:highlight w:val="none"/>
        </w:rPr>
      </w:pPr>
      <w:r>
        <w:rPr>
          <w:rFonts w:hint="eastAsia"/>
          <w:i w:val="0"/>
          <w:iCs w:val="0"/>
          <w:color w:val="auto"/>
          <w:sz w:val="21"/>
          <w:szCs w:val="21"/>
          <w:highlight w:val="none"/>
        </w:rPr>
        <w:t>2.2以联合体形式参与磋商的，应当核查联合体所有成员和信用记录，联合体成员存在不良信用记录的，视同联合体存在不良信用信息。</w:t>
      </w:r>
    </w:p>
    <w:p w14:paraId="610C3A38">
      <w:pPr>
        <w:pStyle w:val="45"/>
        <w:keepNext w:val="0"/>
        <w:keepLines w:val="0"/>
        <w:pageBreakBefore w:val="0"/>
        <w:widowControl w:val="0"/>
        <w:numPr>
          <w:ilvl w:val="0"/>
          <w:numId w:val="0"/>
        </w:numPr>
        <w:kinsoku/>
        <w:overflowPunct/>
        <w:topLinePunct w:val="0"/>
        <w:autoSpaceDE/>
        <w:autoSpaceDN/>
        <w:bidi w:val="0"/>
        <w:adjustRightInd/>
        <w:snapToGrid/>
        <w:spacing w:line="420" w:lineRule="exact"/>
        <w:ind w:firstLine="420" w:firstLineChars="200"/>
        <w:textAlignment w:val="auto"/>
        <w:rPr>
          <w:rFonts w:hint="eastAsia"/>
          <w:i w:val="0"/>
          <w:iCs w:val="0"/>
          <w:color w:val="auto"/>
          <w:sz w:val="21"/>
          <w:szCs w:val="21"/>
          <w:highlight w:val="none"/>
        </w:rPr>
      </w:pPr>
      <w:r>
        <w:rPr>
          <w:rFonts w:ascii="宋体" w:hAnsi="宋体" w:eastAsia="宋体" w:cstheme="minorBidi"/>
          <w:i w:val="0"/>
          <w:iCs w:val="0"/>
          <w:color w:val="auto"/>
          <w:kern w:val="2"/>
          <w:sz w:val="21"/>
          <w:szCs w:val="21"/>
          <w:highlight w:val="none"/>
          <w:lang w:val="en-US" w:eastAsia="zh-CN" w:bidi="ar-SA"/>
        </w:rPr>
        <w:t>3.</w:t>
      </w:r>
      <w:r>
        <w:rPr>
          <w:rFonts w:hint="eastAsia"/>
          <w:i w:val="0"/>
          <w:iCs w:val="0"/>
          <w:color w:val="auto"/>
          <w:sz w:val="21"/>
          <w:szCs w:val="21"/>
          <w:highlight w:val="none"/>
        </w:rPr>
        <w:t>对于响应文件中有任意一条不满足上表要求的</w:t>
      </w:r>
      <w:r>
        <w:rPr>
          <w:rFonts w:hint="eastAsia"/>
          <w:i w:val="0"/>
          <w:iCs w:val="0"/>
          <w:color w:val="auto"/>
          <w:sz w:val="21"/>
          <w:szCs w:val="21"/>
          <w:highlight w:val="none"/>
          <w:lang w:eastAsia="zh-CN"/>
        </w:rPr>
        <w:t>，</w:t>
      </w:r>
      <w:r>
        <w:rPr>
          <w:rFonts w:hint="eastAsia"/>
          <w:i w:val="0"/>
          <w:iCs w:val="0"/>
          <w:color w:val="auto"/>
          <w:sz w:val="21"/>
          <w:szCs w:val="21"/>
          <w:highlight w:val="none"/>
        </w:rPr>
        <w:t>将导致其</w:t>
      </w:r>
      <w:r>
        <w:rPr>
          <w:rFonts w:hint="eastAsia"/>
          <w:b/>
          <w:bCs/>
          <w:i w:val="0"/>
          <w:iCs w:val="0"/>
          <w:color w:val="auto"/>
          <w:sz w:val="21"/>
          <w:szCs w:val="21"/>
          <w:highlight w:val="none"/>
        </w:rPr>
        <w:t>响应无效</w:t>
      </w:r>
      <w:r>
        <w:rPr>
          <w:rFonts w:hint="eastAsia"/>
          <w:i w:val="0"/>
          <w:iCs w:val="0"/>
          <w:color w:val="auto"/>
          <w:sz w:val="21"/>
          <w:szCs w:val="21"/>
          <w:highlight w:val="none"/>
        </w:rPr>
        <w:t>，不</w:t>
      </w:r>
      <w:r>
        <w:rPr>
          <w:rFonts w:hint="eastAsia"/>
          <w:i w:val="0"/>
          <w:iCs w:val="0"/>
          <w:color w:val="auto"/>
          <w:sz w:val="21"/>
          <w:szCs w:val="21"/>
          <w:highlight w:val="none"/>
          <w:lang w:val="en-US" w:eastAsia="zh-CN"/>
        </w:rPr>
        <w:t>得</w:t>
      </w:r>
      <w:r>
        <w:rPr>
          <w:rFonts w:hint="eastAsia"/>
          <w:i w:val="0"/>
          <w:iCs w:val="0"/>
          <w:color w:val="auto"/>
          <w:sz w:val="21"/>
          <w:szCs w:val="21"/>
          <w:highlight w:val="none"/>
        </w:rPr>
        <w:t>进入下一项评审。</w:t>
      </w:r>
    </w:p>
    <w:p w14:paraId="1D265A98">
      <w:pPr>
        <w:rPr>
          <w:rFonts w:hint="eastAsia"/>
          <w:i w:val="0"/>
          <w:iCs w:val="0"/>
          <w:color w:val="auto"/>
          <w:highlight w:val="none"/>
        </w:rPr>
      </w:pPr>
      <w:r>
        <w:rPr>
          <w:rFonts w:hint="eastAsia"/>
          <w:i w:val="0"/>
          <w:iCs w:val="0"/>
          <w:color w:val="auto"/>
          <w:highlight w:val="none"/>
        </w:rPr>
        <w:br w:type="page"/>
      </w:r>
    </w:p>
    <w:p w14:paraId="4CBE3BC8">
      <w:pPr>
        <w:pStyle w:val="5"/>
        <w:keepNext w:val="0"/>
        <w:keepLines w:val="0"/>
        <w:pageBreakBefore w:val="0"/>
        <w:widowControl w:val="0"/>
        <w:numPr>
          <w:ilvl w:val="0"/>
          <w:numId w:val="0"/>
        </w:numPr>
        <w:kinsoku/>
        <w:wordWrap/>
        <w:overflowPunct/>
        <w:topLinePunct w:val="0"/>
        <w:autoSpaceDE/>
        <w:autoSpaceDN/>
        <w:bidi w:val="0"/>
        <w:adjustRightInd/>
        <w:snapToGrid/>
        <w:spacing w:before="100" w:after="100" w:line="480" w:lineRule="exact"/>
        <w:ind w:left="420" w:leftChars="0" w:hanging="420" w:firstLineChars="0"/>
        <w:textAlignment w:val="auto"/>
        <w:rPr>
          <w:rFonts w:hint="eastAsia" w:ascii="宋体" w:hAnsi="宋体" w:eastAsia="宋体" w:cs="宋体"/>
          <w:b/>
          <w:bCs/>
          <w:i w:val="0"/>
          <w:iCs w:val="0"/>
          <w:color w:val="auto"/>
          <w:kern w:val="2"/>
          <w:sz w:val="24"/>
          <w:szCs w:val="24"/>
          <w:highlight w:val="none"/>
          <w:lang w:val="zh-CN" w:eastAsia="zh-CN" w:bidi="ar-SA"/>
        </w:rPr>
      </w:pPr>
      <w:bookmarkStart w:id="472" w:name="_Toc163493639"/>
      <w:bookmarkStart w:id="473" w:name="_Toc4949"/>
      <w:r>
        <w:rPr>
          <w:rFonts w:hint="eastAsia" w:ascii="宋体" w:hAnsi="宋体" w:eastAsia="宋体" w:cs="宋体"/>
          <w:b/>
          <w:bCs/>
          <w:i w:val="0"/>
          <w:iCs w:val="0"/>
          <w:color w:val="auto"/>
          <w:kern w:val="2"/>
          <w:sz w:val="24"/>
          <w:szCs w:val="24"/>
          <w:highlight w:val="none"/>
          <w:lang w:val="en-US" w:eastAsia="zh-CN" w:bidi="ar-SA"/>
        </w:rPr>
        <w:t>（二）</w:t>
      </w:r>
      <w:r>
        <w:rPr>
          <w:rFonts w:hint="eastAsia" w:ascii="宋体" w:hAnsi="宋体" w:eastAsia="宋体" w:cs="宋体"/>
          <w:b/>
          <w:bCs/>
          <w:i w:val="0"/>
          <w:iCs w:val="0"/>
          <w:color w:val="auto"/>
          <w:kern w:val="2"/>
          <w:sz w:val="24"/>
          <w:szCs w:val="24"/>
          <w:highlight w:val="none"/>
          <w:lang w:val="zh-CN" w:eastAsia="zh-CN" w:bidi="ar-SA"/>
        </w:rPr>
        <w:t>符合性审查表</w:t>
      </w:r>
      <w:bookmarkEnd w:id="471"/>
      <w:bookmarkEnd w:id="472"/>
      <w:bookmarkEnd w:id="473"/>
    </w:p>
    <w:tbl>
      <w:tblPr>
        <w:tblStyle w:val="32"/>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68"/>
        <w:gridCol w:w="1201"/>
        <w:gridCol w:w="5055"/>
        <w:gridCol w:w="797"/>
        <w:gridCol w:w="1005"/>
      </w:tblGrid>
      <w:tr w14:paraId="3F0A0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275" w:type="pct"/>
            <w:vMerge w:val="restart"/>
            <w:shd w:val="clear" w:color="auto" w:fill="D8D8D8" w:themeFill="background1" w:themeFillShade="D9"/>
            <w:vAlign w:val="center"/>
          </w:tcPr>
          <w:p w14:paraId="6A1E72A4">
            <w:pPr>
              <w:pStyle w:val="52"/>
              <w:spacing w:line="240" w:lineRule="auto"/>
              <w:jc w:val="center"/>
              <w:rPr>
                <w:rFonts w:hint="eastAsia" w:ascii="宋体" w:hAnsi="宋体" w:eastAsia="宋体" w:cs="宋体"/>
                <w:b/>
                <w:bCs/>
                <w:i w:val="0"/>
                <w:iCs w:val="0"/>
                <w:color w:val="auto"/>
                <w:sz w:val="21"/>
                <w:szCs w:val="21"/>
                <w:highlight w:val="none"/>
                <w:lang w:val="zh-CN"/>
              </w:rPr>
            </w:pPr>
            <w:bookmarkStart w:id="474" w:name="_Toc163493640"/>
            <w:r>
              <w:rPr>
                <w:rFonts w:hint="eastAsia" w:ascii="宋体" w:hAnsi="宋体" w:eastAsia="宋体" w:cs="宋体"/>
                <w:b/>
                <w:bCs/>
                <w:i w:val="0"/>
                <w:iCs w:val="0"/>
                <w:color w:val="auto"/>
                <w:sz w:val="21"/>
                <w:szCs w:val="21"/>
                <w:highlight w:val="none"/>
                <w:lang w:val="zh-CN"/>
              </w:rPr>
              <w:t>序号</w:t>
            </w:r>
          </w:p>
        </w:tc>
        <w:tc>
          <w:tcPr>
            <w:tcW w:w="704" w:type="pct"/>
            <w:vMerge w:val="restart"/>
            <w:shd w:val="clear" w:color="auto" w:fill="D8D8D8" w:themeFill="background1" w:themeFillShade="D9"/>
            <w:vAlign w:val="center"/>
          </w:tcPr>
          <w:p w14:paraId="349B66C3">
            <w:pPr>
              <w:pStyle w:val="52"/>
              <w:spacing w:line="240" w:lineRule="auto"/>
              <w:jc w:val="center"/>
              <w:rPr>
                <w:rFonts w:hint="eastAsia" w:ascii="宋体" w:hAnsi="宋体" w:eastAsia="宋体" w:cs="宋体"/>
                <w:b/>
                <w:bCs/>
                <w:i w:val="0"/>
                <w:iCs w:val="0"/>
                <w:color w:val="auto"/>
                <w:sz w:val="21"/>
                <w:szCs w:val="21"/>
                <w:highlight w:val="none"/>
                <w:lang w:val="zh-CN"/>
              </w:rPr>
            </w:pPr>
            <w:r>
              <w:rPr>
                <w:rFonts w:hint="eastAsia" w:ascii="宋体" w:hAnsi="宋体" w:eastAsia="宋体" w:cs="宋体"/>
                <w:b/>
                <w:bCs/>
                <w:i w:val="0"/>
                <w:iCs w:val="0"/>
                <w:color w:val="auto"/>
                <w:sz w:val="21"/>
                <w:szCs w:val="21"/>
                <w:highlight w:val="none"/>
                <w:lang w:val="zh-CN"/>
              </w:rPr>
              <w:t>审查项名称</w:t>
            </w:r>
          </w:p>
        </w:tc>
        <w:tc>
          <w:tcPr>
            <w:tcW w:w="2964" w:type="pct"/>
            <w:vMerge w:val="restart"/>
            <w:shd w:val="clear" w:color="auto" w:fill="D8D8D8" w:themeFill="background1" w:themeFillShade="D9"/>
            <w:vAlign w:val="center"/>
          </w:tcPr>
          <w:p w14:paraId="6FEEBCF5">
            <w:pPr>
              <w:pStyle w:val="52"/>
              <w:spacing w:line="240" w:lineRule="auto"/>
              <w:jc w:val="center"/>
              <w:rPr>
                <w:rFonts w:hint="eastAsia" w:ascii="宋体" w:hAnsi="宋体" w:eastAsia="宋体" w:cs="宋体"/>
                <w:b/>
                <w:bCs/>
                <w:i w:val="0"/>
                <w:iCs w:val="0"/>
                <w:color w:val="auto"/>
                <w:sz w:val="21"/>
                <w:szCs w:val="21"/>
                <w:highlight w:val="none"/>
                <w:lang w:val="zh-CN"/>
              </w:rPr>
            </w:pPr>
            <w:r>
              <w:rPr>
                <w:rFonts w:hint="eastAsia" w:ascii="宋体" w:hAnsi="宋体" w:eastAsia="宋体" w:cs="宋体"/>
                <w:b/>
                <w:bCs/>
                <w:i w:val="0"/>
                <w:iCs w:val="0"/>
                <w:color w:val="auto"/>
                <w:sz w:val="21"/>
                <w:szCs w:val="21"/>
                <w:highlight w:val="none"/>
                <w:lang w:val="zh-CN"/>
              </w:rPr>
              <w:t>审查内容</w:t>
            </w:r>
          </w:p>
        </w:tc>
        <w:tc>
          <w:tcPr>
            <w:tcW w:w="1056" w:type="pct"/>
            <w:gridSpan w:val="2"/>
            <w:shd w:val="clear" w:color="auto" w:fill="D8D8D8" w:themeFill="background1" w:themeFillShade="D9"/>
            <w:vAlign w:val="center"/>
          </w:tcPr>
          <w:p w14:paraId="4690041E">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审查结果</w:t>
            </w:r>
          </w:p>
        </w:tc>
      </w:tr>
      <w:tr w14:paraId="5960F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275" w:type="pct"/>
            <w:vMerge w:val="continue"/>
            <w:shd w:val="clear" w:color="auto" w:fill="D8D8D8" w:themeFill="background1" w:themeFillShade="D9"/>
            <w:vAlign w:val="center"/>
          </w:tcPr>
          <w:p w14:paraId="6CD6B1A1">
            <w:pPr>
              <w:pStyle w:val="52"/>
              <w:spacing w:line="240" w:lineRule="auto"/>
              <w:jc w:val="center"/>
              <w:rPr>
                <w:rFonts w:hint="eastAsia" w:ascii="宋体" w:hAnsi="宋体" w:eastAsia="宋体" w:cs="宋体"/>
                <w:b/>
                <w:bCs/>
                <w:i w:val="0"/>
                <w:iCs w:val="0"/>
                <w:color w:val="auto"/>
                <w:sz w:val="21"/>
                <w:szCs w:val="21"/>
                <w:highlight w:val="none"/>
                <w:lang w:val="zh-CN"/>
              </w:rPr>
            </w:pPr>
          </w:p>
        </w:tc>
        <w:tc>
          <w:tcPr>
            <w:tcW w:w="704" w:type="pct"/>
            <w:vMerge w:val="continue"/>
            <w:shd w:val="clear" w:color="auto" w:fill="D8D8D8" w:themeFill="background1" w:themeFillShade="D9"/>
            <w:vAlign w:val="center"/>
          </w:tcPr>
          <w:p w14:paraId="423E6DE7">
            <w:pPr>
              <w:pStyle w:val="52"/>
              <w:spacing w:line="240" w:lineRule="auto"/>
              <w:jc w:val="center"/>
              <w:rPr>
                <w:rFonts w:hint="eastAsia" w:ascii="宋体" w:hAnsi="宋体" w:eastAsia="宋体" w:cs="宋体"/>
                <w:b/>
                <w:bCs/>
                <w:i w:val="0"/>
                <w:iCs w:val="0"/>
                <w:color w:val="auto"/>
                <w:sz w:val="21"/>
                <w:szCs w:val="21"/>
                <w:highlight w:val="none"/>
                <w:lang w:val="zh-CN"/>
              </w:rPr>
            </w:pPr>
          </w:p>
        </w:tc>
        <w:tc>
          <w:tcPr>
            <w:tcW w:w="2964" w:type="pct"/>
            <w:vMerge w:val="continue"/>
            <w:shd w:val="clear" w:color="auto" w:fill="D8D8D8" w:themeFill="background1" w:themeFillShade="D9"/>
            <w:vAlign w:val="center"/>
          </w:tcPr>
          <w:p w14:paraId="712675A6">
            <w:pPr>
              <w:pStyle w:val="52"/>
              <w:spacing w:line="240" w:lineRule="auto"/>
              <w:jc w:val="center"/>
              <w:rPr>
                <w:rFonts w:hint="eastAsia" w:ascii="宋体" w:hAnsi="宋体" w:eastAsia="宋体" w:cs="宋体"/>
                <w:b/>
                <w:bCs/>
                <w:i w:val="0"/>
                <w:iCs w:val="0"/>
                <w:color w:val="auto"/>
                <w:sz w:val="21"/>
                <w:szCs w:val="21"/>
                <w:highlight w:val="none"/>
                <w:lang w:val="zh-CN"/>
              </w:rPr>
            </w:pPr>
          </w:p>
        </w:tc>
        <w:tc>
          <w:tcPr>
            <w:tcW w:w="467" w:type="pct"/>
            <w:shd w:val="clear" w:color="auto" w:fill="D8D8D8" w:themeFill="background1" w:themeFillShade="D9"/>
            <w:vAlign w:val="center"/>
          </w:tcPr>
          <w:p w14:paraId="7A58DBC8">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符合</w:t>
            </w:r>
          </w:p>
        </w:tc>
        <w:tc>
          <w:tcPr>
            <w:tcW w:w="588" w:type="pct"/>
            <w:shd w:val="clear" w:color="auto" w:fill="D8D8D8" w:themeFill="background1" w:themeFillShade="D9"/>
            <w:vAlign w:val="center"/>
          </w:tcPr>
          <w:p w14:paraId="4EBE3EF2">
            <w:pPr>
              <w:pStyle w:val="52"/>
              <w:spacing w:line="240" w:lineRule="auto"/>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不符合</w:t>
            </w:r>
          </w:p>
        </w:tc>
      </w:tr>
      <w:tr w14:paraId="05069F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trPr>
        <w:tc>
          <w:tcPr>
            <w:tcW w:w="275" w:type="pct"/>
            <w:shd w:val="clear" w:color="auto" w:fill="auto"/>
            <w:vAlign w:val="center"/>
          </w:tcPr>
          <w:p w14:paraId="27CF5EC4">
            <w:pPr>
              <w:pStyle w:val="52"/>
              <w:numPr>
                <w:ilvl w:val="0"/>
                <w:numId w:val="0"/>
              </w:numPr>
              <w:spacing w:line="240" w:lineRule="auto"/>
              <w:ind w:left="420" w:leftChars="0" w:hanging="420" w:firstLineChars="0"/>
              <w:jc w:val="center"/>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kern w:val="2"/>
                <w:sz w:val="21"/>
                <w:szCs w:val="21"/>
                <w:highlight w:val="none"/>
                <w:lang w:val="zh-CN" w:eastAsia="zh-CN" w:bidi="ar-SA"/>
              </w:rPr>
              <w:t>1</w:t>
            </w:r>
          </w:p>
        </w:tc>
        <w:tc>
          <w:tcPr>
            <w:tcW w:w="704" w:type="pct"/>
            <w:vAlign w:val="center"/>
          </w:tcPr>
          <w:p w14:paraId="427729DC">
            <w:pPr>
              <w:pStyle w:val="52"/>
              <w:spacing w:line="240" w:lineRule="auto"/>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sz w:val="21"/>
                <w:szCs w:val="21"/>
                <w:highlight w:val="none"/>
                <w:lang w:val="zh-CN"/>
              </w:rPr>
              <w:t>响应文件</w:t>
            </w:r>
            <w:r>
              <w:rPr>
                <w:rFonts w:hint="eastAsia" w:ascii="宋体" w:hAnsi="宋体" w:eastAsia="宋体" w:cs="宋体"/>
                <w:i w:val="0"/>
                <w:iCs w:val="0"/>
                <w:color w:val="auto"/>
                <w:sz w:val="21"/>
                <w:szCs w:val="21"/>
                <w:highlight w:val="none"/>
              </w:rPr>
              <w:t>签署</w:t>
            </w:r>
          </w:p>
        </w:tc>
        <w:tc>
          <w:tcPr>
            <w:tcW w:w="2964" w:type="pct"/>
            <w:shd w:val="clear" w:color="auto" w:fill="auto"/>
            <w:vAlign w:val="center"/>
          </w:tcPr>
          <w:p w14:paraId="3E5B49A2">
            <w:pPr>
              <w:pStyle w:val="52"/>
              <w:spacing w:line="240" w:lineRule="auto"/>
              <w:rPr>
                <w:rFonts w:hint="eastAsia" w:ascii="宋体" w:hAnsi="宋体" w:eastAsia="宋体" w:cs="宋体"/>
                <w:i w:val="0"/>
                <w:iCs w:val="0"/>
                <w:color w:val="auto"/>
                <w:sz w:val="21"/>
                <w:szCs w:val="21"/>
                <w:highlight w:val="none"/>
                <w:lang w:val="zh-CN" w:eastAsia="zh-CN"/>
              </w:rPr>
            </w:pPr>
            <w:r>
              <w:rPr>
                <w:rFonts w:hint="eastAsia" w:ascii="宋体" w:hAnsi="宋体" w:eastAsia="宋体" w:cs="宋体"/>
                <w:i w:val="0"/>
                <w:iCs w:val="0"/>
                <w:color w:val="auto"/>
                <w:sz w:val="21"/>
                <w:szCs w:val="21"/>
                <w:highlight w:val="none"/>
                <w:lang w:val="zh-CN"/>
              </w:rPr>
              <w:t>响应文件</w:t>
            </w:r>
            <w:r>
              <w:rPr>
                <w:rFonts w:hint="eastAsia" w:ascii="宋体" w:hAnsi="宋体" w:eastAsia="宋体" w:cs="宋体"/>
                <w:i w:val="0"/>
                <w:iCs w:val="0"/>
                <w:color w:val="auto"/>
                <w:sz w:val="21"/>
                <w:szCs w:val="21"/>
                <w:highlight w:val="none"/>
                <w:lang w:val="en-US" w:eastAsia="zh-CN"/>
              </w:rPr>
              <w:t>按磋商文件要求签署、盖章的</w:t>
            </w:r>
          </w:p>
        </w:tc>
        <w:tc>
          <w:tcPr>
            <w:tcW w:w="467" w:type="pct"/>
            <w:shd w:val="clear" w:color="auto" w:fill="auto"/>
            <w:vAlign w:val="center"/>
          </w:tcPr>
          <w:p w14:paraId="072E1812">
            <w:pPr>
              <w:pStyle w:val="52"/>
              <w:spacing w:line="240" w:lineRule="auto"/>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0185C63E">
            <w:pPr>
              <w:pStyle w:val="52"/>
              <w:spacing w:line="240" w:lineRule="auto"/>
              <w:rPr>
                <w:rFonts w:hint="eastAsia" w:ascii="宋体" w:hAnsi="宋体" w:eastAsia="宋体" w:cs="宋体"/>
                <w:i w:val="0"/>
                <w:iCs w:val="0"/>
                <w:color w:val="auto"/>
                <w:sz w:val="21"/>
                <w:szCs w:val="21"/>
                <w:highlight w:val="none"/>
                <w:lang w:val="zh-CN"/>
              </w:rPr>
            </w:pPr>
          </w:p>
        </w:tc>
      </w:tr>
      <w:tr w14:paraId="0014DD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275" w:type="pct"/>
            <w:shd w:val="clear" w:color="auto" w:fill="auto"/>
            <w:vAlign w:val="center"/>
          </w:tcPr>
          <w:p w14:paraId="3496C9B8">
            <w:pPr>
              <w:pStyle w:val="52"/>
              <w:numPr>
                <w:ilvl w:val="0"/>
                <w:numId w:val="0"/>
              </w:numPr>
              <w:spacing w:line="240" w:lineRule="auto"/>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kern w:val="2"/>
                <w:sz w:val="21"/>
                <w:szCs w:val="21"/>
                <w:highlight w:val="none"/>
                <w:lang w:val="zh-CN" w:eastAsia="zh-CN" w:bidi="ar-SA"/>
              </w:rPr>
              <w:t>2</w:t>
            </w:r>
          </w:p>
        </w:tc>
        <w:tc>
          <w:tcPr>
            <w:tcW w:w="704" w:type="pct"/>
            <w:shd w:val="clear" w:color="auto" w:fill="auto"/>
            <w:vAlign w:val="center"/>
          </w:tcPr>
          <w:p w14:paraId="21DD881B">
            <w:pPr>
              <w:pStyle w:val="52"/>
              <w:spacing w:line="240" w:lineRule="auto"/>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zh-CN"/>
              </w:rPr>
              <w:t>实质性要求</w:t>
            </w:r>
          </w:p>
        </w:tc>
        <w:tc>
          <w:tcPr>
            <w:tcW w:w="2964" w:type="pct"/>
            <w:shd w:val="clear" w:color="auto" w:fill="auto"/>
            <w:vAlign w:val="center"/>
          </w:tcPr>
          <w:p w14:paraId="01F89B02">
            <w:pPr>
              <w:pStyle w:val="52"/>
              <w:spacing w:line="240" w:lineRule="auto"/>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zh-CN"/>
              </w:rPr>
              <w:t>响应文件</w:t>
            </w:r>
            <w:r>
              <w:rPr>
                <w:rFonts w:hint="eastAsia" w:ascii="宋体" w:hAnsi="宋体" w:eastAsia="宋体" w:cs="宋体"/>
                <w:i w:val="0"/>
                <w:iCs w:val="0"/>
                <w:color w:val="auto"/>
                <w:sz w:val="21"/>
                <w:szCs w:val="21"/>
                <w:highlight w:val="none"/>
                <w:lang w:val="zh-CN" w:eastAsia="zh-CN"/>
              </w:rPr>
              <w:t>满足</w:t>
            </w:r>
            <w:r>
              <w:rPr>
                <w:rFonts w:hint="eastAsia" w:ascii="宋体" w:hAnsi="宋体" w:eastAsia="宋体" w:cs="宋体"/>
                <w:i w:val="0"/>
                <w:iCs w:val="0"/>
                <w:color w:val="auto"/>
                <w:sz w:val="21"/>
                <w:szCs w:val="21"/>
                <w:highlight w:val="none"/>
                <w:lang w:val="en-US" w:eastAsia="zh-CN"/>
              </w:rPr>
              <w:t>磋商</w:t>
            </w:r>
            <w:r>
              <w:rPr>
                <w:rFonts w:hint="eastAsia" w:ascii="宋体" w:hAnsi="宋体" w:eastAsia="宋体" w:cs="宋体"/>
                <w:i w:val="0"/>
                <w:iCs w:val="0"/>
                <w:color w:val="auto"/>
                <w:sz w:val="21"/>
                <w:szCs w:val="21"/>
                <w:highlight w:val="none"/>
                <w:lang w:val="zh-CN" w:eastAsia="zh-CN"/>
              </w:rPr>
              <w:t>文件中标注“★”号的实质性条款（或指标）要求的</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具体详见</w:t>
            </w:r>
            <w:r>
              <w:rPr>
                <w:rFonts w:hint="eastAsia" w:ascii="宋体" w:hAnsi="宋体" w:eastAsia="宋体" w:cs="宋体"/>
                <w:i w:val="0"/>
                <w:iCs w:val="0"/>
                <w:color w:val="auto"/>
                <w:sz w:val="21"/>
                <w:szCs w:val="21"/>
                <w:highlight w:val="none"/>
                <w:lang w:val="zh-CN"/>
              </w:rPr>
              <w:t>“实质性响应一览表”</w:t>
            </w:r>
          </w:p>
        </w:tc>
        <w:tc>
          <w:tcPr>
            <w:tcW w:w="467" w:type="pct"/>
            <w:shd w:val="clear" w:color="auto" w:fill="auto"/>
            <w:vAlign w:val="center"/>
          </w:tcPr>
          <w:p w14:paraId="526A9A06">
            <w:pPr>
              <w:pStyle w:val="52"/>
              <w:spacing w:line="240" w:lineRule="auto"/>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35F4B27C">
            <w:pPr>
              <w:pStyle w:val="52"/>
              <w:spacing w:line="240" w:lineRule="auto"/>
              <w:rPr>
                <w:rFonts w:hint="eastAsia" w:ascii="宋体" w:hAnsi="宋体" w:eastAsia="宋体" w:cs="宋体"/>
                <w:i w:val="0"/>
                <w:iCs w:val="0"/>
                <w:color w:val="auto"/>
                <w:sz w:val="21"/>
                <w:szCs w:val="21"/>
                <w:highlight w:val="none"/>
                <w:lang w:val="zh-CN"/>
              </w:rPr>
            </w:pPr>
          </w:p>
        </w:tc>
      </w:tr>
      <w:tr w14:paraId="3E381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8" w:hRule="atLeast"/>
        </w:trPr>
        <w:tc>
          <w:tcPr>
            <w:tcW w:w="275" w:type="pct"/>
            <w:shd w:val="clear" w:color="auto" w:fill="auto"/>
            <w:vAlign w:val="center"/>
          </w:tcPr>
          <w:p w14:paraId="41B93CDD">
            <w:pPr>
              <w:pStyle w:val="52"/>
              <w:numPr>
                <w:ilvl w:val="0"/>
                <w:numId w:val="0"/>
              </w:numPr>
              <w:spacing w:line="240" w:lineRule="auto"/>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kern w:val="2"/>
                <w:sz w:val="21"/>
                <w:szCs w:val="21"/>
                <w:highlight w:val="none"/>
                <w:lang w:val="zh-CN" w:eastAsia="zh-CN" w:bidi="ar-SA"/>
              </w:rPr>
              <w:t>3</w:t>
            </w:r>
          </w:p>
        </w:tc>
        <w:tc>
          <w:tcPr>
            <w:tcW w:w="704" w:type="pct"/>
            <w:vAlign w:val="center"/>
          </w:tcPr>
          <w:p w14:paraId="06400643">
            <w:pPr>
              <w:pStyle w:val="52"/>
              <w:spacing w:line="240" w:lineRule="auto"/>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sz w:val="21"/>
                <w:szCs w:val="21"/>
                <w:highlight w:val="none"/>
                <w:lang w:val="zh-CN"/>
              </w:rPr>
              <w:t>磋商响应性报价</w:t>
            </w:r>
          </w:p>
        </w:tc>
        <w:tc>
          <w:tcPr>
            <w:tcW w:w="2964" w:type="pct"/>
            <w:shd w:val="clear" w:color="auto" w:fill="auto"/>
            <w:vAlign w:val="center"/>
          </w:tcPr>
          <w:p w14:paraId="3E44A286">
            <w:pPr>
              <w:pStyle w:val="52"/>
              <w:spacing w:line="240" w:lineRule="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供应商报价未超过磋商文件中规定的最高限价或者预算金额的</w:t>
            </w:r>
          </w:p>
        </w:tc>
        <w:tc>
          <w:tcPr>
            <w:tcW w:w="467" w:type="pct"/>
            <w:shd w:val="clear" w:color="auto" w:fill="auto"/>
            <w:vAlign w:val="center"/>
          </w:tcPr>
          <w:p w14:paraId="446F18B9">
            <w:pPr>
              <w:pStyle w:val="52"/>
              <w:spacing w:line="240" w:lineRule="auto"/>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10FA2B3F">
            <w:pPr>
              <w:pStyle w:val="52"/>
              <w:spacing w:line="240" w:lineRule="auto"/>
              <w:rPr>
                <w:rFonts w:hint="eastAsia" w:ascii="宋体" w:hAnsi="宋体" w:eastAsia="宋体" w:cs="宋体"/>
                <w:i w:val="0"/>
                <w:iCs w:val="0"/>
                <w:color w:val="auto"/>
                <w:sz w:val="21"/>
                <w:szCs w:val="21"/>
                <w:highlight w:val="none"/>
                <w:lang w:val="zh-CN"/>
              </w:rPr>
            </w:pPr>
          </w:p>
        </w:tc>
      </w:tr>
      <w:tr w14:paraId="3C659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1" w:hRule="atLeast"/>
        </w:trPr>
        <w:tc>
          <w:tcPr>
            <w:tcW w:w="275" w:type="pct"/>
            <w:shd w:val="clear" w:color="auto" w:fill="auto"/>
            <w:vAlign w:val="center"/>
          </w:tcPr>
          <w:p w14:paraId="45105A61">
            <w:pPr>
              <w:pStyle w:val="52"/>
              <w:numPr>
                <w:ilvl w:val="0"/>
                <w:numId w:val="0"/>
              </w:numPr>
              <w:spacing w:line="240" w:lineRule="auto"/>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kern w:val="2"/>
                <w:sz w:val="21"/>
                <w:szCs w:val="21"/>
                <w:highlight w:val="none"/>
                <w:lang w:val="zh-CN" w:eastAsia="zh-CN" w:bidi="ar-SA"/>
              </w:rPr>
              <w:t>4</w:t>
            </w:r>
          </w:p>
        </w:tc>
        <w:tc>
          <w:tcPr>
            <w:tcW w:w="704" w:type="pct"/>
            <w:vAlign w:val="center"/>
          </w:tcPr>
          <w:p w14:paraId="16F4A2C9">
            <w:pPr>
              <w:pStyle w:val="52"/>
              <w:spacing w:line="240" w:lineRule="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虚假材料</w:t>
            </w:r>
          </w:p>
        </w:tc>
        <w:tc>
          <w:tcPr>
            <w:tcW w:w="2964" w:type="pct"/>
            <w:shd w:val="clear" w:color="auto" w:fill="auto"/>
            <w:vAlign w:val="center"/>
          </w:tcPr>
          <w:p w14:paraId="2B130AD3">
            <w:pPr>
              <w:pStyle w:val="52"/>
              <w:spacing w:line="240" w:lineRule="auto"/>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en-US" w:eastAsia="zh-CN"/>
              </w:rPr>
              <w:t>响应</w:t>
            </w:r>
            <w:r>
              <w:rPr>
                <w:rFonts w:hint="eastAsia" w:ascii="宋体" w:hAnsi="宋体" w:eastAsia="宋体" w:cs="宋体"/>
                <w:i w:val="0"/>
                <w:iCs w:val="0"/>
                <w:color w:val="auto"/>
                <w:sz w:val="21"/>
                <w:szCs w:val="21"/>
                <w:highlight w:val="none"/>
                <w:lang w:val="zh-CN" w:eastAsia="zh-CN"/>
              </w:rPr>
              <w:t>文件</w:t>
            </w:r>
            <w:r>
              <w:rPr>
                <w:rFonts w:hint="eastAsia" w:ascii="宋体" w:hAnsi="宋体" w:eastAsia="宋体" w:cs="宋体"/>
                <w:i w:val="0"/>
                <w:iCs w:val="0"/>
                <w:color w:val="auto"/>
                <w:sz w:val="21"/>
                <w:szCs w:val="21"/>
                <w:highlight w:val="none"/>
                <w:lang w:val="en-US" w:eastAsia="zh-CN"/>
              </w:rPr>
              <w:t>未</w:t>
            </w:r>
            <w:r>
              <w:rPr>
                <w:rFonts w:hint="eastAsia" w:ascii="宋体" w:hAnsi="宋体" w:eastAsia="宋体" w:cs="宋体"/>
                <w:i w:val="0"/>
                <w:iCs w:val="0"/>
                <w:color w:val="auto"/>
                <w:sz w:val="21"/>
                <w:szCs w:val="21"/>
                <w:highlight w:val="none"/>
                <w:lang w:val="zh-CN" w:eastAsia="zh-CN"/>
              </w:rPr>
              <w:t>提供虚假材料的</w:t>
            </w:r>
          </w:p>
        </w:tc>
        <w:tc>
          <w:tcPr>
            <w:tcW w:w="467" w:type="pct"/>
            <w:shd w:val="clear" w:color="auto" w:fill="auto"/>
            <w:vAlign w:val="center"/>
          </w:tcPr>
          <w:p w14:paraId="0F74456F">
            <w:pPr>
              <w:pStyle w:val="52"/>
              <w:spacing w:line="240" w:lineRule="auto"/>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3590F185">
            <w:pPr>
              <w:pStyle w:val="52"/>
              <w:spacing w:line="240" w:lineRule="auto"/>
              <w:rPr>
                <w:rFonts w:hint="eastAsia" w:ascii="宋体" w:hAnsi="宋体" w:eastAsia="宋体" w:cs="宋体"/>
                <w:i w:val="0"/>
                <w:iCs w:val="0"/>
                <w:color w:val="auto"/>
                <w:sz w:val="21"/>
                <w:szCs w:val="21"/>
                <w:highlight w:val="none"/>
                <w:lang w:val="zh-CN"/>
              </w:rPr>
            </w:pPr>
          </w:p>
        </w:tc>
      </w:tr>
      <w:tr w14:paraId="69BDAD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2" w:hRule="atLeast"/>
        </w:trPr>
        <w:tc>
          <w:tcPr>
            <w:tcW w:w="275" w:type="pct"/>
            <w:shd w:val="clear" w:color="auto" w:fill="auto"/>
            <w:vAlign w:val="center"/>
          </w:tcPr>
          <w:p w14:paraId="3E60ECD7">
            <w:pPr>
              <w:pStyle w:val="52"/>
              <w:numPr>
                <w:ilvl w:val="0"/>
                <w:numId w:val="0"/>
              </w:numPr>
              <w:spacing w:line="240" w:lineRule="auto"/>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kern w:val="2"/>
                <w:sz w:val="21"/>
                <w:szCs w:val="21"/>
                <w:highlight w:val="none"/>
                <w:lang w:val="zh-CN" w:eastAsia="zh-CN" w:bidi="ar-SA"/>
              </w:rPr>
              <w:t>5</w:t>
            </w:r>
          </w:p>
        </w:tc>
        <w:tc>
          <w:tcPr>
            <w:tcW w:w="704" w:type="pct"/>
            <w:vAlign w:val="center"/>
          </w:tcPr>
          <w:p w14:paraId="70C1BEDD">
            <w:pPr>
              <w:pStyle w:val="52"/>
              <w:spacing w:line="240" w:lineRule="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联合体</w:t>
            </w:r>
          </w:p>
        </w:tc>
        <w:tc>
          <w:tcPr>
            <w:tcW w:w="2964" w:type="pct"/>
            <w:shd w:val="clear" w:color="auto" w:fill="auto"/>
            <w:vAlign w:val="center"/>
          </w:tcPr>
          <w:p w14:paraId="5C2D07B1">
            <w:pPr>
              <w:pStyle w:val="52"/>
              <w:spacing w:line="240" w:lineRule="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磋商文件规定接受联合体磋商的，</w:t>
            </w:r>
            <w:r>
              <w:rPr>
                <w:rFonts w:hint="eastAsia" w:ascii="宋体" w:hAnsi="宋体" w:eastAsia="宋体" w:cs="宋体"/>
                <w:i w:val="0"/>
                <w:iCs w:val="0"/>
                <w:color w:val="auto"/>
                <w:sz w:val="21"/>
                <w:szCs w:val="21"/>
                <w:highlight w:val="none"/>
                <w:lang w:val="zh-CN" w:eastAsia="zh-CN"/>
              </w:rPr>
              <w:t>联合体供应商提交</w:t>
            </w:r>
            <w:r>
              <w:rPr>
                <w:rFonts w:hint="eastAsia" w:ascii="宋体" w:hAnsi="宋体" w:eastAsia="宋体" w:cs="宋体"/>
                <w:i w:val="0"/>
                <w:iCs w:val="0"/>
                <w:color w:val="auto"/>
                <w:sz w:val="21"/>
                <w:szCs w:val="21"/>
                <w:highlight w:val="none"/>
                <w:lang w:val="en-US" w:eastAsia="zh-CN"/>
              </w:rPr>
              <w:t>了</w:t>
            </w:r>
            <w:r>
              <w:rPr>
                <w:rFonts w:hint="eastAsia" w:ascii="宋体" w:hAnsi="宋体" w:eastAsia="宋体" w:cs="宋体"/>
                <w:i w:val="0"/>
                <w:iCs w:val="0"/>
                <w:color w:val="auto"/>
                <w:sz w:val="21"/>
                <w:szCs w:val="21"/>
                <w:highlight w:val="none"/>
                <w:lang w:val="zh-CN" w:eastAsia="zh-CN"/>
              </w:rPr>
              <w:t>各方共同签署的联合体协议【</w:t>
            </w:r>
            <w:r>
              <w:rPr>
                <w:rFonts w:hint="eastAsia" w:ascii="宋体" w:hAnsi="宋体" w:eastAsia="宋体" w:cs="宋体"/>
                <w:i w:val="0"/>
                <w:iCs w:val="0"/>
                <w:color w:val="auto"/>
                <w:sz w:val="21"/>
                <w:szCs w:val="21"/>
                <w:highlight w:val="none"/>
                <w:lang w:val="en-US" w:eastAsia="zh-CN"/>
              </w:rPr>
              <w:t>如允许联合体磋商的</w:t>
            </w:r>
            <w:r>
              <w:rPr>
                <w:rFonts w:hint="eastAsia" w:ascii="宋体" w:hAnsi="宋体" w:eastAsia="宋体" w:cs="宋体"/>
                <w:i w:val="0"/>
                <w:iCs w:val="0"/>
                <w:color w:val="auto"/>
                <w:sz w:val="21"/>
                <w:szCs w:val="21"/>
                <w:highlight w:val="none"/>
                <w:lang w:val="zh-CN" w:eastAsia="zh-CN"/>
              </w:rPr>
              <w:t>】</w:t>
            </w:r>
          </w:p>
        </w:tc>
        <w:tc>
          <w:tcPr>
            <w:tcW w:w="467" w:type="pct"/>
            <w:shd w:val="clear" w:color="auto" w:fill="auto"/>
            <w:vAlign w:val="center"/>
          </w:tcPr>
          <w:p w14:paraId="5A739D71">
            <w:pPr>
              <w:pStyle w:val="52"/>
              <w:spacing w:line="240" w:lineRule="auto"/>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620C4EF6">
            <w:pPr>
              <w:pStyle w:val="52"/>
              <w:spacing w:line="240" w:lineRule="auto"/>
              <w:rPr>
                <w:rFonts w:hint="eastAsia" w:ascii="宋体" w:hAnsi="宋体" w:eastAsia="宋体" w:cs="宋体"/>
                <w:i w:val="0"/>
                <w:iCs w:val="0"/>
                <w:color w:val="auto"/>
                <w:sz w:val="21"/>
                <w:szCs w:val="21"/>
                <w:highlight w:val="none"/>
                <w:lang w:val="zh-CN"/>
              </w:rPr>
            </w:pPr>
          </w:p>
        </w:tc>
      </w:tr>
      <w:tr w14:paraId="6F0C90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275" w:type="pct"/>
            <w:shd w:val="clear" w:color="auto" w:fill="auto"/>
            <w:vAlign w:val="center"/>
          </w:tcPr>
          <w:p w14:paraId="303D8E7E">
            <w:pPr>
              <w:pStyle w:val="52"/>
              <w:numPr>
                <w:ilvl w:val="0"/>
                <w:numId w:val="0"/>
              </w:numPr>
              <w:spacing w:line="240" w:lineRule="auto"/>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kern w:val="2"/>
                <w:sz w:val="21"/>
                <w:szCs w:val="21"/>
                <w:highlight w:val="none"/>
                <w:lang w:val="zh-CN" w:eastAsia="zh-CN" w:bidi="ar-SA"/>
              </w:rPr>
              <w:t>6</w:t>
            </w:r>
          </w:p>
        </w:tc>
        <w:tc>
          <w:tcPr>
            <w:tcW w:w="704" w:type="pct"/>
            <w:vAlign w:val="center"/>
          </w:tcPr>
          <w:p w14:paraId="7B65077F">
            <w:pPr>
              <w:pStyle w:val="52"/>
              <w:spacing w:line="240" w:lineRule="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磋商保证金</w:t>
            </w:r>
          </w:p>
        </w:tc>
        <w:tc>
          <w:tcPr>
            <w:tcW w:w="2964" w:type="pct"/>
            <w:shd w:val="clear" w:color="auto" w:fill="auto"/>
            <w:vAlign w:val="center"/>
          </w:tcPr>
          <w:p w14:paraId="5E67757A">
            <w:pPr>
              <w:pStyle w:val="52"/>
              <w:spacing w:line="240" w:lineRule="auto"/>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en-US" w:eastAsia="zh-CN"/>
              </w:rPr>
              <w:t>磋商文件规定应当缴纳的，供应商按磋商文件的规定缴纳磋商保证金的</w:t>
            </w:r>
          </w:p>
        </w:tc>
        <w:tc>
          <w:tcPr>
            <w:tcW w:w="467" w:type="pct"/>
            <w:shd w:val="clear" w:color="auto" w:fill="auto"/>
            <w:vAlign w:val="center"/>
          </w:tcPr>
          <w:p w14:paraId="75431AA7">
            <w:pPr>
              <w:pStyle w:val="52"/>
              <w:spacing w:line="240" w:lineRule="auto"/>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38C1CA42">
            <w:pPr>
              <w:pStyle w:val="52"/>
              <w:spacing w:line="240" w:lineRule="auto"/>
              <w:rPr>
                <w:rFonts w:hint="eastAsia" w:ascii="宋体" w:hAnsi="宋体" w:eastAsia="宋体" w:cs="宋体"/>
                <w:i w:val="0"/>
                <w:iCs w:val="0"/>
                <w:color w:val="auto"/>
                <w:sz w:val="21"/>
                <w:szCs w:val="21"/>
                <w:highlight w:val="none"/>
                <w:lang w:val="zh-CN"/>
              </w:rPr>
            </w:pPr>
          </w:p>
        </w:tc>
      </w:tr>
      <w:tr w14:paraId="5064B1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275" w:type="pct"/>
            <w:shd w:val="clear" w:color="auto" w:fill="auto"/>
            <w:vAlign w:val="center"/>
          </w:tcPr>
          <w:p w14:paraId="61D59D42">
            <w:pPr>
              <w:pStyle w:val="52"/>
              <w:numPr>
                <w:ilvl w:val="0"/>
                <w:numId w:val="0"/>
              </w:numPr>
              <w:spacing w:line="240" w:lineRule="auto"/>
              <w:ind w:left="0" w:leftChars="0" w:firstLine="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en-US" w:eastAsia="zh-CN"/>
              </w:rPr>
              <w:t>7</w:t>
            </w:r>
          </w:p>
        </w:tc>
        <w:tc>
          <w:tcPr>
            <w:tcW w:w="704" w:type="pct"/>
            <w:vAlign w:val="center"/>
          </w:tcPr>
          <w:p w14:paraId="75F4FADA">
            <w:pPr>
              <w:pStyle w:val="52"/>
              <w:spacing w:line="240" w:lineRule="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响应文件的澄清、说明、补正</w:t>
            </w:r>
          </w:p>
        </w:tc>
        <w:tc>
          <w:tcPr>
            <w:tcW w:w="2964" w:type="pct"/>
            <w:shd w:val="clear" w:color="auto" w:fill="auto"/>
            <w:vAlign w:val="center"/>
          </w:tcPr>
          <w:p w14:paraId="5342C9B9">
            <w:pPr>
              <w:pStyle w:val="52"/>
              <w:spacing w:line="240" w:lineRule="auto"/>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zh-CN" w:eastAsia="zh-CN"/>
              </w:rPr>
              <w:t>评审期间,</w:t>
            </w:r>
            <w:r>
              <w:rPr>
                <w:rFonts w:hint="eastAsia" w:ascii="宋体" w:hAnsi="宋体" w:eastAsia="宋体" w:cs="宋体"/>
                <w:i w:val="0"/>
                <w:iCs w:val="0"/>
                <w:color w:val="auto"/>
                <w:sz w:val="21"/>
                <w:szCs w:val="21"/>
                <w:highlight w:val="none"/>
                <w:lang w:val="en-US" w:eastAsia="zh-CN"/>
              </w:rPr>
              <w:t>供应商</w:t>
            </w:r>
            <w:r>
              <w:rPr>
                <w:rFonts w:hint="eastAsia" w:ascii="宋体" w:hAnsi="宋体" w:eastAsia="宋体" w:cs="宋体"/>
                <w:i w:val="0"/>
                <w:iCs w:val="0"/>
                <w:color w:val="auto"/>
                <w:sz w:val="21"/>
                <w:szCs w:val="21"/>
                <w:highlight w:val="none"/>
                <w:lang w:val="zh-CN" w:eastAsia="zh-CN"/>
              </w:rPr>
              <w:t>按磋商小组的要求提交经授权代表签字的澄清、说明、更正且澄清、说明、更正未超出响应文件范围或</w:t>
            </w:r>
            <w:r>
              <w:rPr>
                <w:rFonts w:hint="eastAsia" w:ascii="宋体" w:hAnsi="宋体" w:eastAsia="宋体" w:cs="宋体"/>
                <w:i w:val="0"/>
                <w:iCs w:val="0"/>
                <w:color w:val="auto"/>
                <w:sz w:val="21"/>
                <w:szCs w:val="21"/>
                <w:highlight w:val="none"/>
                <w:lang w:val="en-US" w:eastAsia="zh-CN"/>
              </w:rPr>
              <w:t>未</w:t>
            </w:r>
            <w:r>
              <w:rPr>
                <w:rFonts w:hint="eastAsia" w:ascii="宋体" w:hAnsi="宋体" w:eastAsia="宋体" w:cs="宋体"/>
                <w:i w:val="0"/>
                <w:iCs w:val="0"/>
                <w:color w:val="auto"/>
                <w:sz w:val="21"/>
                <w:szCs w:val="21"/>
                <w:highlight w:val="none"/>
                <w:lang w:val="zh-CN" w:eastAsia="zh-CN"/>
              </w:rPr>
              <w:t>改变</w:t>
            </w:r>
            <w:r>
              <w:rPr>
                <w:rFonts w:hint="eastAsia" w:ascii="宋体" w:hAnsi="宋体" w:eastAsia="宋体" w:cs="宋体"/>
                <w:i w:val="0"/>
                <w:iCs w:val="0"/>
                <w:color w:val="auto"/>
                <w:sz w:val="21"/>
                <w:szCs w:val="21"/>
                <w:highlight w:val="none"/>
                <w:lang w:val="en-US" w:eastAsia="zh-CN"/>
              </w:rPr>
              <w:t>响应</w:t>
            </w:r>
            <w:r>
              <w:rPr>
                <w:rFonts w:hint="eastAsia" w:ascii="宋体" w:hAnsi="宋体" w:eastAsia="宋体" w:cs="宋体"/>
                <w:i w:val="0"/>
                <w:iCs w:val="0"/>
                <w:color w:val="auto"/>
                <w:sz w:val="21"/>
                <w:szCs w:val="21"/>
                <w:highlight w:val="none"/>
                <w:lang w:val="zh-CN" w:eastAsia="zh-CN"/>
              </w:rPr>
              <w:t>文件的实质性内容</w:t>
            </w:r>
          </w:p>
        </w:tc>
        <w:tc>
          <w:tcPr>
            <w:tcW w:w="467" w:type="pct"/>
            <w:shd w:val="clear" w:color="auto" w:fill="auto"/>
            <w:vAlign w:val="center"/>
          </w:tcPr>
          <w:p w14:paraId="7D0EBCCD">
            <w:pPr>
              <w:pStyle w:val="52"/>
              <w:spacing w:line="240" w:lineRule="auto"/>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55CA5ABB">
            <w:pPr>
              <w:pStyle w:val="52"/>
              <w:spacing w:line="240" w:lineRule="auto"/>
              <w:rPr>
                <w:rFonts w:hint="eastAsia" w:ascii="宋体" w:hAnsi="宋体" w:eastAsia="宋体" w:cs="宋体"/>
                <w:i w:val="0"/>
                <w:iCs w:val="0"/>
                <w:color w:val="auto"/>
                <w:sz w:val="21"/>
                <w:szCs w:val="21"/>
                <w:highlight w:val="none"/>
                <w:lang w:val="zh-CN"/>
              </w:rPr>
            </w:pPr>
          </w:p>
        </w:tc>
      </w:tr>
      <w:tr w14:paraId="53FB7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trPr>
        <w:tc>
          <w:tcPr>
            <w:tcW w:w="275" w:type="pct"/>
            <w:shd w:val="clear" w:color="auto" w:fill="auto"/>
            <w:vAlign w:val="center"/>
          </w:tcPr>
          <w:p w14:paraId="0D3881B3">
            <w:pPr>
              <w:pStyle w:val="52"/>
              <w:numPr>
                <w:ilvl w:val="0"/>
                <w:numId w:val="0"/>
              </w:numPr>
              <w:spacing w:line="240" w:lineRule="auto"/>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kern w:val="2"/>
                <w:sz w:val="21"/>
                <w:szCs w:val="21"/>
                <w:highlight w:val="none"/>
                <w:lang w:val="en-US" w:eastAsia="zh-CN" w:bidi="ar-SA"/>
              </w:rPr>
              <w:t>8</w:t>
            </w:r>
          </w:p>
        </w:tc>
        <w:tc>
          <w:tcPr>
            <w:tcW w:w="704" w:type="pct"/>
            <w:vAlign w:val="center"/>
          </w:tcPr>
          <w:p w14:paraId="3EFCB1FF">
            <w:pPr>
              <w:pStyle w:val="52"/>
              <w:spacing w:line="240" w:lineRule="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供应商影响评审</w:t>
            </w:r>
          </w:p>
        </w:tc>
        <w:tc>
          <w:tcPr>
            <w:tcW w:w="2964" w:type="pct"/>
            <w:shd w:val="clear" w:color="auto" w:fill="auto"/>
            <w:vAlign w:val="center"/>
          </w:tcPr>
          <w:p w14:paraId="11E7C4E3">
            <w:pPr>
              <w:pStyle w:val="52"/>
              <w:spacing w:line="240" w:lineRule="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供应商</w:t>
            </w:r>
            <w:r>
              <w:rPr>
                <w:rFonts w:hint="eastAsia" w:ascii="宋体" w:hAnsi="宋体" w:eastAsia="宋体" w:cs="宋体"/>
                <w:i w:val="0"/>
                <w:iCs w:val="0"/>
                <w:color w:val="auto"/>
                <w:sz w:val="21"/>
                <w:szCs w:val="21"/>
                <w:highlight w:val="none"/>
                <w:lang w:val="zh-CN" w:eastAsia="zh-CN"/>
              </w:rPr>
              <w:t>对采购人、采购代理机构、磋商小组及其工作人员</w:t>
            </w:r>
            <w:r>
              <w:rPr>
                <w:rFonts w:hint="eastAsia" w:ascii="宋体" w:hAnsi="宋体" w:eastAsia="宋体" w:cs="宋体"/>
                <w:i w:val="0"/>
                <w:iCs w:val="0"/>
                <w:color w:val="auto"/>
                <w:sz w:val="21"/>
                <w:szCs w:val="21"/>
                <w:highlight w:val="none"/>
                <w:lang w:val="en-US" w:eastAsia="zh-CN"/>
              </w:rPr>
              <w:t>未</w:t>
            </w:r>
            <w:r>
              <w:rPr>
                <w:rFonts w:hint="eastAsia" w:ascii="宋体" w:hAnsi="宋体" w:eastAsia="宋体" w:cs="宋体"/>
                <w:i w:val="0"/>
                <w:iCs w:val="0"/>
                <w:color w:val="auto"/>
                <w:sz w:val="21"/>
                <w:szCs w:val="21"/>
                <w:highlight w:val="none"/>
                <w:lang w:val="zh-CN" w:eastAsia="zh-CN"/>
              </w:rPr>
              <w:t>施加影响,</w:t>
            </w:r>
            <w:r>
              <w:rPr>
                <w:rFonts w:hint="eastAsia" w:ascii="宋体" w:hAnsi="宋体" w:eastAsia="宋体" w:cs="宋体"/>
                <w:i w:val="0"/>
                <w:iCs w:val="0"/>
                <w:color w:val="auto"/>
                <w:sz w:val="21"/>
                <w:szCs w:val="21"/>
                <w:highlight w:val="none"/>
                <w:lang w:val="en-US" w:eastAsia="zh-CN"/>
              </w:rPr>
              <w:t>无</w:t>
            </w:r>
            <w:r>
              <w:rPr>
                <w:rFonts w:hint="eastAsia" w:ascii="宋体" w:hAnsi="宋体" w:eastAsia="宋体" w:cs="宋体"/>
                <w:i w:val="0"/>
                <w:iCs w:val="0"/>
                <w:color w:val="auto"/>
                <w:sz w:val="21"/>
                <w:szCs w:val="21"/>
                <w:highlight w:val="none"/>
                <w:lang w:val="zh-CN" w:eastAsia="zh-CN"/>
              </w:rPr>
              <w:t>有碍公平、公正</w:t>
            </w:r>
            <w:r>
              <w:rPr>
                <w:rFonts w:hint="eastAsia" w:ascii="宋体" w:hAnsi="宋体" w:eastAsia="宋体" w:cs="宋体"/>
                <w:i w:val="0"/>
                <w:iCs w:val="0"/>
                <w:color w:val="auto"/>
                <w:sz w:val="21"/>
                <w:szCs w:val="21"/>
                <w:highlight w:val="none"/>
                <w:lang w:val="en-US" w:eastAsia="zh-CN"/>
              </w:rPr>
              <w:t>行为的</w:t>
            </w:r>
          </w:p>
        </w:tc>
        <w:tc>
          <w:tcPr>
            <w:tcW w:w="467" w:type="pct"/>
            <w:shd w:val="clear" w:color="auto" w:fill="auto"/>
            <w:vAlign w:val="center"/>
          </w:tcPr>
          <w:p w14:paraId="276A2B6D">
            <w:pPr>
              <w:pStyle w:val="52"/>
              <w:spacing w:line="240" w:lineRule="auto"/>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40BCA5C4">
            <w:pPr>
              <w:pStyle w:val="52"/>
              <w:spacing w:line="240" w:lineRule="auto"/>
              <w:rPr>
                <w:rFonts w:hint="eastAsia" w:ascii="宋体" w:hAnsi="宋体" w:eastAsia="宋体" w:cs="宋体"/>
                <w:i w:val="0"/>
                <w:iCs w:val="0"/>
                <w:color w:val="auto"/>
                <w:sz w:val="21"/>
                <w:szCs w:val="21"/>
                <w:highlight w:val="none"/>
                <w:lang w:val="zh-CN"/>
              </w:rPr>
            </w:pPr>
          </w:p>
        </w:tc>
      </w:tr>
      <w:tr w14:paraId="31830B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5" w:type="pct"/>
            <w:shd w:val="clear" w:color="auto" w:fill="auto"/>
            <w:vAlign w:val="center"/>
          </w:tcPr>
          <w:p w14:paraId="60993543">
            <w:pPr>
              <w:pStyle w:val="52"/>
              <w:numPr>
                <w:ilvl w:val="0"/>
                <w:numId w:val="0"/>
              </w:numPr>
              <w:spacing w:line="240" w:lineRule="auto"/>
              <w:ind w:left="420" w:leftChars="0" w:hanging="420" w:firstLineChars="0"/>
              <w:jc w:val="center"/>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9</w:t>
            </w:r>
          </w:p>
        </w:tc>
        <w:tc>
          <w:tcPr>
            <w:tcW w:w="704" w:type="pct"/>
            <w:vAlign w:val="center"/>
          </w:tcPr>
          <w:p w14:paraId="22496277">
            <w:pPr>
              <w:pStyle w:val="52"/>
              <w:spacing w:line="240" w:lineRule="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附加条件</w:t>
            </w:r>
          </w:p>
        </w:tc>
        <w:tc>
          <w:tcPr>
            <w:tcW w:w="2964" w:type="pct"/>
            <w:shd w:val="clear" w:color="auto" w:fill="auto"/>
            <w:vAlign w:val="center"/>
          </w:tcPr>
          <w:p w14:paraId="428D5409">
            <w:pPr>
              <w:pStyle w:val="52"/>
              <w:spacing w:line="240" w:lineRule="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响应文件没有采购人不能接受的附加条件的</w:t>
            </w:r>
          </w:p>
        </w:tc>
        <w:tc>
          <w:tcPr>
            <w:tcW w:w="467" w:type="pct"/>
            <w:shd w:val="clear" w:color="auto" w:fill="auto"/>
            <w:vAlign w:val="center"/>
          </w:tcPr>
          <w:p w14:paraId="1850939B">
            <w:pPr>
              <w:pStyle w:val="52"/>
              <w:spacing w:line="240" w:lineRule="auto"/>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500B1F90">
            <w:pPr>
              <w:pStyle w:val="52"/>
              <w:spacing w:line="240" w:lineRule="auto"/>
              <w:rPr>
                <w:rFonts w:hint="eastAsia" w:ascii="宋体" w:hAnsi="宋体" w:eastAsia="宋体" w:cs="宋体"/>
                <w:i w:val="0"/>
                <w:iCs w:val="0"/>
                <w:color w:val="auto"/>
                <w:sz w:val="21"/>
                <w:szCs w:val="21"/>
                <w:highlight w:val="none"/>
                <w:lang w:val="zh-CN"/>
              </w:rPr>
            </w:pPr>
          </w:p>
        </w:tc>
      </w:tr>
      <w:tr w14:paraId="5924A2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5" w:type="pct"/>
            <w:shd w:val="clear" w:color="auto" w:fill="auto"/>
            <w:vAlign w:val="center"/>
          </w:tcPr>
          <w:p w14:paraId="40CF9D71">
            <w:pPr>
              <w:pStyle w:val="52"/>
              <w:numPr>
                <w:ilvl w:val="0"/>
                <w:numId w:val="0"/>
              </w:numPr>
              <w:spacing w:line="240" w:lineRule="auto"/>
              <w:ind w:left="420" w:leftChars="0" w:hanging="420" w:firstLineChars="0"/>
              <w:jc w:val="center"/>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kern w:val="2"/>
                <w:sz w:val="21"/>
                <w:szCs w:val="21"/>
                <w:highlight w:val="none"/>
                <w:lang w:val="en-US" w:eastAsia="zh-CN" w:bidi="ar-SA"/>
              </w:rPr>
              <w:t>10</w:t>
            </w:r>
          </w:p>
        </w:tc>
        <w:tc>
          <w:tcPr>
            <w:tcW w:w="704" w:type="pct"/>
            <w:vAlign w:val="center"/>
          </w:tcPr>
          <w:p w14:paraId="05D6A5AF">
            <w:pPr>
              <w:pStyle w:val="52"/>
              <w:spacing w:line="240" w:lineRule="auto"/>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sz w:val="21"/>
                <w:szCs w:val="21"/>
                <w:highlight w:val="none"/>
                <w:lang w:val="zh-CN"/>
              </w:rPr>
              <w:t>其他无效情形</w:t>
            </w:r>
          </w:p>
        </w:tc>
        <w:tc>
          <w:tcPr>
            <w:tcW w:w="2964" w:type="pct"/>
            <w:shd w:val="clear" w:color="auto" w:fill="auto"/>
            <w:vAlign w:val="center"/>
          </w:tcPr>
          <w:p w14:paraId="71434769">
            <w:pPr>
              <w:pStyle w:val="52"/>
              <w:spacing w:line="240" w:lineRule="auto"/>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sz w:val="21"/>
                <w:szCs w:val="21"/>
                <w:highlight w:val="none"/>
                <w:lang w:val="en-US" w:eastAsia="zh-CN"/>
              </w:rPr>
              <w:t>未出现</w:t>
            </w:r>
            <w:r>
              <w:rPr>
                <w:rFonts w:hint="eastAsia" w:ascii="宋体" w:hAnsi="宋体" w:eastAsia="宋体" w:cs="宋体"/>
                <w:i w:val="0"/>
                <w:iCs w:val="0"/>
                <w:color w:val="auto"/>
                <w:sz w:val="21"/>
                <w:szCs w:val="21"/>
                <w:highlight w:val="none"/>
                <w:lang w:val="zh-CN" w:eastAsia="zh-CN"/>
              </w:rPr>
              <w:t>法律、法规、规章以及本磋商文件规定属于</w:t>
            </w:r>
            <w:r>
              <w:rPr>
                <w:rFonts w:hint="eastAsia" w:ascii="宋体" w:hAnsi="宋体" w:eastAsia="宋体" w:cs="宋体"/>
                <w:i w:val="0"/>
                <w:iCs w:val="0"/>
                <w:color w:val="auto"/>
                <w:sz w:val="21"/>
                <w:szCs w:val="21"/>
                <w:highlight w:val="none"/>
                <w:lang w:val="en-US" w:eastAsia="zh-CN"/>
              </w:rPr>
              <w:t>响应</w:t>
            </w:r>
            <w:r>
              <w:rPr>
                <w:rFonts w:hint="eastAsia" w:ascii="宋体" w:hAnsi="宋体" w:eastAsia="宋体" w:cs="宋体"/>
                <w:i w:val="0"/>
                <w:iCs w:val="0"/>
                <w:color w:val="auto"/>
                <w:sz w:val="21"/>
                <w:szCs w:val="21"/>
                <w:highlight w:val="none"/>
                <w:lang w:val="zh-CN" w:eastAsia="zh-CN"/>
              </w:rPr>
              <w:t>无效的其他情形。</w:t>
            </w:r>
          </w:p>
        </w:tc>
        <w:tc>
          <w:tcPr>
            <w:tcW w:w="467" w:type="pct"/>
            <w:shd w:val="clear" w:color="auto" w:fill="auto"/>
            <w:vAlign w:val="center"/>
          </w:tcPr>
          <w:p w14:paraId="7E99A8DE">
            <w:pPr>
              <w:pStyle w:val="52"/>
              <w:spacing w:line="240" w:lineRule="auto"/>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7FA42E01">
            <w:pPr>
              <w:pStyle w:val="52"/>
              <w:spacing w:line="240" w:lineRule="auto"/>
              <w:rPr>
                <w:rFonts w:hint="eastAsia" w:ascii="宋体" w:hAnsi="宋体" w:eastAsia="宋体" w:cs="宋体"/>
                <w:i w:val="0"/>
                <w:iCs w:val="0"/>
                <w:color w:val="auto"/>
                <w:sz w:val="21"/>
                <w:szCs w:val="21"/>
                <w:highlight w:val="none"/>
                <w:lang w:val="zh-CN"/>
              </w:rPr>
            </w:pPr>
          </w:p>
        </w:tc>
      </w:tr>
    </w:tbl>
    <w:p w14:paraId="3E2413FD">
      <w:pPr>
        <w:rPr>
          <w:rFonts w:hint="eastAsia" w:ascii="宋体" w:hAnsi="宋体" w:cs="宋体"/>
          <w:b/>
          <w:i w:val="0"/>
          <w:iCs w:val="0"/>
          <w:color w:val="auto"/>
          <w:sz w:val="24"/>
          <w:highlight w:val="none"/>
        </w:rPr>
      </w:pPr>
      <w:r>
        <w:rPr>
          <w:rFonts w:hint="eastAsia" w:ascii="宋体" w:hAnsi="宋体" w:cs="宋体"/>
          <w:b/>
          <w:i w:val="0"/>
          <w:iCs w:val="0"/>
          <w:color w:val="auto"/>
          <w:sz w:val="24"/>
          <w:highlight w:val="none"/>
        </w:rPr>
        <w:br w:type="page"/>
      </w:r>
    </w:p>
    <w:p w14:paraId="3051F1F6">
      <w:pPr>
        <w:shd w:val="clear" w:color="auto"/>
        <w:tabs>
          <w:tab w:val="left" w:pos="3045"/>
        </w:tabs>
        <w:autoSpaceDE w:val="0"/>
        <w:autoSpaceDN w:val="0"/>
        <w:adjustRightInd w:val="0"/>
        <w:snapToGrid w:val="0"/>
        <w:spacing w:line="360" w:lineRule="exact"/>
        <w:rPr>
          <w:rFonts w:hint="eastAsia"/>
          <w:i w:val="0"/>
          <w:iCs w:val="0"/>
          <w:color w:val="auto"/>
          <w:highlight w:val="none"/>
        </w:rPr>
      </w:pPr>
      <w:r>
        <w:rPr>
          <w:rFonts w:hint="eastAsia" w:ascii="宋体" w:hAnsi="宋体" w:cs="宋体"/>
          <w:b/>
          <w:i w:val="0"/>
          <w:iCs w:val="0"/>
          <w:color w:val="auto"/>
          <w:sz w:val="24"/>
          <w:highlight w:val="none"/>
        </w:rPr>
        <w:t>符合</w:t>
      </w:r>
      <w:r>
        <w:rPr>
          <w:rFonts w:hint="eastAsia" w:ascii="宋体" w:hAnsi="宋体" w:cs="宋体"/>
          <w:b/>
          <w:i w:val="0"/>
          <w:iCs w:val="0"/>
          <w:color w:val="auto"/>
          <w:sz w:val="24"/>
          <w:highlight w:val="none"/>
          <w:lang w:eastAsia="zh-CN"/>
        </w:rPr>
        <w:t>性</w:t>
      </w:r>
      <w:r>
        <w:rPr>
          <w:rFonts w:hint="eastAsia" w:ascii="宋体" w:hAnsi="宋体" w:cs="宋体"/>
          <w:b/>
          <w:i w:val="0"/>
          <w:iCs w:val="0"/>
          <w:color w:val="auto"/>
          <w:sz w:val="24"/>
          <w:highlight w:val="none"/>
        </w:rPr>
        <w:t>检查</w:t>
      </w:r>
      <w:r>
        <w:rPr>
          <w:rFonts w:hint="eastAsia" w:cs="宋体"/>
          <w:b/>
          <w:i w:val="0"/>
          <w:iCs w:val="0"/>
          <w:color w:val="auto"/>
          <w:sz w:val="24"/>
          <w:highlight w:val="none"/>
          <w:lang w:val="en-US" w:eastAsia="zh-CN"/>
        </w:rPr>
        <w:t>-</w:t>
      </w:r>
      <w:r>
        <w:rPr>
          <w:rFonts w:hint="eastAsia" w:ascii="宋体" w:hAnsi="宋体" w:cs="宋体"/>
          <w:b/>
          <w:i w:val="0"/>
          <w:iCs w:val="0"/>
          <w:color w:val="auto"/>
          <w:sz w:val="24"/>
          <w:highlight w:val="none"/>
        </w:rPr>
        <w:t>附表</w:t>
      </w:r>
    </w:p>
    <w:p w14:paraId="3578AEBC">
      <w:pPr>
        <w:pStyle w:val="5"/>
        <w:keepNext/>
        <w:keepLines/>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jc w:val="center"/>
        <w:textAlignment w:val="auto"/>
        <w:rPr>
          <w:rFonts w:hint="eastAsia" w:ascii="宋体" w:hAnsi="宋体" w:eastAsia="宋体" w:cstheme="minorBidi"/>
          <w:b/>
          <w:bCs/>
          <w:i w:val="0"/>
          <w:iCs w:val="0"/>
          <w:color w:val="auto"/>
          <w:kern w:val="2"/>
          <w:sz w:val="28"/>
          <w:szCs w:val="28"/>
          <w:highlight w:val="none"/>
          <w:lang w:val="zh-CN" w:eastAsia="zh-CN" w:bidi="ar-SA"/>
        </w:rPr>
      </w:pPr>
      <w:bookmarkStart w:id="475" w:name="_Toc30019"/>
      <w:r>
        <w:rPr>
          <w:rFonts w:hint="eastAsia" w:ascii="宋体" w:hAnsi="宋体" w:eastAsia="宋体" w:cstheme="minorBidi"/>
          <w:b/>
          <w:bCs/>
          <w:i w:val="0"/>
          <w:iCs w:val="0"/>
          <w:color w:val="auto"/>
          <w:kern w:val="2"/>
          <w:sz w:val="28"/>
          <w:szCs w:val="28"/>
          <w:highlight w:val="none"/>
          <w:lang w:val="zh-CN" w:eastAsia="zh-CN" w:bidi="ar-SA"/>
        </w:rPr>
        <w:t>实质性响应一览表</w:t>
      </w:r>
      <w:bookmarkEnd w:id="475"/>
    </w:p>
    <w:p w14:paraId="7409ED10">
      <w:pPr>
        <w:shd w:val="clear" w:color="auto"/>
        <w:tabs>
          <w:tab w:val="left" w:pos="3045"/>
        </w:tabs>
        <w:autoSpaceDE w:val="0"/>
        <w:autoSpaceDN w:val="0"/>
        <w:adjustRightInd w:val="0"/>
        <w:snapToGrid w:val="0"/>
        <w:spacing w:line="360" w:lineRule="exact"/>
        <w:jc w:val="center"/>
        <w:rPr>
          <w:rFonts w:hint="eastAsia" w:ascii="宋体" w:hAnsi="宋体" w:cs="宋体"/>
          <w:b/>
          <w:i w:val="0"/>
          <w:iCs w:val="0"/>
          <w:color w:val="auto"/>
          <w:sz w:val="24"/>
          <w:highlight w:val="none"/>
        </w:rPr>
      </w:pPr>
      <w:r>
        <w:rPr>
          <w:rFonts w:hint="eastAsia" w:ascii="宋体" w:hAnsi="宋体" w:cs="宋体"/>
          <w:b w:val="0"/>
          <w:bCs/>
          <w:i w:val="0"/>
          <w:iCs w:val="0"/>
          <w:color w:val="auto"/>
          <w:sz w:val="24"/>
          <w:highlight w:val="none"/>
        </w:rPr>
        <w:t>（供应商须对本附表所有内容逐条响应且无负偏离，否则</w:t>
      </w:r>
      <w:r>
        <w:rPr>
          <w:rFonts w:hint="eastAsia" w:cs="宋体"/>
          <w:b/>
          <w:i w:val="0"/>
          <w:iCs w:val="0"/>
          <w:color w:val="auto"/>
          <w:sz w:val="24"/>
          <w:highlight w:val="none"/>
          <w:lang w:val="en-US" w:eastAsia="zh-CN"/>
        </w:rPr>
        <w:t>响应</w:t>
      </w:r>
      <w:r>
        <w:rPr>
          <w:rFonts w:hint="eastAsia" w:ascii="宋体" w:hAnsi="宋体" w:cs="宋体"/>
          <w:b/>
          <w:i w:val="0"/>
          <w:iCs w:val="0"/>
          <w:color w:val="auto"/>
          <w:sz w:val="24"/>
          <w:highlight w:val="none"/>
        </w:rPr>
        <w:t>无效</w:t>
      </w:r>
      <w:r>
        <w:rPr>
          <w:rFonts w:hint="eastAsia" w:ascii="宋体" w:hAnsi="宋体" w:cs="宋体"/>
          <w:b w:val="0"/>
          <w:bCs/>
          <w:i w:val="0"/>
          <w:iCs w:val="0"/>
          <w:color w:val="auto"/>
          <w:sz w:val="24"/>
          <w:highlight w:val="none"/>
        </w:rPr>
        <w:t>）</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2228"/>
        <w:gridCol w:w="2985"/>
        <w:gridCol w:w="1915"/>
        <w:gridCol w:w="682"/>
      </w:tblGrid>
      <w:tr w14:paraId="585A6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419" w:type="pct"/>
            <w:vMerge w:val="restart"/>
            <w:noWrap w:val="0"/>
            <w:vAlign w:val="center"/>
          </w:tcPr>
          <w:p w14:paraId="4917BA59">
            <w:pPr>
              <w:keepNext w:val="0"/>
              <w:keepLines w:val="0"/>
              <w:pageBreakBefore w:val="0"/>
              <w:widowControl w:val="0"/>
              <w:shd w:val="clear"/>
              <w:kinsoku/>
              <w:wordWrap/>
              <w:overflowPunct/>
              <w:topLinePunct w:val="0"/>
              <w:bidi w:val="0"/>
              <w:adjustRightInd/>
              <w:snapToGrid/>
              <w:spacing w:line="240" w:lineRule="auto"/>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序号</w:t>
            </w:r>
          </w:p>
        </w:tc>
        <w:tc>
          <w:tcPr>
            <w:tcW w:w="3056" w:type="pct"/>
            <w:gridSpan w:val="2"/>
            <w:noWrap w:val="0"/>
            <w:vAlign w:val="center"/>
          </w:tcPr>
          <w:p w14:paraId="4946C8FE">
            <w:pPr>
              <w:keepNext w:val="0"/>
              <w:keepLines w:val="0"/>
              <w:pageBreakBefore w:val="0"/>
              <w:widowControl w:val="0"/>
              <w:shd w:val="clear"/>
              <w:kinsoku/>
              <w:wordWrap/>
              <w:overflowPunct/>
              <w:topLinePunct w:val="0"/>
              <w:bidi w:val="0"/>
              <w:adjustRightInd/>
              <w:snapToGrid/>
              <w:spacing w:line="240" w:lineRule="auto"/>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文件要求的实质性响应内容</w:t>
            </w:r>
          </w:p>
        </w:tc>
        <w:tc>
          <w:tcPr>
            <w:tcW w:w="1123" w:type="pct"/>
            <w:vMerge w:val="restart"/>
            <w:noWrap w:val="0"/>
            <w:vAlign w:val="center"/>
          </w:tcPr>
          <w:p w14:paraId="3F0D9325">
            <w:pPr>
              <w:keepNext w:val="0"/>
              <w:keepLines w:val="0"/>
              <w:pageBreakBefore w:val="0"/>
              <w:widowControl w:val="0"/>
              <w:shd w:val="clear"/>
              <w:kinsoku/>
              <w:wordWrap/>
              <w:overflowPunct/>
              <w:topLinePunct w:val="0"/>
              <w:bidi w:val="0"/>
              <w:adjustRightInd/>
              <w:snapToGrid/>
              <w:spacing w:line="240" w:lineRule="auto"/>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供应商</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rPr>
              <w:t>文件具体</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rPr>
              <w:t>内容</w:t>
            </w:r>
          </w:p>
        </w:tc>
        <w:tc>
          <w:tcPr>
            <w:tcW w:w="400" w:type="pct"/>
            <w:vMerge w:val="restart"/>
            <w:noWrap w:val="0"/>
            <w:vAlign w:val="center"/>
          </w:tcPr>
          <w:p w14:paraId="2A8EB933">
            <w:pPr>
              <w:keepNext w:val="0"/>
              <w:keepLines w:val="0"/>
              <w:pageBreakBefore w:val="0"/>
              <w:widowControl w:val="0"/>
              <w:shd w:val="clear"/>
              <w:kinsoku/>
              <w:wordWrap/>
              <w:overflowPunct/>
              <w:topLinePunct w:val="0"/>
              <w:bidi w:val="0"/>
              <w:adjustRightInd/>
              <w:snapToGrid/>
              <w:spacing w:line="240" w:lineRule="auto"/>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备注</w:t>
            </w:r>
          </w:p>
        </w:tc>
      </w:tr>
      <w:tr w14:paraId="1C7DB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419" w:type="pct"/>
            <w:vMerge w:val="continue"/>
            <w:noWrap w:val="0"/>
            <w:vAlign w:val="center"/>
          </w:tcPr>
          <w:p w14:paraId="689006BF">
            <w:pPr>
              <w:keepNext w:val="0"/>
              <w:keepLines w:val="0"/>
              <w:pageBreakBefore w:val="0"/>
              <w:widowControl w:val="0"/>
              <w:shd w:val="clear"/>
              <w:kinsoku/>
              <w:wordWrap/>
              <w:overflowPunct/>
              <w:topLinePunct w:val="0"/>
              <w:bidi w:val="0"/>
              <w:adjustRightInd/>
              <w:snapToGrid/>
              <w:spacing w:line="240" w:lineRule="auto"/>
              <w:jc w:val="center"/>
              <w:textAlignment w:val="auto"/>
              <w:rPr>
                <w:rFonts w:hint="eastAsia" w:ascii="宋体" w:hAnsi="宋体" w:eastAsia="宋体" w:cs="宋体"/>
                <w:i w:val="0"/>
                <w:iCs w:val="0"/>
                <w:color w:val="auto"/>
                <w:sz w:val="21"/>
                <w:szCs w:val="21"/>
                <w:highlight w:val="none"/>
              </w:rPr>
            </w:pPr>
          </w:p>
        </w:tc>
        <w:tc>
          <w:tcPr>
            <w:tcW w:w="1306" w:type="pct"/>
            <w:shd w:val="clear" w:color="auto" w:fill="auto"/>
            <w:noWrap w:val="0"/>
            <w:vAlign w:val="center"/>
          </w:tcPr>
          <w:p w14:paraId="65676608">
            <w:pPr>
              <w:keepNext w:val="0"/>
              <w:keepLines w:val="0"/>
              <w:pageBreakBefore w:val="0"/>
              <w:widowControl w:val="0"/>
              <w:shd w:val="clear"/>
              <w:kinsoku/>
              <w:wordWrap/>
              <w:overflowPunct/>
              <w:topLinePunct w:val="0"/>
              <w:bidi w:val="0"/>
              <w:adjustRightInd/>
              <w:snapToGrid/>
              <w:spacing w:line="240" w:lineRule="auto"/>
              <w:jc w:val="center"/>
              <w:textAlignment w:val="auto"/>
              <w:rPr>
                <w:rFonts w:hint="eastAsia"/>
                <w:snapToGrid w:val="0"/>
                <w:color w:val="auto"/>
                <w:sz w:val="21"/>
                <w:szCs w:val="21"/>
                <w:highlight w:val="none"/>
                <w:lang w:val="en-US" w:eastAsia="zh-CN"/>
              </w:rPr>
            </w:pPr>
            <w:r>
              <w:rPr>
                <w:rFonts w:hint="eastAsia"/>
                <w:snapToGrid w:val="0"/>
                <w:color w:val="auto"/>
                <w:sz w:val="21"/>
                <w:szCs w:val="21"/>
                <w:highlight w:val="none"/>
                <w:lang w:val="en-US" w:eastAsia="zh-CN"/>
              </w:rPr>
              <w:t>实质性要求</w:t>
            </w:r>
          </w:p>
        </w:tc>
        <w:tc>
          <w:tcPr>
            <w:tcW w:w="1749" w:type="pct"/>
            <w:shd w:val="clear" w:color="auto" w:fill="auto"/>
            <w:noWrap w:val="0"/>
            <w:vAlign w:val="center"/>
          </w:tcPr>
          <w:p w14:paraId="0C1794E1">
            <w:pPr>
              <w:keepNext w:val="0"/>
              <w:keepLines w:val="0"/>
              <w:pageBreakBefore w:val="0"/>
              <w:widowControl w:val="0"/>
              <w:shd w:val="clear"/>
              <w:kinsoku/>
              <w:wordWrap/>
              <w:overflowPunct/>
              <w:topLinePunct w:val="0"/>
              <w:bidi w:val="0"/>
              <w:adjustRightInd/>
              <w:snapToGrid/>
              <w:spacing w:line="240" w:lineRule="auto"/>
              <w:jc w:val="center"/>
              <w:textAlignment w:val="auto"/>
              <w:rPr>
                <w:rFonts w:hint="eastAsia"/>
                <w:snapToGrid w:val="0"/>
                <w:color w:val="auto"/>
                <w:sz w:val="21"/>
                <w:szCs w:val="21"/>
                <w:highlight w:val="none"/>
                <w:lang w:val="en-US" w:eastAsia="zh-CN"/>
              </w:rPr>
            </w:pPr>
            <w:r>
              <w:rPr>
                <w:rFonts w:hint="eastAsia"/>
                <w:snapToGrid w:val="0"/>
                <w:color w:val="auto"/>
                <w:sz w:val="21"/>
                <w:szCs w:val="21"/>
                <w:highlight w:val="none"/>
                <w:lang w:val="en-US" w:eastAsia="zh-CN"/>
              </w:rPr>
              <w:t>磋商文件中的规定</w:t>
            </w:r>
          </w:p>
        </w:tc>
        <w:tc>
          <w:tcPr>
            <w:tcW w:w="1123" w:type="pct"/>
            <w:vMerge w:val="continue"/>
            <w:noWrap w:val="0"/>
            <w:vAlign w:val="center"/>
          </w:tcPr>
          <w:p w14:paraId="7285BB81">
            <w:pPr>
              <w:keepNext w:val="0"/>
              <w:keepLines w:val="0"/>
              <w:pageBreakBefore w:val="0"/>
              <w:widowControl w:val="0"/>
              <w:shd w:val="clear"/>
              <w:kinsoku/>
              <w:wordWrap/>
              <w:overflowPunct/>
              <w:topLinePunct w:val="0"/>
              <w:bidi w:val="0"/>
              <w:adjustRightInd/>
              <w:snapToGrid/>
              <w:spacing w:line="240" w:lineRule="auto"/>
              <w:jc w:val="center"/>
              <w:textAlignment w:val="auto"/>
              <w:rPr>
                <w:rFonts w:hint="eastAsia" w:ascii="宋体" w:hAnsi="宋体" w:eastAsia="宋体" w:cs="宋体"/>
                <w:i w:val="0"/>
                <w:iCs w:val="0"/>
                <w:color w:val="auto"/>
                <w:sz w:val="21"/>
                <w:szCs w:val="21"/>
                <w:highlight w:val="none"/>
                <w:lang w:eastAsia="zh-CN"/>
              </w:rPr>
            </w:pPr>
          </w:p>
        </w:tc>
        <w:tc>
          <w:tcPr>
            <w:tcW w:w="400" w:type="pct"/>
            <w:vMerge w:val="continue"/>
            <w:noWrap w:val="0"/>
            <w:vAlign w:val="center"/>
          </w:tcPr>
          <w:p w14:paraId="3AD3DBC1">
            <w:pPr>
              <w:keepNext w:val="0"/>
              <w:keepLines w:val="0"/>
              <w:pageBreakBefore w:val="0"/>
              <w:widowControl w:val="0"/>
              <w:shd w:val="clear"/>
              <w:kinsoku/>
              <w:wordWrap/>
              <w:overflowPunct/>
              <w:topLinePunct w:val="0"/>
              <w:bidi w:val="0"/>
              <w:adjustRightInd/>
              <w:snapToGrid/>
              <w:spacing w:line="240" w:lineRule="auto"/>
              <w:jc w:val="center"/>
              <w:textAlignment w:val="auto"/>
              <w:rPr>
                <w:rFonts w:hint="eastAsia" w:ascii="宋体" w:hAnsi="宋体" w:eastAsia="宋体" w:cs="宋体"/>
                <w:i w:val="0"/>
                <w:iCs w:val="0"/>
                <w:color w:val="auto"/>
                <w:sz w:val="21"/>
                <w:szCs w:val="21"/>
                <w:highlight w:val="none"/>
                <w:lang w:eastAsia="zh-CN"/>
              </w:rPr>
            </w:pPr>
          </w:p>
        </w:tc>
      </w:tr>
      <w:tr w14:paraId="31863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trPr>
        <w:tc>
          <w:tcPr>
            <w:tcW w:w="419" w:type="pct"/>
            <w:noWrap w:val="0"/>
            <w:vAlign w:val="center"/>
          </w:tcPr>
          <w:p w14:paraId="56DAFDF8">
            <w:pPr>
              <w:keepNext w:val="0"/>
              <w:keepLines w:val="0"/>
              <w:pageBreakBefore w:val="0"/>
              <w:widowControl w:val="0"/>
              <w:shd w:val="clear"/>
              <w:kinsoku/>
              <w:wordWrap/>
              <w:overflowPunct/>
              <w:topLinePunct w:val="0"/>
              <w:bidi w:val="0"/>
              <w:adjustRightInd/>
              <w:snapToGrid/>
              <w:spacing w:line="240" w:lineRule="auto"/>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w:t>
            </w:r>
          </w:p>
        </w:tc>
        <w:tc>
          <w:tcPr>
            <w:tcW w:w="1306" w:type="pct"/>
            <w:shd w:val="clear" w:color="auto" w:fill="auto"/>
            <w:noWrap w:val="0"/>
            <w:vAlign w:val="center"/>
          </w:tcPr>
          <w:p w14:paraId="7E5AEFBC">
            <w:pPr>
              <w:keepNext w:val="0"/>
              <w:keepLines w:val="0"/>
              <w:pageBreakBefore w:val="0"/>
              <w:widowControl w:val="0"/>
              <w:shd w:val="clear"/>
              <w:kinsoku/>
              <w:wordWrap/>
              <w:overflowPunct/>
              <w:topLinePunct w:val="0"/>
              <w:bidi w:val="0"/>
              <w:adjustRightInd/>
              <w:snapToGrid/>
              <w:spacing w:line="240" w:lineRule="auto"/>
              <w:jc w:val="center"/>
              <w:textAlignment w:val="auto"/>
              <w:rPr>
                <w:rFonts w:hint="eastAsia"/>
                <w:snapToGrid w:val="0"/>
                <w:color w:val="auto"/>
                <w:sz w:val="21"/>
                <w:szCs w:val="21"/>
                <w:highlight w:val="none"/>
                <w:lang w:val="en-US" w:eastAsia="zh-CN"/>
              </w:rPr>
            </w:pPr>
            <w:r>
              <w:rPr>
                <w:rFonts w:hint="eastAsia"/>
                <w:snapToGrid w:val="0"/>
                <w:color w:val="auto"/>
                <w:sz w:val="21"/>
                <w:szCs w:val="21"/>
                <w:highlight w:val="none"/>
              </w:rPr>
              <w:t>付款条件（进度和方式）</w:t>
            </w:r>
          </w:p>
        </w:tc>
        <w:tc>
          <w:tcPr>
            <w:tcW w:w="1749" w:type="pct"/>
            <w:shd w:val="clear" w:color="auto" w:fill="auto"/>
            <w:noWrap w:val="0"/>
            <w:vAlign w:val="center"/>
          </w:tcPr>
          <w:p w14:paraId="7631562F">
            <w:pPr>
              <w:keepNext w:val="0"/>
              <w:keepLines w:val="0"/>
              <w:pageBreakBefore w:val="0"/>
              <w:widowControl w:val="0"/>
              <w:shd w:val="clear"/>
              <w:kinsoku/>
              <w:wordWrap/>
              <w:overflowPunct/>
              <w:topLinePunct w:val="0"/>
              <w:bidi w:val="0"/>
              <w:adjustRightInd/>
              <w:snapToGrid/>
              <w:spacing w:line="240" w:lineRule="auto"/>
              <w:jc w:val="center"/>
              <w:textAlignment w:val="auto"/>
              <w:rPr>
                <w:rFonts w:hint="eastAsia"/>
                <w:snapToGrid w:val="0"/>
                <w:color w:val="auto"/>
                <w:sz w:val="21"/>
                <w:szCs w:val="21"/>
                <w:highlight w:val="none"/>
                <w:lang w:val="en-US" w:eastAsia="zh-CN"/>
              </w:rPr>
            </w:pPr>
            <w:r>
              <w:rPr>
                <w:rFonts w:hint="eastAsia"/>
                <w:snapToGrid w:val="0"/>
                <w:color w:val="auto"/>
                <w:sz w:val="21"/>
                <w:szCs w:val="21"/>
                <w:highlight w:val="none"/>
                <w:lang w:val="en-US" w:eastAsia="zh-CN"/>
              </w:rPr>
              <w:t>采购人根据供应商实际提供的工作量和服务质量按月支付服务费。</w:t>
            </w:r>
          </w:p>
        </w:tc>
        <w:tc>
          <w:tcPr>
            <w:tcW w:w="1123" w:type="pct"/>
            <w:noWrap w:val="0"/>
            <w:vAlign w:val="center"/>
          </w:tcPr>
          <w:p w14:paraId="02AD85DF">
            <w:pPr>
              <w:keepNext w:val="0"/>
              <w:keepLines w:val="0"/>
              <w:pageBreakBefore w:val="0"/>
              <w:widowControl w:val="0"/>
              <w:shd w:val="clear"/>
              <w:kinsoku/>
              <w:wordWrap/>
              <w:overflowPunct/>
              <w:topLinePunct w:val="0"/>
              <w:bidi w:val="0"/>
              <w:adjustRightInd/>
              <w:snapToGrid/>
              <w:spacing w:line="240" w:lineRule="auto"/>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供应商在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400" w:type="pct"/>
            <w:noWrap w:val="0"/>
            <w:vAlign w:val="center"/>
          </w:tcPr>
          <w:p w14:paraId="790175E1">
            <w:pPr>
              <w:keepNext w:val="0"/>
              <w:keepLines w:val="0"/>
              <w:pageBreakBefore w:val="0"/>
              <w:widowControl w:val="0"/>
              <w:shd w:val="clear"/>
              <w:kinsoku/>
              <w:wordWrap/>
              <w:overflowPunct/>
              <w:topLinePunct w:val="0"/>
              <w:bidi w:val="0"/>
              <w:adjustRightInd/>
              <w:snapToGrid/>
              <w:spacing w:line="240" w:lineRule="auto"/>
              <w:textAlignment w:val="auto"/>
              <w:rPr>
                <w:rFonts w:hint="eastAsia" w:ascii="宋体" w:hAnsi="宋体" w:eastAsia="宋体" w:cs="宋体"/>
                <w:i w:val="0"/>
                <w:iCs w:val="0"/>
                <w:color w:val="auto"/>
                <w:sz w:val="21"/>
                <w:szCs w:val="21"/>
                <w:highlight w:val="none"/>
              </w:rPr>
            </w:pPr>
          </w:p>
        </w:tc>
      </w:tr>
      <w:tr w14:paraId="4815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trPr>
        <w:tc>
          <w:tcPr>
            <w:tcW w:w="419" w:type="pct"/>
            <w:noWrap w:val="0"/>
            <w:vAlign w:val="center"/>
          </w:tcPr>
          <w:p w14:paraId="4DBE55CE">
            <w:pPr>
              <w:keepNext w:val="0"/>
              <w:keepLines w:val="0"/>
              <w:pageBreakBefore w:val="0"/>
              <w:widowControl w:val="0"/>
              <w:shd w:val="clear"/>
              <w:kinsoku/>
              <w:wordWrap/>
              <w:overflowPunct/>
              <w:topLinePunct w:val="0"/>
              <w:bidi w:val="0"/>
              <w:adjustRightInd/>
              <w:snapToGrid/>
              <w:spacing w:line="240" w:lineRule="auto"/>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2</w:t>
            </w:r>
          </w:p>
        </w:tc>
        <w:tc>
          <w:tcPr>
            <w:tcW w:w="1306" w:type="pct"/>
            <w:noWrap w:val="0"/>
            <w:vAlign w:val="center"/>
          </w:tcPr>
          <w:p w14:paraId="46C5CA41">
            <w:pPr>
              <w:keepNext w:val="0"/>
              <w:keepLines w:val="0"/>
              <w:pageBreakBefore w:val="0"/>
              <w:widowControl w:val="0"/>
              <w:shd w:val="clear"/>
              <w:kinsoku/>
              <w:wordWrap/>
              <w:overflowPunct/>
              <w:topLinePunct w:val="0"/>
              <w:bidi w:val="0"/>
              <w:adjustRightInd/>
              <w:snapToGrid/>
              <w:spacing w:line="240" w:lineRule="auto"/>
              <w:jc w:val="center"/>
              <w:textAlignment w:val="auto"/>
              <w:rPr>
                <w:rFonts w:hint="eastAsia"/>
                <w:snapToGrid w:val="0"/>
                <w:color w:val="auto"/>
                <w:sz w:val="21"/>
                <w:szCs w:val="21"/>
                <w:highlight w:val="none"/>
              </w:rPr>
            </w:pPr>
            <w:r>
              <w:rPr>
                <w:rFonts w:hint="eastAsia"/>
                <w:snapToGrid w:val="0"/>
                <w:color w:val="auto"/>
                <w:sz w:val="24"/>
                <w:szCs w:val="24"/>
                <w:highlight w:val="none"/>
                <w:lang w:val="en-US" w:eastAsia="zh-CN"/>
              </w:rPr>
              <w:t>合同服务履行期限</w:t>
            </w:r>
          </w:p>
        </w:tc>
        <w:tc>
          <w:tcPr>
            <w:tcW w:w="1749" w:type="pct"/>
            <w:noWrap w:val="0"/>
            <w:vAlign w:val="center"/>
          </w:tcPr>
          <w:p w14:paraId="3BD589BE">
            <w:pPr>
              <w:keepNext w:val="0"/>
              <w:keepLines w:val="0"/>
              <w:pageBreakBefore w:val="0"/>
              <w:widowControl w:val="0"/>
              <w:shd w:val="clear"/>
              <w:kinsoku/>
              <w:wordWrap/>
              <w:overflowPunct/>
              <w:topLinePunct w:val="0"/>
              <w:bidi w:val="0"/>
              <w:adjustRightInd/>
              <w:snapToGrid/>
              <w:spacing w:line="240" w:lineRule="auto"/>
              <w:jc w:val="center"/>
              <w:textAlignment w:val="auto"/>
              <w:rPr>
                <w:rFonts w:hint="eastAsia"/>
                <w:snapToGrid w:val="0"/>
                <w:color w:val="auto"/>
                <w:sz w:val="21"/>
                <w:szCs w:val="21"/>
                <w:highlight w:val="none"/>
                <w:lang w:eastAsia="zh-CN"/>
              </w:rPr>
            </w:pPr>
            <w:r>
              <w:rPr>
                <w:rFonts w:hint="eastAsia"/>
                <w:snapToGrid w:val="0"/>
                <w:color w:val="auto"/>
                <w:sz w:val="24"/>
                <w:szCs w:val="24"/>
                <w:highlight w:val="none"/>
                <w:lang w:val="en-US" w:eastAsia="zh-CN"/>
              </w:rPr>
              <w:t>自合同签订之日起1年</w:t>
            </w:r>
          </w:p>
        </w:tc>
        <w:tc>
          <w:tcPr>
            <w:tcW w:w="1123" w:type="pct"/>
            <w:noWrap w:val="0"/>
            <w:vAlign w:val="center"/>
          </w:tcPr>
          <w:p w14:paraId="2B1B94EB">
            <w:pPr>
              <w:keepNext w:val="0"/>
              <w:keepLines w:val="0"/>
              <w:pageBreakBefore w:val="0"/>
              <w:widowControl w:val="0"/>
              <w:shd w:val="clear"/>
              <w:kinsoku/>
              <w:wordWrap/>
              <w:overflowPunct/>
              <w:topLinePunct w:val="0"/>
              <w:bidi w:val="0"/>
              <w:adjustRightInd/>
              <w:snapToGrid/>
              <w:spacing w:line="240" w:lineRule="auto"/>
              <w:textAlignment w:val="auto"/>
              <w:rPr>
                <w:rFonts w:hint="eastAsia" w:ascii="宋体" w:hAnsi="宋体" w:eastAsia="宋体" w:cs="宋体"/>
                <w:i w:val="0"/>
                <w:iCs w:val="0"/>
                <w:color w:val="auto"/>
                <w:sz w:val="21"/>
                <w:szCs w:val="21"/>
                <w:highlight w:val="yellow"/>
              </w:rPr>
            </w:pPr>
          </w:p>
        </w:tc>
        <w:tc>
          <w:tcPr>
            <w:tcW w:w="400" w:type="pct"/>
            <w:noWrap w:val="0"/>
            <w:vAlign w:val="center"/>
          </w:tcPr>
          <w:p w14:paraId="1A45D492">
            <w:pPr>
              <w:keepNext w:val="0"/>
              <w:keepLines w:val="0"/>
              <w:pageBreakBefore w:val="0"/>
              <w:widowControl w:val="0"/>
              <w:shd w:val="clear"/>
              <w:kinsoku/>
              <w:wordWrap/>
              <w:overflowPunct/>
              <w:topLinePunct w:val="0"/>
              <w:bidi w:val="0"/>
              <w:adjustRightInd/>
              <w:snapToGrid/>
              <w:spacing w:line="240" w:lineRule="auto"/>
              <w:textAlignment w:val="auto"/>
              <w:rPr>
                <w:rFonts w:hint="eastAsia" w:ascii="宋体" w:hAnsi="宋体" w:eastAsia="宋体" w:cs="宋体"/>
                <w:i w:val="0"/>
                <w:iCs w:val="0"/>
                <w:color w:val="auto"/>
                <w:sz w:val="21"/>
                <w:szCs w:val="21"/>
                <w:highlight w:val="yellow"/>
              </w:rPr>
            </w:pPr>
          </w:p>
        </w:tc>
      </w:tr>
      <w:tr w14:paraId="1F749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419" w:type="pct"/>
            <w:noWrap w:val="0"/>
            <w:vAlign w:val="center"/>
          </w:tcPr>
          <w:p w14:paraId="42A6988A">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3</w:t>
            </w:r>
          </w:p>
        </w:tc>
        <w:tc>
          <w:tcPr>
            <w:tcW w:w="1306" w:type="pct"/>
            <w:shd w:val="clear" w:color="auto" w:fill="auto"/>
            <w:noWrap w:val="0"/>
            <w:vAlign w:val="center"/>
          </w:tcPr>
          <w:p w14:paraId="269E23B4">
            <w:pPr>
              <w:keepNext w:val="0"/>
              <w:keepLines w:val="0"/>
              <w:pageBreakBefore w:val="0"/>
              <w:widowControl w:val="0"/>
              <w:kinsoku/>
              <w:wordWrap/>
              <w:overflowPunct/>
              <w:topLinePunct w:val="0"/>
              <w:bidi w:val="0"/>
              <w:adjustRightInd/>
              <w:snapToGrid/>
              <w:spacing w:line="240" w:lineRule="auto"/>
              <w:jc w:val="center"/>
              <w:textAlignment w:val="auto"/>
              <w:rPr>
                <w:rFonts w:hint="eastAsia"/>
                <w:snapToGrid w:val="0"/>
                <w:color w:val="auto"/>
                <w:sz w:val="21"/>
                <w:szCs w:val="21"/>
                <w:highlight w:val="none"/>
                <w:lang w:val="en-US" w:eastAsia="zh-CN"/>
              </w:rPr>
            </w:pPr>
            <w:r>
              <w:rPr>
                <w:rFonts w:hint="eastAsia"/>
                <w:snapToGrid w:val="0"/>
                <w:color w:val="auto"/>
                <w:sz w:val="21"/>
                <w:szCs w:val="21"/>
                <w:highlight w:val="none"/>
                <w:lang w:eastAsia="zh-CN"/>
              </w:rPr>
              <w:t>响应文件</w:t>
            </w:r>
            <w:r>
              <w:rPr>
                <w:rFonts w:hint="eastAsia"/>
                <w:snapToGrid w:val="0"/>
                <w:color w:val="auto"/>
                <w:sz w:val="21"/>
                <w:szCs w:val="21"/>
                <w:highlight w:val="none"/>
              </w:rPr>
              <w:t>有效期</w:t>
            </w:r>
          </w:p>
        </w:tc>
        <w:tc>
          <w:tcPr>
            <w:tcW w:w="1749" w:type="pct"/>
            <w:shd w:val="clear" w:color="auto" w:fill="auto"/>
            <w:noWrap w:val="0"/>
            <w:vAlign w:val="center"/>
          </w:tcPr>
          <w:p w14:paraId="22F55BD8">
            <w:pPr>
              <w:keepNext w:val="0"/>
              <w:keepLines w:val="0"/>
              <w:pageBreakBefore w:val="0"/>
              <w:widowControl w:val="0"/>
              <w:kinsoku/>
              <w:wordWrap/>
              <w:overflowPunct/>
              <w:topLinePunct w:val="0"/>
              <w:bidi w:val="0"/>
              <w:adjustRightInd/>
              <w:snapToGrid/>
              <w:spacing w:line="240" w:lineRule="auto"/>
              <w:jc w:val="center"/>
              <w:textAlignment w:val="auto"/>
              <w:rPr>
                <w:rFonts w:hint="eastAsia"/>
                <w:snapToGrid w:val="0"/>
                <w:color w:val="auto"/>
                <w:sz w:val="21"/>
                <w:szCs w:val="21"/>
                <w:highlight w:val="none"/>
                <w:lang w:val="en-US" w:eastAsia="zh-CN"/>
              </w:rPr>
            </w:pPr>
            <w:r>
              <w:rPr>
                <w:rFonts w:hint="eastAsia"/>
                <w:snapToGrid w:val="0"/>
                <w:color w:val="auto"/>
                <w:sz w:val="21"/>
                <w:szCs w:val="21"/>
                <w:highlight w:val="none"/>
              </w:rPr>
              <w:t>响应文件递交截止日期后90日历日</w:t>
            </w:r>
          </w:p>
        </w:tc>
        <w:tc>
          <w:tcPr>
            <w:tcW w:w="1123" w:type="pct"/>
            <w:noWrap w:val="0"/>
            <w:vAlign w:val="center"/>
          </w:tcPr>
          <w:p w14:paraId="31CDB36A">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i w:val="0"/>
                <w:iCs w:val="0"/>
                <w:color w:val="auto"/>
                <w:sz w:val="21"/>
                <w:szCs w:val="21"/>
                <w:highlight w:val="none"/>
              </w:rPr>
            </w:pPr>
          </w:p>
        </w:tc>
        <w:tc>
          <w:tcPr>
            <w:tcW w:w="400" w:type="pct"/>
            <w:noWrap w:val="0"/>
            <w:vAlign w:val="center"/>
          </w:tcPr>
          <w:p w14:paraId="38FA9230">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i w:val="0"/>
                <w:iCs w:val="0"/>
                <w:color w:val="auto"/>
                <w:sz w:val="21"/>
                <w:szCs w:val="21"/>
                <w:highlight w:val="none"/>
              </w:rPr>
            </w:pPr>
          </w:p>
        </w:tc>
      </w:tr>
      <w:tr w14:paraId="4B102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419" w:type="pct"/>
            <w:noWrap w:val="0"/>
            <w:vAlign w:val="center"/>
          </w:tcPr>
          <w:p w14:paraId="68D25EDB">
            <w:pPr>
              <w:keepNext w:val="0"/>
              <w:keepLines w:val="0"/>
              <w:pageBreakBefore w:val="0"/>
              <w:widowControl w:val="0"/>
              <w:kinsoku/>
              <w:wordWrap/>
              <w:overflowPunct/>
              <w:topLinePunct w:val="0"/>
              <w:bidi w:val="0"/>
              <w:adjustRightInd/>
              <w:snapToGrid/>
              <w:spacing w:line="240" w:lineRule="auto"/>
              <w:jc w:val="center"/>
              <w:textAlignment w:val="auto"/>
              <w:rPr>
                <w:rFonts w:hint="default" w:ascii="宋体" w:hAnsi="宋体" w:eastAsia="宋体" w:cs="宋体"/>
                <w:i w:val="0"/>
                <w:iCs w:val="0"/>
                <w:color w:val="auto"/>
                <w:sz w:val="21"/>
                <w:szCs w:val="21"/>
                <w:highlight w:val="none"/>
                <w:lang w:val="en-US" w:eastAsia="zh-CN"/>
              </w:rPr>
            </w:pPr>
            <w:r>
              <w:rPr>
                <w:rFonts w:hint="eastAsia" w:cs="宋体"/>
                <w:i w:val="0"/>
                <w:iCs w:val="0"/>
                <w:color w:val="auto"/>
                <w:sz w:val="21"/>
                <w:szCs w:val="21"/>
                <w:highlight w:val="none"/>
                <w:lang w:val="en-US" w:eastAsia="zh-CN"/>
              </w:rPr>
              <w:t>4</w:t>
            </w:r>
          </w:p>
        </w:tc>
        <w:tc>
          <w:tcPr>
            <w:tcW w:w="1306" w:type="pct"/>
            <w:shd w:val="clear" w:color="auto" w:fill="auto"/>
            <w:noWrap w:val="0"/>
            <w:vAlign w:val="center"/>
          </w:tcPr>
          <w:p w14:paraId="27AED178">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theme="minorBidi"/>
                <w:snapToGrid w:val="0"/>
                <w:color w:val="auto"/>
                <w:kern w:val="2"/>
                <w:sz w:val="21"/>
                <w:szCs w:val="21"/>
                <w:highlight w:val="none"/>
                <w:lang w:val="en-US" w:eastAsia="zh-CN" w:bidi="ar-SA"/>
              </w:rPr>
            </w:pPr>
            <w:r>
              <w:rPr>
                <w:rFonts w:hint="eastAsia" w:ascii="宋体" w:hAnsi="宋体" w:eastAsia="宋体" w:cstheme="minorBidi"/>
                <w:snapToGrid w:val="0"/>
                <w:color w:val="auto"/>
                <w:kern w:val="2"/>
                <w:sz w:val="21"/>
                <w:szCs w:val="21"/>
                <w:highlight w:val="none"/>
                <w:lang w:val="en-US" w:eastAsia="zh-CN" w:bidi="ar-SA"/>
              </w:rPr>
              <w:t>服务地点</w:t>
            </w:r>
          </w:p>
        </w:tc>
        <w:tc>
          <w:tcPr>
            <w:tcW w:w="1749" w:type="pct"/>
            <w:shd w:val="clear" w:color="auto" w:fill="auto"/>
            <w:noWrap w:val="0"/>
            <w:vAlign w:val="center"/>
          </w:tcPr>
          <w:p w14:paraId="40E4A5A1">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theme="minorBidi"/>
                <w:snapToGrid w:val="0"/>
                <w:color w:val="auto"/>
                <w:kern w:val="2"/>
                <w:sz w:val="21"/>
                <w:szCs w:val="21"/>
                <w:highlight w:val="none"/>
                <w:lang w:val="en-US" w:eastAsia="zh-CN" w:bidi="ar-SA"/>
              </w:rPr>
            </w:pPr>
            <w:r>
              <w:rPr>
                <w:rFonts w:hint="eastAsia" w:cstheme="minorBidi"/>
                <w:snapToGrid w:val="0"/>
                <w:color w:val="auto"/>
                <w:kern w:val="2"/>
                <w:sz w:val="21"/>
                <w:szCs w:val="21"/>
                <w:highlight w:val="none"/>
                <w:lang w:val="en-US" w:eastAsia="zh-CN" w:bidi="ar-SA"/>
              </w:rPr>
              <w:t>乌鲁木齐市沙依巴克区炉院街280号</w:t>
            </w:r>
          </w:p>
        </w:tc>
        <w:tc>
          <w:tcPr>
            <w:tcW w:w="1123" w:type="pct"/>
            <w:noWrap w:val="0"/>
            <w:vAlign w:val="center"/>
          </w:tcPr>
          <w:p w14:paraId="6F4F2158">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i w:val="0"/>
                <w:iCs w:val="0"/>
                <w:color w:val="auto"/>
                <w:sz w:val="21"/>
                <w:szCs w:val="21"/>
                <w:highlight w:val="none"/>
              </w:rPr>
            </w:pPr>
          </w:p>
        </w:tc>
        <w:tc>
          <w:tcPr>
            <w:tcW w:w="400" w:type="pct"/>
            <w:noWrap w:val="0"/>
            <w:vAlign w:val="center"/>
          </w:tcPr>
          <w:p w14:paraId="685E8B91">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i w:val="0"/>
                <w:iCs w:val="0"/>
                <w:color w:val="auto"/>
                <w:sz w:val="21"/>
                <w:szCs w:val="21"/>
                <w:highlight w:val="none"/>
              </w:rPr>
            </w:pPr>
          </w:p>
        </w:tc>
      </w:tr>
      <w:tr w14:paraId="224AB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419" w:type="pct"/>
            <w:noWrap w:val="0"/>
            <w:vAlign w:val="center"/>
          </w:tcPr>
          <w:p w14:paraId="59201EA0">
            <w:pPr>
              <w:keepNext w:val="0"/>
              <w:keepLines w:val="0"/>
              <w:pageBreakBefore w:val="0"/>
              <w:widowControl w:val="0"/>
              <w:kinsoku/>
              <w:wordWrap/>
              <w:overflowPunct/>
              <w:topLinePunct w:val="0"/>
              <w:bidi w:val="0"/>
              <w:adjustRightInd/>
              <w:snapToGrid/>
              <w:spacing w:line="240" w:lineRule="auto"/>
              <w:jc w:val="center"/>
              <w:textAlignment w:val="auto"/>
              <w:rPr>
                <w:rFonts w:hint="default" w:ascii="宋体" w:hAnsi="宋体" w:eastAsia="宋体" w:cs="宋体"/>
                <w:i w:val="0"/>
                <w:iCs w:val="0"/>
                <w:color w:val="auto"/>
                <w:sz w:val="21"/>
                <w:szCs w:val="21"/>
                <w:highlight w:val="none"/>
                <w:lang w:val="en-US" w:eastAsia="zh-CN"/>
              </w:rPr>
            </w:pPr>
          </w:p>
        </w:tc>
        <w:tc>
          <w:tcPr>
            <w:tcW w:w="1306" w:type="pct"/>
            <w:noWrap w:val="0"/>
            <w:vAlign w:val="center"/>
          </w:tcPr>
          <w:p w14:paraId="2259D662">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theme="minorBidi"/>
                <w:snapToGrid w:val="0"/>
                <w:color w:val="auto"/>
                <w:kern w:val="2"/>
                <w:sz w:val="21"/>
                <w:szCs w:val="21"/>
                <w:highlight w:val="none"/>
                <w:lang w:val="en-US" w:eastAsia="zh-CN" w:bidi="ar-SA"/>
              </w:rPr>
            </w:pPr>
          </w:p>
        </w:tc>
        <w:tc>
          <w:tcPr>
            <w:tcW w:w="1749" w:type="pct"/>
            <w:noWrap w:val="0"/>
            <w:vAlign w:val="center"/>
          </w:tcPr>
          <w:p w14:paraId="46D6A2D6">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theme="minorBidi"/>
                <w:snapToGrid w:val="0"/>
                <w:color w:val="auto"/>
                <w:kern w:val="2"/>
                <w:sz w:val="21"/>
                <w:szCs w:val="21"/>
                <w:highlight w:val="none"/>
                <w:lang w:val="en-US" w:eastAsia="zh-CN" w:bidi="ar-SA"/>
              </w:rPr>
            </w:pPr>
          </w:p>
        </w:tc>
        <w:tc>
          <w:tcPr>
            <w:tcW w:w="1123" w:type="pct"/>
            <w:noWrap w:val="0"/>
            <w:vAlign w:val="center"/>
          </w:tcPr>
          <w:p w14:paraId="4C5D3EAC">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i w:val="0"/>
                <w:iCs w:val="0"/>
                <w:color w:val="auto"/>
                <w:sz w:val="21"/>
                <w:szCs w:val="21"/>
                <w:highlight w:val="none"/>
              </w:rPr>
            </w:pPr>
          </w:p>
        </w:tc>
        <w:tc>
          <w:tcPr>
            <w:tcW w:w="400" w:type="pct"/>
            <w:noWrap w:val="0"/>
            <w:vAlign w:val="center"/>
          </w:tcPr>
          <w:p w14:paraId="78527104">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i w:val="0"/>
                <w:iCs w:val="0"/>
                <w:color w:val="auto"/>
                <w:sz w:val="21"/>
                <w:szCs w:val="21"/>
                <w:highlight w:val="none"/>
              </w:rPr>
            </w:pPr>
          </w:p>
        </w:tc>
      </w:tr>
      <w:tr w14:paraId="69D89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419" w:type="pct"/>
            <w:noWrap w:val="0"/>
            <w:vAlign w:val="center"/>
          </w:tcPr>
          <w:p w14:paraId="122D20DA">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i w:val="0"/>
                <w:iCs w:val="0"/>
                <w:color w:val="auto"/>
                <w:sz w:val="21"/>
                <w:szCs w:val="21"/>
                <w:highlight w:val="none"/>
                <w:lang w:val="en-US" w:eastAsia="zh-CN"/>
              </w:rPr>
            </w:pPr>
          </w:p>
        </w:tc>
        <w:tc>
          <w:tcPr>
            <w:tcW w:w="1306" w:type="pct"/>
            <w:noWrap w:val="0"/>
            <w:vAlign w:val="center"/>
          </w:tcPr>
          <w:p w14:paraId="07B3700D">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i w:val="0"/>
                <w:iCs w:val="0"/>
                <w:color w:val="auto"/>
                <w:sz w:val="21"/>
                <w:szCs w:val="21"/>
                <w:highlight w:val="none"/>
              </w:rPr>
            </w:pPr>
          </w:p>
        </w:tc>
        <w:tc>
          <w:tcPr>
            <w:tcW w:w="1749" w:type="pct"/>
            <w:noWrap w:val="0"/>
            <w:vAlign w:val="center"/>
          </w:tcPr>
          <w:p w14:paraId="49CB53CE">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z w:val="21"/>
                <w:szCs w:val="21"/>
                <w:highlight w:val="none"/>
              </w:rPr>
            </w:pPr>
          </w:p>
        </w:tc>
        <w:tc>
          <w:tcPr>
            <w:tcW w:w="1123" w:type="pct"/>
            <w:noWrap w:val="0"/>
            <w:vAlign w:val="center"/>
          </w:tcPr>
          <w:p w14:paraId="58B09F4E">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i w:val="0"/>
                <w:iCs w:val="0"/>
                <w:color w:val="auto"/>
                <w:sz w:val="21"/>
                <w:szCs w:val="21"/>
                <w:highlight w:val="none"/>
              </w:rPr>
            </w:pPr>
          </w:p>
        </w:tc>
        <w:tc>
          <w:tcPr>
            <w:tcW w:w="400" w:type="pct"/>
            <w:noWrap w:val="0"/>
            <w:vAlign w:val="center"/>
          </w:tcPr>
          <w:p w14:paraId="1E52DAAE">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i w:val="0"/>
                <w:iCs w:val="0"/>
                <w:color w:val="auto"/>
                <w:sz w:val="21"/>
                <w:szCs w:val="21"/>
                <w:highlight w:val="none"/>
              </w:rPr>
            </w:pPr>
          </w:p>
        </w:tc>
      </w:tr>
      <w:tr w14:paraId="1D58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419" w:type="pct"/>
            <w:noWrap w:val="0"/>
            <w:vAlign w:val="center"/>
          </w:tcPr>
          <w:p w14:paraId="702E3E08">
            <w:pPr>
              <w:keepNext w:val="0"/>
              <w:keepLines w:val="0"/>
              <w:pageBreakBefore w:val="0"/>
              <w:widowControl w:val="0"/>
              <w:kinsoku/>
              <w:wordWrap/>
              <w:overflowPunct/>
              <w:topLinePunct w:val="0"/>
              <w:bidi w:val="0"/>
              <w:adjustRightInd/>
              <w:snapToGrid/>
              <w:spacing w:line="240" w:lineRule="auto"/>
              <w:jc w:val="center"/>
              <w:textAlignment w:val="auto"/>
              <w:rPr>
                <w:rFonts w:hint="eastAsia" w:ascii="宋体" w:hAnsi="宋体" w:eastAsia="宋体" w:cs="宋体"/>
                <w:i w:val="0"/>
                <w:iCs w:val="0"/>
                <w:color w:val="auto"/>
                <w:sz w:val="21"/>
                <w:szCs w:val="21"/>
                <w:highlight w:val="none"/>
                <w:lang w:val="en-US" w:eastAsia="zh-CN"/>
              </w:rPr>
            </w:pPr>
          </w:p>
        </w:tc>
        <w:tc>
          <w:tcPr>
            <w:tcW w:w="1306" w:type="pct"/>
            <w:shd w:val="clear" w:color="auto" w:fill="auto"/>
            <w:noWrap w:val="0"/>
            <w:vAlign w:val="center"/>
          </w:tcPr>
          <w:p w14:paraId="2BD346B4">
            <w:pPr>
              <w:pStyle w:val="52"/>
              <w:spacing w:line="240" w:lineRule="auto"/>
              <w:rPr>
                <w:rFonts w:hint="eastAsia" w:ascii="宋体" w:hAnsi="宋体" w:eastAsia="宋体" w:cs="宋体"/>
                <w:i w:val="0"/>
                <w:iCs w:val="0"/>
                <w:color w:val="auto"/>
                <w:kern w:val="2"/>
                <w:sz w:val="21"/>
                <w:szCs w:val="21"/>
                <w:highlight w:val="none"/>
                <w:lang w:val="zh-CN" w:eastAsia="zh-CN" w:bidi="ar-SA"/>
              </w:rPr>
            </w:pPr>
          </w:p>
        </w:tc>
        <w:tc>
          <w:tcPr>
            <w:tcW w:w="1749" w:type="pct"/>
            <w:noWrap w:val="0"/>
            <w:vAlign w:val="center"/>
          </w:tcPr>
          <w:p w14:paraId="4867149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auto"/>
                <w:sz w:val="21"/>
                <w:szCs w:val="21"/>
                <w:highlight w:val="none"/>
                <w:lang w:eastAsia="zh-CN"/>
              </w:rPr>
            </w:pPr>
          </w:p>
        </w:tc>
        <w:tc>
          <w:tcPr>
            <w:tcW w:w="1123" w:type="pct"/>
            <w:noWrap w:val="0"/>
            <w:vAlign w:val="center"/>
          </w:tcPr>
          <w:p w14:paraId="6B90F34D">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i w:val="0"/>
                <w:iCs w:val="0"/>
                <w:color w:val="auto"/>
                <w:sz w:val="21"/>
                <w:szCs w:val="21"/>
                <w:highlight w:val="none"/>
              </w:rPr>
            </w:pPr>
          </w:p>
        </w:tc>
        <w:tc>
          <w:tcPr>
            <w:tcW w:w="400" w:type="pct"/>
            <w:noWrap w:val="0"/>
            <w:vAlign w:val="center"/>
          </w:tcPr>
          <w:p w14:paraId="21746D52">
            <w:pPr>
              <w:keepNext w:val="0"/>
              <w:keepLines w:val="0"/>
              <w:pageBreakBefore w:val="0"/>
              <w:widowControl w:val="0"/>
              <w:kinsoku/>
              <w:wordWrap/>
              <w:overflowPunct/>
              <w:topLinePunct w:val="0"/>
              <w:bidi w:val="0"/>
              <w:adjustRightInd/>
              <w:snapToGrid/>
              <w:spacing w:line="240" w:lineRule="auto"/>
              <w:textAlignment w:val="auto"/>
              <w:rPr>
                <w:rFonts w:hint="eastAsia" w:ascii="宋体" w:hAnsi="宋体" w:eastAsia="宋体" w:cs="宋体"/>
                <w:i w:val="0"/>
                <w:iCs w:val="0"/>
                <w:color w:val="auto"/>
                <w:sz w:val="21"/>
                <w:szCs w:val="21"/>
                <w:highlight w:val="none"/>
              </w:rPr>
            </w:pPr>
          </w:p>
        </w:tc>
      </w:tr>
    </w:tbl>
    <w:p w14:paraId="39E00348">
      <w:pPr>
        <w:pStyle w:val="25"/>
        <w:rPr>
          <w:rFonts w:hint="eastAsia" w:ascii="宋体" w:hAnsi="宋体" w:cs="宋体"/>
          <w:i w:val="0"/>
          <w:iCs w:val="0"/>
          <w:color w:val="auto"/>
          <w:highlight w:val="none"/>
        </w:rPr>
      </w:pPr>
    </w:p>
    <w:p w14:paraId="138CB272">
      <w:pPr>
        <w:rPr>
          <w:rFonts w:hint="eastAsia" w:ascii="宋体" w:hAnsi="宋体" w:eastAsia="宋体" w:cs="宋体"/>
          <w:b/>
          <w:bCs/>
          <w:i w:val="0"/>
          <w:iCs w:val="0"/>
          <w:color w:val="auto"/>
          <w:kern w:val="2"/>
          <w:sz w:val="24"/>
          <w:szCs w:val="24"/>
          <w:highlight w:val="none"/>
          <w:lang w:val="zh-CN" w:eastAsia="zh-CN" w:bidi="ar-SA"/>
        </w:rPr>
      </w:pPr>
      <w:r>
        <w:rPr>
          <w:rFonts w:hint="eastAsia" w:ascii="宋体" w:hAnsi="宋体" w:eastAsia="宋体" w:cs="宋体"/>
          <w:b/>
          <w:bCs/>
          <w:i w:val="0"/>
          <w:iCs w:val="0"/>
          <w:color w:val="auto"/>
          <w:kern w:val="2"/>
          <w:sz w:val="24"/>
          <w:szCs w:val="24"/>
          <w:highlight w:val="none"/>
          <w:lang w:val="zh-CN" w:eastAsia="zh-CN" w:bidi="ar-SA"/>
        </w:rPr>
        <w:br w:type="page"/>
      </w:r>
    </w:p>
    <w:p w14:paraId="75E6B64B">
      <w:pPr>
        <w:pStyle w:val="5"/>
        <w:keepNext w:val="0"/>
        <w:keepLines w:val="0"/>
        <w:pageBreakBefore w:val="0"/>
        <w:widowControl w:val="0"/>
        <w:numPr>
          <w:ilvl w:val="0"/>
          <w:numId w:val="3"/>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zh-CN" w:eastAsia="zh-CN" w:bidi="ar-SA"/>
        </w:rPr>
      </w:pPr>
      <w:r>
        <w:rPr>
          <w:rFonts w:hint="eastAsia" w:ascii="宋体" w:hAnsi="宋体" w:eastAsia="宋体" w:cs="宋体"/>
          <w:b/>
          <w:bCs/>
          <w:i w:val="0"/>
          <w:iCs w:val="0"/>
          <w:color w:val="auto"/>
          <w:kern w:val="2"/>
          <w:sz w:val="24"/>
          <w:szCs w:val="24"/>
          <w:highlight w:val="none"/>
          <w:lang w:val="zh-CN" w:eastAsia="zh-CN" w:bidi="ar-SA"/>
        </w:rPr>
        <w:t>评分标准</w:t>
      </w:r>
    </w:p>
    <w:tbl>
      <w:tblPr>
        <w:tblStyle w:val="32"/>
        <w:tblpPr w:leftFromText="180" w:rightFromText="180" w:vertAnchor="text" w:horzAnchor="page" w:tblpX="1367" w:tblpY="623"/>
        <w:tblOverlap w:val="never"/>
        <w:tblW w:w="93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992"/>
        <w:gridCol w:w="988"/>
        <w:gridCol w:w="6142"/>
      </w:tblGrid>
      <w:tr w14:paraId="1649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1271" w:type="dxa"/>
            <w:shd w:val="clear" w:color="auto" w:fill="D8D8D8" w:themeFill="background1" w:themeFillShade="D9"/>
            <w:vAlign w:val="center"/>
          </w:tcPr>
          <w:p w14:paraId="56AF1FB9">
            <w:pPr>
              <w:pStyle w:val="52"/>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color w:val="auto"/>
                <w:sz w:val="21"/>
                <w:szCs w:val="21"/>
                <w:highlight w:val="none"/>
              </w:rPr>
            </w:pPr>
            <w:bookmarkStart w:id="476" w:name="OLE_LINK9"/>
            <w:bookmarkStart w:id="477" w:name="_Toc19982"/>
            <w:r>
              <w:rPr>
                <w:rFonts w:hint="eastAsia" w:ascii="宋体" w:hAnsi="宋体" w:eastAsia="宋体" w:cs="宋体"/>
                <w:b/>
                <w:bCs/>
                <w:color w:val="auto"/>
                <w:sz w:val="21"/>
                <w:szCs w:val="21"/>
                <w:highlight w:val="none"/>
              </w:rPr>
              <w:t>评标项目</w:t>
            </w:r>
          </w:p>
        </w:tc>
        <w:tc>
          <w:tcPr>
            <w:tcW w:w="992" w:type="dxa"/>
            <w:shd w:val="clear" w:color="auto" w:fill="D8D8D8" w:themeFill="background1" w:themeFillShade="D9"/>
            <w:vAlign w:val="center"/>
          </w:tcPr>
          <w:p w14:paraId="31309B78">
            <w:pPr>
              <w:pStyle w:val="52"/>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w:t>
            </w:r>
          </w:p>
          <w:p w14:paraId="4E5B4461">
            <w:pPr>
              <w:pStyle w:val="52"/>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分项</w:t>
            </w:r>
          </w:p>
        </w:tc>
        <w:tc>
          <w:tcPr>
            <w:tcW w:w="988" w:type="dxa"/>
            <w:shd w:val="clear" w:color="auto" w:fill="D8D8D8" w:themeFill="background1" w:themeFillShade="D9"/>
            <w:vAlign w:val="center"/>
          </w:tcPr>
          <w:p w14:paraId="2E1FFD38">
            <w:pPr>
              <w:pStyle w:val="52"/>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6142" w:type="dxa"/>
            <w:shd w:val="clear" w:color="auto" w:fill="D8D8D8" w:themeFill="background1" w:themeFillShade="D9"/>
            <w:vAlign w:val="center"/>
          </w:tcPr>
          <w:p w14:paraId="01293DFC">
            <w:pPr>
              <w:pStyle w:val="52"/>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子项目及分值</w:t>
            </w:r>
          </w:p>
        </w:tc>
      </w:tr>
      <w:tr w14:paraId="66FB9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5" w:hRule="atLeast"/>
        </w:trPr>
        <w:tc>
          <w:tcPr>
            <w:tcW w:w="1271" w:type="dxa"/>
            <w:vAlign w:val="center"/>
          </w:tcPr>
          <w:p w14:paraId="117AD7B5">
            <w:pPr>
              <w:pStyle w:val="52"/>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价格部分</w:t>
            </w:r>
          </w:p>
          <w:p w14:paraId="155118D8">
            <w:pPr>
              <w:pStyle w:val="52"/>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r>
              <w:rPr>
                <w:rFonts w:hint="eastAsia"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rPr>
              <w:t>0分）</w:t>
            </w:r>
          </w:p>
        </w:tc>
        <w:tc>
          <w:tcPr>
            <w:tcW w:w="992" w:type="dxa"/>
            <w:tcBorders>
              <w:bottom w:val="single" w:color="auto" w:sz="4" w:space="0"/>
            </w:tcBorders>
            <w:vAlign w:val="center"/>
          </w:tcPr>
          <w:p w14:paraId="301F7781">
            <w:pPr>
              <w:pStyle w:val="52"/>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最后</w:t>
            </w:r>
          </w:p>
          <w:p w14:paraId="1D7CA433">
            <w:pPr>
              <w:pStyle w:val="52"/>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报价</w:t>
            </w:r>
          </w:p>
        </w:tc>
        <w:tc>
          <w:tcPr>
            <w:tcW w:w="988" w:type="dxa"/>
            <w:vAlign w:val="center"/>
          </w:tcPr>
          <w:p w14:paraId="134D781C">
            <w:pPr>
              <w:pStyle w:val="52"/>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r>
              <w:rPr>
                <w:rFonts w:hint="eastAsia"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val="en-US" w:eastAsia="zh-CN"/>
              </w:rPr>
              <w:t>0</w:t>
            </w:r>
            <w:r>
              <w:rPr>
                <w:rFonts w:hint="eastAsia" w:ascii="宋体" w:hAnsi="宋体" w:eastAsia="宋体" w:cs="宋体"/>
                <w:b w:val="0"/>
                <w:bCs w:val="0"/>
                <w:color w:val="auto"/>
                <w:sz w:val="21"/>
                <w:szCs w:val="21"/>
                <w:highlight w:val="none"/>
              </w:rPr>
              <w:t>分）</w:t>
            </w:r>
          </w:p>
        </w:tc>
        <w:tc>
          <w:tcPr>
            <w:tcW w:w="6142" w:type="dxa"/>
            <w:vAlign w:val="center"/>
          </w:tcPr>
          <w:p w14:paraId="0091BC24">
            <w:pPr>
              <w:pStyle w:val="52"/>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满足竞争性磋商文件要求且最后报价最低的报价为评审基准价，其价格分为满分。其他供应商的价格分统一按照下列公式计算：</w:t>
            </w:r>
          </w:p>
          <w:p w14:paraId="435A5733">
            <w:pPr>
              <w:pStyle w:val="52"/>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报价得分=</w:t>
            </w:r>
            <w:r>
              <w:rPr>
                <w:rFonts w:hint="eastAsia" w:ascii="宋体" w:hAnsi="宋体" w:eastAsia="宋体" w:cs="宋体"/>
                <w:b w:val="0"/>
                <w:bCs w:val="0"/>
                <w:color w:val="auto"/>
                <w:sz w:val="21"/>
                <w:szCs w:val="21"/>
                <w:highlight w:val="none"/>
                <w:lang w:val="zh-CN"/>
              </w:rPr>
              <w:t>（磋商基准价/最后磋商报价）</w:t>
            </w:r>
            <w:r>
              <w:rPr>
                <w:rFonts w:hint="eastAsia" w:ascii="宋体" w:hAnsi="宋体" w:eastAsia="宋体" w:cs="宋体"/>
                <w:b w:val="0"/>
                <w:bCs w:val="0"/>
                <w:color w:val="auto"/>
                <w:sz w:val="21"/>
                <w:szCs w:val="21"/>
                <w:highlight w:val="none"/>
              </w:rPr>
              <w:t>×价格分值</w:t>
            </w:r>
          </w:p>
          <w:p w14:paraId="22B24CA5">
            <w:pPr>
              <w:pStyle w:val="52"/>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color w:val="auto"/>
                <w:sz w:val="21"/>
                <w:szCs w:val="21"/>
                <w:highlight w:val="none"/>
              </w:rPr>
            </w:pPr>
          </w:p>
          <w:p w14:paraId="08DF307F">
            <w:pPr>
              <w:pStyle w:val="52"/>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备注：符合供应商须知中价格扣除规定的，在评审时予以价格扣除，用扣除后的最后报价参与评审。</w:t>
            </w:r>
          </w:p>
        </w:tc>
      </w:tr>
      <w:tr w14:paraId="53847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trPr>
        <w:tc>
          <w:tcPr>
            <w:tcW w:w="1271" w:type="dxa"/>
            <w:vMerge w:val="restart"/>
            <w:vAlign w:val="center"/>
          </w:tcPr>
          <w:p w14:paraId="3EB37181">
            <w:pPr>
              <w:pStyle w:val="52"/>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商务部分</w:t>
            </w:r>
          </w:p>
          <w:p w14:paraId="37FD3C0F">
            <w:pPr>
              <w:pStyle w:val="52"/>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r>
              <w:rPr>
                <w:rFonts w:hint="eastAsia" w:ascii="宋体" w:hAnsi="宋体" w:eastAsia="宋体" w:cs="宋体"/>
                <w:b w:val="0"/>
                <w:bCs w:val="0"/>
                <w:color w:val="auto"/>
                <w:sz w:val="21"/>
                <w:szCs w:val="21"/>
                <w:highlight w:val="none"/>
                <w:lang w:val="en-US" w:eastAsia="zh-CN"/>
              </w:rPr>
              <w:t>2</w:t>
            </w:r>
            <w:r>
              <w:rPr>
                <w:rFonts w:hint="eastAsia" w:cs="宋体"/>
                <w:b w:val="0"/>
                <w:bCs w:val="0"/>
                <w:color w:val="auto"/>
                <w:sz w:val="21"/>
                <w:szCs w:val="21"/>
                <w:highlight w:val="none"/>
                <w:lang w:val="en-US" w:eastAsia="zh-CN"/>
              </w:rPr>
              <w:t>0</w:t>
            </w:r>
            <w:r>
              <w:rPr>
                <w:rFonts w:hint="eastAsia" w:ascii="宋体" w:hAnsi="宋体" w:eastAsia="宋体" w:cs="宋体"/>
                <w:b w:val="0"/>
                <w:bCs w:val="0"/>
                <w:color w:val="auto"/>
                <w:sz w:val="21"/>
                <w:szCs w:val="21"/>
                <w:highlight w:val="none"/>
              </w:rPr>
              <w:t>分）</w:t>
            </w:r>
          </w:p>
        </w:tc>
        <w:tc>
          <w:tcPr>
            <w:tcW w:w="992" w:type="dxa"/>
            <w:vAlign w:val="center"/>
          </w:tcPr>
          <w:p w14:paraId="1CF8E87F">
            <w:pPr>
              <w:pStyle w:val="52"/>
              <w:keepNext w:val="0"/>
              <w:keepLines w:val="0"/>
              <w:pageBreakBefore w:val="0"/>
              <w:kinsoku/>
              <w:wordWrap/>
              <w:overflowPunct/>
              <w:topLinePunct w:val="0"/>
              <w:autoSpaceDE/>
              <w:autoSpaceDN/>
              <w:bidi w:val="0"/>
              <w:adjustRightInd/>
              <w:snapToGrid/>
              <w:spacing w:line="240" w:lineRule="auto"/>
              <w:jc w:val="both"/>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企业业绩</w:t>
            </w:r>
          </w:p>
        </w:tc>
        <w:tc>
          <w:tcPr>
            <w:tcW w:w="988" w:type="dxa"/>
            <w:vAlign w:val="center"/>
          </w:tcPr>
          <w:p w14:paraId="2CAE6343">
            <w:pPr>
              <w:pStyle w:val="52"/>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r>
              <w:rPr>
                <w:rFonts w:hint="eastAsia"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rPr>
              <w:t>分）</w:t>
            </w:r>
          </w:p>
        </w:tc>
        <w:tc>
          <w:tcPr>
            <w:tcW w:w="6142" w:type="dxa"/>
            <w:vAlign w:val="center"/>
          </w:tcPr>
          <w:p w14:paraId="1773BC8E">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rPr>
              <w:t>供应商提供自 202</w:t>
            </w:r>
            <w:r>
              <w:rPr>
                <w:rFonts w:hint="eastAsia" w:ascii="宋体" w:hAnsi="宋体" w:eastAsia="宋体" w:cs="宋体"/>
                <w:b w:val="0"/>
                <w:bCs w:val="0"/>
                <w:sz w:val="21"/>
                <w:szCs w:val="21"/>
                <w:highlight w:val="none"/>
                <w:lang w:val="en-US" w:eastAsia="zh-CN"/>
              </w:rPr>
              <w:t>2</w:t>
            </w:r>
            <w:r>
              <w:rPr>
                <w:rFonts w:hint="eastAsia" w:ascii="宋体" w:hAnsi="宋体" w:eastAsia="宋体" w:cs="宋体"/>
                <w:b w:val="0"/>
                <w:bCs w:val="0"/>
                <w:sz w:val="21"/>
                <w:szCs w:val="21"/>
                <w:highlight w:val="none"/>
              </w:rPr>
              <w:t>年1月</w:t>
            </w:r>
            <w:r>
              <w:rPr>
                <w:rFonts w:hint="eastAsia" w:ascii="宋体" w:hAnsi="宋体" w:eastAsia="宋体" w:cs="宋体"/>
                <w:b w:val="0"/>
                <w:bCs w:val="0"/>
                <w:sz w:val="21"/>
                <w:szCs w:val="21"/>
                <w:highlight w:val="none"/>
                <w:lang w:val="en-US" w:eastAsia="zh-CN"/>
              </w:rPr>
              <w:t>1</w:t>
            </w:r>
            <w:r>
              <w:rPr>
                <w:rFonts w:hint="eastAsia" w:ascii="宋体" w:hAnsi="宋体" w:eastAsia="宋体" w:cs="宋体"/>
                <w:b w:val="0"/>
                <w:bCs w:val="0"/>
                <w:sz w:val="21"/>
                <w:szCs w:val="21"/>
                <w:highlight w:val="none"/>
              </w:rPr>
              <w:t>日以来完成同类项目的有效业绩</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 xml:space="preserve"> 每提供1项有效业绩得</w:t>
            </w:r>
            <w:r>
              <w:rPr>
                <w:rFonts w:hint="eastAsia" w:cs="宋体"/>
                <w:b w:val="0"/>
                <w:bCs w:val="0"/>
                <w:sz w:val="21"/>
                <w:szCs w:val="21"/>
                <w:highlight w:val="none"/>
                <w:lang w:val="en-US" w:eastAsia="zh-CN"/>
              </w:rPr>
              <w:t>2</w:t>
            </w:r>
            <w:r>
              <w:rPr>
                <w:rFonts w:hint="eastAsia" w:ascii="宋体" w:hAnsi="宋体" w:eastAsia="宋体" w:cs="宋体"/>
                <w:b w:val="0"/>
                <w:bCs w:val="0"/>
                <w:sz w:val="21"/>
                <w:szCs w:val="21"/>
                <w:highlight w:val="none"/>
              </w:rPr>
              <w:t>分，最多得</w:t>
            </w:r>
            <w:r>
              <w:rPr>
                <w:rFonts w:hint="eastAsia" w:cs="宋体"/>
                <w:b w:val="0"/>
                <w:bCs w:val="0"/>
                <w:sz w:val="21"/>
                <w:szCs w:val="21"/>
                <w:highlight w:val="none"/>
                <w:lang w:val="en-US" w:eastAsia="zh-CN"/>
              </w:rPr>
              <w:t>10</w:t>
            </w:r>
            <w:r>
              <w:rPr>
                <w:rFonts w:hint="eastAsia" w:ascii="宋体" w:hAnsi="宋体" w:eastAsia="宋体" w:cs="宋体"/>
                <w:b w:val="0"/>
                <w:bCs w:val="0"/>
                <w:sz w:val="21"/>
                <w:szCs w:val="21"/>
                <w:highlight w:val="none"/>
              </w:rPr>
              <w:t>分。</w:t>
            </w:r>
          </w:p>
          <w:p w14:paraId="243EDBD8">
            <w:pPr>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color w:val="auto"/>
                <w:sz w:val="21"/>
                <w:szCs w:val="21"/>
                <w:highlight w:val="none"/>
                <w:lang w:val="en-GB"/>
              </w:rPr>
            </w:pPr>
            <w:r>
              <w:rPr>
                <w:rFonts w:hint="eastAsia" w:ascii="宋体" w:hAnsi="宋体" w:eastAsia="宋体" w:cs="宋体"/>
                <w:b w:val="0"/>
                <w:bCs w:val="0"/>
                <w:sz w:val="21"/>
                <w:szCs w:val="21"/>
                <w:highlight w:val="none"/>
              </w:rPr>
              <w:t>注：</w:t>
            </w:r>
            <w:r>
              <w:rPr>
                <w:rFonts w:hint="eastAsia" w:ascii="宋体" w:hAnsi="宋体" w:eastAsia="宋体" w:cs="宋体"/>
                <w:b w:val="0"/>
                <w:bCs w:val="0"/>
                <w:sz w:val="21"/>
                <w:szCs w:val="21"/>
                <w:highlight w:val="none"/>
                <w:lang w:val="en-US" w:eastAsia="zh-CN"/>
              </w:rPr>
              <w:t>提供成交/中标通知书或合同原件扫描件加盖公章，日期以成交/中标通知书发出日期或合同签订日期为准。未提供及提供材料不全的本项不得分。</w:t>
            </w:r>
          </w:p>
        </w:tc>
      </w:tr>
      <w:tr w14:paraId="6BF5C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1" w:type="dxa"/>
            <w:vMerge w:val="continue"/>
            <w:vAlign w:val="center"/>
          </w:tcPr>
          <w:p w14:paraId="4DDAFFFE">
            <w:pPr>
              <w:pStyle w:val="52"/>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auto"/>
                <w:sz w:val="21"/>
                <w:szCs w:val="21"/>
                <w:highlight w:val="none"/>
              </w:rPr>
            </w:pPr>
          </w:p>
        </w:tc>
        <w:tc>
          <w:tcPr>
            <w:tcW w:w="992" w:type="dxa"/>
            <w:vAlign w:val="center"/>
          </w:tcPr>
          <w:p w14:paraId="13BEEC6C">
            <w:pPr>
              <w:pStyle w:val="52"/>
              <w:keepNext w:val="0"/>
              <w:keepLines w:val="0"/>
              <w:pageBreakBefore w:val="0"/>
              <w:kinsoku/>
              <w:wordWrap/>
              <w:overflowPunct/>
              <w:topLinePunct w:val="0"/>
              <w:autoSpaceDE/>
              <w:autoSpaceDN/>
              <w:bidi w:val="0"/>
              <w:adjustRightInd/>
              <w:snapToGrid/>
              <w:spacing w:line="240" w:lineRule="auto"/>
              <w:jc w:val="both"/>
              <w:rPr>
                <w:rFonts w:hint="default" w:ascii="宋体" w:hAnsi="宋体" w:eastAsia="宋体" w:cs="宋体"/>
                <w:b w:val="0"/>
                <w:bCs w:val="0"/>
                <w:color w:val="auto"/>
                <w:sz w:val="21"/>
                <w:szCs w:val="21"/>
                <w:highlight w:val="none"/>
                <w:lang w:val="en-US" w:eastAsia="zh-CN"/>
              </w:rPr>
            </w:pPr>
            <w:r>
              <w:rPr>
                <w:rFonts w:hint="default" w:ascii="宋体" w:hAnsi="宋体" w:eastAsia="宋体" w:cs="宋体"/>
                <w:b w:val="0"/>
                <w:bCs w:val="0"/>
                <w:color w:val="auto"/>
                <w:sz w:val="21"/>
                <w:szCs w:val="21"/>
                <w:highlight w:val="none"/>
                <w:lang w:val="en-US" w:eastAsia="zh-CN"/>
              </w:rPr>
              <w:t>技术力量</w:t>
            </w:r>
          </w:p>
        </w:tc>
        <w:tc>
          <w:tcPr>
            <w:tcW w:w="988" w:type="dxa"/>
            <w:vAlign w:val="center"/>
          </w:tcPr>
          <w:p w14:paraId="3708E897">
            <w:pPr>
              <w:pStyle w:val="52"/>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eastAsia="zh-CN"/>
              </w:rPr>
              <w:t>（</w:t>
            </w:r>
            <w:r>
              <w:rPr>
                <w:rFonts w:hint="eastAsia" w:cs="宋体"/>
                <w:b w:val="0"/>
                <w:bCs w:val="0"/>
                <w:color w:val="auto"/>
                <w:sz w:val="21"/>
                <w:szCs w:val="21"/>
                <w:highlight w:val="none"/>
                <w:lang w:val="en-US" w:eastAsia="zh-CN"/>
              </w:rPr>
              <w:t>10</w:t>
            </w:r>
            <w:r>
              <w:rPr>
                <w:rFonts w:hint="eastAsia" w:ascii="宋体" w:hAnsi="宋体" w:eastAsia="宋体" w:cs="宋体"/>
                <w:b w:val="0"/>
                <w:bCs w:val="0"/>
                <w:color w:val="auto"/>
                <w:sz w:val="21"/>
                <w:szCs w:val="21"/>
                <w:highlight w:val="none"/>
                <w:lang w:val="en-US" w:eastAsia="zh-CN"/>
              </w:rPr>
              <w:t>分</w:t>
            </w:r>
            <w:r>
              <w:rPr>
                <w:rFonts w:hint="eastAsia" w:ascii="宋体" w:hAnsi="宋体" w:eastAsia="宋体" w:cs="宋体"/>
                <w:b w:val="0"/>
                <w:bCs w:val="0"/>
                <w:color w:val="auto"/>
                <w:sz w:val="21"/>
                <w:szCs w:val="21"/>
                <w:highlight w:val="none"/>
                <w:lang w:eastAsia="zh-CN"/>
              </w:rPr>
              <w:t>）</w:t>
            </w:r>
          </w:p>
        </w:tc>
        <w:tc>
          <w:tcPr>
            <w:tcW w:w="6142" w:type="dxa"/>
            <w:vAlign w:val="center"/>
          </w:tcPr>
          <w:p w14:paraId="02B4ADA4">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auto"/>
                <w:kern w:val="0"/>
                <w:sz w:val="21"/>
                <w:szCs w:val="21"/>
                <w:highlight w:val="none"/>
                <w:u w:val="none"/>
                <w:lang w:bidi="ar"/>
              </w:rPr>
            </w:pPr>
            <w:r>
              <w:rPr>
                <w:rFonts w:hint="eastAsia" w:ascii="宋体" w:hAnsi="宋体" w:eastAsia="宋体" w:cs="宋体"/>
                <w:b w:val="0"/>
                <w:bCs w:val="0"/>
                <w:color w:val="auto"/>
                <w:kern w:val="0"/>
                <w:sz w:val="21"/>
                <w:szCs w:val="21"/>
                <w:highlight w:val="none"/>
                <w:u w:val="none"/>
                <w:lang w:bidi="ar"/>
              </w:rPr>
              <w:t>为保障食堂服务质量，食堂配备人员不少于 5 名。其中厨师 2 名、面点师 1 名、配菜 1 名、厨工1名。厨师团队技术岗位需持证上岗，并提供相关</w:t>
            </w:r>
            <w:bookmarkStart w:id="478" w:name="OLE_LINK1"/>
            <w:r>
              <w:rPr>
                <w:rFonts w:hint="eastAsia" w:ascii="宋体" w:hAnsi="宋体" w:eastAsia="宋体" w:cs="宋体"/>
                <w:b w:val="0"/>
                <w:bCs w:val="0"/>
                <w:color w:val="auto"/>
                <w:kern w:val="0"/>
                <w:sz w:val="21"/>
                <w:szCs w:val="21"/>
                <w:highlight w:val="none"/>
                <w:u w:val="none"/>
                <w:lang w:bidi="ar"/>
              </w:rPr>
              <w:t>职业资格证书</w:t>
            </w:r>
            <w:bookmarkEnd w:id="478"/>
            <w:r>
              <w:rPr>
                <w:rFonts w:hint="eastAsia" w:ascii="宋体" w:hAnsi="宋体" w:eastAsia="宋体" w:cs="宋体"/>
                <w:b w:val="0"/>
                <w:bCs w:val="0"/>
                <w:color w:val="auto"/>
                <w:kern w:val="0"/>
                <w:sz w:val="21"/>
                <w:szCs w:val="21"/>
                <w:highlight w:val="none"/>
                <w:u w:val="none"/>
                <w:lang w:bidi="ar"/>
              </w:rPr>
              <w:t>。在满足以上要求的基础上，每增加任意一人得</w:t>
            </w:r>
            <w:r>
              <w:rPr>
                <w:rFonts w:hint="eastAsia" w:cs="宋体"/>
                <w:b w:val="0"/>
                <w:bCs w:val="0"/>
                <w:color w:val="auto"/>
                <w:kern w:val="0"/>
                <w:sz w:val="21"/>
                <w:szCs w:val="21"/>
                <w:highlight w:val="none"/>
                <w:u w:val="none"/>
                <w:lang w:val="en-US" w:eastAsia="zh-CN" w:bidi="ar"/>
              </w:rPr>
              <w:t>5</w:t>
            </w:r>
            <w:r>
              <w:rPr>
                <w:rFonts w:hint="eastAsia" w:ascii="宋体" w:hAnsi="宋体" w:eastAsia="宋体" w:cs="宋体"/>
                <w:b w:val="0"/>
                <w:bCs w:val="0"/>
                <w:color w:val="auto"/>
                <w:kern w:val="0"/>
                <w:sz w:val="21"/>
                <w:szCs w:val="21"/>
                <w:highlight w:val="none"/>
                <w:u w:val="none"/>
                <w:lang w:bidi="ar"/>
              </w:rPr>
              <w:t>分，最高得10分。</w:t>
            </w:r>
          </w:p>
          <w:p w14:paraId="01B8E2A9">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center"/>
              <w:rPr>
                <w:rFonts w:hint="eastAsia" w:ascii="宋体" w:hAnsi="宋体" w:eastAsia="宋体" w:cs="宋体"/>
                <w:b w:val="0"/>
                <w:bCs w:val="0"/>
                <w:color w:val="auto"/>
                <w:kern w:val="0"/>
                <w:sz w:val="21"/>
                <w:szCs w:val="21"/>
                <w:highlight w:val="none"/>
                <w:u w:val="none"/>
                <w:lang w:bidi="ar"/>
              </w:rPr>
            </w:pPr>
            <w:r>
              <w:rPr>
                <w:rFonts w:hint="eastAsia" w:ascii="宋体" w:hAnsi="宋体" w:eastAsia="宋体" w:cs="宋体"/>
                <w:b w:val="0"/>
                <w:bCs w:val="0"/>
                <w:color w:val="auto"/>
                <w:kern w:val="0"/>
                <w:sz w:val="21"/>
                <w:szCs w:val="21"/>
                <w:highlight w:val="none"/>
                <w:u w:val="none"/>
                <w:lang w:bidi="ar"/>
              </w:rPr>
              <w:t>注：</w:t>
            </w:r>
            <w:r>
              <w:rPr>
                <w:rFonts w:hint="eastAsia" w:cs="宋体"/>
                <w:b w:val="0"/>
                <w:bCs w:val="0"/>
                <w:color w:val="auto"/>
                <w:kern w:val="0"/>
                <w:sz w:val="21"/>
                <w:szCs w:val="21"/>
                <w:highlight w:val="none"/>
                <w:u w:val="none"/>
                <w:lang w:val="en-US" w:eastAsia="zh-CN" w:bidi="ar"/>
              </w:rPr>
              <w:t>1.</w:t>
            </w:r>
            <w:r>
              <w:rPr>
                <w:rFonts w:hint="eastAsia" w:ascii="宋体" w:hAnsi="宋体" w:eastAsia="宋体" w:cs="宋体"/>
                <w:b w:val="0"/>
                <w:bCs w:val="0"/>
                <w:color w:val="auto"/>
                <w:kern w:val="0"/>
                <w:sz w:val="21"/>
                <w:szCs w:val="21"/>
                <w:highlight w:val="none"/>
                <w:u w:val="none"/>
                <w:lang w:bidi="ar"/>
              </w:rPr>
              <w:t>须提供以上人员</w:t>
            </w:r>
            <w:r>
              <w:rPr>
                <w:rFonts w:hint="eastAsia" w:cs="宋体"/>
                <w:b w:val="0"/>
                <w:bCs w:val="0"/>
                <w:color w:val="auto"/>
                <w:kern w:val="0"/>
                <w:sz w:val="21"/>
                <w:szCs w:val="21"/>
                <w:highlight w:val="none"/>
                <w:u w:val="none"/>
                <w:lang w:val="en-US" w:eastAsia="zh-CN" w:bidi="ar"/>
              </w:rPr>
              <w:t>身份证、健康证、</w:t>
            </w:r>
            <w:r>
              <w:rPr>
                <w:rFonts w:hint="eastAsia" w:ascii="宋体" w:hAnsi="宋体" w:eastAsia="宋体" w:cs="宋体"/>
                <w:b w:val="0"/>
                <w:bCs w:val="0"/>
                <w:color w:val="auto"/>
                <w:kern w:val="0"/>
                <w:sz w:val="21"/>
                <w:szCs w:val="21"/>
                <w:highlight w:val="none"/>
                <w:u w:val="none"/>
                <w:lang w:bidi="ar"/>
              </w:rPr>
              <w:t>无犯罪记录承诺函。</w:t>
            </w:r>
          </w:p>
          <w:p w14:paraId="7492E215">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center"/>
              <w:rPr>
                <w:rFonts w:hint="default" w:ascii="宋体" w:hAnsi="宋体" w:eastAsia="宋体" w:cs="宋体"/>
                <w:b w:val="0"/>
                <w:bCs w:val="0"/>
                <w:color w:val="auto"/>
                <w:kern w:val="0"/>
                <w:sz w:val="21"/>
                <w:szCs w:val="21"/>
                <w:highlight w:val="none"/>
                <w:u w:val="none"/>
                <w:lang w:val="en-US" w:eastAsia="zh-CN" w:bidi="ar"/>
              </w:rPr>
            </w:pPr>
            <w:r>
              <w:rPr>
                <w:rFonts w:hint="eastAsia" w:cs="宋体"/>
                <w:b w:val="0"/>
                <w:bCs w:val="0"/>
                <w:color w:val="auto"/>
                <w:kern w:val="0"/>
                <w:sz w:val="21"/>
                <w:szCs w:val="21"/>
                <w:highlight w:val="none"/>
                <w:u w:val="none"/>
                <w:lang w:val="en-US" w:eastAsia="zh-CN" w:bidi="ar"/>
              </w:rPr>
              <w:t>2.厨师提供厨师证、面点师提供面点师证书</w:t>
            </w:r>
          </w:p>
        </w:tc>
      </w:tr>
      <w:tr w14:paraId="2D99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271" w:type="dxa"/>
            <w:vMerge w:val="restart"/>
            <w:vAlign w:val="center"/>
          </w:tcPr>
          <w:p w14:paraId="785DF4D9">
            <w:pPr>
              <w:pStyle w:val="52"/>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lang w:val="en-US" w:eastAsia="zh-CN"/>
              </w:rPr>
              <w:t>技术</w:t>
            </w:r>
            <w:r>
              <w:rPr>
                <w:rFonts w:hint="eastAsia" w:ascii="宋体" w:hAnsi="宋体" w:eastAsia="宋体" w:cs="宋体"/>
                <w:b w:val="0"/>
                <w:bCs w:val="0"/>
                <w:color w:val="auto"/>
                <w:sz w:val="21"/>
                <w:szCs w:val="21"/>
                <w:highlight w:val="none"/>
              </w:rPr>
              <w:t>部分</w:t>
            </w:r>
          </w:p>
          <w:p w14:paraId="7D9ACEE9">
            <w:pPr>
              <w:pStyle w:val="52"/>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w:t>
            </w:r>
            <w:r>
              <w:rPr>
                <w:rFonts w:hint="eastAsia" w:cs="宋体"/>
                <w:b w:val="0"/>
                <w:bCs w:val="0"/>
                <w:color w:val="auto"/>
                <w:sz w:val="21"/>
                <w:szCs w:val="21"/>
                <w:highlight w:val="none"/>
                <w:lang w:val="en-US" w:eastAsia="zh-CN"/>
              </w:rPr>
              <w:t>70</w:t>
            </w:r>
            <w:r>
              <w:rPr>
                <w:rFonts w:hint="eastAsia" w:ascii="宋体" w:hAnsi="宋体" w:eastAsia="宋体" w:cs="宋体"/>
                <w:b w:val="0"/>
                <w:bCs w:val="0"/>
                <w:color w:val="auto"/>
                <w:sz w:val="21"/>
                <w:szCs w:val="21"/>
                <w:highlight w:val="none"/>
              </w:rPr>
              <w:t>分）</w:t>
            </w:r>
          </w:p>
        </w:tc>
        <w:tc>
          <w:tcPr>
            <w:tcW w:w="992" w:type="dxa"/>
            <w:tcBorders>
              <w:top w:val="single" w:color="auto" w:sz="4" w:space="0"/>
            </w:tcBorders>
            <w:shd w:val="clear" w:color="auto" w:fill="auto"/>
            <w:vAlign w:val="center"/>
          </w:tcPr>
          <w:p w14:paraId="7D08889C">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服务方案</w:t>
            </w:r>
          </w:p>
        </w:tc>
        <w:tc>
          <w:tcPr>
            <w:tcW w:w="988" w:type="dxa"/>
            <w:shd w:val="clear" w:color="auto" w:fill="auto"/>
            <w:vAlign w:val="center"/>
          </w:tcPr>
          <w:p w14:paraId="7DB858A2">
            <w:pPr>
              <w:pStyle w:val="74"/>
              <w:keepNext w:val="0"/>
              <w:keepLines w:val="0"/>
              <w:pageBreakBefore w:val="0"/>
              <w:kinsoku/>
              <w:wordWrap/>
              <w:overflowPunct/>
              <w:topLinePunct w:val="0"/>
              <w:autoSpaceDE/>
              <w:autoSpaceDN/>
              <w:bidi w:val="0"/>
              <w:adjustRightInd/>
              <w:snapToGrid/>
              <w:spacing w:line="240" w:lineRule="auto"/>
              <w:rPr>
                <w:rFonts w:hint="default"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（20分）</w:t>
            </w:r>
          </w:p>
        </w:tc>
        <w:tc>
          <w:tcPr>
            <w:tcW w:w="6142" w:type="dxa"/>
            <w:shd w:val="clear" w:color="auto" w:fill="auto"/>
            <w:vAlign w:val="center"/>
          </w:tcPr>
          <w:p w14:paraId="167A1213">
            <w:pPr>
              <w:pStyle w:val="74"/>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sz w:val="21"/>
                <w:szCs w:val="21"/>
                <w:highlight w:val="none"/>
                <w:lang w:val="en-US" w:eastAsia="zh-CN" w:bidi="ar-SA"/>
              </w:rPr>
            </w:pPr>
            <w:r>
              <w:rPr>
                <w:rFonts w:hint="eastAsia" w:ascii="宋体" w:hAnsi="宋体" w:eastAsia="宋体" w:cs="宋体"/>
                <w:b w:val="0"/>
                <w:bCs w:val="0"/>
                <w:sz w:val="21"/>
                <w:szCs w:val="21"/>
                <w:highlight w:val="none"/>
                <w:lang w:val="en-US" w:eastAsia="zh-CN" w:bidi="ar-SA"/>
              </w:rPr>
              <w:t>供应商根据项目特点，制定服务方案，包括：</w:t>
            </w:r>
          </w:p>
          <w:p w14:paraId="5E42FC55">
            <w:pPr>
              <w:pStyle w:val="74"/>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sz w:val="21"/>
                <w:szCs w:val="21"/>
                <w:highlight w:val="none"/>
                <w:lang w:val="en-US" w:eastAsia="zh-CN" w:bidi="ar-SA"/>
              </w:rPr>
            </w:pPr>
            <w:r>
              <w:rPr>
                <w:rFonts w:hint="eastAsia" w:ascii="宋体" w:hAnsi="宋体" w:eastAsia="宋体" w:cs="宋体"/>
                <w:b w:val="0"/>
                <w:bCs w:val="0"/>
                <w:sz w:val="21"/>
                <w:szCs w:val="21"/>
                <w:highlight w:val="none"/>
                <w:lang w:val="en-US" w:eastAsia="zh-CN" w:bidi="ar-SA"/>
              </w:rPr>
              <w:t>①人员管理及培训制度；②食品安全控制方案；③质量控制制度，对重难点的分析及应对措施；④食堂卫生管理制度；⑤原料管理制度；⑥设备运行维护制度；⑦人员操作安全措施；⑧供餐方案；⑨指定的日常食堂服务方案；⑩重要用餐接待任务专项服务方案等进行综合评分。</w:t>
            </w:r>
          </w:p>
          <w:p w14:paraId="59CF5391">
            <w:pPr>
              <w:pStyle w:val="74"/>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sz w:val="21"/>
                <w:szCs w:val="21"/>
                <w:highlight w:val="none"/>
                <w:lang w:val="en-US" w:eastAsia="zh-CN" w:bidi="ar-SA"/>
              </w:rPr>
            </w:pPr>
            <w:r>
              <w:rPr>
                <w:rFonts w:hint="eastAsia" w:ascii="宋体" w:hAnsi="宋体" w:eastAsia="宋体" w:cs="宋体"/>
                <w:b w:val="0"/>
                <w:bCs w:val="0"/>
                <w:sz w:val="21"/>
                <w:szCs w:val="21"/>
                <w:highlight w:val="none"/>
                <w:lang w:val="en-US" w:eastAsia="zh-CN" w:bidi="ar-SA"/>
              </w:rPr>
              <w:t>方案完整、完全满足项目需求、内容无错误或无缺陷的得20分。每缺少一项内容扣2分，每有一项内容有缺陷或每有一项内容不满足项目需求或每有一项内容错误（内容错误或有缺陷是指：项目名称不符、需求理解错误，方案内容与项目需求不一致，涉及的技术规范标准等与国家或行业或采购文件要求不一致，方案内容存在凭空想象与编造、内容与实际实施存在差异性，语义表述不清，存在歧义、混乱，内容不充实完善等）的扣1分。扣完为止。</w:t>
            </w:r>
          </w:p>
        </w:tc>
      </w:tr>
      <w:tr w14:paraId="64C8F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trPr>
        <w:tc>
          <w:tcPr>
            <w:tcW w:w="1271" w:type="dxa"/>
            <w:vMerge w:val="continue"/>
            <w:vAlign w:val="center"/>
          </w:tcPr>
          <w:p w14:paraId="24BE0A39">
            <w:pPr>
              <w:pStyle w:val="52"/>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auto"/>
                <w:sz w:val="21"/>
                <w:szCs w:val="21"/>
                <w:highlight w:val="none"/>
              </w:rPr>
            </w:pPr>
          </w:p>
        </w:tc>
        <w:tc>
          <w:tcPr>
            <w:tcW w:w="992" w:type="dxa"/>
            <w:tcBorders>
              <w:top w:val="single" w:color="auto" w:sz="4" w:space="0"/>
            </w:tcBorders>
            <w:shd w:val="clear" w:color="auto" w:fill="auto"/>
            <w:vAlign w:val="center"/>
          </w:tcPr>
          <w:p w14:paraId="57948821">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服务团队管理方案</w:t>
            </w:r>
          </w:p>
        </w:tc>
        <w:tc>
          <w:tcPr>
            <w:tcW w:w="988" w:type="dxa"/>
            <w:shd w:val="clear" w:color="auto" w:fill="auto"/>
            <w:vAlign w:val="center"/>
          </w:tcPr>
          <w:p w14:paraId="471CCB37">
            <w:pPr>
              <w:pStyle w:val="74"/>
              <w:keepNext w:val="0"/>
              <w:keepLines w:val="0"/>
              <w:pageBreakBefore w:val="0"/>
              <w:kinsoku/>
              <w:wordWrap/>
              <w:overflowPunct/>
              <w:topLinePunct w:val="0"/>
              <w:autoSpaceDE/>
              <w:autoSpaceDN/>
              <w:bidi w:val="0"/>
              <w:adjustRightInd/>
              <w:snapToGrid/>
              <w:spacing w:line="240" w:lineRule="auto"/>
              <w:rPr>
                <w:rFonts w:hint="default" w:ascii="宋体" w:hAnsi="宋体" w:eastAsia="宋体" w:cs="宋体"/>
                <w:b w:val="0"/>
                <w:bCs w:val="0"/>
                <w:color w:val="auto"/>
                <w:kern w:val="2"/>
                <w:sz w:val="21"/>
                <w:szCs w:val="21"/>
                <w:highlight w:val="none"/>
                <w:lang w:val="en-US" w:eastAsia="zh-CN" w:bidi="ar-SA"/>
              </w:rPr>
            </w:pPr>
            <w:r>
              <w:rPr>
                <w:rFonts w:hint="default" w:ascii="宋体" w:hAnsi="宋体" w:eastAsia="宋体" w:cs="宋体"/>
                <w:b w:val="0"/>
                <w:bCs w:val="0"/>
                <w:color w:val="auto"/>
                <w:kern w:val="2"/>
                <w:sz w:val="21"/>
                <w:szCs w:val="21"/>
                <w:highlight w:val="none"/>
                <w:lang w:val="en-US" w:eastAsia="zh-CN" w:bidi="ar-SA"/>
              </w:rPr>
              <w:t>（</w:t>
            </w:r>
            <w:r>
              <w:rPr>
                <w:rFonts w:hint="eastAsia" w:ascii="宋体" w:hAnsi="宋体" w:eastAsia="宋体" w:cs="宋体"/>
                <w:b w:val="0"/>
                <w:bCs w:val="0"/>
                <w:color w:val="auto"/>
                <w:kern w:val="2"/>
                <w:sz w:val="21"/>
                <w:szCs w:val="21"/>
                <w:highlight w:val="none"/>
                <w:lang w:val="en-US" w:eastAsia="zh-CN" w:bidi="ar-SA"/>
              </w:rPr>
              <w:t>10</w:t>
            </w:r>
            <w:r>
              <w:rPr>
                <w:rFonts w:hint="default" w:ascii="宋体" w:hAnsi="宋体" w:eastAsia="宋体" w:cs="宋体"/>
                <w:b w:val="0"/>
                <w:bCs w:val="0"/>
                <w:color w:val="auto"/>
                <w:kern w:val="2"/>
                <w:sz w:val="21"/>
                <w:szCs w:val="21"/>
                <w:highlight w:val="none"/>
                <w:lang w:val="en-US" w:eastAsia="zh-CN" w:bidi="ar-SA"/>
              </w:rPr>
              <w:t>分）</w:t>
            </w:r>
          </w:p>
        </w:tc>
        <w:tc>
          <w:tcPr>
            <w:tcW w:w="6142" w:type="dxa"/>
            <w:shd w:val="clear" w:color="auto" w:fill="auto"/>
            <w:vAlign w:val="center"/>
          </w:tcPr>
          <w:p w14:paraId="4E72C015">
            <w:pPr>
              <w:pStyle w:val="74"/>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sz w:val="21"/>
                <w:szCs w:val="21"/>
                <w:highlight w:val="none"/>
                <w:lang w:val="en-US" w:eastAsia="zh-CN" w:bidi="ar-SA"/>
              </w:rPr>
            </w:pPr>
            <w:r>
              <w:rPr>
                <w:rFonts w:hint="eastAsia" w:ascii="宋体" w:hAnsi="宋体" w:eastAsia="宋体" w:cs="宋体"/>
                <w:b w:val="0"/>
                <w:bCs w:val="0"/>
                <w:sz w:val="21"/>
                <w:szCs w:val="21"/>
                <w:highlight w:val="none"/>
                <w:lang w:val="en-US" w:eastAsia="zh-CN" w:bidi="ar-SA"/>
              </w:rPr>
              <w:t>针对本项目①工作安排；②岗位规范要求；③员工考核及奖惩制；④培训计划（培训方式、培训内容、培训时间等）等编制方案⑤人员岗位责任制。 内容完全符合项目要求、详细、合理可行、描述清晰、严谨；全部满足得10分，每缺少一个要素扣2分，每个要素里每有一处内容缺陷或不详实或不符合项目实际情况扣1分，扣完为止，未提供不得分。</w:t>
            </w:r>
          </w:p>
        </w:tc>
      </w:tr>
      <w:tr w14:paraId="6B04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4" w:hRule="atLeast"/>
        </w:trPr>
        <w:tc>
          <w:tcPr>
            <w:tcW w:w="1271" w:type="dxa"/>
            <w:vMerge w:val="continue"/>
            <w:vAlign w:val="center"/>
          </w:tcPr>
          <w:p w14:paraId="64C73246">
            <w:pPr>
              <w:pStyle w:val="52"/>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auto"/>
                <w:sz w:val="21"/>
                <w:szCs w:val="21"/>
                <w:highlight w:val="none"/>
              </w:rPr>
            </w:pPr>
          </w:p>
        </w:tc>
        <w:tc>
          <w:tcPr>
            <w:tcW w:w="992" w:type="dxa"/>
            <w:tcBorders>
              <w:top w:val="single" w:color="auto" w:sz="4" w:space="0"/>
            </w:tcBorders>
            <w:shd w:val="clear" w:color="auto" w:fill="auto"/>
            <w:vAlign w:val="center"/>
          </w:tcPr>
          <w:p w14:paraId="57EFAB9F">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应急方案</w:t>
            </w:r>
          </w:p>
        </w:tc>
        <w:tc>
          <w:tcPr>
            <w:tcW w:w="988" w:type="dxa"/>
            <w:shd w:val="clear" w:color="auto" w:fill="auto"/>
            <w:vAlign w:val="center"/>
          </w:tcPr>
          <w:p w14:paraId="7E45B321">
            <w:pPr>
              <w:pStyle w:val="74"/>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（20分）</w:t>
            </w:r>
          </w:p>
        </w:tc>
        <w:tc>
          <w:tcPr>
            <w:tcW w:w="6142" w:type="dxa"/>
            <w:shd w:val="clear" w:color="auto" w:fill="auto"/>
            <w:vAlign w:val="center"/>
          </w:tcPr>
          <w:p w14:paraId="3C2E01C8">
            <w:pPr>
              <w:pStyle w:val="74"/>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sz w:val="21"/>
                <w:szCs w:val="21"/>
                <w:highlight w:val="none"/>
                <w:lang w:val="en-US" w:eastAsia="zh-CN" w:bidi="ar-SA"/>
              </w:rPr>
            </w:pPr>
            <w:r>
              <w:rPr>
                <w:rFonts w:hint="eastAsia" w:ascii="宋体" w:hAnsi="宋体" w:eastAsia="宋体" w:cs="宋体"/>
                <w:b w:val="0"/>
                <w:bCs w:val="0"/>
                <w:sz w:val="21"/>
                <w:szCs w:val="21"/>
                <w:highlight w:val="none"/>
                <w:lang w:val="en-US" w:eastAsia="zh-CN" w:bidi="ar-SA"/>
              </w:rPr>
              <w:t>供应商根据项目特点，制定应急方案，包括：</w:t>
            </w:r>
          </w:p>
          <w:p w14:paraId="3DBCDE92">
            <w:pPr>
              <w:pStyle w:val="74"/>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sz w:val="21"/>
                <w:szCs w:val="21"/>
                <w:highlight w:val="none"/>
                <w:lang w:val="en-US" w:eastAsia="zh-CN" w:bidi="ar-SA"/>
              </w:rPr>
            </w:pPr>
            <w:r>
              <w:rPr>
                <w:rFonts w:hint="eastAsia" w:ascii="宋体" w:hAnsi="宋体" w:eastAsia="宋体" w:cs="宋体"/>
                <w:b w:val="0"/>
                <w:bCs w:val="0"/>
                <w:sz w:val="21"/>
                <w:szCs w:val="21"/>
                <w:highlight w:val="none"/>
                <w:lang w:val="en-US" w:eastAsia="zh-CN" w:bidi="ar-SA"/>
              </w:rPr>
              <w:t>①临时加餐②停水停电停气③食品安全事故④燃气泄漏、火灾各类突发事件处置⑤水管爆裂等的应急措施等进行综合评分。</w:t>
            </w:r>
          </w:p>
          <w:p w14:paraId="472D544D">
            <w:pPr>
              <w:pStyle w:val="74"/>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sz w:val="21"/>
                <w:szCs w:val="21"/>
                <w:highlight w:val="none"/>
                <w:lang w:val="en-US" w:eastAsia="zh-CN" w:bidi="ar-SA"/>
              </w:rPr>
            </w:pPr>
            <w:r>
              <w:rPr>
                <w:rFonts w:hint="eastAsia" w:ascii="宋体" w:hAnsi="宋体" w:eastAsia="宋体" w:cs="宋体"/>
                <w:b w:val="0"/>
                <w:bCs w:val="0"/>
                <w:sz w:val="21"/>
                <w:szCs w:val="21"/>
                <w:highlight w:val="none"/>
                <w:lang w:val="en-US" w:eastAsia="zh-CN" w:bidi="ar-SA"/>
              </w:rPr>
              <w:t>方案完整、完全满足项目需求、内容无错误或无缺陷的得20分。每缺少一项内容扣4分，每有一项内容有缺陷或每有一项内容不满足项目需求或每有一项内容错误（内容错误或有缺陷是指：项目名称不符、需求理解错误，方案内容与项目需求不一致，涉及的技术规范标准等与国家或行业或采购文件要求不一致，方案内容存在凭空想象与编造、内容与实际实施存在差异性，语义表述不清，存在歧义、混乱，内容不充实完善等）的扣2分。扣完为止。</w:t>
            </w:r>
          </w:p>
        </w:tc>
      </w:tr>
      <w:tr w14:paraId="7295C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6" w:hRule="atLeast"/>
        </w:trPr>
        <w:tc>
          <w:tcPr>
            <w:tcW w:w="1271" w:type="dxa"/>
            <w:vMerge w:val="continue"/>
            <w:vAlign w:val="center"/>
          </w:tcPr>
          <w:p w14:paraId="105577B6">
            <w:pPr>
              <w:pStyle w:val="52"/>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auto"/>
                <w:sz w:val="21"/>
                <w:szCs w:val="21"/>
                <w:highlight w:val="none"/>
              </w:rPr>
            </w:pPr>
          </w:p>
        </w:tc>
        <w:tc>
          <w:tcPr>
            <w:tcW w:w="992" w:type="dxa"/>
            <w:tcBorders>
              <w:top w:val="single" w:color="auto" w:sz="4" w:space="0"/>
            </w:tcBorders>
            <w:shd w:val="clear" w:color="auto" w:fill="auto"/>
            <w:vAlign w:val="center"/>
          </w:tcPr>
          <w:p w14:paraId="45BD2FD2">
            <w:pPr>
              <w:keepNext w:val="0"/>
              <w:keepLines w:val="0"/>
              <w:pageBreakBefore w:val="0"/>
              <w:kinsoku/>
              <w:wordWrap/>
              <w:overflowPunct/>
              <w:topLinePunct w:val="0"/>
              <w:autoSpaceDE/>
              <w:autoSpaceDN/>
              <w:bidi w:val="0"/>
              <w:adjustRightInd/>
              <w:snapToGrid/>
              <w:spacing w:line="240" w:lineRule="auto"/>
              <w:jc w:val="left"/>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管理服务组织机构设置、运作流程、服务管理机制</w:t>
            </w:r>
          </w:p>
        </w:tc>
        <w:tc>
          <w:tcPr>
            <w:tcW w:w="988" w:type="dxa"/>
            <w:shd w:val="clear" w:color="auto" w:fill="auto"/>
            <w:vAlign w:val="center"/>
          </w:tcPr>
          <w:p w14:paraId="6CDFBD14">
            <w:pPr>
              <w:pStyle w:val="74"/>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（20分）</w:t>
            </w:r>
          </w:p>
        </w:tc>
        <w:tc>
          <w:tcPr>
            <w:tcW w:w="6142" w:type="dxa"/>
            <w:shd w:val="clear" w:color="auto" w:fill="auto"/>
            <w:vAlign w:val="center"/>
          </w:tcPr>
          <w:p w14:paraId="6C8B58BF">
            <w:pPr>
              <w:pStyle w:val="74"/>
              <w:keepNext w:val="0"/>
              <w:keepLines w:val="0"/>
              <w:pageBreakBefore w:val="0"/>
              <w:kinsoku/>
              <w:wordWrap/>
              <w:overflowPunct/>
              <w:topLinePunct w:val="0"/>
              <w:autoSpaceDE/>
              <w:autoSpaceDN/>
              <w:bidi w:val="0"/>
              <w:adjustRightInd/>
              <w:snapToGrid/>
              <w:spacing w:line="240" w:lineRule="auto"/>
              <w:rPr>
                <w:rFonts w:hint="eastAsia" w:ascii="宋体" w:hAnsi="宋体" w:eastAsia="宋体" w:cs="宋体"/>
                <w:b w:val="0"/>
                <w:bCs w:val="0"/>
                <w:sz w:val="21"/>
                <w:szCs w:val="21"/>
                <w:highlight w:val="none"/>
                <w:lang w:val="en-US" w:eastAsia="zh-CN" w:bidi="ar-SA"/>
              </w:rPr>
            </w:pPr>
            <w:r>
              <w:rPr>
                <w:rFonts w:hint="eastAsia" w:ascii="宋体" w:hAnsi="宋体" w:eastAsia="宋体" w:cs="宋体"/>
                <w:b w:val="0"/>
                <w:bCs w:val="0"/>
                <w:sz w:val="21"/>
                <w:szCs w:val="21"/>
                <w:highlight w:val="none"/>
                <w:lang w:val="en-US" w:eastAsia="zh-CN" w:bidi="ar-SA"/>
              </w:rPr>
              <w:t>提供详细完善的①管理服务组织机构设置（附组织机构图）；②运作流程（附运作流程图）；③激励机制；④监督机制；⑤自我约束机制和信息反馈渠道及处理机制等；上述内容完整齐全的，得20分，每缺少一个要素扣4分，每个要素里每有一处内容缺陷或不详实或不符合项目实际情况扣2，扣完为止，未提供不得分。</w:t>
            </w:r>
          </w:p>
        </w:tc>
      </w:tr>
      <w:tr w14:paraId="6E352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2263" w:type="dxa"/>
            <w:gridSpan w:val="2"/>
            <w:vAlign w:val="center"/>
          </w:tcPr>
          <w:p w14:paraId="0839C264">
            <w:pPr>
              <w:pStyle w:val="52"/>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合计</w:t>
            </w:r>
          </w:p>
        </w:tc>
        <w:tc>
          <w:tcPr>
            <w:tcW w:w="7130" w:type="dxa"/>
            <w:gridSpan w:val="2"/>
            <w:tcBorders>
              <w:bottom w:val="single" w:color="auto" w:sz="4" w:space="0"/>
            </w:tcBorders>
            <w:vAlign w:val="center"/>
          </w:tcPr>
          <w:p w14:paraId="399271DC">
            <w:pPr>
              <w:pStyle w:val="52"/>
              <w:keepNext w:val="0"/>
              <w:keepLines w:val="0"/>
              <w:pageBreakBefore w:val="0"/>
              <w:kinsoku/>
              <w:wordWrap/>
              <w:overflowPunct/>
              <w:topLinePunct w:val="0"/>
              <w:autoSpaceDE/>
              <w:autoSpaceDN/>
              <w:bidi w:val="0"/>
              <w:adjustRightInd/>
              <w:snapToGrid/>
              <w:spacing w:line="240" w:lineRule="auto"/>
              <w:jc w:val="center"/>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fldChar w:fldCharType="begin"/>
            </w:r>
            <w:r>
              <w:rPr>
                <w:rFonts w:hint="eastAsia" w:ascii="宋体" w:hAnsi="宋体" w:eastAsia="宋体" w:cs="宋体"/>
                <w:b w:val="0"/>
                <w:bCs w:val="0"/>
                <w:color w:val="auto"/>
                <w:sz w:val="21"/>
                <w:szCs w:val="21"/>
                <w:highlight w:val="none"/>
              </w:rPr>
              <w:instrText xml:space="preserve"> =SUM(ABOVE) </w:instrText>
            </w:r>
            <w:r>
              <w:rPr>
                <w:rFonts w:hint="eastAsia" w:ascii="宋体" w:hAnsi="宋体" w:eastAsia="宋体" w:cs="宋体"/>
                <w:b w:val="0"/>
                <w:bCs w:val="0"/>
                <w:color w:val="auto"/>
                <w:sz w:val="21"/>
                <w:szCs w:val="21"/>
                <w:highlight w:val="none"/>
              </w:rPr>
              <w:fldChar w:fldCharType="separate"/>
            </w:r>
            <w:r>
              <w:rPr>
                <w:rFonts w:hint="eastAsia" w:ascii="宋体" w:hAnsi="宋体" w:eastAsia="宋体" w:cs="宋体"/>
                <w:b w:val="0"/>
                <w:bCs w:val="0"/>
                <w:color w:val="auto"/>
                <w:sz w:val="21"/>
                <w:szCs w:val="21"/>
                <w:highlight w:val="none"/>
              </w:rPr>
              <w:t>100</w:t>
            </w:r>
            <w:r>
              <w:rPr>
                <w:rFonts w:hint="eastAsia" w:ascii="宋体" w:hAnsi="宋体" w:eastAsia="宋体" w:cs="宋体"/>
                <w:b w:val="0"/>
                <w:bCs w:val="0"/>
                <w:color w:val="auto"/>
                <w:sz w:val="21"/>
                <w:szCs w:val="21"/>
                <w:highlight w:val="none"/>
              </w:rPr>
              <w:fldChar w:fldCharType="end"/>
            </w:r>
            <w:r>
              <w:rPr>
                <w:rFonts w:hint="eastAsia" w:ascii="宋体" w:hAnsi="宋体" w:eastAsia="宋体" w:cs="宋体"/>
                <w:b w:val="0"/>
                <w:bCs w:val="0"/>
                <w:color w:val="auto"/>
                <w:sz w:val="21"/>
                <w:szCs w:val="21"/>
                <w:highlight w:val="none"/>
              </w:rPr>
              <w:t>分</w:t>
            </w:r>
          </w:p>
        </w:tc>
      </w:tr>
      <w:bookmarkEnd w:id="474"/>
      <w:bookmarkEnd w:id="476"/>
      <w:bookmarkEnd w:id="477"/>
    </w:tbl>
    <w:p w14:paraId="21450EB0">
      <w:pPr>
        <w:rPr>
          <w:rFonts w:hint="eastAsia" w:ascii="宋体" w:hAnsi="宋体" w:eastAsia="宋体" w:cs="宋体"/>
          <w:b/>
          <w:bCs/>
          <w:i w:val="0"/>
          <w:iCs w:val="0"/>
          <w:color w:val="auto"/>
          <w:kern w:val="44"/>
          <w:sz w:val="36"/>
          <w:szCs w:val="36"/>
          <w:highlight w:val="none"/>
          <w:lang w:val="en-US" w:eastAsia="zh-CN" w:bidi="ar-SA"/>
        </w:rPr>
      </w:pPr>
      <w:bookmarkStart w:id="479" w:name="_Toc31032"/>
      <w:r>
        <w:rPr>
          <w:rFonts w:hint="eastAsia" w:ascii="宋体" w:hAnsi="宋体" w:eastAsia="宋体" w:cs="宋体"/>
          <w:b/>
          <w:bCs/>
          <w:i w:val="0"/>
          <w:iCs w:val="0"/>
          <w:color w:val="auto"/>
          <w:kern w:val="44"/>
          <w:sz w:val="36"/>
          <w:szCs w:val="36"/>
          <w:highlight w:val="none"/>
          <w:lang w:val="en-US" w:eastAsia="zh-CN" w:bidi="ar-SA"/>
        </w:rPr>
        <w:br w:type="page"/>
      </w:r>
    </w:p>
    <w:p w14:paraId="16939192">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i w:val="0"/>
          <w:iCs w:val="0"/>
          <w:color w:val="auto"/>
          <w:kern w:val="44"/>
          <w:sz w:val="36"/>
          <w:szCs w:val="36"/>
          <w:highlight w:val="none"/>
          <w:lang w:val="zh-CN" w:eastAsia="zh-CN" w:bidi="ar-SA"/>
        </w:rPr>
      </w:pPr>
      <w:r>
        <w:rPr>
          <w:rFonts w:hint="eastAsia" w:ascii="宋体" w:hAnsi="宋体" w:eastAsia="宋体" w:cs="宋体"/>
          <w:b/>
          <w:bCs/>
          <w:i w:val="0"/>
          <w:iCs w:val="0"/>
          <w:color w:val="auto"/>
          <w:kern w:val="44"/>
          <w:sz w:val="36"/>
          <w:szCs w:val="36"/>
          <w:highlight w:val="none"/>
          <w:lang w:val="en-US" w:eastAsia="zh-CN" w:bidi="ar-SA"/>
        </w:rPr>
        <w:t xml:space="preserve">第五章 </w:t>
      </w:r>
      <w:r>
        <w:rPr>
          <w:rFonts w:hint="eastAsia" w:ascii="宋体" w:hAnsi="宋体" w:eastAsia="宋体" w:cs="宋体"/>
          <w:b/>
          <w:bCs/>
          <w:i w:val="0"/>
          <w:iCs w:val="0"/>
          <w:color w:val="auto"/>
          <w:kern w:val="44"/>
          <w:sz w:val="36"/>
          <w:szCs w:val="36"/>
          <w:highlight w:val="none"/>
          <w:lang w:val="zh-CN" w:eastAsia="zh-CN" w:bidi="ar-SA"/>
        </w:rPr>
        <w:t>合同草案</w:t>
      </w:r>
      <w:bookmarkEnd w:id="479"/>
    </w:p>
    <w:p w14:paraId="2540A5A2">
      <w:pPr>
        <w:spacing w:after="156" w:line="560" w:lineRule="exact"/>
        <w:jc w:val="center"/>
        <w:rPr>
          <w:rFonts w:hint="eastAsia" w:ascii="宋体" w:hAnsi="宋体" w:eastAsia="宋体" w:cs="Times New Roman"/>
          <w:b/>
          <w:sz w:val="21"/>
          <w:highlight w:val="none"/>
        </w:rPr>
      </w:pPr>
      <w:bookmarkStart w:id="480" w:name="_Toc3038"/>
      <w:r>
        <w:rPr>
          <w:rFonts w:hint="eastAsia" w:ascii="宋体" w:hAnsi="宋体" w:eastAsia="宋体" w:cs="Times New Roman"/>
          <w:b/>
          <w:sz w:val="21"/>
          <w:highlight w:val="none"/>
        </w:rPr>
        <w:t>（仅供参考，具体以实际签订的合同为准）</w:t>
      </w:r>
    </w:p>
    <w:p w14:paraId="5CD599B1">
      <w:pPr>
        <w:keepNext w:val="0"/>
        <w:keepLines w:val="0"/>
        <w:pageBreakBefore w:val="0"/>
        <w:widowControl/>
        <w:kinsoku w:val="0"/>
        <w:wordWrap/>
        <w:overflowPunct/>
        <w:topLinePunct/>
        <w:autoSpaceDE w:val="0"/>
        <w:autoSpaceDN w:val="0"/>
        <w:bidi w:val="0"/>
        <w:adjustRightInd w:val="0"/>
        <w:snapToGrid w:val="0"/>
        <w:spacing w:before="111" w:line="219" w:lineRule="auto"/>
        <w:ind w:left="0" w:leftChars="0" w:firstLine="0" w:firstLineChars="0"/>
        <w:jc w:val="center"/>
        <w:textAlignment w:val="baseline"/>
        <w:outlineLvl w:val="0"/>
        <w:rPr>
          <w:rFonts w:ascii="宋体" w:hAnsi="宋体" w:eastAsia="宋体" w:cs="宋体"/>
          <w:snapToGrid w:val="0"/>
          <w:color w:val="000000"/>
          <w:kern w:val="0"/>
          <w:sz w:val="46"/>
          <w:szCs w:val="46"/>
          <w:lang w:eastAsia="en-US"/>
        </w:rPr>
      </w:pPr>
      <w:r>
        <w:rPr>
          <w:rFonts w:hint="eastAsia" w:ascii="宋体" w:hAnsi="宋体" w:eastAsia="宋体" w:cs="宋体"/>
          <w:b/>
          <w:bCs/>
          <w:snapToGrid w:val="0"/>
          <w:color w:val="000000"/>
          <w:spacing w:val="-10"/>
          <w:kern w:val="0"/>
          <w:sz w:val="46"/>
          <w:szCs w:val="46"/>
          <w:lang w:eastAsia="en-US"/>
        </w:rPr>
        <w:t>2026年乌鲁木齐市沙依巴克区炉院街街道餐饮服务项目</w:t>
      </w:r>
      <w:r>
        <w:rPr>
          <w:rFonts w:ascii="宋体" w:hAnsi="宋体" w:eastAsia="宋体" w:cs="宋体"/>
          <w:b/>
          <w:bCs/>
          <w:snapToGrid w:val="0"/>
          <w:color w:val="000000"/>
          <w:spacing w:val="-10"/>
          <w:kern w:val="0"/>
          <w:sz w:val="46"/>
          <w:szCs w:val="46"/>
          <w:lang w:eastAsia="en-US"/>
        </w:rPr>
        <w:t>合同</w:t>
      </w:r>
    </w:p>
    <w:p w14:paraId="0D8B47F1">
      <w:pPr>
        <w:keepNext w:val="0"/>
        <w:keepLines w:val="0"/>
        <w:pageBreakBefore w:val="0"/>
        <w:widowControl/>
        <w:kinsoku w:val="0"/>
        <w:wordWrap/>
        <w:overflowPunct/>
        <w:topLinePunct/>
        <w:autoSpaceDE w:val="0"/>
        <w:autoSpaceDN w:val="0"/>
        <w:bidi w:val="0"/>
        <w:adjustRightInd w:val="0"/>
        <w:snapToGrid w:val="0"/>
        <w:spacing w:line="254" w:lineRule="auto"/>
        <w:jc w:val="left"/>
        <w:textAlignment w:val="baseline"/>
        <w:rPr>
          <w:rFonts w:ascii="Arial" w:hAnsi="Arial" w:eastAsia="Arial" w:cs="Arial"/>
          <w:snapToGrid w:val="0"/>
          <w:color w:val="auto"/>
          <w:kern w:val="0"/>
          <w:sz w:val="21"/>
          <w:szCs w:val="21"/>
          <w:lang w:eastAsia="en-US"/>
        </w:rPr>
      </w:pPr>
    </w:p>
    <w:p w14:paraId="5F59E9DF">
      <w:pPr>
        <w:keepNext w:val="0"/>
        <w:keepLines w:val="0"/>
        <w:pageBreakBefore w:val="0"/>
        <w:widowControl/>
        <w:kinsoku w:val="0"/>
        <w:wordWrap/>
        <w:overflowPunct/>
        <w:topLinePunct/>
        <w:autoSpaceDE w:val="0"/>
        <w:autoSpaceDN w:val="0"/>
        <w:bidi w:val="0"/>
        <w:adjustRightInd w:val="0"/>
        <w:snapToGrid w:val="0"/>
        <w:spacing w:line="254" w:lineRule="auto"/>
        <w:jc w:val="left"/>
        <w:textAlignment w:val="baseline"/>
        <w:rPr>
          <w:rFonts w:ascii="Arial" w:hAnsi="Arial" w:eastAsia="Arial" w:cs="Arial"/>
          <w:snapToGrid w:val="0"/>
          <w:color w:val="auto"/>
          <w:kern w:val="0"/>
          <w:sz w:val="21"/>
          <w:szCs w:val="21"/>
          <w:lang w:eastAsia="en-US"/>
        </w:rPr>
      </w:pPr>
    </w:p>
    <w:p w14:paraId="1A22F48F">
      <w:pPr>
        <w:keepNext w:val="0"/>
        <w:keepLines w:val="0"/>
        <w:pageBreakBefore w:val="0"/>
        <w:widowControl/>
        <w:kinsoku w:val="0"/>
        <w:wordWrap/>
        <w:overflowPunct/>
        <w:topLinePunct/>
        <w:autoSpaceDE w:val="0"/>
        <w:autoSpaceDN w:val="0"/>
        <w:bidi w:val="0"/>
        <w:adjustRightInd w:val="0"/>
        <w:snapToGrid w:val="0"/>
        <w:spacing w:before="101" w:line="228" w:lineRule="auto"/>
        <w:ind w:left="629"/>
        <w:jc w:val="left"/>
        <w:textAlignment w:val="baseline"/>
        <w:rPr>
          <w:rFonts w:hint="eastAsia" w:ascii="仿宋" w:hAnsi="仿宋" w:eastAsia="仿宋" w:cs="仿宋"/>
          <w:snapToGrid w:val="0"/>
          <w:color w:val="auto"/>
          <w:spacing w:val="6"/>
          <w:kern w:val="0"/>
          <w:sz w:val="31"/>
          <w:szCs w:val="31"/>
          <w:lang w:val="en-US" w:eastAsia="en-US" w:bidi="ar-SA"/>
        </w:rPr>
      </w:pPr>
      <w:r>
        <w:rPr>
          <w:rFonts w:ascii="仿宋" w:hAnsi="仿宋" w:eastAsia="仿宋" w:cs="仿宋"/>
          <w:snapToGrid w:val="0"/>
          <w:color w:val="auto"/>
          <w:spacing w:val="-18"/>
          <w:kern w:val="0"/>
          <w:sz w:val="31"/>
          <w:szCs w:val="31"/>
          <w:lang w:val="en-US" w:eastAsia="en-US" w:bidi="ar-SA"/>
        </w:rPr>
        <w:t>甲方：</w:t>
      </w:r>
      <w:r>
        <w:rPr>
          <w:rFonts w:hint="eastAsia" w:ascii="仿宋" w:hAnsi="仿宋" w:eastAsia="仿宋" w:cs="仿宋"/>
          <w:snapToGrid w:val="0"/>
          <w:color w:val="auto"/>
          <w:spacing w:val="6"/>
          <w:kern w:val="0"/>
          <w:sz w:val="31"/>
          <w:szCs w:val="31"/>
          <w:lang w:val="en-US" w:eastAsia="en-US" w:bidi="ar-SA"/>
        </w:rPr>
        <w:t xml:space="preserve"> 乌鲁木齐市沙依巴克区炉院街街道办事处 </w:t>
      </w:r>
    </w:p>
    <w:p w14:paraId="0A0A4F00">
      <w:pPr>
        <w:keepNext w:val="0"/>
        <w:keepLines w:val="0"/>
        <w:pageBreakBefore w:val="0"/>
        <w:widowControl/>
        <w:kinsoku w:val="0"/>
        <w:wordWrap/>
        <w:overflowPunct/>
        <w:topLinePunct/>
        <w:autoSpaceDE w:val="0"/>
        <w:autoSpaceDN w:val="0"/>
        <w:bidi w:val="0"/>
        <w:adjustRightInd w:val="0"/>
        <w:snapToGrid w:val="0"/>
        <w:spacing w:before="98" w:line="223" w:lineRule="auto"/>
        <w:ind w:left="629"/>
        <w:jc w:val="left"/>
        <w:textAlignment w:val="baseline"/>
        <w:rPr>
          <w:rFonts w:ascii="仿宋" w:hAnsi="仿宋" w:eastAsia="仿宋" w:cs="仿宋"/>
          <w:snapToGrid w:val="0"/>
          <w:color w:val="auto"/>
          <w:kern w:val="0"/>
          <w:sz w:val="31"/>
          <w:szCs w:val="31"/>
          <w:lang w:val="en-US" w:eastAsia="en-US" w:bidi="ar-SA"/>
        </w:rPr>
      </w:pPr>
      <w:r>
        <w:rPr>
          <w:rFonts w:ascii="仿宋" w:hAnsi="仿宋" w:eastAsia="仿宋" w:cs="仿宋"/>
          <w:snapToGrid w:val="0"/>
          <w:color w:val="auto"/>
          <w:spacing w:val="-3"/>
          <w:kern w:val="0"/>
          <w:sz w:val="31"/>
          <w:szCs w:val="31"/>
          <w:lang w:val="en-US" w:eastAsia="en-US" w:bidi="ar-SA"/>
        </w:rPr>
        <w:t>联系方式：</w:t>
      </w:r>
    </w:p>
    <w:p w14:paraId="11EAF563">
      <w:pPr>
        <w:keepNext w:val="0"/>
        <w:keepLines w:val="0"/>
        <w:pageBreakBefore w:val="0"/>
        <w:widowControl/>
        <w:kinsoku w:val="0"/>
        <w:wordWrap/>
        <w:overflowPunct/>
        <w:topLinePunct/>
        <w:autoSpaceDE w:val="0"/>
        <w:autoSpaceDN w:val="0"/>
        <w:bidi w:val="0"/>
        <w:adjustRightInd w:val="0"/>
        <w:snapToGrid w:val="0"/>
        <w:spacing w:before="154" w:line="222" w:lineRule="auto"/>
        <w:ind w:left="719"/>
        <w:jc w:val="left"/>
        <w:textAlignment w:val="baseline"/>
        <w:rPr>
          <w:rFonts w:hint="eastAsia" w:ascii="仿宋" w:hAnsi="仿宋" w:eastAsia="仿宋" w:cs="仿宋"/>
          <w:snapToGrid w:val="0"/>
          <w:color w:val="auto"/>
          <w:kern w:val="0"/>
          <w:sz w:val="31"/>
          <w:szCs w:val="31"/>
          <w:lang w:val="en-US" w:eastAsia="zh-CN" w:bidi="ar-SA"/>
        </w:rPr>
      </w:pPr>
      <w:r>
        <w:rPr>
          <w:rFonts w:ascii="仿宋" w:hAnsi="仿宋" w:eastAsia="仿宋" w:cs="仿宋"/>
          <w:snapToGrid w:val="0"/>
          <w:color w:val="auto"/>
          <w:spacing w:val="6"/>
          <w:kern w:val="0"/>
          <w:sz w:val="31"/>
          <w:szCs w:val="31"/>
          <w:lang w:val="en-US" w:eastAsia="en-US" w:bidi="ar-SA"/>
        </w:rPr>
        <w:t>乙方：</w:t>
      </w:r>
      <w:r>
        <w:rPr>
          <w:rFonts w:hint="eastAsia" w:ascii="仿宋" w:hAnsi="仿宋" w:eastAsia="仿宋" w:cs="仿宋"/>
          <w:snapToGrid w:val="0"/>
          <w:color w:val="auto"/>
          <w:spacing w:val="6"/>
          <w:kern w:val="0"/>
          <w:sz w:val="31"/>
          <w:szCs w:val="31"/>
          <w:u w:val="single" w:color="auto"/>
          <w:lang w:val="en-US" w:eastAsia="zh-CN" w:bidi="ar-SA"/>
        </w:rPr>
        <w:t xml:space="preserve">                          </w:t>
      </w:r>
    </w:p>
    <w:p w14:paraId="20DAF8D7">
      <w:pPr>
        <w:keepNext w:val="0"/>
        <w:keepLines w:val="0"/>
        <w:pageBreakBefore w:val="0"/>
        <w:widowControl/>
        <w:kinsoku w:val="0"/>
        <w:wordWrap/>
        <w:overflowPunct/>
        <w:topLinePunct/>
        <w:autoSpaceDE w:val="0"/>
        <w:autoSpaceDN w:val="0"/>
        <w:bidi w:val="0"/>
        <w:adjustRightInd w:val="0"/>
        <w:snapToGrid w:val="0"/>
        <w:spacing w:before="108" w:line="223" w:lineRule="auto"/>
        <w:ind w:left="629"/>
        <w:jc w:val="left"/>
        <w:textAlignment w:val="baseline"/>
        <w:rPr>
          <w:rFonts w:hint="eastAsia" w:ascii="仿宋" w:hAnsi="仿宋" w:eastAsia="仿宋" w:cs="仿宋"/>
          <w:snapToGrid w:val="0"/>
          <w:color w:val="auto"/>
          <w:kern w:val="0"/>
          <w:sz w:val="31"/>
          <w:szCs w:val="31"/>
          <w:lang w:val="en-US" w:eastAsia="en-US" w:bidi="ar-SA"/>
        </w:rPr>
      </w:pPr>
      <w:r>
        <w:rPr>
          <w:rFonts w:hint="eastAsia" w:ascii="仿宋" w:hAnsi="仿宋" w:eastAsia="仿宋" w:cs="仿宋"/>
          <w:snapToGrid w:val="0"/>
          <w:color w:val="auto"/>
          <w:spacing w:val="-3"/>
          <w:kern w:val="0"/>
          <w:sz w:val="31"/>
          <w:szCs w:val="31"/>
          <w:lang w:val="en-US" w:eastAsia="en-US" w:bidi="ar-SA"/>
        </w:rPr>
        <w:t>联系方式：</w:t>
      </w:r>
    </w:p>
    <w:p w14:paraId="63E9EA43">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本服务合同依据《中华人民共和国民法典》、《中华人民共</w:t>
      </w:r>
      <w:r>
        <w:rPr>
          <w:rFonts w:hint="eastAsia" w:ascii="仿宋" w:hAnsi="仿宋" w:eastAsia="仿宋" w:cs="仿宋"/>
          <w:snapToGrid w:val="0"/>
          <w:color w:val="auto"/>
          <w:spacing w:val="13"/>
          <w:kern w:val="0"/>
          <w:sz w:val="31"/>
          <w:szCs w:val="31"/>
          <w:lang w:val="en-US" w:eastAsia="en-US" w:bidi="ar-SA"/>
        </w:rPr>
        <w:t xml:space="preserve"> </w:t>
      </w:r>
      <w:r>
        <w:rPr>
          <w:rFonts w:hint="eastAsia" w:ascii="仿宋" w:hAnsi="仿宋" w:eastAsia="仿宋" w:cs="仿宋"/>
          <w:snapToGrid w:val="0"/>
          <w:color w:val="auto"/>
          <w:spacing w:val="-1"/>
          <w:kern w:val="0"/>
          <w:sz w:val="31"/>
          <w:szCs w:val="31"/>
          <w:lang w:val="en-US" w:eastAsia="en-US" w:bidi="ar-SA"/>
        </w:rPr>
        <w:t>和国食品卫生法》及国家有关法律法规而定。本服务合同是经甲、</w:t>
      </w:r>
      <w:r>
        <w:rPr>
          <w:rFonts w:hint="eastAsia" w:ascii="仿宋" w:hAnsi="仿宋" w:eastAsia="仿宋" w:cs="仿宋"/>
          <w:snapToGrid w:val="0"/>
          <w:color w:val="auto"/>
          <w:spacing w:val="8"/>
          <w:kern w:val="0"/>
          <w:sz w:val="31"/>
          <w:szCs w:val="31"/>
          <w:lang w:val="en-US" w:eastAsia="en-US" w:bidi="ar-SA"/>
        </w:rPr>
        <w:t>乙双方友好协商，就餐厅服务事宜，同意签订本合同，并信守下</w:t>
      </w:r>
      <w:r>
        <w:rPr>
          <w:rFonts w:hint="eastAsia" w:ascii="仿宋" w:hAnsi="仿宋" w:eastAsia="仿宋" w:cs="仿宋"/>
          <w:snapToGrid w:val="0"/>
          <w:color w:val="auto"/>
          <w:spacing w:val="5"/>
          <w:kern w:val="0"/>
          <w:sz w:val="31"/>
          <w:szCs w:val="31"/>
          <w:lang w:val="en-US" w:eastAsia="en-US" w:bidi="ar-SA"/>
        </w:rPr>
        <w:t>列条款，共同严格执行。</w:t>
      </w:r>
    </w:p>
    <w:p w14:paraId="2D1ED4F4">
      <w:pPr>
        <w:keepNext w:val="0"/>
        <w:keepLines w:val="0"/>
        <w:pageBreakBefore w:val="0"/>
        <w:widowControl/>
        <w:kinsoku w:val="0"/>
        <w:wordWrap/>
        <w:overflowPunct/>
        <w:topLinePunct/>
        <w:autoSpaceDE w:val="0"/>
        <w:autoSpaceDN w:val="0"/>
        <w:bidi w:val="0"/>
        <w:adjustRightInd w:val="0"/>
        <w:snapToGrid w:val="0"/>
        <w:spacing w:before="18" w:line="222" w:lineRule="auto"/>
        <w:ind w:left="634"/>
        <w:jc w:val="left"/>
        <w:textAlignment w:val="baseline"/>
        <w:rPr>
          <w:rFonts w:hint="eastAsia" w:ascii="仿宋" w:hAnsi="仿宋" w:eastAsia="仿宋" w:cs="仿宋"/>
          <w:snapToGrid w:val="0"/>
          <w:color w:val="auto"/>
          <w:kern w:val="0"/>
          <w:sz w:val="31"/>
          <w:szCs w:val="31"/>
          <w:lang w:val="en-US" w:eastAsia="en-US" w:bidi="ar-SA"/>
        </w:rPr>
      </w:pPr>
      <w:r>
        <w:rPr>
          <w:rFonts w:hint="eastAsia" w:ascii="仿宋" w:hAnsi="仿宋" w:eastAsia="仿宋" w:cs="仿宋"/>
          <w:b/>
          <w:bCs/>
          <w:snapToGrid w:val="0"/>
          <w:color w:val="auto"/>
          <w:spacing w:val="15"/>
          <w:kern w:val="0"/>
          <w:sz w:val="31"/>
          <w:szCs w:val="31"/>
          <w:lang w:val="en-US" w:eastAsia="en-US" w:bidi="ar-SA"/>
        </w:rPr>
        <w:t>第一条</w:t>
      </w:r>
      <w:r>
        <w:rPr>
          <w:rFonts w:hint="eastAsia" w:ascii="仿宋" w:hAnsi="仿宋" w:eastAsia="仿宋" w:cs="仿宋"/>
          <w:b/>
          <w:bCs/>
          <w:snapToGrid w:val="0"/>
          <w:color w:val="auto"/>
          <w:spacing w:val="15"/>
          <w:kern w:val="0"/>
          <w:sz w:val="31"/>
          <w:szCs w:val="31"/>
          <w:lang w:val="en-US" w:eastAsia="zh-CN" w:bidi="ar-SA"/>
        </w:rPr>
        <w:t>：</w:t>
      </w:r>
      <w:r>
        <w:rPr>
          <w:rFonts w:hint="eastAsia" w:ascii="仿宋" w:hAnsi="仿宋" w:eastAsia="仿宋" w:cs="仿宋"/>
          <w:b/>
          <w:bCs/>
          <w:snapToGrid w:val="0"/>
          <w:color w:val="auto"/>
          <w:spacing w:val="15"/>
          <w:kern w:val="0"/>
          <w:sz w:val="31"/>
          <w:szCs w:val="31"/>
          <w:lang w:val="en-US" w:eastAsia="en-US" w:bidi="ar-SA"/>
        </w:rPr>
        <w:t>服务场地、用途、服务条件</w:t>
      </w:r>
    </w:p>
    <w:p w14:paraId="18142C70">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1、服务场地：炉院街街道三楼职工食堂。</w:t>
      </w:r>
    </w:p>
    <w:p w14:paraId="0E508E24">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2、用途：甲方所提供服务场地只作为乙方为甲方提供餐饮服务之用，未经甲方同意，乙方不得改变餐厅的用途。</w:t>
      </w:r>
    </w:p>
    <w:p w14:paraId="07B1D77F">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3、服务条件：甲方提供餐厅，应满足乙方能够正常使用，甲方负责餐厅内设备的维护，如：餐厅内空调、供暖、照明及水、电不能正常使用，甲方应立即组织维修，维修费用由甲方承担；如因此导致餐厅无法正常经营的，甲方应赔偿相关损失。</w:t>
      </w:r>
    </w:p>
    <w:p w14:paraId="19A16BCE">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4、甲方负责为乙方及其供应商办理出入甲方公司的相关证件。</w:t>
      </w:r>
    </w:p>
    <w:p w14:paraId="20F9269E">
      <w:pPr>
        <w:keepNext w:val="0"/>
        <w:keepLines w:val="0"/>
        <w:pageBreakBefore w:val="0"/>
        <w:widowControl/>
        <w:kinsoku w:val="0"/>
        <w:wordWrap/>
        <w:overflowPunct/>
        <w:topLinePunct/>
        <w:autoSpaceDE w:val="0"/>
        <w:autoSpaceDN w:val="0"/>
        <w:bidi w:val="0"/>
        <w:adjustRightInd w:val="0"/>
        <w:snapToGrid w:val="0"/>
        <w:spacing w:before="100" w:line="298" w:lineRule="auto"/>
        <w:ind w:left="19" w:right="-113" w:rightChars="-47" w:firstLine="609"/>
        <w:jc w:val="left"/>
        <w:textAlignment w:val="baseline"/>
        <w:rPr>
          <w:rFonts w:hint="eastAsia" w:ascii="仿宋" w:hAnsi="仿宋" w:eastAsia="仿宋" w:cs="仿宋"/>
          <w:snapToGrid w:val="0"/>
          <w:color w:val="auto"/>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5、乙方负责所有餐饮器具及餐厅的清洁消毒卫生工作。</w:t>
      </w:r>
    </w:p>
    <w:p w14:paraId="41511AC8">
      <w:pPr>
        <w:keepNext w:val="0"/>
        <w:keepLines w:val="0"/>
        <w:pageBreakBefore w:val="0"/>
        <w:widowControl/>
        <w:kinsoku w:val="0"/>
        <w:wordWrap/>
        <w:overflowPunct/>
        <w:topLinePunct/>
        <w:autoSpaceDE w:val="0"/>
        <w:autoSpaceDN w:val="0"/>
        <w:bidi w:val="0"/>
        <w:adjustRightInd w:val="0"/>
        <w:snapToGrid w:val="0"/>
        <w:spacing w:before="130" w:line="222" w:lineRule="auto"/>
        <w:ind w:left="634"/>
        <w:jc w:val="left"/>
        <w:textAlignment w:val="baseline"/>
        <w:rPr>
          <w:rFonts w:hint="eastAsia" w:ascii="仿宋" w:hAnsi="仿宋" w:eastAsia="仿宋" w:cs="仿宋"/>
          <w:b/>
          <w:bCs/>
          <w:snapToGrid w:val="0"/>
          <w:color w:val="auto"/>
          <w:spacing w:val="17"/>
          <w:kern w:val="0"/>
          <w:sz w:val="31"/>
          <w:szCs w:val="31"/>
          <w:lang w:val="en-US" w:eastAsia="en-US" w:bidi="ar-SA"/>
        </w:rPr>
      </w:pPr>
      <w:r>
        <w:rPr>
          <w:rFonts w:hint="eastAsia" w:ascii="仿宋" w:hAnsi="仿宋" w:eastAsia="仿宋" w:cs="仿宋"/>
          <w:b/>
          <w:bCs/>
          <w:snapToGrid w:val="0"/>
          <w:color w:val="auto"/>
          <w:spacing w:val="17"/>
          <w:kern w:val="0"/>
          <w:sz w:val="31"/>
          <w:szCs w:val="31"/>
          <w:lang w:val="en-US" w:eastAsia="en-US" w:bidi="ar-SA"/>
        </w:rPr>
        <w:t>第二条</w:t>
      </w:r>
      <w:r>
        <w:rPr>
          <w:rFonts w:hint="eastAsia" w:ascii="仿宋" w:hAnsi="仿宋" w:eastAsia="仿宋" w:cs="仿宋"/>
          <w:b/>
          <w:bCs/>
          <w:snapToGrid w:val="0"/>
          <w:color w:val="auto"/>
          <w:spacing w:val="17"/>
          <w:kern w:val="0"/>
          <w:sz w:val="31"/>
          <w:szCs w:val="31"/>
          <w:lang w:val="en-US" w:eastAsia="zh-CN" w:bidi="ar-SA"/>
        </w:rPr>
        <w:t>：</w:t>
      </w:r>
      <w:r>
        <w:rPr>
          <w:rFonts w:hint="eastAsia" w:ascii="仿宋" w:hAnsi="仿宋" w:eastAsia="仿宋" w:cs="仿宋"/>
          <w:b/>
          <w:bCs/>
          <w:snapToGrid w:val="0"/>
          <w:color w:val="auto"/>
          <w:spacing w:val="17"/>
          <w:kern w:val="0"/>
          <w:sz w:val="31"/>
          <w:szCs w:val="31"/>
          <w:lang w:val="en-US" w:eastAsia="en-US" w:bidi="ar-SA"/>
        </w:rPr>
        <w:t>服务内容、服务形式</w:t>
      </w:r>
    </w:p>
    <w:p w14:paraId="5BBE42AF">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zh-CN" w:bidi="ar-SA"/>
        </w:rPr>
      </w:pPr>
      <w:r>
        <w:rPr>
          <w:rFonts w:hint="eastAsia" w:ascii="仿宋" w:hAnsi="仿宋" w:eastAsia="仿宋" w:cs="仿宋"/>
          <w:snapToGrid w:val="0"/>
          <w:color w:val="auto"/>
          <w:spacing w:val="6"/>
          <w:kern w:val="0"/>
          <w:sz w:val="31"/>
          <w:szCs w:val="31"/>
          <w:lang w:val="en-US" w:eastAsia="en-US" w:bidi="ar-SA"/>
        </w:rPr>
        <w:t>1、服务内容：乙方向甲方员工、访客提供餐饮服务，按需收取固定费用，标准为早餐</w:t>
      </w:r>
      <w:r>
        <w:rPr>
          <w:rFonts w:hint="eastAsia" w:ascii="仿宋" w:hAnsi="仿宋" w:eastAsia="仿宋" w:cs="仿宋"/>
          <w:snapToGrid w:val="0"/>
          <w:color w:val="auto"/>
          <w:spacing w:val="6"/>
          <w:kern w:val="0"/>
          <w:sz w:val="31"/>
          <w:szCs w:val="31"/>
          <w:lang w:val="en-US" w:eastAsia="zh-CN" w:bidi="ar-SA"/>
        </w:rPr>
        <w:t>1</w:t>
      </w:r>
      <w:r>
        <w:rPr>
          <w:rFonts w:hint="eastAsia" w:ascii="仿宋" w:hAnsi="仿宋" w:eastAsia="仿宋" w:cs="仿宋"/>
          <w:snapToGrid w:val="0"/>
          <w:color w:val="auto"/>
          <w:spacing w:val="6"/>
          <w:kern w:val="0"/>
          <w:sz w:val="31"/>
          <w:szCs w:val="31"/>
          <w:lang w:val="en-US" w:eastAsia="en-US" w:bidi="ar-SA"/>
        </w:rPr>
        <w:t>元、午餐</w:t>
      </w:r>
      <w:r>
        <w:rPr>
          <w:rFonts w:hint="eastAsia" w:ascii="仿宋" w:hAnsi="仿宋" w:eastAsia="仿宋" w:cs="仿宋"/>
          <w:snapToGrid w:val="0"/>
          <w:color w:val="auto"/>
          <w:spacing w:val="6"/>
          <w:kern w:val="0"/>
          <w:sz w:val="31"/>
          <w:szCs w:val="31"/>
          <w:lang w:val="en-US" w:eastAsia="zh-CN" w:bidi="ar-SA"/>
        </w:rPr>
        <w:t>10</w:t>
      </w:r>
      <w:r>
        <w:rPr>
          <w:rFonts w:hint="eastAsia" w:ascii="仿宋" w:hAnsi="仿宋" w:eastAsia="仿宋" w:cs="仿宋"/>
          <w:snapToGrid w:val="0"/>
          <w:color w:val="auto"/>
          <w:spacing w:val="6"/>
          <w:kern w:val="0"/>
          <w:sz w:val="31"/>
          <w:szCs w:val="31"/>
          <w:lang w:val="en-US" w:eastAsia="en-US" w:bidi="ar-SA"/>
        </w:rPr>
        <w:t>元。</w:t>
      </w:r>
    </w:p>
    <w:p w14:paraId="00FF6358">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2、服务形式：</w:t>
      </w:r>
    </w:p>
    <w:p w14:paraId="271546D3">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(1)餐厅以套餐形式为主，其它形式为辅(周一至周五提供早餐+中餐，国家规定的节假日提供午餐，如：春节，五一、十一等)。</w:t>
      </w:r>
    </w:p>
    <w:p w14:paraId="372F3083">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(2)</w:t>
      </w:r>
      <w:r>
        <w:rPr>
          <w:rFonts w:hint="eastAsia" w:ascii="仿宋" w:hAnsi="仿宋" w:eastAsia="仿宋" w:cs="仿宋"/>
          <w:snapToGrid w:val="0"/>
          <w:color w:val="auto"/>
          <w:spacing w:val="6"/>
          <w:kern w:val="0"/>
          <w:sz w:val="28"/>
          <w:szCs w:val="28"/>
          <w:lang w:val="en-US" w:eastAsia="en-US" w:bidi="ar-SA"/>
        </w:rPr>
        <w:t>访客的服务形式根据实际运营状况由双方协商而定</w:t>
      </w:r>
      <w:r>
        <w:rPr>
          <w:rFonts w:hint="eastAsia" w:ascii="仿宋" w:hAnsi="仿宋" w:eastAsia="仿宋" w:cs="仿宋"/>
          <w:snapToGrid w:val="0"/>
          <w:color w:val="auto"/>
          <w:spacing w:val="6"/>
          <w:kern w:val="0"/>
          <w:sz w:val="31"/>
          <w:szCs w:val="31"/>
          <w:lang w:val="en-US" w:eastAsia="en-US" w:bidi="ar-SA"/>
        </w:rPr>
        <w:t>，根据协商内容另行签订《补充协议》。</w:t>
      </w:r>
    </w:p>
    <w:p w14:paraId="02618CE8">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(3)</w:t>
      </w:r>
      <w:r>
        <w:rPr>
          <w:rFonts w:hint="eastAsia" w:ascii="仿宋" w:hAnsi="仿宋" w:eastAsia="仿宋" w:cs="仿宋"/>
          <w:snapToGrid w:val="0"/>
          <w:color w:val="auto"/>
          <w:spacing w:val="6"/>
          <w:kern w:val="0"/>
          <w:sz w:val="28"/>
          <w:szCs w:val="28"/>
          <w:lang w:val="en-US" w:eastAsia="en-US" w:bidi="ar-SA"/>
        </w:rPr>
        <w:t>用餐标准：每日早餐、中餐按照实际就餐人数统计</w:t>
      </w:r>
      <w:r>
        <w:rPr>
          <w:rFonts w:hint="eastAsia" w:ascii="仿宋" w:hAnsi="仿宋" w:eastAsia="仿宋" w:cs="仿宋"/>
          <w:snapToGrid w:val="0"/>
          <w:color w:val="auto"/>
          <w:spacing w:val="6"/>
          <w:kern w:val="0"/>
          <w:sz w:val="31"/>
          <w:szCs w:val="31"/>
          <w:lang w:val="en-US" w:eastAsia="en-US" w:bidi="ar-SA"/>
        </w:rPr>
        <w:t>；</w:t>
      </w:r>
    </w:p>
    <w:p w14:paraId="335CCBD7">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每月按照用餐人数收费统计，申请财政补贴；就餐费用其中每人每日1</w:t>
      </w:r>
      <w:r>
        <w:rPr>
          <w:rFonts w:hint="eastAsia" w:ascii="仿宋" w:hAnsi="仿宋" w:eastAsia="仿宋" w:cs="仿宋"/>
          <w:snapToGrid w:val="0"/>
          <w:color w:val="auto"/>
          <w:spacing w:val="6"/>
          <w:kern w:val="0"/>
          <w:sz w:val="31"/>
          <w:szCs w:val="31"/>
          <w:lang w:val="en-US" w:eastAsia="zh-CN" w:bidi="ar-SA"/>
        </w:rPr>
        <w:t>1</w:t>
      </w:r>
      <w:r>
        <w:rPr>
          <w:rFonts w:hint="eastAsia" w:ascii="仿宋" w:hAnsi="仿宋" w:eastAsia="仿宋" w:cs="仿宋"/>
          <w:snapToGrid w:val="0"/>
          <w:color w:val="auto"/>
          <w:spacing w:val="6"/>
          <w:kern w:val="0"/>
          <w:sz w:val="31"/>
          <w:szCs w:val="31"/>
          <w:lang w:val="en-US" w:eastAsia="en-US" w:bidi="ar-SA"/>
        </w:rPr>
        <w:t>元</w:t>
      </w:r>
      <w:r>
        <w:rPr>
          <w:rFonts w:hint="eastAsia" w:ascii="仿宋" w:hAnsi="仿宋" w:eastAsia="仿宋" w:cs="仿宋"/>
          <w:snapToGrid w:val="0"/>
          <w:color w:val="auto"/>
          <w:spacing w:val="6"/>
          <w:kern w:val="0"/>
          <w:sz w:val="31"/>
          <w:szCs w:val="31"/>
          <w:lang w:val="en-US" w:eastAsia="zh-CN" w:bidi="ar-SA"/>
        </w:rPr>
        <w:t>【</w:t>
      </w:r>
      <w:r>
        <w:rPr>
          <w:rFonts w:hint="eastAsia" w:ascii="仿宋" w:hAnsi="仿宋" w:eastAsia="仿宋" w:cs="仿宋"/>
          <w:snapToGrid w:val="0"/>
          <w:color w:val="auto"/>
          <w:spacing w:val="6"/>
          <w:kern w:val="0"/>
          <w:sz w:val="31"/>
          <w:szCs w:val="31"/>
          <w:lang w:val="en-US" w:eastAsia="en-US" w:bidi="ar-SA"/>
        </w:rPr>
        <w:t>其中</w:t>
      </w:r>
      <w:r>
        <w:rPr>
          <w:rFonts w:hint="eastAsia" w:ascii="仿宋" w:hAnsi="仿宋" w:eastAsia="仿宋" w:cs="仿宋"/>
          <w:snapToGrid w:val="0"/>
          <w:color w:val="auto"/>
          <w:spacing w:val="6"/>
          <w:kern w:val="0"/>
          <w:sz w:val="31"/>
          <w:szCs w:val="31"/>
          <w:lang w:val="en-US" w:eastAsia="zh-CN" w:bidi="ar-SA"/>
        </w:rPr>
        <w:t>：</w:t>
      </w:r>
      <w:r>
        <w:rPr>
          <w:rFonts w:hint="eastAsia" w:ascii="仿宋" w:hAnsi="仿宋" w:eastAsia="仿宋" w:cs="仿宋"/>
          <w:snapToGrid w:val="0"/>
          <w:color w:val="auto"/>
          <w:spacing w:val="6"/>
          <w:kern w:val="0"/>
          <w:sz w:val="31"/>
          <w:szCs w:val="31"/>
          <w:lang w:val="en-US" w:eastAsia="en-US" w:bidi="ar-SA"/>
        </w:rPr>
        <w:t>早餐1元、中餐1</w:t>
      </w:r>
      <w:r>
        <w:rPr>
          <w:rFonts w:hint="eastAsia" w:ascii="仿宋" w:hAnsi="仿宋" w:eastAsia="仿宋" w:cs="仿宋"/>
          <w:snapToGrid w:val="0"/>
          <w:color w:val="auto"/>
          <w:spacing w:val="6"/>
          <w:kern w:val="0"/>
          <w:sz w:val="31"/>
          <w:szCs w:val="31"/>
          <w:lang w:val="en-US" w:eastAsia="zh-CN" w:bidi="ar-SA"/>
        </w:rPr>
        <w:t>0</w:t>
      </w:r>
      <w:r>
        <w:rPr>
          <w:rFonts w:hint="eastAsia" w:ascii="仿宋" w:hAnsi="仿宋" w:eastAsia="仿宋" w:cs="仿宋"/>
          <w:snapToGrid w:val="0"/>
          <w:color w:val="auto"/>
          <w:spacing w:val="6"/>
          <w:kern w:val="0"/>
          <w:sz w:val="31"/>
          <w:szCs w:val="31"/>
          <w:lang w:val="en-US" w:eastAsia="en-US" w:bidi="ar-SA"/>
        </w:rPr>
        <w:t>元</w:t>
      </w:r>
      <w:r>
        <w:rPr>
          <w:rFonts w:hint="eastAsia" w:ascii="仿宋" w:hAnsi="仿宋" w:eastAsia="仿宋" w:cs="仿宋"/>
          <w:snapToGrid w:val="0"/>
          <w:color w:val="auto"/>
          <w:spacing w:val="6"/>
          <w:kern w:val="0"/>
          <w:sz w:val="31"/>
          <w:szCs w:val="31"/>
          <w:lang w:val="en-US" w:eastAsia="zh-CN" w:bidi="ar-SA"/>
        </w:rPr>
        <w:t>（具体标准：在编人员：</w:t>
      </w:r>
      <w:r>
        <w:rPr>
          <w:rFonts w:hint="eastAsia" w:ascii="仿宋" w:hAnsi="仿宋" w:eastAsia="仿宋" w:cs="仿宋"/>
          <w:snapToGrid w:val="0"/>
          <w:color w:val="auto"/>
          <w:spacing w:val="6"/>
          <w:kern w:val="0"/>
          <w:sz w:val="31"/>
          <w:szCs w:val="31"/>
          <w:lang w:val="en-US" w:eastAsia="en-US" w:bidi="ar-SA"/>
        </w:rPr>
        <w:t>每人每日1</w:t>
      </w:r>
      <w:r>
        <w:rPr>
          <w:rFonts w:hint="eastAsia" w:ascii="仿宋" w:hAnsi="仿宋" w:eastAsia="仿宋" w:cs="仿宋"/>
          <w:snapToGrid w:val="0"/>
          <w:color w:val="auto"/>
          <w:spacing w:val="6"/>
          <w:kern w:val="0"/>
          <w:sz w:val="31"/>
          <w:szCs w:val="31"/>
          <w:lang w:val="en-US" w:eastAsia="zh-CN" w:bidi="ar-SA"/>
        </w:rPr>
        <w:t>5</w:t>
      </w:r>
      <w:r>
        <w:rPr>
          <w:rFonts w:hint="eastAsia" w:ascii="仿宋" w:hAnsi="仿宋" w:eastAsia="仿宋" w:cs="仿宋"/>
          <w:snapToGrid w:val="0"/>
          <w:color w:val="auto"/>
          <w:spacing w:val="6"/>
          <w:kern w:val="0"/>
          <w:sz w:val="31"/>
          <w:szCs w:val="31"/>
          <w:lang w:val="en-US" w:eastAsia="en-US" w:bidi="ar-SA"/>
        </w:rPr>
        <w:t>元</w:t>
      </w:r>
      <w:r>
        <w:rPr>
          <w:rFonts w:hint="eastAsia" w:ascii="仿宋" w:hAnsi="仿宋" w:eastAsia="仿宋" w:cs="仿宋"/>
          <w:snapToGrid w:val="0"/>
          <w:color w:val="auto"/>
          <w:spacing w:val="6"/>
          <w:kern w:val="0"/>
          <w:sz w:val="31"/>
          <w:szCs w:val="31"/>
          <w:lang w:val="en-US" w:eastAsia="zh-CN" w:bidi="ar-SA"/>
        </w:rPr>
        <w:t>，</w:t>
      </w:r>
      <w:r>
        <w:rPr>
          <w:rFonts w:hint="eastAsia" w:ascii="仿宋" w:hAnsi="仿宋" w:eastAsia="仿宋" w:cs="仿宋"/>
          <w:snapToGrid w:val="0"/>
          <w:color w:val="auto"/>
          <w:spacing w:val="6"/>
          <w:kern w:val="0"/>
          <w:sz w:val="31"/>
          <w:szCs w:val="31"/>
          <w:lang w:val="en-US" w:eastAsia="en-US" w:bidi="ar-SA"/>
        </w:rPr>
        <w:t>财政补贴12元</w:t>
      </w:r>
      <w:r>
        <w:rPr>
          <w:rFonts w:hint="eastAsia" w:ascii="仿宋" w:hAnsi="仿宋" w:eastAsia="仿宋" w:cs="仿宋"/>
          <w:snapToGrid w:val="0"/>
          <w:color w:val="auto"/>
          <w:spacing w:val="6"/>
          <w:kern w:val="0"/>
          <w:sz w:val="31"/>
          <w:szCs w:val="31"/>
          <w:lang w:val="en-US" w:eastAsia="zh-CN" w:bidi="ar-SA"/>
        </w:rPr>
        <w:t>，</w:t>
      </w:r>
      <w:r>
        <w:rPr>
          <w:rFonts w:hint="eastAsia" w:ascii="仿宋" w:hAnsi="仿宋" w:eastAsia="仿宋" w:cs="仿宋"/>
          <w:snapToGrid w:val="0"/>
          <w:color w:val="auto"/>
          <w:spacing w:val="6"/>
          <w:kern w:val="0"/>
          <w:sz w:val="31"/>
          <w:szCs w:val="31"/>
          <w:lang w:val="en-US" w:eastAsia="en-US" w:bidi="ar-SA"/>
        </w:rPr>
        <w:t>个人缴费3元，其中</w:t>
      </w:r>
      <w:r>
        <w:rPr>
          <w:rFonts w:hint="eastAsia" w:ascii="仿宋" w:hAnsi="仿宋" w:eastAsia="仿宋" w:cs="仿宋"/>
          <w:snapToGrid w:val="0"/>
          <w:color w:val="auto"/>
          <w:spacing w:val="6"/>
          <w:kern w:val="0"/>
          <w:sz w:val="31"/>
          <w:szCs w:val="31"/>
          <w:lang w:val="en-US" w:eastAsia="zh-CN" w:bidi="ar-SA"/>
        </w:rPr>
        <w:t>：</w:t>
      </w:r>
      <w:r>
        <w:rPr>
          <w:rFonts w:hint="eastAsia" w:ascii="仿宋" w:hAnsi="仿宋" w:eastAsia="仿宋" w:cs="仿宋"/>
          <w:snapToGrid w:val="0"/>
          <w:color w:val="auto"/>
          <w:spacing w:val="6"/>
          <w:kern w:val="0"/>
          <w:sz w:val="31"/>
          <w:szCs w:val="31"/>
          <w:lang w:val="en-US" w:eastAsia="en-US" w:bidi="ar-SA"/>
        </w:rPr>
        <w:t>早餐1元、中餐1</w:t>
      </w:r>
      <w:r>
        <w:rPr>
          <w:rFonts w:hint="eastAsia" w:ascii="仿宋" w:hAnsi="仿宋" w:eastAsia="仿宋" w:cs="仿宋"/>
          <w:snapToGrid w:val="0"/>
          <w:color w:val="auto"/>
          <w:spacing w:val="6"/>
          <w:kern w:val="0"/>
          <w:sz w:val="31"/>
          <w:szCs w:val="31"/>
          <w:lang w:val="en-US" w:eastAsia="zh-CN" w:bidi="ar-SA"/>
        </w:rPr>
        <w:t>4</w:t>
      </w:r>
      <w:r>
        <w:rPr>
          <w:rFonts w:hint="eastAsia" w:ascii="仿宋" w:hAnsi="仿宋" w:eastAsia="仿宋" w:cs="仿宋"/>
          <w:snapToGrid w:val="0"/>
          <w:color w:val="auto"/>
          <w:spacing w:val="6"/>
          <w:kern w:val="0"/>
          <w:sz w:val="31"/>
          <w:szCs w:val="31"/>
          <w:lang w:val="en-US" w:eastAsia="en-US" w:bidi="ar-SA"/>
        </w:rPr>
        <w:t>元</w:t>
      </w:r>
      <w:r>
        <w:rPr>
          <w:rFonts w:hint="eastAsia" w:ascii="仿宋" w:hAnsi="仿宋" w:eastAsia="仿宋" w:cs="仿宋"/>
          <w:snapToGrid w:val="0"/>
          <w:color w:val="auto"/>
          <w:spacing w:val="6"/>
          <w:kern w:val="0"/>
          <w:sz w:val="31"/>
          <w:szCs w:val="31"/>
          <w:lang w:val="en-US" w:eastAsia="zh-CN" w:bidi="ar-SA"/>
        </w:rPr>
        <w:t>。非在编人员：</w:t>
      </w:r>
      <w:r>
        <w:rPr>
          <w:rFonts w:hint="eastAsia" w:ascii="仿宋" w:hAnsi="仿宋" w:eastAsia="仿宋" w:cs="仿宋"/>
          <w:snapToGrid w:val="0"/>
          <w:color w:val="auto"/>
          <w:spacing w:val="6"/>
          <w:kern w:val="0"/>
          <w:sz w:val="31"/>
          <w:szCs w:val="31"/>
          <w:lang w:val="en-US" w:eastAsia="en-US" w:bidi="ar-SA"/>
        </w:rPr>
        <w:t>每人每日</w:t>
      </w:r>
      <w:r>
        <w:rPr>
          <w:rFonts w:hint="eastAsia" w:ascii="仿宋" w:hAnsi="仿宋" w:eastAsia="仿宋" w:cs="仿宋"/>
          <w:snapToGrid w:val="0"/>
          <w:color w:val="auto"/>
          <w:spacing w:val="6"/>
          <w:kern w:val="0"/>
          <w:sz w:val="31"/>
          <w:szCs w:val="31"/>
          <w:lang w:val="en-US" w:eastAsia="zh-CN" w:bidi="ar-SA"/>
        </w:rPr>
        <w:t>7</w:t>
      </w:r>
      <w:r>
        <w:rPr>
          <w:rFonts w:hint="eastAsia" w:ascii="仿宋" w:hAnsi="仿宋" w:eastAsia="仿宋" w:cs="仿宋"/>
          <w:snapToGrid w:val="0"/>
          <w:color w:val="auto"/>
          <w:spacing w:val="6"/>
          <w:kern w:val="0"/>
          <w:sz w:val="31"/>
          <w:szCs w:val="31"/>
          <w:lang w:val="en-US" w:eastAsia="en-US" w:bidi="ar-SA"/>
        </w:rPr>
        <w:t>元</w:t>
      </w:r>
      <w:r>
        <w:rPr>
          <w:rFonts w:hint="eastAsia" w:ascii="仿宋" w:hAnsi="仿宋" w:eastAsia="仿宋" w:cs="仿宋"/>
          <w:snapToGrid w:val="0"/>
          <w:color w:val="auto"/>
          <w:spacing w:val="6"/>
          <w:kern w:val="0"/>
          <w:sz w:val="31"/>
          <w:szCs w:val="31"/>
          <w:lang w:val="en-US" w:eastAsia="zh-CN" w:bidi="ar-SA"/>
        </w:rPr>
        <w:t>，</w:t>
      </w:r>
      <w:r>
        <w:rPr>
          <w:rFonts w:hint="eastAsia" w:ascii="仿宋" w:hAnsi="仿宋" w:eastAsia="仿宋" w:cs="仿宋"/>
          <w:snapToGrid w:val="0"/>
          <w:color w:val="auto"/>
          <w:spacing w:val="6"/>
          <w:kern w:val="0"/>
          <w:sz w:val="31"/>
          <w:szCs w:val="31"/>
          <w:lang w:val="en-US" w:eastAsia="en-US" w:bidi="ar-SA"/>
        </w:rPr>
        <w:t>财政补贴4元，个人缴费3元</w:t>
      </w:r>
      <w:r>
        <w:rPr>
          <w:rFonts w:hint="eastAsia" w:ascii="仿宋" w:hAnsi="仿宋" w:eastAsia="仿宋" w:cs="仿宋"/>
          <w:snapToGrid w:val="0"/>
          <w:color w:val="auto"/>
          <w:spacing w:val="6"/>
          <w:kern w:val="0"/>
          <w:sz w:val="31"/>
          <w:szCs w:val="31"/>
          <w:lang w:val="en-US" w:eastAsia="zh-CN" w:bidi="ar-SA"/>
        </w:rPr>
        <w:t>，</w:t>
      </w:r>
      <w:r>
        <w:rPr>
          <w:rFonts w:hint="eastAsia" w:ascii="仿宋" w:hAnsi="仿宋" w:eastAsia="仿宋" w:cs="仿宋"/>
          <w:snapToGrid w:val="0"/>
          <w:color w:val="auto"/>
          <w:spacing w:val="6"/>
          <w:kern w:val="0"/>
          <w:sz w:val="31"/>
          <w:szCs w:val="31"/>
          <w:lang w:val="en-US" w:eastAsia="en-US" w:bidi="ar-SA"/>
        </w:rPr>
        <w:t>早餐1元、中餐</w:t>
      </w:r>
      <w:r>
        <w:rPr>
          <w:rFonts w:hint="eastAsia" w:ascii="仿宋" w:hAnsi="仿宋" w:eastAsia="仿宋" w:cs="仿宋"/>
          <w:snapToGrid w:val="0"/>
          <w:color w:val="auto"/>
          <w:spacing w:val="6"/>
          <w:kern w:val="0"/>
          <w:sz w:val="31"/>
          <w:szCs w:val="31"/>
          <w:lang w:val="en-US" w:eastAsia="zh-CN" w:bidi="ar-SA"/>
        </w:rPr>
        <w:t>6</w:t>
      </w:r>
      <w:r>
        <w:rPr>
          <w:rFonts w:hint="eastAsia" w:ascii="仿宋" w:hAnsi="仿宋" w:eastAsia="仿宋" w:cs="仿宋"/>
          <w:snapToGrid w:val="0"/>
          <w:color w:val="auto"/>
          <w:spacing w:val="6"/>
          <w:kern w:val="0"/>
          <w:sz w:val="31"/>
          <w:szCs w:val="31"/>
          <w:lang w:val="en-US" w:eastAsia="en-US" w:bidi="ar-SA"/>
        </w:rPr>
        <w:t>元）</w:t>
      </w:r>
      <w:r>
        <w:rPr>
          <w:rFonts w:hint="eastAsia" w:ascii="仿宋" w:hAnsi="仿宋" w:eastAsia="仿宋" w:cs="仿宋"/>
          <w:snapToGrid w:val="0"/>
          <w:color w:val="auto"/>
          <w:spacing w:val="6"/>
          <w:kern w:val="0"/>
          <w:sz w:val="31"/>
          <w:szCs w:val="31"/>
          <w:lang w:val="en-US" w:eastAsia="zh-CN" w:bidi="ar-SA"/>
        </w:rPr>
        <w:t>】。</w:t>
      </w:r>
      <w:r>
        <w:rPr>
          <w:rFonts w:hint="eastAsia" w:ascii="仿宋" w:hAnsi="仿宋" w:eastAsia="仿宋" w:cs="仿宋"/>
          <w:snapToGrid w:val="0"/>
          <w:color w:val="auto"/>
          <w:spacing w:val="6"/>
          <w:kern w:val="0"/>
          <w:sz w:val="31"/>
          <w:szCs w:val="31"/>
          <w:lang w:val="en-US" w:eastAsia="en-US" w:bidi="ar-SA"/>
        </w:rPr>
        <w:t>每月按22天缴纳伙食费；</w:t>
      </w:r>
    </w:p>
    <w:p w14:paraId="55DEA131">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w:t>
      </w:r>
      <w:r>
        <w:rPr>
          <w:rFonts w:hint="eastAsia" w:ascii="仿宋" w:hAnsi="仿宋" w:eastAsia="仿宋" w:cs="仿宋"/>
          <w:snapToGrid w:val="0"/>
          <w:color w:val="auto"/>
          <w:spacing w:val="6"/>
          <w:kern w:val="0"/>
          <w:sz w:val="31"/>
          <w:szCs w:val="31"/>
          <w:lang w:val="en-US" w:eastAsia="zh-CN" w:bidi="ar-SA"/>
        </w:rPr>
        <w:t>4</w:t>
      </w:r>
      <w:r>
        <w:rPr>
          <w:rFonts w:hint="eastAsia" w:ascii="仿宋" w:hAnsi="仿宋" w:eastAsia="仿宋" w:cs="仿宋"/>
          <w:snapToGrid w:val="0"/>
          <w:color w:val="auto"/>
          <w:spacing w:val="6"/>
          <w:kern w:val="0"/>
          <w:sz w:val="31"/>
          <w:szCs w:val="31"/>
          <w:lang w:val="en-US" w:eastAsia="en-US" w:bidi="ar-SA"/>
        </w:rPr>
        <w:t>)取餐方式：14个社区各社区4个保温桶，</w:t>
      </w:r>
      <w:r>
        <w:rPr>
          <w:rFonts w:hint="eastAsia" w:ascii="仿宋" w:hAnsi="仿宋" w:eastAsia="仿宋" w:cs="仿宋"/>
          <w:snapToGrid w:val="0"/>
          <w:color w:val="auto"/>
          <w:spacing w:val="6"/>
          <w:kern w:val="0"/>
          <w:sz w:val="31"/>
          <w:szCs w:val="31"/>
          <w:lang w:val="en-US" w:eastAsia="zh-CN" w:bidi="ar-SA"/>
        </w:rPr>
        <w:t>社区</w:t>
      </w:r>
      <w:r>
        <w:rPr>
          <w:rFonts w:hint="eastAsia" w:ascii="仿宋" w:hAnsi="仿宋" w:eastAsia="仿宋" w:cs="仿宋"/>
          <w:snapToGrid w:val="0"/>
          <w:color w:val="auto"/>
          <w:spacing w:val="6"/>
          <w:kern w:val="0"/>
          <w:sz w:val="31"/>
          <w:szCs w:val="31"/>
          <w:lang w:val="en-US" w:eastAsia="en-US" w:bidi="ar-SA"/>
        </w:rPr>
        <w:t>自行配备</w:t>
      </w:r>
      <w:r>
        <w:rPr>
          <w:rFonts w:hint="eastAsia" w:ascii="仿宋" w:hAnsi="仿宋" w:eastAsia="仿宋" w:cs="仿宋"/>
          <w:snapToGrid w:val="0"/>
          <w:color w:val="auto"/>
          <w:spacing w:val="6"/>
          <w:kern w:val="0"/>
          <w:sz w:val="31"/>
          <w:szCs w:val="31"/>
          <w:lang w:val="en-US" w:eastAsia="zh-CN" w:bidi="ar-SA"/>
        </w:rPr>
        <w:t>。</w:t>
      </w:r>
      <w:r>
        <w:rPr>
          <w:rFonts w:hint="eastAsia" w:ascii="仿宋" w:hAnsi="仿宋" w:eastAsia="仿宋" w:cs="仿宋"/>
          <w:snapToGrid w:val="0"/>
          <w:color w:val="auto"/>
          <w:spacing w:val="6"/>
          <w:kern w:val="0"/>
          <w:sz w:val="31"/>
          <w:szCs w:val="31"/>
          <w:lang w:val="en-US" w:eastAsia="en-US" w:bidi="ar-SA"/>
        </w:rPr>
        <w:t>每天开饭时间段前往炉院街街道三楼食堂取餐，乙方要保障社区工作人员餐食的温度和保鲜，并达到工作人员用餐的满意度。</w:t>
      </w:r>
    </w:p>
    <w:p w14:paraId="707004F2">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w:t>
      </w:r>
      <w:r>
        <w:rPr>
          <w:rFonts w:hint="eastAsia" w:ascii="仿宋" w:hAnsi="仿宋" w:eastAsia="仿宋" w:cs="仿宋"/>
          <w:snapToGrid w:val="0"/>
          <w:color w:val="auto"/>
          <w:spacing w:val="6"/>
          <w:kern w:val="0"/>
          <w:sz w:val="31"/>
          <w:szCs w:val="31"/>
          <w:lang w:val="en-US" w:eastAsia="zh-CN" w:bidi="ar-SA"/>
        </w:rPr>
        <w:t>5</w:t>
      </w:r>
      <w:r>
        <w:rPr>
          <w:rFonts w:hint="eastAsia" w:ascii="仿宋" w:hAnsi="仿宋" w:eastAsia="仿宋" w:cs="仿宋"/>
          <w:snapToGrid w:val="0"/>
          <w:color w:val="auto"/>
          <w:spacing w:val="6"/>
          <w:kern w:val="0"/>
          <w:sz w:val="31"/>
          <w:szCs w:val="31"/>
          <w:lang w:val="en-US" w:eastAsia="en-US" w:bidi="ar-SA"/>
        </w:rPr>
        <w:t>)就餐时间：</w:t>
      </w:r>
    </w:p>
    <w:p w14:paraId="13BD70DB">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1、</w:t>
      </w:r>
      <w:r>
        <w:rPr>
          <w:rFonts w:hint="eastAsia" w:ascii="仿宋" w:hAnsi="仿宋" w:eastAsia="仿宋" w:cs="仿宋"/>
          <w:snapToGrid w:val="0"/>
          <w:color w:val="auto"/>
          <w:spacing w:val="6"/>
          <w:kern w:val="0"/>
          <w:sz w:val="28"/>
          <w:szCs w:val="28"/>
          <w:lang w:val="en-US" w:eastAsia="en-US" w:bidi="ar-SA"/>
        </w:rPr>
        <w:t>早餐供应时间全年在规定工作日内为9：</w:t>
      </w:r>
      <w:r>
        <w:rPr>
          <w:rFonts w:hint="eastAsia" w:ascii="仿宋" w:hAnsi="仿宋" w:eastAsia="仿宋" w:cs="仿宋"/>
          <w:snapToGrid w:val="0"/>
          <w:color w:val="auto"/>
          <w:spacing w:val="6"/>
          <w:kern w:val="0"/>
          <w:sz w:val="28"/>
          <w:szCs w:val="28"/>
          <w:lang w:val="en-US" w:eastAsia="zh-CN" w:bidi="ar-SA"/>
        </w:rPr>
        <w:t>2</w:t>
      </w:r>
      <w:r>
        <w:rPr>
          <w:rFonts w:hint="eastAsia" w:ascii="仿宋" w:hAnsi="仿宋" w:eastAsia="仿宋" w:cs="仿宋"/>
          <w:snapToGrid w:val="0"/>
          <w:color w:val="auto"/>
          <w:spacing w:val="6"/>
          <w:kern w:val="0"/>
          <w:sz w:val="28"/>
          <w:szCs w:val="28"/>
          <w:lang w:val="en-US" w:eastAsia="en-US" w:bidi="ar-SA"/>
        </w:rPr>
        <w:t>0至10：</w:t>
      </w:r>
      <w:r>
        <w:rPr>
          <w:rFonts w:hint="eastAsia" w:ascii="仿宋" w:hAnsi="仿宋" w:eastAsia="仿宋" w:cs="仿宋"/>
          <w:snapToGrid w:val="0"/>
          <w:color w:val="auto"/>
          <w:spacing w:val="6"/>
          <w:kern w:val="0"/>
          <w:sz w:val="28"/>
          <w:szCs w:val="28"/>
          <w:lang w:val="en-US" w:eastAsia="zh-CN" w:bidi="ar-SA"/>
        </w:rPr>
        <w:t>2</w:t>
      </w:r>
      <w:r>
        <w:rPr>
          <w:rFonts w:hint="eastAsia" w:ascii="仿宋" w:hAnsi="仿宋" w:eastAsia="仿宋" w:cs="仿宋"/>
          <w:snapToGrid w:val="0"/>
          <w:color w:val="auto"/>
          <w:spacing w:val="6"/>
          <w:kern w:val="0"/>
          <w:sz w:val="28"/>
          <w:szCs w:val="28"/>
          <w:lang w:val="en-US" w:eastAsia="en-US" w:bidi="ar-SA"/>
        </w:rPr>
        <w:t>0</w:t>
      </w:r>
      <w:r>
        <w:rPr>
          <w:rFonts w:hint="eastAsia" w:ascii="仿宋" w:hAnsi="仿宋" w:eastAsia="仿宋" w:cs="仿宋"/>
          <w:snapToGrid w:val="0"/>
          <w:color w:val="auto"/>
          <w:spacing w:val="6"/>
          <w:kern w:val="0"/>
          <w:sz w:val="31"/>
          <w:szCs w:val="31"/>
          <w:lang w:val="en-US" w:eastAsia="en-US" w:bidi="ar-SA"/>
        </w:rPr>
        <w:t>；午餐供应时间全年在规定工作日内为13：</w:t>
      </w:r>
      <w:r>
        <w:rPr>
          <w:rFonts w:hint="eastAsia" w:ascii="仿宋" w:hAnsi="仿宋" w:eastAsia="仿宋" w:cs="仿宋"/>
          <w:snapToGrid w:val="0"/>
          <w:color w:val="auto"/>
          <w:spacing w:val="6"/>
          <w:kern w:val="0"/>
          <w:sz w:val="31"/>
          <w:szCs w:val="31"/>
          <w:lang w:val="en-US" w:eastAsia="zh-CN" w:bidi="ar-SA"/>
        </w:rPr>
        <w:t>0</w:t>
      </w:r>
      <w:r>
        <w:rPr>
          <w:rFonts w:hint="eastAsia" w:ascii="仿宋" w:hAnsi="仿宋" w:eastAsia="仿宋" w:cs="仿宋"/>
          <w:snapToGrid w:val="0"/>
          <w:color w:val="auto"/>
          <w:spacing w:val="6"/>
          <w:kern w:val="0"/>
          <w:sz w:val="31"/>
          <w:szCs w:val="31"/>
          <w:lang w:val="en-US" w:eastAsia="en-US" w:bidi="ar-SA"/>
        </w:rPr>
        <w:t>0至14：30。乙方必须保证按时开餐，且不得提前闭餐，保证每位就餐干部职工都能吃上饭，吃热饭。</w:t>
      </w:r>
    </w:p>
    <w:p w14:paraId="2B59473C">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2、乙方需承担甲方临时安排的工作餐、加班餐保障任务。具体标准甲方将提前告知乙方。</w:t>
      </w:r>
    </w:p>
    <w:p w14:paraId="42AFDBF9">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zh-CN" w:bidi="ar-SA"/>
        </w:rPr>
        <w:t>（6）</w:t>
      </w:r>
      <w:r>
        <w:rPr>
          <w:rFonts w:hint="eastAsia" w:ascii="仿宋" w:hAnsi="仿宋" w:eastAsia="仿宋" w:cs="仿宋"/>
          <w:snapToGrid w:val="0"/>
          <w:color w:val="auto"/>
          <w:spacing w:val="6"/>
          <w:kern w:val="0"/>
          <w:sz w:val="31"/>
          <w:szCs w:val="31"/>
          <w:lang w:val="en-US" w:eastAsia="en-US" w:bidi="ar-SA"/>
        </w:rPr>
        <w:t>具体要求</w:t>
      </w:r>
    </w:p>
    <w:p w14:paraId="042BF678">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（一）食材及辅料采购。</w:t>
      </w:r>
    </w:p>
    <w:p w14:paraId="352B85C0">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所购买的食材和辅料、调料等必须符合国家食品安全标准和质量认证，保证天然健康,食用油必须使用国家食品安全放心产品，不得使用棉籽油及转基因食用油。购买本地牛羊肉及鱼类产品,不得使用来自疫区和污染区的国(境)外冷库冷链产品，尤其是海产品，必须严格执行国家《食品安全法》有关标准。</w:t>
      </w:r>
    </w:p>
    <w:p w14:paraId="06D22593">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（二）食谱及菜品要求。</w:t>
      </w:r>
    </w:p>
    <w:p w14:paraId="771F00B2">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每周更换一次食谱，每月更换一轮。早、中餐配备要求如下：</w:t>
      </w:r>
    </w:p>
    <w:p w14:paraId="3BF06A07">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（1）早餐标准：主食类别至少1-2种，小菜类别至少1-2种，汤类（奶茶，稀饭，小米粥，杂粮粥，牛奶等）至少1种，每日提供鸡蛋。</w:t>
      </w:r>
    </w:p>
    <w:p w14:paraId="038CC119">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2）午餐标准：至少2种菜品，一荤一素，本餐食结构以米饭为主食基础，同时提供每日主食替换选项（包括但不限于）：面食(拌面、炒面等)、配搭时令小菜的荤抓饭、双馅组合风味包子（荤素各一）、地道臊子面等多元化选择。所有替换主食，确保营养均衡搭配。配汤类至少一种。每周至少1次新疆特色饭菜（如：大盘鸡，烧鱼，牛肉大杂烩等）。配备至少一种水果（苹果，香蕉，梨）、按人数配备酸奶。</w:t>
      </w:r>
    </w:p>
    <w:p w14:paraId="406DA10E">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（3）特殊节日前的会餐标准：以甲方要求为准，按在岗人数配餐，以米饭面食为主，其他同上，遇大型节日采取加菜模式。</w:t>
      </w:r>
    </w:p>
    <w:p w14:paraId="335AA8D3">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（4）特殊节日的用餐标准要求：在以上用餐标准的基础上，至少加配一种荤菜、一种素菜、酸奶和水果（自定）。</w:t>
      </w:r>
    </w:p>
    <w:p w14:paraId="0EB89641">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（5）周末用餐标准：餐标同上，以实际用餐人数为准核定金额。</w:t>
      </w:r>
    </w:p>
    <w:p w14:paraId="62A67205">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（6）特殊用餐情况：将提前告知乙方做好备餐（特指午餐和晚餐），并以实际用餐人数为准核定金额。</w:t>
      </w:r>
    </w:p>
    <w:p w14:paraId="450CA1FE">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（三）工作人员要求。</w:t>
      </w:r>
    </w:p>
    <w:p w14:paraId="6EDE3EA9">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w:t>
      </w:r>
      <w:r>
        <w:rPr>
          <w:rFonts w:hint="eastAsia" w:ascii="仿宋" w:hAnsi="仿宋" w:eastAsia="仿宋" w:cs="仿宋"/>
          <w:snapToGrid w:val="0"/>
          <w:color w:val="auto"/>
          <w:spacing w:val="6"/>
          <w:kern w:val="0"/>
          <w:sz w:val="31"/>
          <w:szCs w:val="31"/>
          <w:lang w:val="en-US" w:eastAsia="zh-CN" w:bidi="ar-SA"/>
        </w:rPr>
        <w:t>1</w:t>
      </w:r>
      <w:r>
        <w:rPr>
          <w:rFonts w:hint="eastAsia" w:ascii="仿宋" w:hAnsi="仿宋" w:eastAsia="仿宋" w:cs="仿宋"/>
          <w:snapToGrid w:val="0"/>
          <w:color w:val="auto"/>
          <w:spacing w:val="6"/>
          <w:kern w:val="0"/>
          <w:sz w:val="31"/>
          <w:szCs w:val="31"/>
          <w:lang w:val="en-US" w:eastAsia="en-US" w:bidi="ar-SA"/>
        </w:rPr>
        <w:t>）从业人员应持证上岗，并提供个人身份证、健康证、厨师证、无犯罪记录证明等证件资料。</w:t>
      </w:r>
    </w:p>
    <w:p w14:paraId="15756BCE">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w:t>
      </w:r>
      <w:r>
        <w:rPr>
          <w:rFonts w:hint="eastAsia" w:ascii="仿宋" w:hAnsi="仿宋" w:eastAsia="仿宋" w:cs="仿宋"/>
          <w:snapToGrid w:val="0"/>
          <w:color w:val="auto"/>
          <w:spacing w:val="6"/>
          <w:kern w:val="0"/>
          <w:sz w:val="31"/>
          <w:szCs w:val="31"/>
          <w:lang w:val="en-US" w:eastAsia="zh-CN" w:bidi="ar-SA"/>
        </w:rPr>
        <w:t>2</w:t>
      </w:r>
      <w:r>
        <w:rPr>
          <w:rFonts w:hint="eastAsia" w:ascii="仿宋" w:hAnsi="仿宋" w:eastAsia="仿宋" w:cs="仿宋"/>
          <w:snapToGrid w:val="0"/>
          <w:color w:val="auto"/>
          <w:spacing w:val="6"/>
          <w:kern w:val="0"/>
          <w:sz w:val="31"/>
          <w:szCs w:val="31"/>
          <w:lang w:val="en-US" w:eastAsia="en-US" w:bidi="ar-SA"/>
        </w:rPr>
        <w:t>）在合同期内最少配备</w:t>
      </w:r>
      <w:r>
        <w:rPr>
          <w:rFonts w:hint="eastAsia" w:ascii="仿宋" w:hAnsi="仿宋" w:eastAsia="仿宋" w:cs="仿宋"/>
          <w:snapToGrid w:val="0"/>
          <w:color w:val="auto"/>
          <w:spacing w:val="6"/>
          <w:kern w:val="0"/>
          <w:sz w:val="31"/>
          <w:szCs w:val="31"/>
          <w:lang w:val="en-US" w:eastAsia="zh-CN" w:bidi="ar-SA"/>
        </w:rPr>
        <w:t>5</w:t>
      </w:r>
      <w:r>
        <w:rPr>
          <w:rFonts w:hint="eastAsia" w:ascii="仿宋" w:hAnsi="仿宋" w:eastAsia="仿宋" w:cs="仿宋"/>
          <w:snapToGrid w:val="0"/>
          <w:color w:val="auto"/>
          <w:spacing w:val="6"/>
          <w:kern w:val="0"/>
          <w:sz w:val="31"/>
          <w:szCs w:val="31"/>
          <w:lang w:val="en-US" w:eastAsia="en-US" w:bidi="ar-SA"/>
        </w:rPr>
        <w:t>名工作人员（配备有资质厨师2个、面点师</w:t>
      </w:r>
      <w:r>
        <w:rPr>
          <w:rFonts w:hint="eastAsia" w:ascii="仿宋" w:hAnsi="仿宋" w:eastAsia="仿宋" w:cs="仿宋"/>
          <w:snapToGrid w:val="0"/>
          <w:color w:val="auto"/>
          <w:spacing w:val="6"/>
          <w:kern w:val="0"/>
          <w:sz w:val="31"/>
          <w:szCs w:val="31"/>
          <w:lang w:val="en-US" w:eastAsia="zh-CN" w:bidi="ar-SA"/>
        </w:rPr>
        <w:t>1</w:t>
      </w:r>
      <w:r>
        <w:rPr>
          <w:rFonts w:hint="eastAsia" w:ascii="仿宋" w:hAnsi="仿宋" w:eastAsia="仿宋" w:cs="仿宋"/>
          <w:snapToGrid w:val="0"/>
          <w:color w:val="auto"/>
          <w:spacing w:val="6"/>
          <w:kern w:val="0"/>
          <w:sz w:val="31"/>
          <w:szCs w:val="31"/>
          <w:lang w:val="en-US" w:eastAsia="en-US" w:bidi="ar-SA"/>
        </w:rPr>
        <w:t>个、配菜</w:t>
      </w:r>
      <w:r>
        <w:rPr>
          <w:rFonts w:hint="eastAsia" w:ascii="仿宋" w:hAnsi="仿宋" w:eastAsia="仿宋" w:cs="仿宋"/>
          <w:snapToGrid w:val="0"/>
          <w:color w:val="auto"/>
          <w:spacing w:val="6"/>
          <w:kern w:val="0"/>
          <w:sz w:val="31"/>
          <w:szCs w:val="31"/>
          <w:lang w:val="en-US" w:eastAsia="zh-CN" w:bidi="ar-SA"/>
        </w:rPr>
        <w:t>1</w:t>
      </w:r>
      <w:r>
        <w:rPr>
          <w:rFonts w:hint="eastAsia" w:ascii="仿宋" w:hAnsi="仿宋" w:eastAsia="仿宋" w:cs="仿宋"/>
          <w:snapToGrid w:val="0"/>
          <w:color w:val="auto"/>
          <w:spacing w:val="6"/>
          <w:kern w:val="0"/>
          <w:sz w:val="31"/>
          <w:szCs w:val="31"/>
          <w:lang w:val="en-US" w:eastAsia="en-US" w:bidi="ar-SA"/>
        </w:rPr>
        <w:t>个、厨工</w:t>
      </w:r>
      <w:r>
        <w:rPr>
          <w:rFonts w:hint="eastAsia" w:ascii="仿宋" w:hAnsi="仿宋" w:eastAsia="仿宋" w:cs="仿宋"/>
          <w:snapToGrid w:val="0"/>
          <w:color w:val="auto"/>
          <w:spacing w:val="6"/>
          <w:kern w:val="0"/>
          <w:sz w:val="31"/>
          <w:szCs w:val="31"/>
          <w:lang w:val="en-US" w:eastAsia="zh-CN" w:bidi="ar-SA"/>
        </w:rPr>
        <w:t>1</w:t>
      </w:r>
      <w:r>
        <w:rPr>
          <w:rFonts w:hint="eastAsia" w:ascii="仿宋" w:hAnsi="仿宋" w:eastAsia="仿宋" w:cs="仿宋"/>
          <w:snapToGrid w:val="0"/>
          <w:color w:val="auto"/>
          <w:spacing w:val="6"/>
          <w:kern w:val="0"/>
          <w:sz w:val="31"/>
          <w:szCs w:val="31"/>
          <w:lang w:val="en-US" w:eastAsia="en-US" w:bidi="ar-SA"/>
        </w:rPr>
        <w:t>个），确保食堂工作正常运行，期间不得随意更换甲方认可的主要厨师。对于甲方不满意的厨师和其他人员应当及时予以更换。</w:t>
      </w:r>
    </w:p>
    <w:p w14:paraId="52FB4C56">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w:t>
      </w:r>
      <w:r>
        <w:rPr>
          <w:rFonts w:hint="eastAsia" w:ascii="仿宋" w:hAnsi="仿宋" w:eastAsia="仿宋" w:cs="仿宋"/>
          <w:snapToGrid w:val="0"/>
          <w:color w:val="auto"/>
          <w:spacing w:val="6"/>
          <w:kern w:val="0"/>
          <w:sz w:val="31"/>
          <w:szCs w:val="31"/>
          <w:lang w:val="en-US" w:eastAsia="zh-CN" w:bidi="ar-SA"/>
        </w:rPr>
        <w:t>3</w:t>
      </w:r>
      <w:r>
        <w:rPr>
          <w:rFonts w:hint="eastAsia" w:ascii="仿宋" w:hAnsi="仿宋" w:eastAsia="仿宋" w:cs="仿宋"/>
          <w:snapToGrid w:val="0"/>
          <w:color w:val="auto"/>
          <w:spacing w:val="6"/>
          <w:kern w:val="0"/>
          <w:sz w:val="31"/>
          <w:szCs w:val="31"/>
          <w:lang w:val="en-US" w:eastAsia="en-US" w:bidi="ar-SA"/>
        </w:rPr>
        <w:t>）工作人员必须统一着装，个人仪容仪表符合卫生制度标准，并严格遵守各项规章制度。</w:t>
      </w:r>
    </w:p>
    <w:p w14:paraId="6F8816E4">
      <w:pPr>
        <w:keepNext w:val="0"/>
        <w:keepLines w:val="0"/>
        <w:pageBreakBefore w:val="0"/>
        <w:widowControl/>
        <w:kinsoku w:val="0"/>
        <w:wordWrap/>
        <w:overflowPunct/>
        <w:topLinePunct/>
        <w:autoSpaceDE w:val="0"/>
        <w:autoSpaceDN w:val="0"/>
        <w:bidi w:val="0"/>
        <w:adjustRightInd w:val="0"/>
        <w:snapToGrid w:val="0"/>
        <w:spacing w:before="150" w:line="222" w:lineRule="auto"/>
        <w:ind w:left="839"/>
        <w:jc w:val="left"/>
        <w:textAlignment w:val="baseline"/>
        <w:outlineLvl w:val="2"/>
        <w:rPr>
          <w:rFonts w:hint="eastAsia" w:ascii="仿宋" w:hAnsi="仿宋" w:eastAsia="仿宋" w:cs="仿宋"/>
          <w:snapToGrid w:val="0"/>
          <w:color w:val="auto"/>
          <w:kern w:val="0"/>
          <w:sz w:val="31"/>
          <w:szCs w:val="31"/>
          <w:lang w:val="en-US" w:eastAsia="en-US" w:bidi="ar-SA"/>
        </w:rPr>
      </w:pPr>
      <w:r>
        <w:rPr>
          <w:rFonts w:hint="eastAsia" w:ascii="仿宋" w:hAnsi="仿宋" w:eastAsia="仿宋" w:cs="仿宋"/>
          <w:b/>
          <w:bCs/>
          <w:snapToGrid w:val="0"/>
          <w:color w:val="auto"/>
          <w:spacing w:val="14"/>
          <w:kern w:val="0"/>
          <w:sz w:val="31"/>
          <w:szCs w:val="31"/>
          <w:lang w:val="en-US" w:eastAsia="en-US" w:bidi="ar-SA"/>
        </w:rPr>
        <w:t>第三条服务费用及支付方式</w:t>
      </w:r>
    </w:p>
    <w:p w14:paraId="51A8716C">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auto"/>
          <w:spacing w:val="6"/>
          <w:kern w:val="0"/>
          <w:sz w:val="31"/>
          <w:szCs w:val="31"/>
          <w:lang w:val="en-US" w:eastAsia="en-US" w:bidi="ar-SA"/>
        </w:rPr>
      </w:pPr>
      <w:r>
        <w:rPr>
          <w:rFonts w:hint="eastAsia" w:ascii="仿宋" w:hAnsi="仿宋" w:eastAsia="仿宋" w:cs="仿宋"/>
          <w:snapToGrid w:val="0"/>
          <w:color w:val="auto"/>
          <w:spacing w:val="6"/>
          <w:kern w:val="0"/>
          <w:sz w:val="31"/>
          <w:szCs w:val="31"/>
          <w:lang w:val="en-US" w:eastAsia="en-US" w:bidi="ar-SA"/>
        </w:rPr>
        <w:t>1、乙方所收费用用于项目餐饮运营费用支出(包括：人员成本支出、食材采购、粮油采购等全部费用),结算方式以报餐人数为准，乙方每月按照双方核实后的该月应付款项提供相应的合法有效发票，甲方收到发票后5日内支付费用。(甲方每月从运营费中扣除2000元维修基金费用，根据维修情况，定期返还剩余费用)。</w:t>
      </w:r>
    </w:p>
    <w:p w14:paraId="301837BD">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2、收款信息：</w:t>
      </w:r>
    </w:p>
    <w:p w14:paraId="3826FD5C">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zh-CN" w:bidi="ar-SA"/>
        </w:rPr>
      </w:pPr>
      <w:r>
        <w:rPr>
          <w:rFonts w:hint="eastAsia" w:ascii="仿宋" w:hAnsi="仿宋" w:eastAsia="仿宋" w:cs="仿宋"/>
          <w:snapToGrid w:val="0"/>
          <w:color w:val="000000"/>
          <w:spacing w:val="6"/>
          <w:kern w:val="0"/>
          <w:sz w:val="31"/>
          <w:szCs w:val="31"/>
          <w:lang w:val="en-US" w:eastAsia="en-US" w:bidi="ar-SA"/>
        </w:rPr>
        <w:t>公司名称：</w:t>
      </w:r>
    </w:p>
    <w:p w14:paraId="56C4B912">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收款账号：</w:t>
      </w:r>
    </w:p>
    <w:p w14:paraId="0181C970">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开户行：</w:t>
      </w:r>
    </w:p>
    <w:p w14:paraId="6509B2CE">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p>
    <w:p w14:paraId="760193D1">
      <w:pPr>
        <w:keepNext w:val="0"/>
        <w:keepLines w:val="0"/>
        <w:pageBreakBefore w:val="0"/>
        <w:widowControl/>
        <w:kinsoku w:val="0"/>
        <w:wordWrap/>
        <w:overflowPunct/>
        <w:topLinePunct/>
        <w:autoSpaceDE w:val="0"/>
        <w:autoSpaceDN w:val="0"/>
        <w:bidi w:val="0"/>
        <w:adjustRightInd w:val="0"/>
        <w:snapToGrid w:val="0"/>
        <w:spacing w:before="100" w:line="298" w:lineRule="auto"/>
        <w:ind w:firstLine="646" w:firstLineChars="200"/>
        <w:jc w:val="left"/>
        <w:textAlignment w:val="baseline"/>
        <w:rPr>
          <w:rFonts w:hint="eastAsia" w:ascii="仿宋" w:hAnsi="仿宋" w:eastAsia="仿宋" w:cs="仿宋"/>
          <w:b/>
          <w:bCs/>
          <w:snapToGrid w:val="0"/>
          <w:color w:val="000000"/>
          <w:spacing w:val="6"/>
          <w:kern w:val="0"/>
          <w:sz w:val="31"/>
          <w:szCs w:val="31"/>
          <w:lang w:val="en-US" w:eastAsia="en-US" w:bidi="ar-SA"/>
        </w:rPr>
      </w:pPr>
      <w:r>
        <w:rPr>
          <w:rFonts w:hint="eastAsia" w:ascii="仿宋" w:hAnsi="仿宋" w:eastAsia="仿宋" w:cs="仿宋"/>
          <w:b/>
          <w:bCs/>
          <w:snapToGrid w:val="0"/>
          <w:color w:val="000000"/>
          <w:spacing w:val="6"/>
          <w:kern w:val="0"/>
          <w:sz w:val="31"/>
          <w:szCs w:val="31"/>
          <w:lang w:val="en-US" w:eastAsia="en-US" w:bidi="ar-SA"/>
        </w:rPr>
        <w:t>第四条</w:t>
      </w:r>
      <w:r>
        <w:rPr>
          <w:rFonts w:hint="eastAsia" w:ascii="仿宋" w:hAnsi="仿宋" w:eastAsia="仿宋" w:cs="仿宋"/>
          <w:b/>
          <w:bCs/>
          <w:snapToGrid w:val="0"/>
          <w:color w:val="000000"/>
          <w:spacing w:val="6"/>
          <w:kern w:val="0"/>
          <w:sz w:val="31"/>
          <w:szCs w:val="31"/>
          <w:lang w:val="en-US" w:eastAsia="zh-CN" w:bidi="ar-SA"/>
        </w:rPr>
        <w:t>：</w:t>
      </w:r>
      <w:r>
        <w:rPr>
          <w:rFonts w:hint="eastAsia" w:ascii="仿宋" w:hAnsi="仿宋" w:eastAsia="仿宋" w:cs="仿宋"/>
          <w:b/>
          <w:bCs/>
          <w:snapToGrid w:val="0"/>
          <w:color w:val="000000"/>
          <w:spacing w:val="6"/>
          <w:kern w:val="0"/>
          <w:sz w:val="31"/>
          <w:szCs w:val="31"/>
          <w:lang w:val="en-US" w:eastAsia="en-US" w:bidi="ar-SA"/>
        </w:rPr>
        <w:t>甲方的权力/义务</w:t>
      </w:r>
    </w:p>
    <w:p w14:paraId="77EA2BA7">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zh-CN" w:bidi="ar-SA"/>
        </w:rPr>
        <w:t>1、</w:t>
      </w:r>
      <w:r>
        <w:rPr>
          <w:rFonts w:hint="eastAsia" w:ascii="仿宋" w:hAnsi="仿宋" w:eastAsia="仿宋" w:cs="仿宋"/>
          <w:snapToGrid w:val="0"/>
          <w:color w:val="000000"/>
          <w:spacing w:val="6"/>
          <w:kern w:val="0"/>
          <w:sz w:val="31"/>
          <w:szCs w:val="31"/>
          <w:lang w:val="en-US" w:eastAsia="en-US" w:bidi="ar-SA"/>
        </w:rPr>
        <w:t>甲方有权了解乙方的食品生产流程，并可以对食品生产及服务随时进行监督检查，有权对下列各项进行监督检查。</w:t>
      </w:r>
    </w:p>
    <w:p w14:paraId="05BF75B1">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(1)原、辅材料的采购、主副食品的加工、制作、供应过程和情况。</w:t>
      </w:r>
    </w:p>
    <w:p w14:paraId="32EBE0D4">
      <w:pPr>
        <w:keepNext w:val="0"/>
        <w:keepLines w:val="0"/>
        <w:pageBreakBefore w:val="0"/>
        <w:widowControl/>
        <w:kinsoku/>
        <w:wordWrap/>
        <w:overflowPunct/>
        <w:topLinePunct/>
        <w:autoSpaceDE w:val="0"/>
        <w:autoSpaceDN w:val="0"/>
        <w:bidi w:val="0"/>
        <w:adjustRightInd w:val="0"/>
        <w:snapToGrid w:val="0"/>
        <w:spacing w:before="100" w:line="298" w:lineRule="auto"/>
        <w:ind w:firstLine="644" w:firstLineChars="200"/>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(2)餐厅、保洁区域、厨房、食品库、冷库、灶具、厨具、炊具等有关场所和设施的清洁卫生状况，以及食品卫生和乙方工作人员的个人卫生情况。</w:t>
      </w:r>
    </w:p>
    <w:p w14:paraId="398C4EC3">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(3)乙方工作人员与之相符的上岗证和操作水平。</w:t>
      </w:r>
    </w:p>
    <w:p w14:paraId="5CCA2EAA">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(4)甲方提供相应的现有的设备、设施。</w:t>
      </w:r>
    </w:p>
    <w:p w14:paraId="784797F4">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(5)治安、消防措施和落实情况，乙方人员遵守甲方相关规章制度及服务情况。</w:t>
      </w:r>
    </w:p>
    <w:p w14:paraId="2B26D671">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2、甲方在不影响乙方正常生产经营的情况下，依照国家及城市餐饮、卫生主管部门的法律、法规及本合同约定，对乙方进货情况进行监督检查，有权要求乙方对违约行为进行整改。</w:t>
      </w:r>
    </w:p>
    <w:p w14:paraId="48970DB7">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3、如果乙方的雇员在甲方工作地点提供服务时，未能</w:t>
      </w:r>
      <w:r>
        <w:rPr>
          <w:rFonts w:hint="eastAsia" w:ascii="仿宋" w:hAnsi="仿宋" w:eastAsia="仿宋" w:cs="仿宋"/>
          <w:snapToGrid w:val="0"/>
          <w:color w:val="000000"/>
          <w:spacing w:val="6"/>
          <w:kern w:val="0"/>
          <w:sz w:val="28"/>
          <w:szCs w:val="28"/>
          <w:lang w:val="en-US" w:eastAsia="en-US" w:bidi="ar-SA"/>
        </w:rPr>
        <w:t>遵照甲方提出的有关要求或不符合乙方承诺的服务人员标准</w:t>
      </w:r>
      <w:r>
        <w:rPr>
          <w:rFonts w:hint="eastAsia" w:ascii="仿宋" w:hAnsi="仿宋" w:eastAsia="仿宋" w:cs="仿宋"/>
          <w:snapToGrid w:val="0"/>
          <w:color w:val="000000"/>
          <w:spacing w:val="6"/>
          <w:kern w:val="0"/>
          <w:sz w:val="31"/>
          <w:szCs w:val="31"/>
          <w:lang w:val="en-US" w:eastAsia="en-US" w:bidi="ar-SA"/>
        </w:rPr>
        <w:t>，则甲方有权要求乙方更换该等雇员。</w:t>
      </w:r>
    </w:p>
    <w:p w14:paraId="2269F258">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4、当乙方违反合同时，甲方有权以书面形式发出限期整改工作的警告。</w:t>
      </w:r>
    </w:p>
    <w:p w14:paraId="699ACE76">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5、甲方尽可能为乙方提供乙方因向甲方提供餐服务而需要的便利条件。</w:t>
      </w:r>
    </w:p>
    <w:p w14:paraId="511FA22A">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6、甲方可以在其认为合适的任何时间按照自己的意愿对场所和乙方的服务进行检查。</w:t>
      </w:r>
    </w:p>
    <w:p w14:paraId="12058345">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7、甲方对餐厅区域负有以下责任：</w:t>
      </w:r>
    </w:p>
    <w:p w14:paraId="406179AA">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(1)向乙方提供就餐服务有效运作所必须的热能、照明、水源及空调，乙方在使用上述能源时应遵循节约原则，甲方负责交费。甲方不定期对能源使用状况检查，对违反规定的操作要求乙方整改。</w:t>
      </w:r>
    </w:p>
    <w:p w14:paraId="0EE87B02">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w:t>
      </w:r>
      <w:r>
        <w:rPr>
          <w:rFonts w:hint="eastAsia" w:ascii="仿宋" w:hAnsi="仿宋" w:eastAsia="仿宋" w:cs="仿宋"/>
          <w:snapToGrid w:val="0"/>
          <w:color w:val="000000"/>
          <w:spacing w:val="6"/>
          <w:kern w:val="0"/>
          <w:sz w:val="31"/>
          <w:szCs w:val="31"/>
          <w:lang w:val="en-US" w:eastAsia="zh-CN" w:bidi="ar-SA"/>
        </w:rPr>
        <w:t>2</w:t>
      </w:r>
      <w:r>
        <w:rPr>
          <w:rFonts w:hint="eastAsia" w:ascii="仿宋" w:hAnsi="仿宋" w:eastAsia="仿宋" w:cs="仿宋"/>
          <w:snapToGrid w:val="0"/>
          <w:color w:val="000000"/>
          <w:spacing w:val="6"/>
          <w:kern w:val="0"/>
          <w:sz w:val="31"/>
          <w:szCs w:val="31"/>
          <w:lang w:val="en-US" w:eastAsia="en-US" w:bidi="ar-SA"/>
        </w:rPr>
        <w:t>)餐厅就餐期间所产生的水费，电费、取暖费由甲方承担，乙方承担燃气燃油费用。</w:t>
      </w:r>
    </w:p>
    <w:p w14:paraId="3366CE32">
      <w:pPr>
        <w:keepNext w:val="0"/>
        <w:keepLines w:val="0"/>
        <w:pageBreakBefore w:val="0"/>
        <w:widowControl/>
        <w:kinsoku w:val="0"/>
        <w:wordWrap/>
        <w:overflowPunct/>
        <w:topLinePunct/>
        <w:autoSpaceDE w:val="0"/>
        <w:autoSpaceDN w:val="0"/>
        <w:bidi w:val="0"/>
        <w:adjustRightInd w:val="0"/>
        <w:snapToGrid w:val="0"/>
        <w:spacing w:before="100" w:line="298" w:lineRule="auto"/>
        <w:ind w:firstLine="646" w:firstLineChars="200"/>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b/>
          <w:bCs/>
          <w:snapToGrid w:val="0"/>
          <w:color w:val="000000"/>
          <w:spacing w:val="6"/>
          <w:kern w:val="0"/>
          <w:sz w:val="31"/>
          <w:szCs w:val="31"/>
          <w:lang w:val="en-US" w:eastAsia="en-US" w:bidi="ar-SA"/>
        </w:rPr>
        <w:t>第五条</w:t>
      </w:r>
      <w:r>
        <w:rPr>
          <w:rFonts w:hint="eastAsia" w:ascii="仿宋" w:hAnsi="仿宋" w:eastAsia="仿宋" w:cs="仿宋"/>
          <w:b/>
          <w:bCs/>
          <w:snapToGrid w:val="0"/>
          <w:color w:val="000000"/>
          <w:spacing w:val="6"/>
          <w:kern w:val="0"/>
          <w:sz w:val="31"/>
          <w:szCs w:val="31"/>
          <w:lang w:val="en-US" w:eastAsia="zh-CN" w:bidi="ar-SA"/>
        </w:rPr>
        <w:t>：</w:t>
      </w:r>
      <w:r>
        <w:rPr>
          <w:rFonts w:hint="eastAsia" w:ascii="仿宋" w:hAnsi="仿宋" w:eastAsia="仿宋" w:cs="仿宋"/>
          <w:b/>
          <w:bCs/>
          <w:snapToGrid w:val="0"/>
          <w:color w:val="000000"/>
          <w:spacing w:val="6"/>
          <w:kern w:val="0"/>
          <w:sz w:val="31"/>
          <w:szCs w:val="31"/>
          <w:lang w:val="en-US" w:eastAsia="en-US" w:bidi="ar-SA"/>
        </w:rPr>
        <w:t>乙方的权利/义务</w:t>
      </w:r>
    </w:p>
    <w:p w14:paraId="469F84A6">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乙方有权根据本协议及相关法律维护自身合法权益。并且乙方在甲方的物业管理范围内享有专业服务工作的权利。</w:t>
      </w:r>
    </w:p>
    <w:p w14:paraId="3B84094B">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乙方有权使用餐厅内的公共设施及附属设施，如有损坏及时通知甲方，并赔偿因其不正当使用所导致损坏的损失，并对食堂的改造及设备设施的投入(新能源植物油灶具、厨具、冰箱、刀具、案板等),投入费用由乙方承担。</w:t>
      </w:r>
    </w:p>
    <w:p w14:paraId="461BE80B">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2、乙方向甲方提供有益健康且营养的食物，乙方应提前一周向甲方提供下周菜谱。</w:t>
      </w:r>
    </w:p>
    <w:p w14:paraId="471A3D90">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3、乙方严格遵守国家《食品卫生法》及相关单位卫生法规要求，上岗人员必须持健康证上岗，并定期进行体检，体检的结果知会甲方备案。</w:t>
      </w:r>
    </w:p>
    <w:p w14:paraId="69D0E524">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4、乙方严格按照甲方提出的供餐时间和就餐人数准时供餐，负责供餐时就餐员工的分餐服务。并保证甲方员工在规定时间内享用到符合标准的食品。</w:t>
      </w:r>
    </w:p>
    <w:p w14:paraId="29507422">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zh-CN" w:bidi="ar-SA"/>
        </w:rPr>
      </w:pPr>
      <w:r>
        <w:rPr>
          <w:rFonts w:hint="eastAsia" w:ascii="仿宋" w:hAnsi="仿宋" w:eastAsia="仿宋" w:cs="仿宋"/>
          <w:snapToGrid w:val="0"/>
          <w:color w:val="000000"/>
          <w:spacing w:val="6"/>
          <w:kern w:val="0"/>
          <w:sz w:val="31"/>
          <w:szCs w:val="31"/>
          <w:lang w:val="en-US" w:eastAsia="en-US" w:bidi="ar-SA"/>
        </w:rPr>
        <w:t>5、卫生检查部门对餐厅食品类进行检查的费用，由乙方承担。</w:t>
      </w:r>
    </w:p>
    <w:p w14:paraId="6E056B81">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zh-CN" w:bidi="ar-SA"/>
        </w:rPr>
      </w:pPr>
      <w:r>
        <w:rPr>
          <w:rFonts w:hint="eastAsia" w:ascii="仿宋" w:hAnsi="仿宋" w:eastAsia="仿宋" w:cs="仿宋"/>
          <w:snapToGrid w:val="0"/>
          <w:color w:val="000000"/>
          <w:spacing w:val="6"/>
          <w:kern w:val="0"/>
          <w:sz w:val="31"/>
          <w:szCs w:val="31"/>
          <w:lang w:val="en-US" w:eastAsia="en-US" w:bidi="ar-SA"/>
        </w:rPr>
        <w:t>6、乙方负责餐厅内就餐时的卫生。并服从甲方的统一管理，保持餐厅内卫生，甲方定期对食品安全进行监督。</w:t>
      </w:r>
    </w:p>
    <w:p w14:paraId="75A5CDE4">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7、乙方采用新的服务方式时，须提前三天以书面形式知会甲方并与其协商。</w:t>
      </w:r>
    </w:p>
    <w:p w14:paraId="1C6FE34F">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8、乙方有权监督并制止甲方员工的人为浪费问题，甲方餐厅管理人员有责任予以协助。</w:t>
      </w:r>
    </w:p>
    <w:p w14:paraId="631660E5">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9、乙方在供餐服务中，应杜绝食物中毒的发生。甲方员工如发生食物中毒，经检验证明属于乙方责任时，乙方应承担一切经济责任和法律责任</w:t>
      </w:r>
    </w:p>
    <w:p w14:paraId="13D52857">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10、乙方应尽力提供有履职能力的员工，所有相关费用都巳含于本合同约定的服务价款中。</w:t>
      </w:r>
    </w:p>
    <w:p w14:paraId="0BBE9AF8">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11、</w:t>
      </w:r>
      <w:r>
        <w:rPr>
          <w:rFonts w:hint="eastAsia" w:ascii="仿宋" w:hAnsi="仿宋" w:eastAsia="仿宋" w:cs="仿宋"/>
          <w:snapToGrid w:val="0"/>
          <w:color w:val="000000"/>
          <w:spacing w:val="6"/>
          <w:kern w:val="0"/>
          <w:sz w:val="28"/>
          <w:szCs w:val="28"/>
          <w:lang w:val="en-US" w:eastAsia="en-US" w:bidi="ar-SA"/>
        </w:rPr>
        <w:t>乙方有责任对所属员工进行节水、节电及安全教育</w:t>
      </w:r>
      <w:r>
        <w:rPr>
          <w:rFonts w:hint="eastAsia" w:ascii="仿宋" w:hAnsi="仿宋" w:eastAsia="仿宋" w:cs="仿宋"/>
          <w:snapToGrid w:val="0"/>
          <w:color w:val="000000"/>
          <w:spacing w:val="6"/>
          <w:kern w:val="0"/>
          <w:sz w:val="31"/>
          <w:szCs w:val="31"/>
          <w:lang w:val="en-US" w:eastAsia="en-US" w:bidi="ar-SA"/>
        </w:rPr>
        <w:t>。不允许出现长明灯及长流水情况发生。</w:t>
      </w:r>
    </w:p>
    <w:p w14:paraId="24DEBFA5">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12、乙方的营业空间</w:t>
      </w:r>
    </w:p>
    <w:p w14:paraId="07C6663C">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zh-CN" w:bidi="ar-SA"/>
        </w:rPr>
      </w:pPr>
      <w:r>
        <w:rPr>
          <w:rFonts w:hint="eastAsia" w:ascii="仿宋" w:hAnsi="仿宋" w:eastAsia="仿宋" w:cs="仿宋"/>
          <w:snapToGrid w:val="0"/>
          <w:color w:val="000000"/>
          <w:spacing w:val="6"/>
          <w:kern w:val="0"/>
          <w:sz w:val="31"/>
          <w:szCs w:val="31"/>
          <w:lang w:val="en-US" w:eastAsia="en-US" w:bidi="ar-SA"/>
        </w:rPr>
        <w:t>(1)甲方提供给乙方经营管理现有所需的食品设备、瓷器、餐具、托盘和厨房用具等。乙方负责设备和器皿的使用管理。在合同期限内，设备、设施、器物的损坏由乙方负责采购补充。乙方负责保持设备的良好，清洁卫生。</w:t>
      </w:r>
    </w:p>
    <w:p w14:paraId="1EB107AE">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(2)乙方对其在餐厅区域所存放的物资、材料、设备和乙方个人物品的任何损坏承担全部责任，因甲方的责任所造成的损坏除外。</w:t>
      </w:r>
    </w:p>
    <w:p w14:paraId="47090405">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13、菜单</w:t>
      </w:r>
    </w:p>
    <w:p w14:paraId="2012A0BC">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(1)乙方应提供合理品种的食品以供选择。</w:t>
      </w:r>
    </w:p>
    <w:p w14:paraId="27F32E92">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(2)乙方保证每一周调整菜单(食谱)种类变化。菜单可按照菜品的供应情况进行更改。</w:t>
      </w:r>
    </w:p>
    <w:p w14:paraId="2A6BC404">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14、火灾和紧急情况</w:t>
      </w:r>
    </w:p>
    <w:p w14:paraId="3DF6AA7B">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甲方提供给乙方的操作场地需符合消防要求，若发生火灾的情况，根据消防相关部门出具的《责任认定书》进行责任划分并由责任方承担损失。</w:t>
      </w:r>
      <w:r>
        <w:rPr>
          <w:rFonts w:hint="eastAsia" w:ascii="仿宋" w:hAnsi="仿宋" w:eastAsia="仿宋" w:cs="仿宋"/>
          <w:snapToGrid w:val="0"/>
          <w:color w:val="000000"/>
          <w:spacing w:val="6"/>
          <w:kern w:val="0"/>
          <w:sz w:val="28"/>
          <w:szCs w:val="28"/>
          <w:lang w:val="en-US" w:eastAsia="en-US" w:bidi="ar-SA"/>
        </w:rPr>
        <w:t>在发生火灾和其它紧急情况时</w:t>
      </w:r>
      <w:r>
        <w:rPr>
          <w:rFonts w:hint="eastAsia" w:ascii="仿宋" w:hAnsi="仿宋" w:eastAsia="仿宋" w:cs="仿宋"/>
          <w:snapToGrid w:val="0"/>
          <w:color w:val="000000"/>
          <w:spacing w:val="6"/>
          <w:kern w:val="0"/>
          <w:sz w:val="31"/>
          <w:szCs w:val="31"/>
          <w:lang w:val="en-US" w:eastAsia="en-US" w:bidi="ar-SA"/>
        </w:rPr>
        <w:t>，乙方除拨打应急救助电话外，并应立即拨叫甲方的应急电话号码和指定的代表。紧急情况发生后，甲乙双方应第一时间协商处理方案。</w:t>
      </w:r>
    </w:p>
    <w:p w14:paraId="6379087C">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15、营业场所的损毁</w:t>
      </w:r>
    </w:p>
    <w:p w14:paraId="74171DC8">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乙方应在24小时之内向甲方提交关于场所内发生的火灾或损失的书面报告及乙方收到的就建筑物内出现的人身伤害索赔通知。对于火灾及其它事故造成人身财产等损失，根据消防部门及其他权威部门调查结论，按规定承担责任。</w:t>
      </w:r>
    </w:p>
    <w:p w14:paraId="41C87812">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16、在规定的工作时间内，在乙方管辖下的区域内的安全应由乙方负责并承担相关责任。</w:t>
      </w:r>
    </w:p>
    <w:p w14:paraId="18F6635A">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17、中断服务通知</w:t>
      </w:r>
    </w:p>
    <w:p w14:paraId="1D846786">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如乙方获悉有任何事实或潜在的服务中断、会延误按照合同中规定的工作，乙方必须获悉信息后10分钟内通知甲方指定的代表。</w:t>
      </w:r>
    </w:p>
    <w:p w14:paraId="30E0786D">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18、餐厅的改造费用</w:t>
      </w:r>
    </w:p>
    <w:p w14:paraId="05795287">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因就餐人数变化增加需将餐厅场所进行重装改造，此费用由乙方全额承担，合同期满后，归乙方所有，甲方不向乙方做任何补偿。</w:t>
      </w:r>
    </w:p>
    <w:p w14:paraId="66E98CB6">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b/>
          <w:bCs/>
          <w:snapToGrid w:val="0"/>
          <w:color w:val="000000"/>
          <w:spacing w:val="6"/>
          <w:kern w:val="0"/>
          <w:sz w:val="31"/>
          <w:szCs w:val="31"/>
          <w:lang w:val="en-US" w:eastAsia="en-US" w:bidi="ar-SA"/>
        </w:rPr>
      </w:pPr>
      <w:r>
        <w:rPr>
          <w:rFonts w:hint="eastAsia" w:ascii="仿宋" w:hAnsi="仿宋" w:eastAsia="仿宋" w:cs="仿宋"/>
          <w:b/>
          <w:bCs/>
          <w:snapToGrid w:val="0"/>
          <w:color w:val="000000"/>
          <w:spacing w:val="6"/>
          <w:kern w:val="0"/>
          <w:sz w:val="31"/>
          <w:szCs w:val="31"/>
          <w:lang w:val="en-US" w:eastAsia="en-US" w:bidi="ar-SA"/>
        </w:rPr>
        <w:t>第六条</w:t>
      </w:r>
      <w:r>
        <w:rPr>
          <w:rFonts w:hint="eastAsia" w:ascii="仿宋" w:hAnsi="仿宋" w:eastAsia="仿宋" w:cs="仿宋"/>
          <w:b/>
          <w:bCs/>
          <w:snapToGrid w:val="0"/>
          <w:color w:val="000000"/>
          <w:spacing w:val="6"/>
          <w:kern w:val="0"/>
          <w:sz w:val="31"/>
          <w:szCs w:val="31"/>
          <w:lang w:val="en-US" w:eastAsia="zh-CN" w:bidi="ar-SA"/>
        </w:rPr>
        <w:t>：</w:t>
      </w:r>
      <w:r>
        <w:rPr>
          <w:rFonts w:hint="eastAsia" w:ascii="仿宋" w:hAnsi="仿宋" w:eastAsia="仿宋" w:cs="仿宋"/>
          <w:b/>
          <w:bCs/>
          <w:snapToGrid w:val="0"/>
          <w:color w:val="000000"/>
          <w:spacing w:val="6"/>
          <w:kern w:val="0"/>
          <w:sz w:val="31"/>
          <w:szCs w:val="31"/>
          <w:lang w:val="en-US" w:eastAsia="en-US" w:bidi="ar-SA"/>
        </w:rPr>
        <w:t>食品卫生</w:t>
      </w:r>
    </w:p>
    <w:p w14:paraId="50FB20BF">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1、乙方每餐将严格执行食品留样制度(保存48小时),当</w:t>
      </w:r>
      <w:r>
        <w:rPr>
          <w:rFonts w:hint="eastAsia" w:ascii="仿宋" w:hAnsi="仿宋" w:eastAsia="仿宋" w:cs="仿宋"/>
          <w:snapToGrid w:val="0"/>
          <w:color w:val="000000"/>
          <w:spacing w:val="6"/>
          <w:kern w:val="0"/>
          <w:sz w:val="28"/>
          <w:szCs w:val="28"/>
          <w:lang w:val="en-US" w:eastAsia="en-US" w:bidi="ar-SA"/>
        </w:rPr>
        <w:t>甲方接到人员有用餐后出现腹泻、呕吐、头晕等中毒信息时</w:t>
      </w:r>
      <w:r>
        <w:rPr>
          <w:rFonts w:hint="eastAsia" w:ascii="仿宋" w:hAnsi="仿宋" w:eastAsia="仿宋" w:cs="仿宋"/>
          <w:snapToGrid w:val="0"/>
          <w:color w:val="000000"/>
          <w:spacing w:val="6"/>
          <w:kern w:val="0"/>
          <w:sz w:val="31"/>
          <w:szCs w:val="31"/>
          <w:lang w:val="en-US" w:eastAsia="en-US" w:bidi="ar-SA"/>
        </w:rPr>
        <w:t>，应迅速通知乙方负责人，甲方可协助乙方将患者送往医院，做呕吐物、粪便留样化验，以确诊病情和病因。同时，对餐厅的留样食品送卫生部门检验，确属乙方责任，乙方承担相关的一切经济与法律责任。</w:t>
      </w:r>
    </w:p>
    <w:p w14:paraId="02DF0D87">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2、当甲方就餐员工用餐吃出异物时，乙方负责赔偿相同价值的免费餐一份，</w:t>
      </w:r>
      <w:r>
        <w:rPr>
          <w:rFonts w:hint="eastAsia" w:ascii="仿宋" w:hAnsi="仿宋" w:eastAsia="仿宋" w:cs="仿宋"/>
          <w:snapToGrid w:val="0"/>
          <w:color w:val="000000"/>
          <w:spacing w:val="6"/>
          <w:kern w:val="0"/>
          <w:sz w:val="28"/>
          <w:szCs w:val="28"/>
          <w:lang w:val="en-US" w:eastAsia="en-US" w:bidi="ar-SA"/>
        </w:rPr>
        <w:t>并对上述问题及时采取纠正措施解决</w:t>
      </w:r>
      <w:r>
        <w:rPr>
          <w:rFonts w:hint="eastAsia" w:ascii="仿宋" w:hAnsi="仿宋" w:eastAsia="仿宋" w:cs="仿宋"/>
          <w:snapToGrid w:val="0"/>
          <w:color w:val="000000"/>
          <w:spacing w:val="6"/>
          <w:kern w:val="0"/>
          <w:sz w:val="31"/>
          <w:szCs w:val="31"/>
          <w:lang w:val="en-US" w:eastAsia="en-US" w:bidi="ar-SA"/>
        </w:rPr>
        <w:t>。因此给就餐员工造成身体损害的，乙方承担赔偿责任。</w:t>
      </w:r>
    </w:p>
    <w:p w14:paraId="09AA128E">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3、乙方必须使用符合国家环保的用具，对不符合环保要求的餐具、器具，甲方有权纠正，并限期改进。</w:t>
      </w:r>
    </w:p>
    <w:p w14:paraId="7775D294">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b/>
          <w:bCs/>
          <w:snapToGrid w:val="0"/>
          <w:color w:val="000000"/>
          <w:spacing w:val="6"/>
          <w:kern w:val="0"/>
          <w:sz w:val="31"/>
          <w:szCs w:val="31"/>
          <w:lang w:val="en-US" w:eastAsia="en-US" w:bidi="ar-SA"/>
        </w:rPr>
      </w:pPr>
      <w:r>
        <w:rPr>
          <w:rFonts w:hint="eastAsia" w:ascii="仿宋" w:hAnsi="仿宋" w:eastAsia="仿宋" w:cs="仿宋"/>
          <w:b/>
          <w:bCs/>
          <w:snapToGrid w:val="0"/>
          <w:color w:val="000000"/>
          <w:spacing w:val="6"/>
          <w:kern w:val="0"/>
          <w:sz w:val="31"/>
          <w:szCs w:val="31"/>
          <w:lang w:val="en-US" w:eastAsia="en-US" w:bidi="ar-SA"/>
        </w:rPr>
        <w:t>第七条</w:t>
      </w:r>
      <w:r>
        <w:rPr>
          <w:rFonts w:hint="eastAsia" w:ascii="仿宋" w:hAnsi="仿宋" w:eastAsia="仿宋" w:cs="仿宋"/>
          <w:b/>
          <w:bCs/>
          <w:snapToGrid w:val="0"/>
          <w:color w:val="000000"/>
          <w:spacing w:val="6"/>
          <w:kern w:val="0"/>
          <w:sz w:val="31"/>
          <w:szCs w:val="31"/>
          <w:lang w:val="en-US" w:eastAsia="zh-CN" w:bidi="ar-SA"/>
        </w:rPr>
        <w:t>：</w:t>
      </w:r>
      <w:r>
        <w:rPr>
          <w:rFonts w:hint="eastAsia" w:ascii="仿宋" w:hAnsi="仿宋" w:eastAsia="仿宋" w:cs="仿宋"/>
          <w:b/>
          <w:bCs/>
          <w:snapToGrid w:val="0"/>
          <w:color w:val="000000"/>
          <w:spacing w:val="6"/>
          <w:kern w:val="0"/>
          <w:sz w:val="31"/>
          <w:szCs w:val="31"/>
          <w:lang w:val="en-US" w:eastAsia="en-US" w:bidi="ar-SA"/>
        </w:rPr>
        <w:t>合同期限</w:t>
      </w:r>
    </w:p>
    <w:p w14:paraId="69112156">
      <w:pPr>
        <w:keepNext w:val="0"/>
        <w:keepLines w:val="0"/>
        <w:pageBreakBefore w:val="0"/>
        <w:widowControl/>
        <w:kinsoku w:val="0"/>
        <w:wordWrap/>
        <w:overflowPunct/>
        <w:topLinePunct/>
        <w:autoSpaceDE w:val="0"/>
        <w:autoSpaceDN w:val="0"/>
        <w:bidi w:val="0"/>
        <w:adjustRightInd w:val="0"/>
        <w:snapToGrid w:val="0"/>
        <w:spacing w:before="100" w:line="298" w:lineRule="auto"/>
        <w:ind w:firstLine="644" w:firstLineChars="200"/>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 xml:space="preserve">1、本合同约定的服务期限自 </w:t>
      </w:r>
      <w:r>
        <w:rPr>
          <w:rFonts w:hint="eastAsia" w:ascii="仿宋" w:hAnsi="仿宋" w:eastAsia="仿宋" w:cs="仿宋"/>
          <w:snapToGrid w:val="0"/>
          <w:color w:val="000000"/>
          <w:spacing w:val="6"/>
          <w:kern w:val="0"/>
          <w:sz w:val="31"/>
          <w:szCs w:val="31"/>
          <w:lang w:val="en-US" w:eastAsia="zh-CN" w:bidi="ar-SA"/>
        </w:rPr>
        <w:t xml:space="preserve"> </w:t>
      </w:r>
      <w:r>
        <w:rPr>
          <w:rFonts w:hint="eastAsia" w:ascii="仿宋" w:hAnsi="仿宋" w:eastAsia="仿宋" w:cs="仿宋"/>
          <w:snapToGrid w:val="0"/>
          <w:color w:val="000000"/>
          <w:spacing w:val="6"/>
          <w:kern w:val="0"/>
          <w:sz w:val="31"/>
          <w:szCs w:val="31"/>
          <w:lang w:val="en-US" w:eastAsia="en-US" w:bidi="ar-SA"/>
        </w:rPr>
        <w:t xml:space="preserve"> 年</w:t>
      </w:r>
      <w:r>
        <w:rPr>
          <w:rFonts w:hint="eastAsia" w:ascii="仿宋" w:hAnsi="仿宋" w:eastAsia="仿宋" w:cs="仿宋"/>
          <w:snapToGrid w:val="0"/>
          <w:color w:val="000000"/>
          <w:spacing w:val="6"/>
          <w:kern w:val="0"/>
          <w:sz w:val="31"/>
          <w:szCs w:val="31"/>
          <w:lang w:val="en-US" w:eastAsia="zh-CN" w:bidi="ar-SA"/>
        </w:rPr>
        <w:t xml:space="preserve"> </w:t>
      </w:r>
      <w:r>
        <w:rPr>
          <w:rFonts w:hint="eastAsia" w:ascii="仿宋" w:hAnsi="仿宋" w:eastAsia="仿宋" w:cs="仿宋"/>
          <w:snapToGrid w:val="0"/>
          <w:color w:val="000000"/>
          <w:spacing w:val="6"/>
          <w:kern w:val="0"/>
          <w:sz w:val="31"/>
          <w:szCs w:val="31"/>
          <w:lang w:val="en-US" w:eastAsia="en-US" w:bidi="ar-SA"/>
        </w:rPr>
        <w:t xml:space="preserve"> 月  日起至</w:t>
      </w:r>
      <w:r>
        <w:rPr>
          <w:rFonts w:hint="eastAsia" w:ascii="仿宋" w:hAnsi="仿宋" w:eastAsia="仿宋" w:cs="仿宋"/>
          <w:snapToGrid w:val="0"/>
          <w:color w:val="000000"/>
          <w:spacing w:val="6"/>
          <w:kern w:val="0"/>
          <w:sz w:val="31"/>
          <w:szCs w:val="31"/>
          <w:lang w:val="en-US" w:eastAsia="zh-CN" w:bidi="ar-SA"/>
        </w:rPr>
        <w:t xml:space="preserve">  </w:t>
      </w:r>
      <w:r>
        <w:rPr>
          <w:rFonts w:hint="eastAsia" w:ascii="仿宋" w:hAnsi="仿宋" w:eastAsia="仿宋" w:cs="仿宋"/>
          <w:snapToGrid w:val="0"/>
          <w:color w:val="000000"/>
          <w:spacing w:val="6"/>
          <w:kern w:val="0"/>
          <w:sz w:val="31"/>
          <w:szCs w:val="31"/>
          <w:lang w:val="en-US" w:eastAsia="en-US" w:bidi="ar-SA"/>
        </w:rPr>
        <w:t xml:space="preserve"> 年</w:t>
      </w:r>
      <w:r>
        <w:rPr>
          <w:rFonts w:hint="eastAsia" w:ascii="仿宋" w:hAnsi="仿宋" w:eastAsia="仿宋" w:cs="仿宋"/>
          <w:snapToGrid w:val="0"/>
          <w:color w:val="000000"/>
          <w:spacing w:val="6"/>
          <w:kern w:val="0"/>
          <w:sz w:val="31"/>
          <w:szCs w:val="31"/>
          <w:lang w:val="en-US" w:eastAsia="zh-CN" w:bidi="ar-SA"/>
        </w:rPr>
        <w:t xml:space="preserve">  </w:t>
      </w:r>
      <w:r>
        <w:rPr>
          <w:rFonts w:hint="eastAsia" w:ascii="仿宋" w:hAnsi="仿宋" w:eastAsia="仿宋" w:cs="仿宋"/>
          <w:snapToGrid w:val="0"/>
          <w:color w:val="000000"/>
          <w:spacing w:val="6"/>
          <w:kern w:val="0"/>
          <w:sz w:val="31"/>
          <w:szCs w:val="31"/>
          <w:lang w:val="en-US" w:eastAsia="en-US" w:bidi="ar-SA"/>
        </w:rPr>
        <w:t>月  日。</w:t>
      </w:r>
    </w:p>
    <w:p w14:paraId="4E178164">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2、合同期满时，在满足双方在服务内容、费用等方面的要求的前提下，双方另行签订合同。如任何一方提出不再续期，应在合作期满前至少一个月以书面形式通知另一方，合同到期自行终止。</w:t>
      </w:r>
    </w:p>
    <w:p w14:paraId="5133F791">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b/>
          <w:bCs/>
          <w:snapToGrid w:val="0"/>
          <w:color w:val="000000"/>
          <w:spacing w:val="6"/>
          <w:kern w:val="0"/>
          <w:sz w:val="31"/>
          <w:szCs w:val="31"/>
          <w:lang w:val="en-US" w:eastAsia="en-US" w:bidi="ar-SA"/>
        </w:rPr>
      </w:pPr>
      <w:r>
        <w:rPr>
          <w:rFonts w:hint="eastAsia" w:ascii="仿宋" w:hAnsi="仿宋" w:eastAsia="仿宋" w:cs="仿宋"/>
          <w:b/>
          <w:bCs/>
          <w:snapToGrid w:val="0"/>
          <w:color w:val="000000"/>
          <w:spacing w:val="6"/>
          <w:kern w:val="0"/>
          <w:sz w:val="31"/>
          <w:szCs w:val="31"/>
          <w:lang w:val="en-US" w:eastAsia="en-US" w:bidi="ar-SA"/>
        </w:rPr>
        <w:t>第八条</w:t>
      </w:r>
      <w:r>
        <w:rPr>
          <w:rFonts w:hint="eastAsia" w:ascii="仿宋" w:hAnsi="仿宋" w:eastAsia="仿宋" w:cs="仿宋"/>
          <w:b/>
          <w:bCs/>
          <w:snapToGrid w:val="0"/>
          <w:color w:val="000000"/>
          <w:spacing w:val="6"/>
          <w:kern w:val="0"/>
          <w:sz w:val="31"/>
          <w:szCs w:val="31"/>
          <w:lang w:val="en-US" w:eastAsia="zh-CN" w:bidi="ar-SA"/>
        </w:rPr>
        <w:t>：</w:t>
      </w:r>
      <w:r>
        <w:rPr>
          <w:rFonts w:hint="eastAsia" w:ascii="仿宋" w:hAnsi="仿宋" w:eastAsia="仿宋" w:cs="仿宋"/>
          <w:b/>
          <w:bCs/>
          <w:snapToGrid w:val="0"/>
          <w:color w:val="000000"/>
          <w:spacing w:val="6"/>
          <w:kern w:val="0"/>
          <w:sz w:val="31"/>
          <w:szCs w:val="31"/>
          <w:lang w:val="en-US" w:eastAsia="en-US" w:bidi="ar-SA"/>
        </w:rPr>
        <w:t>合同的解除与终止</w:t>
      </w:r>
    </w:p>
    <w:p w14:paraId="7A1C5FD4">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1、本合同出现下列情况时终止：</w:t>
      </w:r>
    </w:p>
    <w:p w14:paraId="0A4F5334">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(1)出现合同中所列的终止事由。</w:t>
      </w:r>
    </w:p>
    <w:p w14:paraId="013435A9">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(2)法律规定的终止事由。</w:t>
      </w:r>
    </w:p>
    <w:p w14:paraId="04E07AEE">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2、如乙方在出现下列任何一种情况时，甲方有权单方面终止或解除本合同，而无须向乙方做出任何赔偿。</w:t>
      </w:r>
    </w:p>
    <w:p w14:paraId="0C018EF9">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(1)乙方餐饮服务连续三次未能达到乙方承诺标准或多次与甲方发生纠纷，经甲方三次书面通报且未能得到改善。</w:t>
      </w:r>
    </w:p>
    <w:p w14:paraId="66D403F4">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(2)违反中华人民共和国法律法规进行不法经营活动。</w:t>
      </w:r>
    </w:p>
    <w:p w14:paraId="3710AC01">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(3)本合同约定的其他事项。</w:t>
      </w:r>
    </w:p>
    <w:p w14:paraId="63DA84AE">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3、任何一方没有正当理由不得随意解除合同。</w:t>
      </w:r>
    </w:p>
    <w:p w14:paraId="0E9EE035">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4、双方可根据下列情况立即解除合同。</w:t>
      </w:r>
    </w:p>
    <w:p w14:paraId="3A3A3608">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(1)不为一方接受的另一方的所有权或全面经营管理权的变更。</w:t>
      </w:r>
    </w:p>
    <w:p w14:paraId="4941A1BC">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(2)一方成为破产或其它法律诉讼的主体，而该诉讼在立案后三十天内仍未能解决。</w:t>
      </w:r>
    </w:p>
    <w:p w14:paraId="1FF4F960">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(3)乙方或甲方对双方认定的重要事实作了不真实的说明。</w:t>
      </w:r>
    </w:p>
    <w:p w14:paraId="73E31212">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5、在合同的解除或终止日，双方应结清账目，并在十五日内，任何一方应立即支付欠另外一方的所有应付账款。</w:t>
      </w:r>
    </w:p>
    <w:p w14:paraId="25E78FD9">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b/>
          <w:bCs/>
          <w:snapToGrid w:val="0"/>
          <w:color w:val="000000"/>
          <w:spacing w:val="6"/>
          <w:kern w:val="0"/>
          <w:sz w:val="31"/>
          <w:szCs w:val="31"/>
          <w:lang w:val="en-US" w:eastAsia="en-US" w:bidi="ar-SA"/>
        </w:rPr>
      </w:pPr>
      <w:r>
        <w:rPr>
          <w:rFonts w:hint="eastAsia" w:ascii="仿宋" w:hAnsi="仿宋" w:eastAsia="仿宋" w:cs="仿宋"/>
          <w:b/>
          <w:bCs/>
          <w:snapToGrid w:val="0"/>
          <w:color w:val="000000"/>
          <w:spacing w:val="6"/>
          <w:kern w:val="0"/>
          <w:sz w:val="31"/>
          <w:szCs w:val="31"/>
          <w:lang w:val="en-US" w:eastAsia="en-US" w:bidi="ar-SA"/>
        </w:rPr>
        <w:t>第九条</w:t>
      </w:r>
      <w:r>
        <w:rPr>
          <w:rFonts w:hint="eastAsia" w:ascii="仿宋" w:hAnsi="仿宋" w:eastAsia="仿宋" w:cs="仿宋"/>
          <w:b/>
          <w:bCs/>
          <w:snapToGrid w:val="0"/>
          <w:color w:val="000000"/>
          <w:spacing w:val="6"/>
          <w:kern w:val="0"/>
          <w:sz w:val="31"/>
          <w:szCs w:val="31"/>
          <w:lang w:val="en-US" w:eastAsia="zh-CN" w:bidi="ar-SA"/>
        </w:rPr>
        <w:t>：</w:t>
      </w:r>
      <w:r>
        <w:rPr>
          <w:rFonts w:hint="eastAsia" w:ascii="仿宋" w:hAnsi="仿宋" w:eastAsia="仿宋" w:cs="仿宋"/>
          <w:b/>
          <w:bCs/>
          <w:snapToGrid w:val="0"/>
          <w:color w:val="000000"/>
          <w:spacing w:val="6"/>
          <w:kern w:val="0"/>
          <w:sz w:val="31"/>
          <w:szCs w:val="31"/>
          <w:lang w:val="en-US" w:eastAsia="en-US" w:bidi="ar-SA"/>
        </w:rPr>
        <w:t>违约责任</w:t>
      </w:r>
    </w:p>
    <w:p w14:paraId="231ADAAF">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1、甲、乙双方应谨慎行使和履行在本合同中约定的权利、义务，任何一方因未履行或未完全履行其在本合同的权利、义务，而给对方造成的损失的，应负责赔偿。</w:t>
      </w:r>
    </w:p>
    <w:p w14:paraId="57264184">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2、</w:t>
      </w:r>
      <w:r>
        <w:rPr>
          <w:rFonts w:hint="eastAsia" w:ascii="仿宋" w:hAnsi="仿宋" w:eastAsia="仿宋" w:cs="仿宋"/>
          <w:snapToGrid w:val="0"/>
          <w:color w:val="000000"/>
          <w:spacing w:val="6"/>
          <w:kern w:val="0"/>
          <w:sz w:val="28"/>
          <w:szCs w:val="28"/>
          <w:lang w:val="en-US" w:eastAsia="en-US" w:bidi="ar-SA"/>
        </w:rPr>
        <w:t>如因乙方经营问题或其他原因造成不能履行本合同</w:t>
      </w:r>
      <w:r>
        <w:rPr>
          <w:rFonts w:hint="eastAsia" w:ascii="仿宋" w:hAnsi="仿宋" w:eastAsia="仿宋" w:cs="仿宋"/>
          <w:snapToGrid w:val="0"/>
          <w:color w:val="000000"/>
          <w:spacing w:val="6"/>
          <w:kern w:val="0"/>
          <w:sz w:val="31"/>
          <w:szCs w:val="31"/>
          <w:lang w:val="en-US" w:eastAsia="en-US" w:bidi="ar-SA"/>
        </w:rPr>
        <w:t>，须提前一个月以书面形式通知甲方，如因此而造成甲方经济损失的，由乙方承担。</w:t>
      </w:r>
    </w:p>
    <w:p w14:paraId="20BB8BCC">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3、如因甲方服务场地之基础设施(如照明、水电、供暖等)出现故障而影响到甲方人员就餐，则乙方不承担责任。同时甲乙双方应就出现的紧急情况积极协商解决办法。</w:t>
      </w:r>
    </w:p>
    <w:p w14:paraId="354149A1">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zh-CN" w:bidi="ar-SA"/>
        </w:rPr>
      </w:pPr>
      <w:r>
        <w:rPr>
          <w:rFonts w:hint="eastAsia" w:ascii="仿宋" w:hAnsi="仿宋" w:eastAsia="仿宋" w:cs="仿宋"/>
          <w:snapToGrid w:val="0"/>
          <w:color w:val="000000"/>
          <w:spacing w:val="6"/>
          <w:kern w:val="0"/>
          <w:sz w:val="31"/>
          <w:szCs w:val="31"/>
          <w:lang w:val="en-US" w:eastAsia="en-US" w:bidi="ar-SA"/>
        </w:rPr>
        <w:t>4、在乙方正常进行餐饮服务工作状况下，甲方不得无故解除本合同，如非正常情况下解除本合同，则给乙方造成的经济损失由甲方承担。</w:t>
      </w:r>
    </w:p>
    <w:p w14:paraId="4251FCB9">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b/>
          <w:bCs/>
          <w:snapToGrid w:val="0"/>
          <w:color w:val="000000"/>
          <w:spacing w:val="6"/>
          <w:kern w:val="0"/>
          <w:sz w:val="31"/>
          <w:szCs w:val="31"/>
          <w:lang w:val="en-US" w:eastAsia="en-US" w:bidi="ar-SA"/>
        </w:rPr>
      </w:pPr>
      <w:r>
        <w:rPr>
          <w:rFonts w:hint="eastAsia" w:ascii="仿宋" w:hAnsi="仿宋" w:eastAsia="仿宋" w:cs="仿宋"/>
          <w:b/>
          <w:bCs/>
          <w:snapToGrid w:val="0"/>
          <w:color w:val="000000"/>
          <w:spacing w:val="6"/>
          <w:kern w:val="0"/>
          <w:sz w:val="31"/>
          <w:szCs w:val="31"/>
          <w:lang w:val="en-US" w:eastAsia="en-US" w:bidi="ar-SA"/>
        </w:rPr>
        <w:t>第十条</w:t>
      </w:r>
      <w:r>
        <w:rPr>
          <w:rFonts w:hint="eastAsia" w:ascii="仿宋" w:hAnsi="仿宋" w:eastAsia="仿宋" w:cs="仿宋"/>
          <w:b/>
          <w:bCs/>
          <w:snapToGrid w:val="0"/>
          <w:color w:val="000000"/>
          <w:spacing w:val="6"/>
          <w:kern w:val="0"/>
          <w:sz w:val="31"/>
          <w:szCs w:val="31"/>
          <w:lang w:val="en-US" w:eastAsia="zh-CN" w:bidi="ar-SA"/>
        </w:rPr>
        <w:t>：</w:t>
      </w:r>
      <w:r>
        <w:rPr>
          <w:rFonts w:hint="eastAsia" w:ascii="仿宋" w:hAnsi="仿宋" w:eastAsia="仿宋" w:cs="仿宋"/>
          <w:b/>
          <w:bCs/>
          <w:snapToGrid w:val="0"/>
          <w:color w:val="000000"/>
          <w:spacing w:val="6"/>
          <w:kern w:val="0"/>
          <w:sz w:val="31"/>
          <w:szCs w:val="31"/>
          <w:lang w:val="en-US" w:eastAsia="en-US" w:bidi="ar-SA"/>
        </w:rPr>
        <w:t>法律适用及争议解决</w:t>
      </w:r>
    </w:p>
    <w:p w14:paraId="7EC87C6A">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1、本合同的订立、效力、解释、履行和争议的解决均接受中华人民共和国法律的管辖。</w:t>
      </w:r>
    </w:p>
    <w:p w14:paraId="12BE1635">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2、甲、乙双方因履行本合同而发生的或与本合同有关一切争议，双方应通过友好协商解决。如果协商不能解决，向乌鲁木齐市沙依巴克区人民法院提起诉讼。</w:t>
      </w:r>
    </w:p>
    <w:p w14:paraId="7883B5C3">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b/>
          <w:bCs/>
          <w:snapToGrid w:val="0"/>
          <w:color w:val="000000"/>
          <w:spacing w:val="6"/>
          <w:kern w:val="0"/>
          <w:sz w:val="31"/>
          <w:szCs w:val="31"/>
          <w:lang w:val="en-US" w:eastAsia="en-US" w:bidi="ar-SA"/>
        </w:rPr>
      </w:pPr>
      <w:r>
        <w:rPr>
          <w:rFonts w:hint="eastAsia" w:ascii="仿宋" w:hAnsi="仿宋" w:eastAsia="仿宋" w:cs="仿宋"/>
          <w:b/>
          <w:bCs/>
          <w:snapToGrid w:val="0"/>
          <w:color w:val="000000"/>
          <w:spacing w:val="6"/>
          <w:kern w:val="0"/>
          <w:sz w:val="31"/>
          <w:szCs w:val="31"/>
          <w:lang w:val="en-US" w:eastAsia="en-US" w:bidi="ar-SA"/>
        </w:rPr>
        <w:t>第十一条</w:t>
      </w:r>
      <w:r>
        <w:rPr>
          <w:rFonts w:hint="eastAsia" w:ascii="仿宋" w:hAnsi="仿宋" w:eastAsia="仿宋" w:cs="仿宋"/>
          <w:b/>
          <w:bCs/>
          <w:snapToGrid w:val="0"/>
          <w:color w:val="000000"/>
          <w:spacing w:val="6"/>
          <w:kern w:val="0"/>
          <w:sz w:val="31"/>
          <w:szCs w:val="31"/>
          <w:lang w:val="en-US" w:eastAsia="zh-CN" w:bidi="ar-SA"/>
        </w:rPr>
        <w:t>：</w:t>
      </w:r>
      <w:r>
        <w:rPr>
          <w:rFonts w:hint="eastAsia" w:ascii="仿宋" w:hAnsi="仿宋" w:eastAsia="仿宋" w:cs="仿宋"/>
          <w:b/>
          <w:bCs/>
          <w:snapToGrid w:val="0"/>
          <w:color w:val="000000"/>
          <w:spacing w:val="6"/>
          <w:kern w:val="0"/>
          <w:sz w:val="31"/>
          <w:szCs w:val="31"/>
          <w:lang w:val="en-US" w:eastAsia="en-US" w:bidi="ar-SA"/>
        </w:rPr>
        <w:t>不可抗力条款</w:t>
      </w:r>
    </w:p>
    <w:p w14:paraId="1375B483">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w:t>
      </w:r>
      <w:r>
        <w:rPr>
          <w:rFonts w:hint="eastAsia" w:ascii="仿宋" w:hAnsi="仿宋" w:eastAsia="仿宋" w:cs="仿宋"/>
          <w:snapToGrid w:val="0"/>
          <w:color w:val="000000"/>
          <w:spacing w:val="6"/>
          <w:kern w:val="0"/>
          <w:sz w:val="28"/>
          <w:szCs w:val="28"/>
          <w:lang w:val="en-US" w:eastAsia="en-US" w:bidi="ar-SA"/>
        </w:rPr>
        <w:t>不可抗力：本合同所称的不可抗力，是指不能预见</w:t>
      </w:r>
      <w:r>
        <w:rPr>
          <w:rFonts w:hint="eastAsia" w:ascii="仿宋" w:hAnsi="仿宋" w:eastAsia="仿宋" w:cs="仿宋"/>
          <w:snapToGrid w:val="0"/>
          <w:color w:val="000000"/>
          <w:spacing w:val="6"/>
          <w:kern w:val="0"/>
          <w:sz w:val="31"/>
          <w:szCs w:val="31"/>
          <w:lang w:val="en-US" w:eastAsia="en-US" w:bidi="ar-SA"/>
        </w:rPr>
        <w:t>、不能避免并且不能克服的客观情况，如地震、海啸、台风、暴风雪、火灾、旱灾、水灾、骚乱、戒严、暴动、战争和专用合同条款约定的其他情形。</w:t>
      </w:r>
    </w:p>
    <w:p w14:paraId="1629FBBB">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2、不可抗力的通知：不可抗力事件发生后”,受阻方应立即通知另一方，并于不可抗力事件发生后的五个工作日内向另一方提供有关该事件的公证文书和书面说明，书面说明应包括延迟履行或部分履行本合同的原因说明</w:t>
      </w:r>
    </w:p>
    <w:p w14:paraId="6A385437">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3、不可抗力后果的承担：不可抗力引发的后果及造成的损失由合同当事人按照法律规定及合同约定各自承担。如一方在发出正式协商书面通知书之日起一周内，双方无法就此达成一致，任何一方有权解除合同而无需承担违约责任。</w:t>
      </w:r>
    </w:p>
    <w:p w14:paraId="7FC792A6">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b/>
          <w:bCs/>
          <w:snapToGrid w:val="0"/>
          <w:color w:val="000000"/>
          <w:spacing w:val="6"/>
          <w:kern w:val="0"/>
          <w:sz w:val="31"/>
          <w:szCs w:val="31"/>
          <w:lang w:val="en-US" w:eastAsia="en-US" w:bidi="ar-SA"/>
        </w:rPr>
      </w:pPr>
      <w:r>
        <w:rPr>
          <w:rFonts w:hint="eastAsia" w:ascii="仿宋" w:hAnsi="仿宋" w:eastAsia="仿宋" w:cs="仿宋"/>
          <w:b/>
          <w:bCs/>
          <w:snapToGrid w:val="0"/>
          <w:color w:val="000000"/>
          <w:spacing w:val="6"/>
          <w:kern w:val="0"/>
          <w:sz w:val="31"/>
          <w:szCs w:val="31"/>
          <w:lang w:val="en-US" w:eastAsia="en-US" w:bidi="ar-SA"/>
        </w:rPr>
        <w:t>第十二条</w:t>
      </w:r>
      <w:r>
        <w:rPr>
          <w:rFonts w:hint="eastAsia" w:ascii="仿宋" w:hAnsi="仿宋" w:eastAsia="仿宋" w:cs="仿宋"/>
          <w:b/>
          <w:bCs/>
          <w:snapToGrid w:val="0"/>
          <w:color w:val="000000"/>
          <w:spacing w:val="6"/>
          <w:kern w:val="0"/>
          <w:sz w:val="31"/>
          <w:szCs w:val="31"/>
          <w:lang w:val="en-US" w:eastAsia="zh-CN" w:bidi="ar-SA"/>
        </w:rPr>
        <w:t>：</w:t>
      </w:r>
      <w:r>
        <w:rPr>
          <w:rFonts w:hint="eastAsia" w:ascii="仿宋" w:hAnsi="仿宋" w:eastAsia="仿宋" w:cs="仿宋"/>
          <w:b/>
          <w:bCs/>
          <w:snapToGrid w:val="0"/>
          <w:color w:val="000000"/>
          <w:spacing w:val="6"/>
          <w:kern w:val="0"/>
          <w:sz w:val="31"/>
          <w:szCs w:val="31"/>
          <w:lang w:val="en-US" w:eastAsia="en-US" w:bidi="ar-SA"/>
        </w:rPr>
        <w:t>合同文本</w:t>
      </w:r>
    </w:p>
    <w:p w14:paraId="0E1BE849">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1、本合同一式</w:t>
      </w:r>
      <w:r>
        <w:rPr>
          <w:rFonts w:hint="eastAsia" w:ascii="仿宋" w:hAnsi="仿宋" w:eastAsia="仿宋" w:cs="仿宋"/>
          <w:snapToGrid w:val="0"/>
          <w:color w:val="000000"/>
          <w:spacing w:val="6"/>
          <w:kern w:val="0"/>
          <w:sz w:val="31"/>
          <w:szCs w:val="31"/>
          <w:lang w:val="en-US" w:eastAsia="zh-CN" w:bidi="ar-SA"/>
        </w:rPr>
        <w:t>肆</w:t>
      </w:r>
      <w:r>
        <w:rPr>
          <w:rFonts w:hint="eastAsia" w:ascii="仿宋" w:hAnsi="仿宋" w:eastAsia="仿宋" w:cs="仿宋"/>
          <w:snapToGrid w:val="0"/>
          <w:color w:val="000000"/>
          <w:spacing w:val="6"/>
          <w:kern w:val="0"/>
          <w:sz w:val="31"/>
          <w:szCs w:val="31"/>
          <w:lang w:val="en-US" w:eastAsia="en-US" w:bidi="ar-SA"/>
        </w:rPr>
        <w:t>份，甲方</w:t>
      </w:r>
      <w:r>
        <w:rPr>
          <w:rFonts w:hint="eastAsia" w:ascii="仿宋" w:hAnsi="仿宋" w:eastAsia="仿宋" w:cs="仿宋"/>
          <w:snapToGrid w:val="0"/>
          <w:color w:val="000000"/>
          <w:spacing w:val="6"/>
          <w:kern w:val="0"/>
          <w:sz w:val="31"/>
          <w:szCs w:val="31"/>
          <w:lang w:val="en-US" w:eastAsia="zh-CN" w:bidi="ar-SA"/>
        </w:rPr>
        <w:t>贰</w:t>
      </w:r>
      <w:r>
        <w:rPr>
          <w:rFonts w:hint="eastAsia" w:ascii="仿宋" w:hAnsi="仿宋" w:eastAsia="仿宋" w:cs="仿宋"/>
          <w:snapToGrid w:val="0"/>
          <w:color w:val="000000"/>
          <w:spacing w:val="6"/>
          <w:kern w:val="0"/>
          <w:sz w:val="31"/>
          <w:szCs w:val="31"/>
          <w:lang w:val="en-US" w:eastAsia="en-US" w:bidi="ar-SA"/>
        </w:rPr>
        <w:t>份、乙方</w:t>
      </w:r>
      <w:r>
        <w:rPr>
          <w:rFonts w:hint="eastAsia" w:ascii="仿宋" w:hAnsi="仿宋" w:eastAsia="仿宋" w:cs="仿宋"/>
          <w:snapToGrid w:val="0"/>
          <w:color w:val="000000"/>
          <w:spacing w:val="6"/>
          <w:kern w:val="0"/>
          <w:sz w:val="31"/>
          <w:szCs w:val="31"/>
          <w:lang w:val="en-US" w:eastAsia="zh-CN" w:bidi="ar-SA"/>
        </w:rPr>
        <w:t>贰</w:t>
      </w:r>
      <w:r>
        <w:rPr>
          <w:rFonts w:hint="eastAsia" w:ascii="仿宋" w:hAnsi="仿宋" w:eastAsia="仿宋" w:cs="仿宋"/>
          <w:snapToGrid w:val="0"/>
          <w:color w:val="000000"/>
          <w:spacing w:val="6"/>
          <w:kern w:val="0"/>
          <w:sz w:val="31"/>
          <w:szCs w:val="31"/>
          <w:lang w:val="en-US" w:eastAsia="en-US" w:bidi="ar-SA"/>
        </w:rPr>
        <w:t>份，具有同等法律效力。</w:t>
      </w:r>
    </w:p>
    <w:p w14:paraId="3F5B965C">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2、合同由双方授权代表签字盖章后立即生效。</w:t>
      </w:r>
    </w:p>
    <w:p w14:paraId="4DB03A12">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3、未尽事宜，经甲、乙双方友好协商解决，任何一方都不应以单方内部规定约束对方。并由甲、乙双方另行签订补充协议，与本合同具有同等法律效力。</w:t>
      </w:r>
    </w:p>
    <w:p w14:paraId="487639C2">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zh-CN" w:bidi="ar-SA"/>
        </w:rPr>
      </w:pPr>
      <w:r>
        <w:rPr>
          <w:rFonts w:hint="eastAsia" w:ascii="仿宋" w:hAnsi="仿宋" w:eastAsia="仿宋" w:cs="仿宋"/>
          <w:snapToGrid w:val="0"/>
          <w:color w:val="000000"/>
          <w:spacing w:val="6"/>
          <w:kern w:val="0"/>
          <w:sz w:val="31"/>
          <w:szCs w:val="31"/>
          <w:lang w:val="en-US" w:eastAsia="en-US" w:bidi="ar-SA"/>
        </w:rPr>
        <w:t>4、合同签订地点：乌鲁木齐市沙依巴克区炉院街街道</w:t>
      </w:r>
      <w:r>
        <w:rPr>
          <w:rFonts w:hint="eastAsia" w:ascii="仿宋" w:hAnsi="仿宋" w:eastAsia="仿宋" w:cs="仿宋"/>
          <w:snapToGrid w:val="0"/>
          <w:color w:val="000000"/>
          <w:spacing w:val="6"/>
          <w:kern w:val="0"/>
          <w:sz w:val="31"/>
          <w:szCs w:val="31"/>
          <w:lang w:val="en-US" w:eastAsia="zh-CN" w:bidi="ar-SA"/>
        </w:rPr>
        <w:t>。</w:t>
      </w:r>
    </w:p>
    <w:p w14:paraId="6D19C672">
      <w:pPr>
        <w:keepNext w:val="0"/>
        <w:keepLines w:val="0"/>
        <w:pageBreakBefore w:val="0"/>
        <w:widowControl/>
        <w:kinsoku w:val="0"/>
        <w:wordWrap/>
        <w:overflowPunct/>
        <w:topLinePunct/>
        <w:autoSpaceDE w:val="0"/>
        <w:autoSpaceDN w:val="0"/>
        <w:bidi w:val="0"/>
        <w:adjustRightInd w:val="0"/>
        <w:snapToGrid w:val="0"/>
        <w:spacing w:before="100" w:line="298" w:lineRule="auto"/>
        <w:ind w:left="19" w:leftChars="0" w:hanging="19" w:firstLineChars="0"/>
        <w:jc w:val="center"/>
        <w:textAlignment w:val="baseline"/>
        <w:rPr>
          <w:rFonts w:hint="eastAsia" w:ascii="仿宋" w:hAnsi="仿宋" w:eastAsia="仿宋" w:cs="仿宋"/>
          <w:snapToGrid w:val="0"/>
          <w:color w:val="000000"/>
          <w:spacing w:val="6"/>
          <w:kern w:val="0"/>
          <w:sz w:val="31"/>
          <w:szCs w:val="31"/>
          <w:lang w:val="en-US" w:eastAsia="en-US" w:bidi="ar-SA"/>
        </w:rPr>
      </w:pPr>
    </w:p>
    <w:p w14:paraId="7BABB29E">
      <w:pPr>
        <w:keepNext w:val="0"/>
        <w:keepLines w:val="0"/>
        <w:pageBreakBefore w:val="0"/>
        <w:widowControl/>
        <w:kinsoku w:val="0"/>
        <w:wordWrap/>
        <w:overflowPunct/>
        <w:topLinePunct/>
        <w:autoSpaceDE w:val="0"/>
        <w:autoSpaceDN w:val="0"/>
        <w:bidi w:val="0"/>
        <w:adjustRightInd w:val="0"/>
        <w:snapToGrid w:val="0"/>
        <w:spacing w:before="100" w:line="298" w:lineRule="auto"/>
        <w:ind w:left="19" w:leftChars="0" w:hanging="19" w:firstLineChars="0"/>
        <w:jc w:val="center"/>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(以下空白无内容)</w:t>
      </w:r>
    </w:p>
    <w:p w14:paraId="410AB448">
      <w:pPr>
        <w:keepNext w:val="0"/>
        <w:keepLines w:val="0"/>
        <w:pageBreakBefore w:val="0"/>
        <w:widowControl/>
        <w:kinsoku w:val="0"/>
        <w:wordWrap/>
        <w:overflowPunct/>
        <w:topLinePunct/>
        <w:autoSpaceDE w:val="0"/>
        <w:autoSpaceDN w:val="0"/>
        <w:bidi w:val="0"/>
        <w:adjustRightInd w:val="0"/>
        <w:snapToGrid w:val="0"/>
        <w:spacing w:before="100" w:line="298" w:lineRule="auto"/>
        <w:ind w:left="19" w:leftChars="0" w:hanging="19" w:firstLineChars="0"/>
        <w:jc w:val="center"/>
        <w:textAlignment w:val="baseline"/>
        <w:rPr>
          <w:rFonts w:hint="eastAsia" w:ascii="仿宋" w:hAnsi="仿宋" w:eastAsia="仿宋" w:cs="仿宋"/>
          <w:snapToGrid w:val="0"/>
          <w:color w:val="000000"/>
          <w:spacing w:val="6"/>
          <w:kern w:val="0"/>
          <w:sz w:val="31"/>
          <w:szCs w:val="31"/>
          <w:lang w:val="en-US" w:eastAsia="en-US" w:bidi="ar-SA"/>
        </w:rPr>
      </w:pPr>
    </w:p>
    <w:p w14:paraId="4D124992">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zh-CN" w:bidi="ar-SA"/>
        </w:rPr>
      </w:pPr>
      <w:r>
        <w:rPr>
          <w:rFonts w:hint="eastAsia" w:ascii="仿宋" w:hAnsi="仿宋" w:eastAsia="仿宋" w:cs="仿宋"/>
          <w:snapToGrid w:val="0"/>
          <w:color w:val="000000"/>
          <w:spacing w:val="6"/>
          <w:kern w:val="0"/>
          <w:sz w:val="31"/>
          <w:szCs w:val="31"/>
          <w:lang w:val="en-US" w:eastAsia="en-US" w:bidi="ar-SA"/>
        </w:rPr>
        <w:t>甲方(盖章):</w:t>
      </w:r>
      <w:r>
        <w:rPr>
          <w:rFonts w:hint="eastAsia" w:ascii="仿宋" w:hAnsi="仿宋" w:eastAsia="仿宋" w:cs="仿宋"/>
          <w:snapToGrid w:val="0"/>
          <w:color w:val="000000"/>
          <w:spacing w:val="6"/>
          <w:kern w:val="0"/>
          <w:sz w:val="31"/>
          <w:szCs w:val="31"/>
          <w:lang w:val="en-US" w:eastAsia="zh-CN" w:bidi="ar-SA"/>
        </w:rPr>
        <w:t>沙依巴克区炉院街街道</w:t>
      </w:r>
    </w:p>
    <w:p w14:paraId="4BD7C857">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授权代表(签字):</w:t>
      </w:r>
    </w:p>
    <w:p w14:paraId="4281E2B3">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p>
    <w:p w14:paraId="13CC9C89">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zh-CN" w:bidi="ar-SA"/>
        </w:rPr>
      </w:pPr>
      <w:r>
        <w:rPr>
          <w:rFonts w:hint="eastAsia" w:ascii="仿宋" w:hAnsi="仿宋" w:eastAsia="仿宋" w:cs="仿宋"/>
          <w:snapToGrid w:val="0"/>
          <w:color w:val="000000"/>
          <w:spacing w:val="6"/>
          <w:kern w:val="0"/>
          <w:sz w:val="31"/>
          <w:szCs w:val="31"/>
          <w:lang w:val="en-US" w:eastAsia="en-US" w:bidi="ar-SA"/>
        </w:rPr>
        <w:t>签订日期：</w:t>
      </w:r>
      <w:r>
        <w:rPr>
          <w:rFonts w:hint="eastAsia" w:ascii="仿宋" w:hAnsi="仿宋" w:eastAsia="仿宋" w:cs="仿宋"/>
          <w:snapToGrid w:val="0"/>
          <w:color w:val="000000"/>
          <w:spacing w:val="6"/>
          <w:kern w:val="0"/>
          <w:sz w:val="31"/>
          <w:szCs w:val="31"/>
          <w:lang w:val="en-US" w:eastAsia="zh-CN" w:bidi="ar-SA"/>
        </w:rPr>
        <w:t xml:space="preserve">     年    月     日</w:t>
      </w:r>
    </w:p>
    <w:p w14:paraId="2A106A46">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p>
    <w:p w14:paraId="3CBD2673">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乙 方(盖章):</w:t>
      </w:r>
    </w:p>
    <w:p w14:paraId="7C0DF55A">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授权代表(签字):</w:t>
      </w:r>
    </w:p>
    <w:p w14:paraId="323DDF2F">
      <w:pPr>
        <w:keepNext w:val="0"/>
        <w:keepLines w:val="0"/>
        <w:pageBreakBefore w:val="0"/>
        <w:widowControl/>
        <w:kinsoku w:val="0"/>
        <w:wordWrap/>
        <w:overflowPunct/>
        <w:topLinePunct/>
        <w:autoSpaceDE w:val="0"/>
        <w:autoSpaceDN w:val="0"/>
        <w:bidi w:val="0"/>
        <w:adjustRightInd w:val="0"/>
        <w:snapToGrid w:val="0"/>
        <w:spacing w:before="100" w:line="298" w:lineRule="auto"/>
        <w:ind w:left="19" w:firstLine="609"/>
        <w:jc w:val="left"/>
        <w:textAlignment w:val="baseline"/>
        <w:rPr>
          <w:rFonts w:hint="eastAsia" w:ascii="仿宋" w:hAnsi="仿宋" w:eastAsia="仿宋" w:cs="仿宋"/>
          <w:snapToGrid w:val="0"/>
          <w:color w:val="000000"/>
          <w:spacing w:val="6"/>
          <w:kern w:val="0"/>
          <w:sz w:val="31"/>
          <w:szCs w:val="31"/>
          <w:lang w:val="en-US" w:eastAsia="en-US" w:bidi="ar-SA"/>
        </w:rPr>
      </w:pPr>
    </w:p>
    <w:p w14:paraId="5C7FA32E">
      <w:pPr>
        <w:keepNext w:val="0"/>
        <w:keepLines w:val="0"/>
        <w:pageBreakBefore w:val="0"/>
        <w:widowControl/>
        <w:kinsoku/>
        <w:wordWrap/>
        <w:overflowPunct/>
        <w:topLinePunct/>
        <w:autoSpaceDE w:val="0"/>
        <w:autoSpaceDN w:val="0"/>
        <w:bidi w:val="0"/>
        <w:adjustRightInd w:val="0"/>
        <w:snapToGrid w:val="0"/>
        <w:spacing w:before="100" w:line="298" w:lineRule="auto"/>
        <w:ind w:left="17" w:firstLine="607"/>
        <w:jc w:val="left"/>
        <w:textAlignment w:val="baseline"/>
        <w:rPr>
          <w:rFonts w:hint="eastAsia" w:ascii="仿宋" w:hAnsi="仿宋" w:eastAsia="仿宋" w:cs="仿宋"/>
          <w:snapToGrid w:val="0"/>
          <w:color w:val="000000"/>
          <w:spacing w:val="6"/>
          <w:kern w:val="0"/>
          <w:sz w:val="31"/>
          <w:szCs w:val="31"/>
          <w:lang w:val="en-US" w:eastAsia="en-US" w:bidi="ar-SA"/>
        </w:rPr>
      </w:pPr>
      <w:r>
        <w:rPr>
          <w:rFonts w:hint="eastAsia" w:ascii="仿宋" w:hAnsi="仿宋" w:eastAsia="仿宋" w:cs="仿宋"/>
          <w:snapToGrid w:val="0"/>
          <w:color w:val="000000"/>
          <w:spacing w:val="6"/>
          <w:kern w:val="0"/>
          <w:sz w:val="31"/>
          <w:szCs w:val="31"/>
          <w:lang w:val="en-US" w:eastAsia="en-US" w:bidi="ar-SA"/>
        </w:rPr>
        <w:t>签订日期：</w:t>
      </w:r>
      <w:r>
        <w:rPr>
          <w:rFonts w:hint="eastAsia" w:ascii="仿宋" w:hAnsi="仿宋" w:eastAsia="仿宋" w:cs="仿宋"/>
          <w:snapToGrid w:val="0"/>
          <w:color w:val="000000"/>
          <w:spacing w:val="6"/>
          <w:kern w:val="0"/>
          <w:sz w:val="31"/>
          <w:szCs w:val="31"/>
          <w:lang w:val="en-US" w:eastAsia="zh-CN" w:bidi="ar-SA"/>
        </w:rPr>
        <w:t xml:space="preserve">    年      月     日</w:t>
      </w:r>
    </w:p>
    <w:p w14:paraId="5386C2FC">
      <w:pPr>
        <w:rPr>
          <w:rFonts w:hint="eastAsia" w:ascii="宋体" w:hAnsi="宋体" w:eastAsia="宋体" w:cs="宋体"/>
          <w:b/>
          <w:bCs/>
          <w:i w:val="0"/>
          <w:iCs w:val="0"/>
          <w:color w:val="auto"/>
          <w:kern w:val="44"/>
          <w:sz w:val="36"/>
          <w:szCs w:val="36"/>
          <w:highlight w:val="none"/>
          <w:lang w:val="en-US" w:eastAsia="zh-CN" w:bidi="ar-SA"/>
        </w:rPr>
      </w:pPr>
      <w:r>
        <w:rPr>
          <w:rFonts w:hint="eastAsia" w:ascii="宋体" w:hAnsi="宋体" w:eastAsia="宋体" w:cs="宋体"/>
          <w:b/>
          <w:bCs/>
          <w:i w:val="0"/>
          <w:iCs w:val="0"/>
          <w:color w:val="auto"/>
          <w:kern w:val="44"/>
          <w:sz w:val="36"/>
          <w:szCs w:val="36"/>
          <w:highlight w:val="none"/>
          <w:lang w:val="en-US" w:eastAsia="zh-CN" w:bidi="ar-SA"/>
        </w:rPr>
        <w:br w:type="page"/>
      </w:r>
    </w:p>
    <w:p w14:paraId="6F70B228">
      <w:pPr>
        <w:pStyle w:val="2"/>
        <w:numPr>
          <w:ilvl w:val="0"/>
          <w:numId w:val="0"/>
        </w:numPr>
        <w:ind w:left="420" w:leftChars="0" w:hanging="420" w:firstLineChars="0"/>
        <w:rPr>
          <w:i w:val="0"/>
          <w:iCs w:val="0"/>
          <w:color w:val="auto"/>
          <w:highlight w:val="none"/>
        </w:rPr>
      </w:pPr>
      <w:r>
        <w:rPr>
          <w:rFonts w:hint="eastAsia" w:ascii="宋体" w:hAnsi="宋体" w:eastAsia="宋体" w:cs="宋体"/>
          <w:b/>
          <w:bCs/>
          <w:i w:val="0"/>
          <w:iCs w:val="0"/>
          <w:color w:val="auto"/>
          <w:kern w:val="44"/>
          <w:sz w:val="36"/>
          <w:szCs w:val="36"/>
          <w:highlight w:val="none"/>
          <w:lang w:val="en-US" w:eastAsia="zh-CN" w:bidi="ar-SA"/>
        </w:rPr>
        <w:t xml:space="preserve">第六章 </w:t>
      </w:r>
      <w:r>
        <w:rPr>
          <w:rFonts w:hint="eastAsia" w:ascii="宋体" w:hAnsi="宋体" w:eastAsia="宋体" w:cs="宋体"/>
          <w:i w:val="0"/>
          <w:iCs w:val="0"/>
          <w:color w:val="auto"/>
          <w:sz w:val="36"/>
          <w:szCs w:val="36"/>
          <w:highlight w:val="none"/>
        </w:rPr>
        <w:t>响应文件的格式</w:t>
      </w:r>
      <w:bookmarkEnd w:id="480"/>
    </w:p>
    <w:p w14:paraId="0C887BD5">
      <w:pPr>
        <w:ind w:firstLine="480" w:firstLineChars="200"/>
        <w:rPr>
          <w:rFonts w:hint="eastAsia" w:cs="仿宋_GB2312"/>
          <w:i w:val="0"/>
          <w:iCs w:val="0"/>
          <w:color w:val="auto"/>
          <w:highlight w:val="none"/>
          <w:lang w:val="zh-CN"/>
        </w:rPr>
      </w:pPr>
    </w:p>
    <w:p w14:paraId="71379E1F">
      <w:pPr>
        <w:ind w:firstLine="480" w:firstLineChars="200"/>
        <w:rPr>
          <w:rFonts w:hint="eastAsia" w:cs="仿宋_GB2312"/>
          <w:i w:val="0"/>
          <w:iCs w:val="0"/>
          <w:color w:val="auto"/>
          <w:highlight w:val="none"/>
          <w:lang w:val="zh-CN"/>
        </w:rPr>
      </w:pPr>
    </w:p>
    <w:p w14:paraId="26DD405E">
      <w:pPr>
        <w:ind w:firstLine="480" w:firstLineChars="200"/>
        <w:rPr>
          <w:rFonts w:hint="eastAsia" w:cs="仿宋_GB2312"/>
          <w:i w:val="0"/>
          <w:iCs w:val="0"/>
          <w:color w:val="auto"/>
          <w:highlight w:val="none"/>
          <w:lang w:val="zh-CN"/>
        </w:rPr>
      </w:pPr>
    </w:p>
    <w:p w14:paraId="45CD0948">
      <w:pPr>
        <w:ind w:firstLine="480" w:firstLineChars="200"/>
        <w:rPr>
          <w:rFonts w:hint="eastAsia" w:cs="仿宋_GB2312"/>
          <w:i w:val="0"/>
          <w:iCs w:val="0"/>
          <w:color w:val="auto"/>
          <w:highlight w:val="none"/>
          <w:lang w:val="zh-CN"/>
        </w:rPr>
      </w:pPr>
    </w:p>
    <w:p w14:paraId="0C12C898">
      <w:pPr>
        <w:ind w:firstLine="480" w:firstLineChars="200"/>
        <w:rPr>
          <w:rFonts w:hint="eastAsia" w:cs="仿宋_GB2312"/>
          <w:i w:val="0"/>
          <w:iCs w:val="0"/>
          <w:color w:val="auto"/>
          <w:highlight w:val="none"/>
          <w:lang w:val="zh-CN"/>
        </w:rPr>
      </w:pPr>
    </w:p>
    <w:p w14:paraId="13A9D4F0">
      <w:pPr>
        <w:ind w:firstLine="480" w:firstLineChars="200"/>
        <w:rPr>
          <w:rFonts w:hint="eastAsia" w:cs="仿宋_GB2312"/>
          <w:i w:val="0"/>
          <w:iCs w:val="0"/>
          <w:color w:val="auto"/>
          <w:highlight w:val="none"/>
          <w:lang w:val="zh-CN"/>
        </w:rPr>
      </w:pPr>
    </w:p>
    <w:p w14:paraId="61318CAC">
      <w:pPr>
        <w:ind w:firstLine="480" w:firstLineChars="200"/>
        <w:rPr>
          <w:rFonts w:hint="eastAsia" w:cs="仿宋_GB2312"/>
          <w:i w:val="0"/>
          <w:iCs w:val="0"/>
          <w:color w:val="auto"/>
          <w:highlight w:val="none"/>
          <w:lang w:val="zh-CN"/>
        </w:rPr>
      </w:pPr>
    </w:p>
    <w:p w14:paraId="4ED3CD76">
      <w:pPr>
        <w:ind w:firstLine="480" w:firstLineChars="200"/>
        <w:rPr>
          <w:rFonts w:hint="eastAsia" w:cs="仿宋_GB2312"/>
          <w:i w:val="0"/>
          <w:iCs w:val="0"/>
          <w:color w:val="auto"/>
          <w:highlight w:val="none"/>
          <w:lang w:val="zh-CN"/>
        </w:rPr>
      </w:pPr>
    </w:p>
    <w:p w14:paraId="2F56E74A">
      <w:pPr>
        <w:ind w:firstLine="480" w:firstLineChars="200"/>
        <w:rPr>
          <w:rFonts w:hint="eastAsia" w:cs="仿宋_GB2312"/>
          <w:i w:val="0"/>
          <w:iCs w:val="0"/>
          <w:color w:val="auto"/>
          <w:highlight w:val="none"/>
          <w:lang w:val="zh-CN"/>
        </w:rPr>
      </w:pPr>
    </w:p>
    <w:p w14:paraId="28A52954">
      <w:pPr>
        <w:ind w:firstLine="480" w:firstLineChars="200"/>
        <w:rPr>
          <w:rFonts w:hint="eastAsia" w:cs="仿宋_GB2312"/>
          <w:i w:val="0"/>
          <w:iCs w:val="0"/>
          <w:color w:val="auto"/>
          <w:highlight w:val="none"/>
          <w:lang w:val="zh-CN"/>
        </w:rPr>
      </w:pPr>
    </w:p>
    <w:p w14:paraId="2CC346FB">
      <w:pPr>
        <w:ind w:firstLine="480" w:firstLineChars="200"/>
        <w:rPr>
          <w:rFonts w:hint="eastAsia" w:cs="仿宋_GB2312"/>
          <w:i w:val="0"/>
          <w:iCs w:val="0"/>
          <w:color w:val="auto"/>
          <w:highlight w:val="none"/>
          <w:lang w:val="zh-CN"/>
        </w:rPr>
      </w:pPr>
    </w:p>
    <w:p w14:paraId="7ED7139D">
      <w:pPr>
        <w:ind w:firstLine="480" w:firstLineChars="200"/>
        <w:rPr>
          <w:rFonts w:hint="eastAsia" w:cs="仿宋_GB2312"/>
          <w:i w:val="0"/>
          <w:iCs w:val="0"/>
          <w:color w:val="auto"/>
          <w:highlight w:val="none"/>
          <w:lang w:val="zh-CN"/>
        </w:rPr>
      </w:pPr>
    </w:p>
    <w:p w14:paraId="2B46B416">
      <w:pPr>
        <w:ind w:firstLine="480" w:firstLineChars="200"/>
        <w:rPr>
          <w:rFonts w:hint="eastAsia" w:cs="仿宋_GB2312"/>
          <w:i w:val="0"/>
          <w:iCs w:val="0"/>
          <w:color w:val="auto"/>
          <w:highlight w:val="none"/>
          <w:lang w:val="zh-CN"/>
        </w:rPr>
      </w:pPr>
    </w:p>
    <w:p w14:paraId="53B0917A">
      <w:pPr>
        <w:ind w:firstLine="480" w:firstLineChars="200"/>
        <w:rPr>
          <w:rFonts w:hint="eastAsia" w:cs="仿宋_GB2312"/>
          <w:i w:val="0"/>
          <w:iCs w:val="0"/>
          <w:color w:val="auto"/>
          <w:highlight w:val="none"/>
          <w:lang w:val="zh-CN"/>
        </w:rPr>
      </w:pPr>
    </w:p>
    <w:p w14:paraId="100CDCD1">
      <w:pPr>
        <w:ind w:firstLine="480" w:firstLineChars="200"/>
        <w:rPr>
          <w:rFonts w:hint="eastAsia" w:cs="仿宋_GB2312"/>
          <w:i w:val="0"/>
          <w:iCs w:val="0"/>
          <w:color w:val="auto"/>
          <w:highlight w:val="none"/>
          <w:lang w:val="zh-CN"/>
        </w:rPr>
      </w:pPr>
    </w:p>
    <w:p w14:paraId="579E923B">
      <w:pPr>
        <w:ind w:firstLine="480" w:firstLineChars="200"/>
        <w:rPr>
          <w:rFonts w:hint="eastAsia" w:cs="仿宋_GB2312"/>
          <w:i w:val="0"/>
          <w:iCs w:val="0"/>
          <w:color w:val="auto"/>
          <w:highlight w:val="none"/>
          <w:lang w:val="zh-CN"/>
        </w:rPr>
      </w:pPr>
    </w:p>
    <w:p w14:paraId="5CAEA8C0">
      <w:pPr>
        <w:ind w:firstLine="480" w:firstLineChars="200"/>
        <w:rPr>
          <w:rFonts w:hint="eastAsia" w:cs="仿宋_GB2312"/>
          <w:i w:val="0"/>
          <w:iCs w:val="0"/>
          <w:color w:val="auto"/>
          <w:highlight w:val="none"/>
          <w:lang w:val="zh-CN"/>
        </w:rPr>
      </w:pPr>
    </w:p>
    <w:p w14:paraId="345C0FA9">
      <w:pPr>
        <w:ind w:firstLine="480" w:firstLineChars="200"/>
        <w:rPr>
          <w:rFonts w:hint="eastAsia" w:cs="仿宋_GB2312"/>
          <w:i w:val="0"/>
          <w:iCs w:val="0"/>
          <w:color w:val="auto"/>
          <w:highlight w:val="none"/>
          <w:lang w:val="zh-CN"/>
        </w:rPr>
      </w:pPr>
    </w:p>
    <w:p w14:paraId="0CCEB9F5">
      <w:pPr>
        <w:ind w:firstLine="480" w:firstLineChars="200"/>
        <w:rPr>
          <w:rFonts w:hint="eastAsia" w:cs="仿宋_GB2312"/>
          <w:i w:val="0"/>
          <w:iCs w:val="0"/>
          <w:color w:val="auto"/>
          <w:highlight w:val="none"/>
          <w:lang w:val="zh-CN"/>
        </w:rPr>
      </w:pPr>
    </w:p>
    <w:p w14:paraId="6592C430">
      <w:pPr>
        <w:ind w:firstLine="480" w:firstLineChars="200"/>
        <w:rPr>
          <w:rFonts w:hint="eastAsia" w:cs="仿宋_GB2312"/>
          <w:i w:val="0"/>
          <w:iCs w:val="0"/>
          <w:color w:val="auto"/>
          <w:highlight w:val="none"/>
          <w:lang w:val="zh-CN"/>
        </w:rPr>
      </w:pPr>
    </w:p>
    <w:p w14:paraId="1D3461D1">
      <w:pPr>
        <w:ind w:firstLine="480" w:firstLineChars="200"/>
        <w:rPr>
          <w:rFonts w:hint="eastAsia" w:cs="仿宋_GB2312"/>
          <w:i w:val="0"/>
          <w:iCs w:val="0"/>
          <w:color w:val="auto"/>
          <w:highlight w:val="none"/>
          <w:lang w:val="zh-CN"/>
        </w:rPr>
      </w:pPr>
    </w:p>
    <w:p w14:paraId="0358AAFC">
      <w:pPr>
        <w:ind w:firstLine="480" w:firstLineChars="200"/>
        <w:rPr>
          <w:rFonts w:hint="eastAsia" w:cs="仿宋_GB2312"/>
          <w:i w:val="0"/>
          <w:iCs w:val="0"/>
          <w:color w:val="auto"/>
          <w:highlight w:val="none"/>
          <w:lang w:val="zh-CN"/>
        </w:rPr>
      </w:pPr>
    </w:p>
    <w:p w14:paraId="03052F18">
      <w:pPr>
        <w:ind w:firstLine="480" w:firstLineChars="200"/>
        <w:rPr>
          <w:rFonts w:hint="eastAsia" w:cs="仿宋_GB2312"/>
          <w:i w:val="0"/>
          <w:iCs w:val="0"/>
          <w:color w:val="auto"/>
          <w:szCs w:val="24"/>
          <w:highlight w:val="none"/>
          <w:lang w:val="zh-CN"/>
        </w:rPr>
      </w:pPr>
    </w:p>
    <w:p w14:paraId="5C6EC811">
      <w:pPr>
        <w:rPr>
          <w:rFonts w:hint="eastAsia" w:cs="仿宋_GB2312"/>
          <w:i w:val="0"/>
          <w:iCs w:val="0"/>
          <w:color w:val="auto"/>
          <w:szCs w:val="24"/>
          <w:highlight w:val="none"/>
          <w:lang w:val="zh-CN"/>
        </w:rPr>
      </w:pPr>
      <w:r>
        <w:rPr>
          <w:rFonts w:hint="eastAsia" w:cs="仿宋_GB2312"/>
          <w:i w:val="0"/>
          <w:iCs w:val="0"/>
          <w:color w:val="auto"/>
          <w:szCs w:val="24"/>
          <w:highlight w:val="none"/>
          <w:lang w:val="zh-CN"/>
        </w:rPr>
        <w:br w:type="page"/>
      </w:r>
    </w:p>
    <w:p w14:paraId="2ABE97CA">
      <w:pPr>
        <w:ind w:firstLine="480" w:firstLineChars="200"/>
        <w:rPr>
          <w:rFonts w:cs="仿宋_GB2312"/>
          <w:i w:val="0"/>
          <w:iCs w:val="0"/>
          <w:color w:val="auto"/>
          <w:szCs w:val="24"/>
          <w:highlight w:val="none"/>
          <w:lang w:val="zh-CN"/>
        </w:rPr>
      </w:pPr>
      <w:r>
        <w:rPr>
          <w:rFonts w:hint="eastAsia" w:cs="仿宋_GB2312"/>
          <w:i w:val="0"/>
          <w:iCs w:val="0"/>
          <w:color w:val="auto"/>
          <w:szCs w:val="24"/>
          <w:highlight w:val="none"/>
          <w:lang w:val="zh-CN"/>
        </w:rPr>
        <w:t>封面：</w:t>
      </w:r>
    </w:p>
    <w:p w14:paraId="0DCCF3E4">
      <w:pPr>
        <w:autoSpaceDE w:val="0"/>
        <w:autoSpaceDN w:val="0"/>
        <w:adjustRightInd w:val="0"/>
        <w:rPr>
          <w:i w:val="0"/>
          <w:iCs w:val="0"/>
          <w:color w:val="auto"/>
          <w:sz w:val="21"/>
          <w:szCs w:val="24"/>
          <w:highlight w:val="none"/>
        </w:rPr>
      </w:pPr>
    </w:p>
    <w:p w14:paraId="270C3F91">
      <w:pPr>
        <w:autoSpaceDE w:val="0"/>
        <w:autoSpaceDN w:val="0"/>
        <w:adjustRightInd w:val="0"/>
        <w:rPr>
          <w:i w:val="0"/>
          <w:iCs w:val="0"/>
          <w:color w:val="auto"/>
          <w:sz w:val="21"/>
          <w:szCs w:val="24"/>
          <w:highlight w:val="none"/>
        </w:rPr>
      </w:pPr>
    </w:p>
    <w:p w14:paraId="1120721D">
      <w:pPr>
        <w:autoSpaceDE w:val="0"/>
        <w:autoSpaceDN w:val="0"/>
        <w:adjustRightInd w:val="0"/>
        <w:jc w:val="center"/>
        <w:rPr>
          <w:i w:val="0"/>
          <w:iCs w:val="0"/>
          <w:color w:val="auto"/>
          <w:sz w:val="21"/>
          <w:szCs w:val="24"/>
          <w:highlight w:val="none"/>
        </w:rPr>
      </w:pPr>
    </w:p>
    <w:p w14:paraId="49C817BC">
      <w:pPr>
        <w:pStyle w:val="4"/>
        <w:bidi w:val="0"/>
        <w:jc w:val="center"/>
        <w:rPr>
          <w:color w:val="auto"/>
          <w:sz w:val="84"/>
          <w:szCs w:val="84"/>
          <w:highlight w:val="none"/>
        </w:rPr>
      </w:pPr>
      <w:bookmarkStart w:id="481" w:name="_Toc25574"/>
      <w:r>
        <w:rPr>
          <w:rFonts w:hint="eastAsia"/>
          <w:color w:val="auto"/>
          <w:sz w:val="84"/>
          <w:szCs w:val="84"/>
          <w:highlight w:val="none"/>
          <w:lang w:val="en-US" w:eastAsia="zh-CN"/>
        </w:rPr>
        <w:t>响</w:t>
      </w:r>
      <w:r>
        <w:rPr>
          <w:rFonts w:hint="eastAsia"/>
          <w:color w:val="auto"/>
          <w:sz w:val="84"/>
          <w:szCs w:val="84"/>
          <w:highlight w:val="none"/>
        </w:rPr>
        <w:t xml:space="preserve"> </w:t>
      </w:r>
      <w:r>
        <w:rPr>
          <w:rFonts w:hint="eastAsia"/>
          <w:color w:val="auto"/>
          <w:sz w:val="84"/>
          <w:szCs w:val="84"/>
          <w:highlight w:val="none"/>
          <w:lang w:val="en-US" w:eastAsia="zh-CN"/>
        </w:rPr>
        <w:t>应</w:t>
      </w:r>
      <w:r>
        <w:rPr>
          <w:rFonts w:hint="eastAsia"/>
          <w:color w:val="auto"/>
          <w:sz w:val="84"/>
          <w:szCs w:val="84"/>
          <w:highlight w:val="none"/>
        </w:rPr>
        <w:t xml:space="preserve"> 文 件</w:t>
      </w:r>
      <w:bookmarkEnd w:id="481"/>
    </w:p>
    <w:p w14:paraId="5CC606BE">
      <w:pPr>
        <w:pStyle w:val="4"/>
        <w:bidi w:val="0"/>
        <w:jc w:val="center"/>
        <w:rPr>
          <w:color w:val="auto"/>
          <w:sz w:val="56"/>
          <w:szCs w:val="56"/>
          <w:highlight w:val="none"/>
        </w:rPr>
      </w:pPr>
      <w:bookmarkStart w:id="482" w:name="_Toc30370"/>
      <w:r>
        <w:rPr>
          <w:rFonts w:hint="eastAsia"/>
          <w:color w:val="auto"/>
          <w:sz w:val="56"/>
          <w:szCs w:val="56"/>
          <w:highlight w:val="none"/>
        </w:rPr>
        <w:t>资格证明文件</w:t>
      </w:r>
      <w:bookmarkEnd w:id="482"/>
    </w:p>
    <w:p w14:paraId="2410FCD8">
      <w:pPr>
        <w:autoSpaceDE w:val="0"/>
        <w:autoSpaceDN w:val="0"/>
        <w:adjustRightInd w:val="0"/>
        <w:rPr>
          <w:b/>
          <w:bCs/>
          <w:i w:val="0"/>
          <w:iCs w:val="0"/>
          <w:color w:val="auto"/>
          <w:sz w:val="22"/>
          <w:highlight w:val="none"/>
        </w:rPr>
      </w:pPr>
    </w:p>
    <w:p w14:paraId="0B690FA6">
      <w:pPr>
        <w:autoSpaceDE w:val="0"/>
        <w:autoSpaceDN w:val="0"/>
        <w:adjustRightInd w:val="0"/>
        <w:jc w:val="center"/>
        <w:rPr>
          <w:rFonts w:hint="eastAsia" w:eastAsia="宋体"/>
          <w:i w:val="0"/>
          <w:iCs w:val="0"/>
          <w:color w:val="auto"/>
          <w:sz w:val="36"/>
          <w:szCs w:val="36"/>
          <w:highlight w:val="none"/>
          <w:lang w:eastAsia="zh-CN"/>
        </w:rPr>
      </w:pPr>
      <w:r>
        <w:rPr>
          <w:rFonts w:hint="eastAsia"/>
          <w:i w:val="0"/>
          <w:iCs w:val="0"/>
          <w:color w:val="auto"/>
          <w:sz w:val="36"/>
          <w:szCs w:val="36"/>
          <w:highlight w:val="none"/>
          <w:lang w:val="en-US" w:eastAsia="zh-CN"/>
        </w:rPr>
        <w:t>（第XX包</w:t>
      </w:r>
      <w:r>
        <w:rPr>
          <w:rFonts w:hint="eastAsia"/>
          <w:i w:val="0"/>
          <w:iCs w:val="0"/>
          <w:color w:val="auto"/>
          <w:sz w:val="36"/>
          <w:szCs w:val="36"/>
          <w:highlight w:val="none"/>
          <w:lang w:eastAsia="zh-CN"/>
        </w:rPr>
        <w:t>）【</w:t>
      </w:r>
      <w:r>
        <w:rPr>
          <w:rFonts w:hint="eastAsia"/>
          <w:i w:val="0"/>
          <w:iCs w:val="0"/>
          <w:color w:val="auto"/>
          <w:sz w:val="36"/>
          <w:szCs w:val="36"/>
          <w:highlight w:val="none"/>
          <w:lang w:val="en-US" w:eastAsia="zh-CN"/>
        </w:rPr>
        <w:t>如不分包，请删去本行</w:t>
      </w:r>
      <w:r>
        <w:rPr>
          <w:rFonts w:hint="eastAsia"/>
          <w:i w:val="0"/>
          <w:iCs w:val="0"/>
          <w:color w:val="auto"/>
          <w:sz w:val="36"/>
          <w:szCs w:val="36"/>
          <w:highlight w:val="none"/>
          <w:lang w:eastAsia="zh-CN"/>
        </w:rPr>
        <w:t>】</w:t>
      </w:r>
    </w:p>
    <w:p w14:paraId="5515A0FC">
      <w:pPr>
        <w:autoSpaceDE w:val="0"/>
        <w:autoSpaceDN w:val="0"/>
        <w:adjustRightInd w:val="0"/>
        <w:rPr>
          <w:i w:val="0"/>
          <w:iCs w:val="0"/>
          <w:color w:val="auto"/>
          <w:sz w:val="21"/>
          <w:szCs w:val="21"/>
          <w:highlight w:val="none"/>
        </w:rPr>
      </w:pPr>
    </w:p>
    <w:p w14:paraId="0E5111DA">
      <w:pPr>
        <w:autoSpaceDE w:val="0"/>
        <w:autoSpaceDN w:val="0"/>
        <w:adjustRightInd w:val="0"/>
        <w:rPr>
          <w:i w:val="0"/>
          <w:iCs w:val="0"/>
          <w:color w:val="auto"/>
          <w:sz w:val="21"/>
          <w:szCs w:val="21"/>
          <w:highlight w:val="none"/>
        </w:rPr>
      </w:pPr>
    </w:p>
    <w:p w14:paraId="6FE65EF0">
      <w:pPr>
        <w:autoSpaceDE w:val="0"/>
        <w:autoSpaceDN w:val="0"/>
        <w:adjustRightInd w:val="0"/>
        <w:rPr>
          <w:i w:val="0"/>
          <w:iCs w:val="0"/>
          <w:color w:val="auto"/>
          <w:sz w:val="21"/>
          <w:szCs w:val="21"/>
          <w:highlight w:val="none"/>
        </w:rPr>
      </w:pPr>
    </w:p>
    <w:p w14:paraId="16FE82B4">
      <w:pPr>
        <w:ind w:left="420" w:leftChars="175"/>
        <w:rPr>
          <w:rFonts w:hint="eastAsia" w:ascii="宋体" w:hAnsi="宋体" w:eastAsia="宋体" w:cs="宋体"/>
          <w:i w:val="0"/>
          <w:iCs w:val="0"/>
          <w:color w:val="auto"/>
          <w:sz w:val="36"/>
          <w:szCs w:val="36"/>
          <w:highlight w:val="none"/>
        </w:rPr>
      </w:pPr>
      <w:r>
        <w:rPr>
          <w:rFonts w:hint="eastAsia" w:ascii="宋体" w:hAnsi="宋体" w:eastAsia="宋体" w:cs="宋体"/>
          <w:i w:val="0"/>
          <w:iCs w:val="0"/>
          <w:color w:val="auto"/>
          <w:sz w:val="36"/>
          <w:szCs w:val="36"/>
          <w:highlight w:val="none"/>
        </w:rPr>
        <w:t>项目编号</w:t>
      </w:r>
      <w:r>
        <w:rPr>
          <w:rFonts w:hint="eastAsia" w:ascii="宋体" w:hAnsi="宋体" w:eastAsia="宋体" w:cs="宋体"/>
          <w:i w:val="0"/>
          <w:iCs w:val="0"/>
          <w:color w:val="auto"/>
          <w:sz w:val="36"/>
          <w:szCs w:val="36"/>
          <w:highlight w:val="none"/>
          <w:lang w:val="en-US" w:eastAsia="zh-CN"/>
        </w:rPr>
        <w:t>/包号</w:t>
      </w:r>
      <w:r>
        <w:rPr>
          <w:rFonts w:hint="eastAsia" w:ascii="宋体" w:hAnsi="宋体" w:eastAsia="宋体" w:cs="宋体"/>
          <w:i w:val="0"/>
          <w:iCs w:val="0"/>
          <w:color w:val="auto"/>
          <w:sz w:val="36"/>
          <w:szCs w:val="36"/>
          <w:highlight w:val="none"/>
        </w:rPr>
        <w:t>：</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27F2D1C1">
      <w:pPr>
        <w:ind w:left="420" w:leftChars="175"/>
        <w:rPr>
          <w:rFonts w:hint="eastAsia" w:ascii="宋体" w:hAnsi="宋体" w:eastAsia="宋体" w:cs="宋体"/>
          <w:i w:val="0"/>
          <w:iCs w:val="0"/>
          <w:color w:val="auto"/>
          <w:sz w:val="36"/>
          <w:szCs w:val="36"/>
          <w:highlight w:val="none"/>
        </w:rPr>
      </w:pPr>
      <w:r>
        <w:rPr>
          <w:rFonts w:hint="eastAsia" w:ascii="宋体" w:hAnsi="宋体" w:eastAsia="宋体" w:cs="宋体"/>
          <w:i w:val="0"/>
          <w:iCs w:val="0"/>
          <w:color w:val="auto"/>
          <w:sz w:val="36"/>
          <w:szCs w:val="36"/>
          <w:highlight w:val="none"/>
        </w:rPr>
        <w:t>项目名称：</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23ACD531">
      <w:pPr>
        <w:ind w:left="420" w:leftChars="175"/>
        <w:rPr>
          <w:rFonts w:hint="eastAsia" w:ascii="宋体" w:hAnsi="宋体" w:eastAsia="宋体" w:cs="宋体"/>
          <w:i w:val="0"/>
          <w:iCs w:val="0"/>
          <w:color w:val="auto"/>
          <w:sz w:val="36"/>
          <w:szCs w:val="36"/>
          <w:highlight w:val="none"/>
        </w:rPr>
      </w:pPr>
      <w:r>
        <w:rPr>
          <w:rFonts w:hint="eastAsia" w:cs="宋体"/>
          <w:i w:val="0"/>
          <w:iCs w:val="0"/>
          <w:color w:val="auto"/>
          <w:sz w:val="36"/>
          <w:szCs w:val="36"/>
          <w:highlight w:val="none"/>
          <w:lang w:val="en-US" w:eastAsia="zh-CN"/>
        </w:rPr>
        <w:t>供 应 商</w:t>
      </w:r>
      <w:r>
        <w:rPr>
          <w:rFonts w:hint="eastAsia" w:ascii="宋体" w:hAnsi="宋体" w:eastAsia="宋体" w:cs="宋体"/>
          <w:i w:val="0"/>
          <w:iCs w:val="0"/>
          <w:color w:val="auto"/>
          <w:sz w:val="36"/>
          <w:szCs w:val="36"/>
          <w:highlight w:val="none"/>
        </w:rPr>
        <w:t>：</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114C41E2">
      <w:pPr>
        <w:ind w:left="840" w:firstLine="420"/>
        <w:rPr>
          <w:b/>
          <w:bCs/>
          <w:i w:val="0"/>
          <w:iCs w:val="0"/>
          <w:color w:val="auto"/>
          <w:sz w:val="28"/>
          <w:szCs w:val="28"/>
          <w:highlight w:val="none"/>
        </w:rPr>
      </w:pPr>
    </w:p>
    <w:p w14:paraId="3BC6A183">
      <w:pPr>
        <w:ind w:left="840" w:firstLine="420"/>
        <w:rPr>
          <w:b/>
          <w:bCs/>
          <w:i w:val="0"/>
          <w:iCs w:val="0"/>
          <w:color w:val="auto"/>
          <w:sz w:val="28"/>
          <w:szCs w:val="28"/>
          <w:highlight w:val="none"/>
        </w:rPr>
      </w:pPr>
    </w:p>
    <w:p w14:paraId="399689DC">
      <w:pPr>
        <w:ind w:left="840" w:firstLine="420"/>
        <w:rPr>
          <w:b/>
          <w:bCs/>
          <w:i w:val="0"/>
          <w:iCs w:val="0"/>
          <w:color w:val="auto"/>
          <w:sz w:val="28"/>
          <w:szCs w:val="28"/>
          <w:highlight w:val="none"/>
        </w:rPr>
      </w:pPr>
    </w:p>
    <w:p w14:paraId="558B83A6">
      <w:pPr>
        <w:jc w:val="center"/>
        <w:rPr>
          <w:rFonts w:ascii="黑体" w:hAnsi="黑体" w:eastAsia="黑体"/>
          <w:i w:val="0"/>
          <w:iCs w:val="0"/>
          <w:color w:val="auto"/>
          <w:sz w:val="32"/>
          <w:szCs w:val="32"/>
          <w:highlight w:val="none"/>
        </w:rPr>
      </w:pPr>
      <w:r>
        <w:rPr>
          <w:rFonts w:hint="eastAsia" w:ascii="宋体" w:hAnsi="宋体" w:eastAsia="宋体" w:cs="宋体"/>
          <w:i w:val="0"/>
          <w:iCs w:val="0"/>
          <w:color w:val="auto"/>
          <w:sz w:val="32"/>
          <w:szCs w:val="32"/>
          <w:highlight w:val="none"/>
        </w:rPr>
        <w:t>年   月    日</w:t>
      </w:r>
    </w:p>
    <w:p w14:paraId="5F2BA123">
      <w:pPr>
        <w:jc w:val="center"/>
        <w:rPr>
          <w:b/>
          <w:bCs/>
          <w:i w:val="0"/>
          <w:iCs w:val="0"/>
          <w:color w:val="auto"/>
          <w:sz w:val="28"/>
          <w:szCs w:val="28"/>
          <w:highlight w:val="none"/>
        </w:rPr>
      </w:pPr>
      <w:r>
        <w:rPr>
          <w:b/>
          <w:bCs/>
          <w:i w:val="0"/>
          <w:iCs w:val="0"/>
          <w:color w:val="auto"/>
          <w:sz w:val="28"/>
          <w:szCs w:val="28"/>
          <w:highlight w:val="none"/>
        </w:rPr>
        <w:br w:type="page"/>
      </w:r>
    </w:p>
    <w:p w14:paraId="2C6B628D">
      <w:pPr>
        <w:rPr>
          <w:i w:val="0"/>
          <w:iCs w:val="0"/>
          <w:color w:val="auto"/>
          <w:highlight w:val="none"/>
          <w:lang w:val="zh-CN"/>
        </w:rPr>
      </w:pPr>
      <w:bookmarkStart w:id="483" w:name="_Toc155185928"/>
      <w:bookmarkStart w:id="484" w:name="_Toc163492922"/>
      <w:bookmarkStart w:id="485" w:name="_Toc163493643"/>
    </w:p>
    <w:p w14:paraId="053B0E36">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i w:val="0"/>
          <w:iCs w:val="0"/>
          <w:color w:val="auto"/>
          <w:kern w:val="2"/>
          <w:sz w:val="28"/>
          <w:szCs w:val="28"/>
          <w:highlight w:val="none"/>
          <w:lang w:val="en-US" w:eastAsia="zh-CN" w:bidi="ar-SA"/>
        </w:rPr>
      </w:pPr>
      <w:bookmarkStart w:id="486" w:name="_Toc12516"/>
      <w:bookmarkStart w:id="487" w:name="_Toc155185927"/>
      <w:r>
        <w:rPr>
          <w:rFonts w:hint="eastAsia" w:eastAsia="宋体" w:asciiTheme="majorHAnsi" w:hAnsiTheme="majorHAnsi" w:cstheme="majorBidi"/>
          <w:b/>
          <w:bCs/>
          <w:i w:val="0"/>
          <w:iCs w:val="0"/>
          <w:color w:val="auto"/>
          <w:kern w:val="2"/>
          <w:sz w:val="28"/>
          <w:szCs w:val="28"/>
          <w:highlight w:val="none"/>
          <w:lang w:val="en-US" w:eastAsia="zh-CN" w:bidi="ar-SA"/>
        </w:rPr>
        <w:t>一、满足《中华人民共和国政府采购法》第二十二条规定</w:t>
      </w:r>
      <w:bookmarkEnd w:id="486"/>
    </w:p>
    <w:bookmarkEnd w:id="487"/>
    <w:p w14:paraId="04259590">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（一）法人、其他组织或者自然人的证明文件</w:t>
      </w:r>
    </w:p>
    <w:p w14:paraId="62FB9CC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i w:val="0"/>
          <w:iCs w:val="0"/>
          <w:color w:val="auto"/>
          <w:kern w:val="0"/>
          <w:sz w:val="24"/>
          <w:szCs w:val="24"/>
          <w:highlight w:val="none"/>
          <w:lang w:val="en-US" w:eastAsia="zh-CN"/>
        </w:rPr>
      </w:pPr>
      <w:r>
        <w:rPr>
          <w:rFonts w:hint="eastAsia" w:cs="宋体"/>
          <w:b w:val="0"/>
          <w:bCs w:val="0"/>
          <w:i w:val="0"/>
          <w:iCs w:val="0"/>
          <w:color w:val="auto"/>
          <w:kern w:val="0"/>
          <w:sz w:val="24"/>
          <w:szCs w:val="24"/>
          <w:highlight w:val="none"/>
          <w:lang w:val="en-US" w:eastAsia="zh-CN"/>
        </w:rPr>
        <w:t>1、供应商</w:t>
      </w:r>
      <w:r>
        <w:rPr>
          <w:rFonts w:hint="eastAsia" w:ascii="宋体" w:hAnsi="宋体" w:eastAsia="宋体" w:cs="宋体"/>
          <w:b w:val="0"/>
          <w:bCs w:val="0"/>
          <w:i w:val="0"/>
          <w:iCs w:val="0"/>
          <w:color w:val="auto"/>
          <w:kern w:val="0"/>
          <w:sz w:val="24"/>
          <w:szCs w:val="24"/>
          <w:highlight w:val="none"/>
          <w:lang w:val="en-US" w:eastAsia="zh-CN"/>
        </w:rPr>
        <w:t>为企业（包括合伙企业）的，应提供有效的“营业执照”；</w:t>
      </w:r>
    </w:p>
    <w:p w14:paraId="600485A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i w:val="0"/>
          <w:iCs w:val="0"/>
          <w:color w:val="auto"/>
          <w:kern w:val="0"/>
          <w:sz w:val="24"/>
          <w:szCs w:val="24"/>
          <w:highlight w:val="none"/>
          <w:lang w:val="en-US" w:eastAsia="zh-CN"/>
        </w:rPr>
      </w:pPr>
      <w:r>
        <w:rPr>
          <w:rFonts w:hint="eastAsia" w:cs="宋体"/>
          <w:b w:val="0"/>
          <w:bCs w:val="0"/>
          <w:i w:val="0"/>
          <w:iCs w:val="0"/>
          <w:color w:val="auto"/>
          <w:kern w:val="0"/>
          <w:sz w:val="24"/>
          <w:szCs w:val="24"/>
          <w:highlight w:val="none"/>
          <w:lang w:val="en-US" w:eastAsia="zh-CN"/>
        </w:rPr>
        <w:t>2、供应商</w:t>
      </w:r>
      <w:r>
        <w:rPr>
          <w:rFonts w:hint="eastAsia" w:ascii="宋体" w:hAnsi="宋体" w:eastAsia="宋体" w:cs="宋体"/>
          <w:b w:val="0"/>
          <w:bCs w:val="0"/>
          <w:i w:val="0"/>
          <w:iCs w:val="0"/>
          <w:color w:val="auto"/>
          <w:kern w:val="0"/>
          <w:sz w:val="24"/>
          <w:szCs w:val="24"/>
          <w:highlight w:val="none"/>
          <w:lang w:val="en-US" w:eastAsia="zh-CN"/>
        </w:rPr>
        <w:t>为事业单位的，应提供有效的“事业单位法人证书”；</w:t>
      </w:r>
    </w:p>
    <w:p w14:paraId="67A5F42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i w:val="0"/>
          <w:iCs w:val="0"/>
          <w:color w:val="auto"/>
          <w:kern w:val="0"/>
          <w:sz w:val="24"/>
          <w:szCs w:val="24"/>
          <w:highlight w:val="none"/>
          <w:lang w:val="en-US" w:eastAsia="zh-CN"/>
        </w:rPr>
      </w:pPr>
      <w:r>
        <w:rPr>
          <w:rFonts w:hint="eastAsia" w:cs="宋体"/>
          <w:b w:val="0"/>
          <w:bCs w:val="0"/>
          <w:i w:val="0"/>
          <w:iCs w:val="0"/>
          <w:color w:val="auto"/>
          <w:kern w:val="0"/>
          <w:sz w:val="24"/>
          <w:szCs w:val="24"/>
          <w:highlight w:val="none"/>
          <w:lang w:val="en-US" w:eastAsia="zh-CN"/>
        </w:rPr>
        <w:t>3、供应商</w:t>
      </w:r>
      <w:r>
        <w:rPr>
          <w:rFonts w:hint="eastAsia" w:ascii="宋体" w:hAnsi="宋体" w:eastAsia="宋体" w:cs="宋体"/>
          <w:b w:val="0"/>
          <w:bCs w:val="0"/>
          <w:i w:val="0"/>
          <w:iCs w:val="0"/>
          <w:color w:val="auto"/>
          <w:kern w:val="0"/>
          <w:sz w:val="24"/>
          <w:szCs w:val="24"/>
          <w:highlight w:val="none"/>
          <w:lang w:val="en-US" w:eastAsia="zh-CN"/>
        </w:rPr>
        <w:t>为非企业机构的，应提供有效的“执业许可证”、“登记证书”等证明文件；</w:t>
      </w:r>
    </w:p>
    <w:p w14:paraId="1FA7A24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i w:val="0"/>
          <w:iCs w:val="0"/>
          <w:color w:val="auto"/>
          <w:kern w:val="0"/>
          <w:sz w:val="24"/>
          <w:szCs w:val="24"/>
          <w:highlight w:val="none"/>
          <w:lang w:val="en-US" w:eastAsia="zh-CN"/>
        </w:rPr>
      </w:pPr>
      <w:r>
        <w:rPr>
          <w:rFonts w:hint="eastAsia" w:cs="宋体"/>
          <w:b w:val="0"/>
          <w:bCs w:val="0"/>
          <w:i w:val="0"/>
          <w:iCs w:val="0"/>
          <w:color w:val="auto"/>
          <w:kern w:val="0"/>
          <w:sz w:val="24"/>
          <w:szCs w:val="24"/>
          <w:highlight w:val="none"/>
          <w:lang w:val="en-US" w:eastAsia="zh-CN"/>
        </w:rPr>
        <w:t>4、供应商</w:t>
      </w:r>
      <w:r>
        <w:rPr>
          <w:rFonts w:hint="eastAsia" w:ascii="宋体" w:hAnsi="宋体" w:eastAsia="宋体" w:cs="宋体"/>
          <w:b w:val="0"/>
          <w:bCs w:val="0"/>
          <w:i w:val="0"/>
          <w:iCs w:val="0"/>
          <w:color w:val="auto"/>
          <w:kern w:val="0"/>
          <w:sz w:val="24"/>
          <w:szCs w:val="24"/>
          <w:highlight w:val="none"/>
          <w:lang w:val="en-US" w:eastAsia="zh-CN"/>
        </w:rPr>
        <w:t>是个体工商户的，应提供有效的“个体工商户营业执照”；</w:t>
      </w:r>
    </w:p>
    <w:p w14:paraId="43D5DF5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i w:val="0"/>
          <w:iCs w:val="0"/>
          <w:color w:val="auto"/>
          <w:kern w:val="0"/>
          <w:sz w:val="24"/>
          <w:szCs w:val="24"/>
          <w:highlight w:val="none"/>
          <w:lang w:val="en-US" w:eastAsia="zh-CN"/>
        </w:rPr>
      </w:pPr>
      <w:r>
        <w:rPr>
          <w:rFonts w:hint="eastAsia" w:cs="宋体"/>
          <w:b w:val="0"/>
          <w:bCs w:val="0"/>
          <w:i w:val="0"/>
          <w:iCs w:val="0"/>
          <w:color w:val="auto"/>
          <w:kern w:val="0"/>
          <w:sz w:val="24"/>
          <w:szCs w:val="24"/>
          <w:highlight w:val="none"/>
          <w:lang w:val="en-US" w:eastAsia="zh-CN"/>
        </w:rPr>
        <w:t>5、供应商</w:t>
      </w:r>
      <w:r>
        <w:rPr>
          <w:rFonts w:hint="eastAsia" w:ascii="宋体" w:hAnsi="宋体" w:eastAsia="宋体" w:cs="宋体"/>
          <w:b w:val="0"/>
          <w:bCs w:val="0"/>
          <w:i w:val="0"/>
          <w:iCs w:val="0"/>
          <w:color w:val="auto"/>
          <w:kern w:val="0"/>
          <w:sz w:val="24"/>
          <w:szCs w:val="24"/>
          <w:highlight w:val="none"/>
          <w:lang w:val="en-US" w:eastAsia="zh-CN"/>
        </w:rPr>
        <w:t>是自然人的，应提供有效的自然人身份证明。</w:t>
      </w:r>
    </w:p>
    <w:p w14:paraId="71461FAC">
      <w:pPr>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br w:type="page"/>
      </w:r>
    </w:p>
    <w:bookmarkEnd w:id="483"/>
    <w:bookmarkEnd w:id="484"/>
    <w:p w14:paraId="2D14B385">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（二）具有良好的商业信誉和健全的财务会计制度；</w:t>
      </w:r>
    </w:p>
    <w:p w14:paraId="1F503A35">
      <w:pPr>
        <w:pStyle w:val="75"/>
        <w:adjustRightInd w:val="0"/>
        <w:snapToGrid w:val="0"/>
        <w:spacing w:line="360" w:lineRule="auto"/>
        <w:ind w:firstLine="420" w:firstLineChars="200"/>
        <w:jc w:val="left"/>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若供应商成立超过一年需提供2024年或2025年的财务状况报表或经第三方审计出具的审计报告复印件/扫描件并加盖公章，供应商成立不足一年（含一年）需提供近三个月内任意一个月的财务报表复印件/扫描件并加盖公章（需包含资产负债表、现金流量表、利润表）或近三个月内任意一个月的银行资信证明材料复印件/扫描件并加盖公章；</w:t>
      </w:r>
    </w:p>
    <w:p w14:paraId="2043C0FD">
      <w:pPr>
        <w:rPr>
          <w:rFonts w:hint="eastAsia" w:ascii="宋体" w:hAnsi="宋体" w:eastAsia="宋体" w:cs="宋体"/>
          <w:b/>
          <w:bCs/>
          <w:i w:val="0"/>
          <w:iCs w:val="0"/>
          <w:color w:val="auto"/>
          <w:kern w:val="2"/>
          <w:sz w:val="24"/>
          <w:szCs w:val="24"/>
          <w:highlight w:val="none"/>
          <w:lang w:val="en-US" w:eastAsia="zh-CN" w:bidi="ar-SA"/>
        </w:rPr>
      </w:pPr>
      <w:bookmarkStart w:id="488" w:name="_Toc11370"/>
      <w:bookmarkStart w:id="489" w:name="_Toc28292"/>
      <w:r>
        <w:rPr>
          <w:rFonts w:hint="eastAsia" w:ascii="宋体" w:hAnsi="宋体" w:eastAsia="宋体" w:cs="宋体"/>
          <w:b/>
          <w:bCs/>
          <w:i w:val="0"/>
          <w:iCs w:val="0"/>
          <w:color w:val="auto"/>
          <w:kern w:val="2"/>
          <w:sz w:val="24"/>
          <w:szCs w:val="24"/>
          <w:highlight w:val="none"/>
          <w:lang w:val="en-US" w:eastAsia="zh-CN" w:bidi="ar-SA"/>
        </w:rPr>
        <w:br w:type="page"/>
      </w:r>
    </w:p>
    <w:p w14:paraId="66F77BEF">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（三）有依法缴纳税收和社会保障资金的良好记录</w:t>
      </w:r>
      <w:bookmarkEnd w:id="488"/>
      <w:bookmarkEnd w:id="489"/>
    </w:p>
    <w:p w14:paraId="19EEE140">
      <w:pPr>
        <w:pStyle w:val="75"/>
        <w:adjustRightInd w:val="0"/>
        <w:snapToGrid w:val="0"/>
        <w:spacing w:line="360" w:lineRule="auto"/>
        <w:ind w:firstLine="420" w:firstLineChars="20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供应商</w:t>
      </w:r>
      <w:r>
        <w:rPr>
          <w:rFonts w:hint="eastAsia" w:ascii="宋体" w:hAnsi="宋体" w:eastAsia="宋体" w:cs="宋体"/>
          <w:b w:val="0"/>
          <w:bCs/>
          <w:color w:val="auto"/>
          <w:sz w:val="21"/>
          <w:szCs w:val="21"/>
          <w:highlight w:val="none"/>
        </w:rPr>
        <w:t>依法缴纳税收的证明材料：本项目</w:t>
      </w:r>
      <w:r>
        <w:rPr>
          <w:rFonts w:hint="eastAsia" w:ascii="宋体" w:hAnsi="宋体" w:eastAsia="宋体" w:cs="宋体"/>
          <w:b w:val="0"/>
          <w:bCs/>
          <w:color w:val="auto"/>
          <w:sz w:val="21"/>
          <w:szCs w:val="21"/>
          <w:highlight w:val="none"/>
          <w:lang w:eastAsia="zh-CN"/>
        </w:rPr>
        <w:t>响应截止</w:t>
      </w:r>
      <w:r>
        <w:rPr>
          <w:rFonts w:hint="eastAsia" w:ascii="宋体" w:hAnsi="宋体" w:eastAsia="宋体" w:cs="宋体"/>
          <w:b w:val="0"/>
          <w:bCs/>
          <w:color w:val="auto"/>
          <w:sz w:val="21"/>
          <w:szCs w:val="21"/>
          <w:highlight w:val="none"/>
        </w:rPr>
        <w:t xml:space="preserve">时间前 6 个月内（至少提供1个月）缴纳税收的凭据（完税证、缴款书、印花税票、银行代扣（代缴）转账凭证等均可）； </w:t>
      </w:r>
    </w:p>
    <w:p w14:paraId="4ECAA3B3">
      <w:pPr>
        <w:pStyle w:val="75"/>
        <w:adjustRightInd w:val="0"/>
        <w:snapToGrid w:val="0"/>
        <w:spacing w:line="360" w:lineRule="auto"/>
        <w:ind w:firstLine="420" w:firstLineChars="20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供应商</w:t>
      </w:r>
      <w:r>
        <w:rPr>
          <w:rFonts w:hint="eastAsia" w:ascii="宋体" w:hAnsi="宋体" w:eastAsia="宋体" w:cs="宋体"/>
          <w:b w:val="0"/>
          <w:bCs/>
          <w:color w:val="auto"/>
          <w:sz w:val="21"/>
          <w:szCs w:val="21"/>
          <w:highlight w:val="none"/>
        </w:rPr>
        <w:t>依法缴纳社会保障资金的证明材料：本项目</w:t>
      </w:r>
      <w:r>
        <w:rPr>
          <w:rFonts w:hint="eastAsia" w:ascii="宋体" w:hAnsi="宋体" w:eastAsia="宋体" w:cs="宋体"/>
          <w:b w:val="0"/>
          <w:bCs/>
          <w:color w:val="auto"/>
          <w:sz w:val="21"/>
          <w:szCs w:val="21"/>
          <w:highlight w:val="none"/>
          <w:lang w:eastAsia="zh-CN"/>
        </w:rPr>
        <w:t>响应截止</w:t>
      </w:r>
      <w:r>
        <w:rPr>
          <w:rFonts w:hint="eastAsia" w:ascii="宋体" w:hAnsi="宋体" w:eastAsia="宋体" w:cs="宋体"/>
          <w:b w:val="0"/>
          <w:bCs/>
          <w:color w:val="auto"/>
          <w:sz w:val="21"/>
          <w:szCs w:val="21"/>
          <w:highlight w:val="none"/>
        </w:rPr>
        <w:t xml:space="preserve">时间时间前 6个月内（至少提供1个月）缴纳社会保险的凭据（专用收据或社会保险交纳清单）； </w:t>
      </w:r>
    </w:p>
    <w:p w14:paraId="4549E0BF">
      <w:pPr>
        <w:pStyle w:val="75"/>
        <w:adjustRightInd w:val="0"/>
        <w:snapToGrid w:val="0"/>
        <w:spacing w:line="360" w:lineRule="auto"/>
        <w:ind w:firstLine="420" w:firstLineChars="200"/>
        <w:jc w:val="left"/>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供应商</w:t>
      </w:r>
      <w:r>
        <w:rPr>
          <w:rFonts w:hint="eastAsia" w:ascii="宋体" w:hAnsi="宋体" w:eastAsia="宋体" w:cs="宋体"/>
          <w:b w:val="0"/>
          <w:bCs/>
          <w:color w:val="auto"/>
          <w:sz w:val="21"/>
          <w:szCs w:val="21"/>
          <w:highlight w:val="none"/>
        </w:rPr>
        <w:t>为其他组织或自然人的，也需要按此项规定提供缴纳税收的凭据和交纳社会保险的凭据。如</w:t>
      </w:r>
      <w:r>
        <w:rPr>
          <w:rFonts w:hint="eastAsia" w:ascii="宋体" w:hAnsi="宋体" w:eastAsia="宋体" w:cs="宋体"/>
          <w:b w:val="0"/>
          <w:bCs/>
          <w:color w:val="auto"/>
          <w:sz w:val="21"/>
          <w:szCs w:val="21"/>
          <w:highlight w:val="none"/>
          <w:lang w:val="en-US" w:eastAsia="zh-CN"/>
        </w:rPr>
        <w:t>供应商</w:t>
      </w:r>
      <w:r>
        <w:rPr>
          <w:rFonts w:hint="eastAsia" w:ascii="宋体" w:hAnsi="宋体" w:eastAsia="宋体" w:cs="宋体"/>
          <w:b w:val="0"/>
          <w:bCs/>
          <w:color w:val="auto"/>
          <w:sz w:val="21"/>
          <w:szCs w:val="21"/>
          <w:highlight w:val="none"/>
        </w:rPr>
        <w:t>的社会保险为委托第三方代缴，还需同时提供</w:t>
      </w:r>
      <w:r>
        <w:rPr>
          <w:rFonts w:hint="eastAsia" w:ascii="宋体" w:hAnsi="宋体" w:eastAsia="宋体" w:cs="宋体"/>
          <w:b w:val="0"/>
          <w:bCs/>
          <w:color w:val="auto"/>
          <w:sz w:val="21"/>
          <w:szCs w:val="21"/>
          <w:highlight w:val="none"/>
          <w:lang w:val="en-US" w:eastAsia="zh-CN"/>
        </w:rPr>
        <w:t>供应商</w:t>
      </w:r>
      <w:r>
        <w:rPr>
          <w:rFonts w:hint="eastAsia" w:ascii="宋体" w:hAnsi="宋体" w:eastAsia="宋体" w:cs="宋体"/>
          <w:b w:val="0"/>
          <w:bCs/>
          <w:color w:val="auto"/>
          <w:sz w:val="21"/>
          <w:szCs w:val="21"/>
          <w:highlight w:val="none"/>
        </w:rPr>
        <w:t>与第三方服务机构签署的服务合同（合同中应明确写明第三方为</w:t>
      </w:r>
      <w:r>
        <w:rPr>
          <w:rFonts w:hint="eastAsia" w:ascii="宋体" w:hAnsi="宋体" w:eastAsia="宋体" w:cs="宋体"/>
          <w:b w:val="0"/>
          <w:bCs/>
          <w:color w:val="auto"/>
          <w:sz w:val="21"/>
          <w:szCs w:val="21"/>
          <w:highlight w:val="none"/>
          <w:lang w:val="en-US" w:eastAsia="zh-CN"/>
        </w:rPr>
        <w:t>供应商</w:t>
      </w:r>
      <w:r>
        <w:rPr>
          <w:rFonts w:hint="eastAsia" w:ascii="宋体" w:hAnsi="宋体" w:eastAsia="宋体" w:cs="宋体"/>
          <w:b w:val="0"/>
          <w:bCs/>
          <w:color w:val="auto"/>
          <w:sz w:val="21"/>
          <w:szCs w:val="21"/>
          <w:highlight w:val="none"/>
        </w:rPr>
        <w:t>代缴其社会保险）。</w:t>
      </w:r>
    </w:p>
    <w:p w14:paraId="104DC747">
      <w:pPr>
        <w:pStyle w:val="75"/>
        <w:adjustRightInd w:val="0"/>
        <w:snapToGrid w:val="0"/>
        <w:spacing w:line="360" w:lineRule="auto"/>
        <w:ind w:firstLine="420" w:firstLineChars="200"/>
        <w:jc w:val="left"/>
        <w:rPr>
          <w:rFonts w:hint="eastAsia" w:ascii="宋体" w:hAnsi="宋体" w:eastAsia="宋体" w:cs="宋体"/>
          <w:b w:val="0"/>
          <w:bCs/>
          <w:color w:val="auto"/>
          <w:sz w:val="21"/>
          <w:szCs w:val="21"/>
          <w:highlight w:val="none"/>
        </w:rPr>
        <w:sectPr>
          <w:headerReference r:id="rId9" w:type="default"/>
          <w:footerReference r:id="rId10" w:type="default"/>
          <w:pgSz w:w="11906" w:h="16838"/>
          <w:pgMar w:top="1440" w:right="1797" w:bottom="1440" w:left="1797" w:header="851" w:footer="992" w:gutter="0"/>
          <w:pgNumType w:fmt="decimal"/>
          <w:cols w:space="720" w:num="1"/>
        </w:sectPr>
      </w:pPr>
      <w:r>
        <w:rPr>
          <w:rFonts w:hint="eastAsia" w:ascii="宋体" w:hAnsi="宋体" w:eastAsia="宋体" w:cs="宋体"/>
          <w:b w:val="0"/>
          <w:bCs/>
          <w:color w:val="auto"/>
          <w:sz w:val="21"/>
          <w:szCs w:val="21"/>
          <w:highlight w:val="none"/>
        </w:rPr>
        <w:t>依法不需要缴纳社会保障资金的</w:t>
      </w:r>
      <w:r>
        <w:rPr>
          <w:rFonts w:hint="eastAsia" w:ascii="宋体" w:hAnsi="宋体" w:eastAsia="宋体" w:cs="宋体"/>
          <w:b w:val="0"/>
          <w:bCs/>
          <w:color w:val="auto"/>
          <w:sz w:val="21"/>
          <w:szCs w:val="21"/>
          <w:highlight w:val="none"/>
          <w:lang w:val="en-US" w:eastAsia="zh-CN"/>
        </w:rPr>
        <w:t>供应商</w:t>
      </w:r>
      <w:r>
        <w:rPr>
          <w:rFonts w:hint="eastAsia" w:ascii="宋体" w:hAnsi="宋体" w:eastAsia="宋体" w:cs="宋体"/>
          <w:b w:val="0"/>
          <w:bCs/>
          <w:color w:val="auto"/>
          <w:sz w:val="21"/>
          <w:szCs w:val="21"/>
          <w:highlight w:val="none"/>
        </w:rPr>
        <w:t>，须提供相应文件证明其依法不需要缴纳社会保障资金。</w:t>
      </w:r>
    </w:p>
    <w:p w14:paraId="39F8B77A">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bookmarkStart w:id="490" w:name="_Toc7342"/>
      <w:bookmarkStart w:id="491" w:name="_Toc19442"/>
      <w:r>
        <w:rPr>
          <w:rFonts w:hint="eastAsia" w:ascii="宋体" w:hAnsi="宋体" w:eastAsia="宋体" w:cs="宋体"/>
          <w:b/>
          <w:bCs/>
          <w:i w:val="0"/>
          <w:iCs w:val="0"/>
          <w:color w:val="auto"/>
          <w:kern w:val="2"/>
          <w:sz w:val="24"/>
          <w:szCs w:val="24"/>
          <w:highlight w:val="none"/>
          <w:lang w:val="en-US" w:eastAsia="zh-CN" w:bidi="ar-SA"/>
        </w:rPr>
        <w:t>（四）供应商须具有履行合同所必需的设备和专业技术能力，须附相关证明材料或声明：</w:t>
      </w:r>
      <w:bookmarkEnd w:id="490"/>
      <w:bookmarkEnd w:id="491"/>
    </w:p>
    <w:p w14:paraId="2CED8279">
      <w:pPr>
        <w:pStyle w:val="75"/>
        <w:autoSpaceDE w:val="0"/>
        <w:autoSpaceDN w:val="0"/>
        <w:adjustRightInd w:val="0"/>
        <w:spacing w:line="440" w:lineRule="exact"/>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格式：</w:t>
      </w:r>
    </w:p>
    <w:p w14:paraId="18C477D2">
      <w:pPr>
        <w:pStyle w:val="75"/>
        <w:autoSpaceDE w:val="0"/>
        <w:autoSpaceDN w:val="0"/>
        <w:adjustRightInd w:val="0"/>
        <w:spacing w:line="440" w:lineRule="exact"/>
        <w:ind w:firstLine="120" w:firstLineChars="50"/>
        <w:jc w:val="center"/>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本供应商郑重声明：</w:t>
      </w:r>
    </w:p>
    <w:p w14:paraId="7802F332">
      <w:pPr>
        <w:pStyle w:val="75"/>
        <w:autoSpaceDE w:val="0"/>
        <w:autoSpaceDN w:val="0"/>
        <w:adjustRightInd w:val="0"/>
        <w:spacing w:line="440" w:lineRule="exact"/>
        <w:jc w:val="left"/>
        <w:rPr>
          <w:rFonts w:hint="eastAsia" w:ascii="宋体" w:hAnsi="宋体" w:cs="宋体"/>
          <w:color w:val="auto"/>
          <w:kern w:val="0"/>
          <w:sz w:val="24"/>
          <w:szCs w:val="24"/>
          <w:highlight w:val="none"/>
        </w:rPr>
      </w:pPr>
      <w:r>
        <w:rPr>
          <w:rFonts w:hint="eastAsia" w:ascii="宋体" w:hAnsi="宋体" w:cs="宋体"/>
          <w:color w:val="auto"/>
          <w:kern w:val="0"/>
          <w:sz w:val="24"/>
          <w:szCs w:val="24"/>
          <w:highlight w:val="none"/>
        </w:rPr>
        <w:t xml:space="preserve">本公司（或单位）具备本项目履行合同所必需的设备和专业技术能力，特此承诺。 </w:t>
      </w:r>
    </w:p>
    <w:p w14:paraId="74091F66">
      <w:pPr>
        <w:pStyle w:val="76"/>
        <w:adjustRightInd w:val="0"/>
        <w:snapToGrid w:val="0"/>
        <w:spacing w:line="500" w:lineRule="exact"/>
        <w:rPr>
          <w:rFonts w:hint="eastAsia" w:ascii="宋体" w:hAnsi="宋体" w:cs="宋体"/>
          <w:color w:val="auto"/>
          <w:sz w:val="24"/>
          <w:szCs w:val="24"/>
          <w:highlight w:val="none"/>
        </w:rPr>
      </w:pPr>
    </w:p>
    <w:p w14:paraId="09D05F52">
      <w:pPr>
        <w:pStyle w:val="76"/>
        <w:adjustRightInd w:val="0"/>
        <w:snapToGrid w:val="0"/>
        <w:spacing w:line="500" w:lineRule="exact"/>
        <w:rPr>
          <w:rFonts w:hint="eastAsia" w:ascii="宋体" w:hAnsi="宋体" w:cs="宋体"/>
          <w:color w:val="auto"/>
          <w:sz w:val="24"/>
          <w:szCs w:val="24"/>
          <w:highlight w:val="none"/>
        </w:rPr>
      </w:pPr>
    </w:p>
    <w:p w14:paraId="06E7F57F">
      <w:pPr>
        <w:pStyle w:val="76"/>
        <w:adjustRightInd w:val="0"/>
        <w:snapToGrid w:val="0"/>
        <w:spacing w:line="500" w:lineRule="exact"/>
        <w:rPr>
          <w:rFonts w:hint="eastAsia" w:ascii="宋体" w:hAnsi="宋体" w:cs="宋体"/>
          <w:color w:val="auto"/>
          <w:sz w:val="24"/>
          <w:szCs w:val="24"/>
          <w:highlight w:val="none"/>
        </w:rPr>
      </w:pPr>
    </w:p>
    <w:p w14:paraId="0A55E66A">
      <w:pPr>
        <w:pStyle w:val="76"/>
        <w:adjustRightInd w:val="0"/>
        <w:snapToGrid w:val="0"/>
        <w:spacing w:line="500" w:lineRule="exact"/>
        <w:rPr>
          <w:rFonts w:hint="eastAsia" w:ascii="宋体" w:hAnsi="宋体" w:cs="宋体"/>
          <w:color w:val="auto"/>
          <w:sz w:val="24"/>
          <w:szCs w:val="24"/>
          <w:highlight w:val="none"/>
        </w:rPr>
      </w:pPr>
    </w:p>
    <w:p w14:paraId="6C0B4994">
      <w:pPr>
        <w:pStyle w:val="76"/>
        <w:adjustRightInd w:val="0"/>
        <w:snapToGrid w:val="0"/>
        <w:spacing w:line="500" w:lineRule="exact"/>
        <w:rPr>
          <w:rFonts w:hint="eastAsia" w:ascii="宋体" w:hAnsi="宋体" w:cs="宋体"/>
          <w:color w:val="auto"/>
          <w:sz w:val="24"/>
          <w:szCs w:val="24"/>
          <w:highlight w:val="none"/>
        </w:rPr>
      </w:pPr>
    </w:p>
    <w:p w14:paraId="5CD3836F">
      <w:pPr>
        <w:pStyle w:val="76"/>
        <w:adjustRightInd w:val="0"/>
        <w:snapToGrid w:val="0"/>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法定代表人（单位负责人）或其委托代理人（签字或电子签章）：</w:t>
      </w:r>
      <w:r>
        <w:rPr>
          <w:rFonts w:hint="eastAsia" w:ascii="宋体" w:hAnsi="宋体" w:cs="宋体"/>
          <w:color w:val="auto"/>
          <w:sz w:val="24"/>
          <w:szCs w:val="24"/>
          <w:highlight w:val="none"/>
          <w:u w:val="single"/>
        </w:rPr>
        <w:t xml:space="preserve">                  </w:t>
      </w:r>
    </w:p>
    <w:p w14:paraId="34C7D42A">
      <w:pPr>
        <w:pStyle w:val="76"/>
        <w:adjustRightInd w:val="0"/>
        <w:snapToGrid w:val="0"/>
        <w:spacing w:line="500" w:lineRule="exact"/>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供应商名称（签章）：</w:t>
      </w:r>
      <w:r>
        <w:rPr>
          <w:rFonts w:hint="eastAsia" w:ascii="宋体" w:hAnsi="宋体" w:cs="宋体"/>
          <w:color w:val="auto"/>
          <w:sz w:val="24"/>
          <w:szCs w:val="24"/>
          <w:highlight w:val="none"/>
          <w:u w:val="single"/>
        </w:rPr>
        <w:t xml:space="preserve">                       </w:t>
      </w:r>
    </w:p>
    <w:p w14:paraId="75F21B0F">
      <w:pPr>
        <w:pStyle w:val="76"/>
        <w:spacing w:line="500" w:lineRule="exact"/>
        <w:rPr>
          <w:rFonts w:hint="eastAsia" w:ascii="宋体" w:hAnsi="宋体" w:cs="宋体"/>
          <w:color w:val="auto"/>
          <w:highlight w:val="none"/>
        </w:rPr>
      </w:pPr>
      <w:r>
        <w:rPr>
          <w:rFonts w:hint="eastAsia" w:ascii="宋体" w:hAnsi="宋体" w:cs="宋体"/>
          <w:color w:val="auto"/>
          <w:sz w:val="24"/>
          <w:szCs w:val="24"/>
          <w:highlight w:val="none"/>
        </w:rPr>
        <w:t>日期：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日</w:t>
      </w:r>
    </w:p>
    <w:p w14:paraId="08D8F77C">
      <w:pPr>
        <w:pStyle w:val="75"/>
        <w:adjustRightInd w:val="0"/>
        <w:snapToGrid w:val="0"/>
        <w:spacing w:line="360" w:lineRule="auto"/>
        <w:jc w:val="left"/>
        <w:rPr>
          <w:rFonts w:hint="eastAsia" w:ascii="宋体" w:hAnsi="宋体" w:cs="宋体"/>
          <w:b/>
          <w:color w:val="auto"/>
          <w:sz w:val="24"/>
          <w:szCs w:val="24"/>
          <w:highlight w:val="none"/>
        </w:rPr>
      </w:pPr>
    </w:p>
    <w:p w14:paraId="42338A44">
      <w:pPr>
        <w:pStyle w:val="74"/>
        <w:outlineLvl w:val="2"/>
        <w:rPr>
          <w:rFonts w:hint="eastAsia" w:ascii="宋体" w:hAnsi="宋体" w:eastAsia="宋体" w:cs="宋体"/>
          <w:color w:val="auto"/>
          <w:highlight w:val="none"/>
        </w:rPr>
        <w:sectPr>
          <w:pgSz w:w="11906" w:h="16838"/>
          <w:pgMar w:top="1440" w:right="1797" w:bottom="1440" w:left="1797" w:header="851" w:footer="992" w:gutter="0"/>
          <w:pgNumType w:fmt="decimal"/>
          <w:cols w:space="720" w:num="1"/>
        </w:sectPr>
      </w:pPr>
    </w:p>
    <w:p w14:paraId="086F1CD3">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bookmarkStart w:id="492" w:name="_Toc16347"/>
      <w:bookmarkStart w:id="493" w:name="_Toc21544"/>
      <w:r>
        <w:rPr>
          <w:rFonts w:hint="eastAsia" w:ascii="宋体" w:hAnsi="宋体" w:eastAsia="宋体" w:cs="宋体"/>
          <w:b/>
          <w:bCs/>
          <w:i w:val="0"/>
          <w:iCs w:val="0"/>
          <w:color w:val="auto"/>
          <w:kern w:val="2"/>
          <w:sz w:val="24"/>
          <w:szCs w:val="24"/>
          <w:highlight w:val="none"/>
          <w:lang w:val="en-US" w:eastAsia="zh-CN" w:bidi="ar-SA"/>
        </w:rPr>
        <w:t>（五）参加政府采购活动前三年内，在经营活动中没有重大违法记录的书面声明：</w:t>
      </w:r>
      <w:bookmarkEnd w:id="492"/>
      <w:bookmarkEnd w:id="493"/>
    </w:p>
    <w:p w14:paraId="04A21087">
      <w:pPr>
        <w:pStyle w:val="75"/>
        <w:adjustRightInd w:val="0"/>
        <w:snapToGrid w:val="0"/>
        <w:spacing w:line="360" w:lineRule="auto"/>
        <w:rPr>
          <w:rFonts w:hint="eastAsia" w:ascii="宋体" w:hAnsi="宋体" w:cs="宋体"/>
          <w:color w:val="auto"/>
          <w:sz w:val="24"/>
          <w:szCs w:val="24"/>
          <w:highlight w:val="none"/>
        </w:rPr>
      </w:pPr>
    </w:p>
    <w:p w14:paraId="7D5E4B1B">
      <w:pPr>
        <w:pStyle w:val="75"/>
        <w:adjustRightInd w:val="0"/>
        <w:snapToGrid w:val="0"/>
        <w:spacing w:line="360" w:lineRule="auto"/>
        <w:rPr>
          <w:rFonts w:hint="eastAsia" w:ascii="宋体" w:hAnsi="宋体" w:cs="宋体"/>
          <w:color w:val="auto"/>
          <w:sz w:val="24"/>
          <w:szCs w:val="24"/>
          <w:highlight w:val="none"/>
        </w:rPr>
      </w:pPr>
    </w:p>
    <w:p w14:paraId="462EC1B3">
      <w:pPr>
        <w:pStyle w:val="75"/>
        <w:adjustRightInd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格式：</w:t>
      </w:r>
    </w:p>
    <w:p w14:paraId="5AE02A31">
      <w:pPr>
        <w:pStyle w:val="77"/>
        <w:adjustRightInd w:val="0"/>
        <w:snapToGrid w:val="0"/>
        <w:spacing w:line="360" w:lineRule="auto"/>
        <w:ind w:firstLine="480" w:firstLineChars="20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无重大违法记录声明书</w:t>
      </w:r>
    </w:p>
    <w:p w14:paraId="615E07B2">
      <w:pPr>
        <w:pStyle w:val="75"/>
        <w:adjustRightInd w:val="0"/>
        <w:snapToGrid w:val="0"/>
        <w:spacing w:line="360" w:lineRule="auto"/>
        <w:rPr>
          <w:rFonts w:hint="eastAsia" w:ascii="宋体" w:hAnsi="宋体" w:cs="宋体"/>
          <w:color w:val="auto"/>
          <w:sz w:val="24"/>
          <w:szCs w:val="24"/>
          <w:highlight w:val="none"/>
        </w:rPr>
      </w:pPr>
    </w:p>
    <w:p w14:paraId="0D9A0424">
      <w:pPr>
        <w:pStyle w:val="75"/>
        <w:adjustRightInd w:val="0"/>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u w:val="single"/>
        </w:rPr>
        <w:t xml:space="preserve">（采购人）         </w:t>
      </w:r>
      <w:r>
        <w:rPr>
          <w:rFonts w:hint="eastAsia" w:ascii="宋体" w:hAnsi="宋体" w:cs="宋体"/>
          <w:color w:val="auto"/>
          <w:sz w:val="24"/>
          <w:szCs w:val="24"/>
          <w:highlight w:val="none"/>
        </w:rPr>
        <w:t>：</w:t>
      </w:r>
    </w:p>
    <w:p w14:paraId="41BE35A7">
      <w:pPr>
        <w:pStyle w:val="75"/>
        <w:adjustRightInd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我公司参与</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项目名称、编号）投标，本公司郑重声明，我方参加本项目政府采购活动前三年内无重大违法记录，符合《政府采购法》规定的供应商条件。若贵方在本项目采购过程中发现我方政府采购活动前三年内有重大违法记录，我公司将无条件退出本项目的投标，并承担因此引起的一切后果。我方对此声明负全部法律责任。</w:t>
      </w:r>
    </w:p>
    <w:p w14:paraId="251D3375">
      <w:pPr>
        <w:pStyle w:val="75"/>
        <w:adjustRightInd w:val="0"/>
        <w:snapToGrid w:val="0"/>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特此声明  </w:t>
      </w:r>
    </w:p>
    <w:p w14:paraId="064185E4">
      <w:pPr>
        <w:pStyle w:val="76"/>
        <w:adjustRightInd w:val="0"/>
        <w:snapToGrid w:val="0"/>
        <w:spacing w:line="500" w:lineRule="exact"/>
        <w:rPr>
          <w:rFonts w:hint="eastAsia" w:ascii="宋体" w:hAnsi="宋体" w:cs="宋体"/>
          <w:color w:val="auto"/>
          <w:sz w:val="24"/>
          <w:szCs w:val="24"/>
          <w:highlight w:val="none"/>
        </w:rPr>
      </w:pPr>
      <w:r>
        <w:rPr>
          <w:rFonts w:hint="eastAsia" w:ascii="宋体" w:hAnsi="宋体" w:cs="宋体"/>
          <w:color w:val="auto"/>
          <w:sz w:val="24"/>
          <w:szCs w:val="24"/>
          <w:highlight w:val="none"/>
        </w:rPr>
        <w:t>法定代表人（单位负责人）或其委托代理人（签字或电子签章）：</w:t>
      </w:r>
      <w:r>
        <w:rPr>
          <w:rFonts w:hint="eastAsia" w:ascii="宋体" w:hAnsi="宋体" w:cs="宋体"/>
          <w:color w:val="auto"/>
          <w:sz w:val="24"/>
          <w:szCs w:val="24"/>
          <w:highlight w:val="none"/>
          <w:u w:val="single"/>
        </w:rPr>
        <w:t xml:space="preserve">                  </w:t>
      </w:r>
    </w:p>
    <w:p w14:paraId="2C0A3BED">
      <w:pPr>
        <w:pStyle w:val="76"/>
        <w:adjustRightInd w:val="0"/>
        <w:snapToGrid w:val="0"/>
        <w:spacing w:line="500" w:lineRule="exact"/>
        <w:rPr>
          <w:rFonts w:hint="eastAsia" w:ascii="宋体" w:hAnsi="宋体" w:cs="宋体"/>
          <w:color w:val="auto"/>
          <w:sz w:val="24"/>
          <w:szCs w:val="24"/>
          <w:highlight w:val="none"/>
          <w:u w:val="single"/>
        </w:rPr>
      </w:pPr>
      <w:r>
        <w:rPr>
          <w:rFonts w:hint="eastAsia" w:ascii="宋体" w:hAnsi="宋体" w:cs="宋体"/>
          <w:color w:val="auto"/>
          <w:sz w:val="24"/>
          <w:szCs w:val="24"/>
          <w:highlight w:val="none"/>
        </w:rPr>
        <w:t>供应商名称（签章）：</w:t>
      </w:r>
      <w:r>
        <w:rPr>
          <w:rFonts w:hint="eastAsia" w:ascii="宋体" w:hAnsi="宋体" w:cs="宋体"/>
          <w:color w:val="auto"/>
          <w:sz w:val="24"/>
          <w:szCs w:val="24"/>
          <w:highlight w:val="none"/>
          <w:u w:val="single"/>
        </w:rPr>
        <w:t xml:space="preserve">                       </w:t>
      </w:r>
    </w:p>
    <w:p w14:paraId="0361B8A2">
      <w:pPr>
        <w:pStyle w:val="76"/>
        <w:spacing w:line="500" w:lineRule="exact"/>
        <w:rPr>
          <w:rFonts w:hint="eastAsia" w:ascii="宋体" w:hAnsi="宋体" w:cs="宋体"/>
          <w:color w:val="auto"/>
          <w:highlight w:val="none"/>
        </w:rPr>
      </w:pPr>
      <w:r>
        <w:rPr>
          <w:rFonts w:hint="eastAsia" w:ascii="宋体" w:hAnsi="宋体" w:cs="宋体"/>
          <w:color w:val="auto"/>
          <w:sz w:val="24"/>
          <w:szCs w:val="24"/>
          <w:highlight w:val="none"/>
        </w:rPr>
        <w:t>日期：</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年</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月</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 xml:space="preserve"> 日</w:t>
      </w:r>
    </w:p>
    <w:p w14:paraId="4CF9B070">
      <w:pPr>
        <w:pStyle w:val="75"/>
        <w:adjustRightInd w:val="0"/>
        <w:snapToGrid w:val="0"/>
        <w:spacing w:line="360" w:lineRule="auto"/>
        <w:jc w:val="left"/>
        <w:rPr>
          <w:rFonts w:hint="eastAsia" w:ascii="宋体" w:hAnsi="宋体" w:cs="宋体"/>
          <w:color w:val="auto"/>
          <w:sz w:val="24"/>
          <w:szCs w:val="24"/>
          <w:highlight w:val="none"/>
        </w:rPr>
      </w:pPr>
    </w:p>
    <w:p w14:paraId="7B1DE612">
      <w:pPr>
        <w:pStyle w:val="75"/>
        <w:adjustRightInd w:val="0"/>
        <w:snapToGrid w:val="0"/>
        <w:spacing w:line="360" w:lineRule="auto"/>
        <w:jc w:val="left"/>
        <w:rPr>
          <w:rFonts w:hint="eastAsia" w:ascii="宋体" w:hAnsi="宋体" w:cs="宋体"/>
          <w:b/>
          <w:color w:val="auto"/>
          <w:kern w:val="0"/>
          <w:sz w:val="32"/>
          <w:szCs w:val="24"/>
          <w:highlight w:val="none"/>
        </w:rPr>
        <w:sectPr>
          <w:pgSz w:w="11906" w:h="16838"/>
          <w:pgMar w:top="1440" w:right="1797" w:bottom="1440" w:left="1797" w:header="851" w:footer="992" w:gutter="0"/>
          <w:pgNumType w:fmt="decimal"/>
          <w:cols w:space="720" w:num="1"/>
        </w:sectPr>
      </w:pPr>
    </w:p>
    <w:p w14:paraId="2899BCEC">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bookmarkStart w:id="494" w:name="_Toc31574"/>
      <w:bookmarkStart w:id="495" w:name="_Toc32053"/>
      <w:r>
        <w:rPr>
          <w:rFonts w:hint="eastAsia" w:ascii="宋体" w:hAnsi="宋体" w:eastAsia="宋体" w:cs="宋体"/>
          <w:b/>
          <w:bCs/>
          <w:i w:val="0"/>
          <w:iCs w:val="0"/>
          <w:color w:val="auto"/>
          <w:kern w:val="2"/>
          <w:sz w:val="24"/>
          <w:szCs w:val="24"/>
          <w:highlight w:val="none"/>
          <w:lang w:val="en-US" w:eastAsia="zh-CN" w:bidi="ar-SA"/>
        </w:rPr>
        <w:t>（六）供应商未列入失信被执行人、重大税收违法案件当事人名单、政府采购严重违法失信行为记录名单</w:t>
      </w:r>
      <w:bookmarkEnd w:id="494"/>
      <w:bookmarkEnd w:id="495"/>
    </w:p>
    <w:p w14:paraId="0DF2C932">
      <w:pPr>
        <w:pStyle w:val="78"/>
        <w:spacing w:line="360" w:lineRule="auto"/>
        <w:ind w:firstLine="504" w:firstLineChars="200"/>
        <w:jc w:val="left"/>
        <w:rPr>
          <w:rFonts w:hint="eastAsia" w:ascii="宋体" w:hAnsi="宋体" w:cs="宋体"/>
          <w:color w:val="auto"/>
          <w:spacing w:val="6"/>
          <w:kern w:val="0"/>
          <w:sz w:val="24"/>
          <w:szCs w:val="24"/>
          <w:highlight w:val="none"/>
        </w:rPr>
      </w:pPr>
    </w:p>
    <w:p w14:paraId="0ACD2F8E">
      <w:pPr>
        <w:pStyle w:val="78"/>
        <w:spacing w:line="360" w:lineRule="auto"/>
        <w:ind w:firstLine="504" w:firstLineChars="200"/>
        <w:jc w:val="left"/>
        <w:rPr>
          <w:rFonts w:hint="eastAsia"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“信用中国”网站查询信息：</w:t>
      </w:r>
    </w:p>
    <w:p w14:paraId="2D561571">
      <w:pPr>
        <w:pStyle w:val="78"/>
        <w:spacing w:line="360" w:lineRule="auto"/>
        <w:ind w:firstLine="504" w:firstLineChars="200"/>
        <w:jc w:val="left"/>
        <w:rPr>
          <w:rFonts w:hint="eastAsia"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 xml:space="preserve">①未被列入失信被执行人； </w:t>
      </w:r>
    </w:p>
    <w:p w14:paraId="77C6D42B">
      <w:pPr>
        <w:pStyle w:val="78"/>
        <w:spacing w:line="360" w:lineRule="auto"/>
        <w:ind w:firstLine="504" w:firstLineChars="200"/>
        <w:jc w:val="left"/>
        <w:rPr>
          <w:rFonts w:hint="eastAsia"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 xml:space="preserve">②不是重大税收违法案件当事人名单的供应商； </w:t>
      </w:r>
    </w:p>
    <w:p w14:paraId="0C5A46E2">
      <w:pPr>
        <w:pStyle w:val="78"/>
        <w:spacing w:line="360" w:lineRule="auto"/>
        <w:ind w:firstLine="504" w:firstLineChars="200"/>
        <w:jc w:val="left"/>
        <w:rPr>
          <w:rFonts w:hint="eastAsia" w:ascii="宋体" w:hAnsi="宋体" w:cs="宋体"/>
          <w:color w:val="auto"/>
          <w:spacing w:val="6"/>
          <w:kern w:val="0"/>
          <w:sz w:val="24"/>
          <w:szCs w:val="24"/>
          <w:highlight w:val="none"/>
        </w:rPr>
      </w:pPr>
      <w:r>
        <w:rPr>
          <w:rFonts w:hint="eastAsia" w:ascii="宋体" w:hAnsi="宋体" w:cs="宋体"/>
          <w:color w:val="auto"/>
          <w:spacing w:val="6"/>
          <w:kern w:val="0"/>
          <w:sz w:val="24"/>
          <w:szCs w:val="24"/>
          <w:highlight w:val="none"/>
        </w:rPr>
        <w:t>③未被列入政府采购严重违法失信行为记录名单。</w:t>
      </w:r>
    </w:p>
    <w:p w14:paraId="5ACDECE8">
      <w:pPr>
        <w:pStyle w:val="78"/>
        <w:spacing w:line="360" w:lineRule="auto"/>
        <w:ind w:firstLine="504" w:firstLineChars="200"/>
        <w:jc w:val="left"/>
        <w:rPr>
          <w:rFonts w:hint="eastAsia" w:ascii="宋体" w:hAnsi="宋体" w:cs="宋体"/>
          <w:color w:val="auto"/>
          <w:spacing w:val="6"/>
          <w:kern w:val="0"/>
          <w:sz w:val="24"/>
          <w:szCs w:val="24"/>
          <w:highlight w:val="none"/>
        </w:rPr>
      </w:pPr>
    </w:p>
    <w:p w14:paraId="67FB19E7">
      <w:pPr>
        <w:pStyle w:val="78"/>
        <w:spacing w:line="360" w:lineRule="auto"/>
        <w:ind w:firstLine="504" w:firstLineChars="200"/>
        <w:jc w:val="left"/>
        <w:rPr>
          <w:rFonts w:hint="eastAsia" w:ascii="宋体" w:hAnsi="宋体" w:cs="宋体"/>
          <w:color w:val="auto"/>
          <w:spacing w:val="6"/>
          <w:kern w:val="0"/>
          <w:sz w:val="24"/>
          <w:szCs w:val="24"/>
          <w:highlight w:val="none"/>
        </w:rPr>
      </w:pPr>
    </w:p>
    <w:p w14:paraId="77537818">
      <w:pPr>
        <w:pStyle w:val="78"/>
        <w:spacing w:line="360" w:lineRule="auto"/>
        <w:ind w:firstLine="504" w:firstLineChars="200"/>
        <w:jc w:val="left"/>
        <w:rPr>
          <w:rFonts w:hint="eastAsia" w:ascii="宋体" w:hAnsi="宋体" w:cs="宋体"/>
          <w:color w:val="auto"/>
          <w:spacing w:val="6"/>
          <w:kern w:val="0"/>
          <w:sz w:val="24"/>
          <w:szCs w:val="24"/>
          <w:highlight w:val="none"/>
        </w:rPr>
      </w:pPr>
    </w:p>
    <w:p w14:paraId="610AF1FD">
      <w:pPr>
        <w:pStyle w:val="78"/>
        <w:spacing w:line="360" w:lineRule="auto"/>
        <w:ind w:firstLine="504" w:firstLineChars="200"/>
        <w:jc w:val="left"/>
        <w:rPr>
          <w:rFonts w:hint="eastAsia" w:ascii="宋体" w:hAnsi="宋体" w:eastAsia="宋体" w:cs="宋体"/>
          <w:color w:val="auto"/>
          <w:spacing w:val="6"/>
          <w:kern w:val="0"/>
          <w:sz w:val="24"/>
          <w:szCs w:val="24"/>
          <w:highlight w:val="none"/>
          <w:lang w:val="en-US" w:eastAsia="zh-CN"/>
        </w:rPr>
      </w:pPr>
      <w:r>
        <w:rPr>
          <w:rFonts w:hint="eastAsia" w:ascii="宋体" w:hAnsi="宋体" w:cs="宋体"/>
          <w:color w:val="auto"/>
          <w:spacing w:val="6"/>
          <w:kern w:val="0"/>
          <w:sz w:val="24"/>
          <w:szCs w:val="24"/>
          <w:highlight w:val="none"/>
          <w:lang w:val="en-US" w:eastAsia="zh-CN"/>
        </w:rPr>
        <w:t xml:space="preserve"> </w:t>
      </w:r>
    </w:p>
    <w:p w14:paraId="25A3CFB9">
      <w:pPr>
        <w:pStyle w:val="78"/>
        <w:spacing w:line="360" w:lineRule="auto"/>
        <w:ind w:firstLine="756" w:firstLineChars="300"/>
        <w:jc w:val="left"/>
        <w:rPr>
          <w:rFonts w:hint="eastAsia" w:ascii="宋体" w:hAnsi="宋体" w:cs="宋体"/>
          <w:color w:val="auto"/>
          <w:spacing w:val="6"/>
          <w:kern w:val="0"/>
          <w:sz w:val="24"/>
          <w:szCs w:val="24"/>
          <w:highlight w:val="none"/>
          <w:lang w:eastAsia="zh-CN"/>
        </w:rPr>
      </w:pPr>
      <w:r>
        <w:rPr>
          <w:rFonts w:hint="eastAsia" w:ascii="宋体" w:hAnsi="宋体" w:cs="宋体"/>
          <w:color w:val="auto"/>
          <w:spacing w:val="6"/>
          <w:kern w:val="0"/>
          <w:sz w:val="24"/>
          <w:szCs w:val="24"/>
          <w:highlight w:val="none"/>
        </w:rPr>
        <w:t>“中国政府采购网”查询信息</w:t>
      </w:r>
      <w:r>
        <w:rPr>
          <w:rFonts w:hint="eastAsia" w:ascii="宋体" w:hAnsi="宋体" w:cs="宋体"/>
          <w:color w:val="auto"/>
          <w:spacing w:val="6"/>
          <w:kern w:val="0"/>
          <w:sz w:val="24"/>
          <w:szCs w:val="24"/>
          <w:highlight w:val="none"/>
          <w:lang w:eastAsia="zh-CN"/>
        </w:rPr>
        <w:t>：</w:t>
      </w:r>
    </w:p>
    <w:p w14:paraId="6072AFE7">
      <w:pPr>
        <w:pStyle w:val="78"/>
        <w:spacing w:line="360" w:lineRule="auto"/>
        <w:ind w:firstLine="720" w:firstLineChars="300"/>
        <w:jc w:val="left"/>
        <w:rPr>
          <w:rFonts w:ascii="Arial" w:hAnsi="Arial" w:cs="Arial"/>
          <w:i w:val="0"/>
          <w:iCs w:val="0"/>
          <w:color w:val="auto"/>
          <w:szCs w:val="21"/>
          <w:highlight w:val="none"/>
        </w:rPr>
      </w:pPr>
      <w:r>
        <w:rPr>
          <w:rFonts w:hint="eastAsia" w:ascii="宋体" w:hAnsi="宋体" w:cs="宋体"/>
          <w:color w:val="auto"/>
          <w:sz w:val="24"/>
          <w:szCs w:val="24"/>
          <w:highlight w:val="none"/>
          <w:lang w:val="en-US" w:eastAsia="zh-CN"/>
        </w:rPr>
        <w:t>①</w:t>
      </w:r>
      <w:r>
        <w:rPr>
          <w:rFonts w:hint="eastAsia" w:ascii="宋体" w:hAnsi="宋体" w:eastAsia="宋体" w:cs="宋体"/>
          <w:color w:val="auto"/>
          <w:sz w:val="24"/>
          <w:szCs w:val="24"/>
          <w:highlight w:val="none"/>
        </w:rPr>
        <w:t>政府采购严重违法失信行为信息记录</w:t>
      </w:r>
      <w:r>
        <w:rPr>
          <w:rFonts w:hint="eastAsia" w:ascii="宋体" w:hAnsi="宋体" w:cs="宋体"/>
          <w:color w:val="auto"/>
          <w:sz w:val="24"/>
          <w:szCs w:val="24"/>
          <w:highlight w:val="none"/>
          <w:lang w:eastAsia="zh-CN"/>
        </w:rPr>
        <w:t>：</w:t>
      </w:r>
      <w:r>
        <w:rPr>
          <w:rFonts w:ascii="Arial" w:hAnsi="Arial" w:cs="Arial"/>
          <w:i w:val="0"/>
          <w:iCs w:val="0"/>
          <w:color w:val="auto"/>
          <w:szCs w:val="21"/>
          <w:highlight w:val="none"/>
        </w:rPr>
        <w:br w:type="page"/>
      </w:r>
    </w:p>
    <w:p w14:paraId="137C9F2E">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i w:val="0"/>
          <w:iCs w:val="0"/>
          <w:color w:val="auto"/>
          <w:kern w:val="2"/>
          <w:sz w:val="28"/>
          <w:szCs w:val="28"/>
          <w:highlight w:val="none"/>
          <w:lang w:val="zh-CN" w:eastAsia="zh-CN" w:bidi="ar-SA"/>
        </w:rPr>
      </w:pPr>
      <w:bookmarkStart w:id="496" w:name="_Toc163492923"/>
      <w:bookmarkStart w:id="497" w:name="_Toc109900336"/>
      <w:bookmarkStart w:id="498" w:name="_Toc155185930"/>
      <w:bookmarkStart w:id="499" w:name="_Toc140132840"/>
      <w:bookmarkStart w:id="500" w:name="_Toc109899917"/>
      <w:bookmarkStart w:id="501" w:name="_Toc109899498"/>
      <w:bookmarkStart w:id="502" w:name="_Toc18882"/>
      <w:r>
        <w:rPr>
          <w:rFonts w:hint="eastAsia" w:eastAsia="宋体" w:asciiTheme="majorHAnsi" w:hAnsiTheme="majorHAnsi" w:cstheme="majorBidi"/>
          <w:b/>
          <w:bCs/>
          <w:i w:val="0"/>
          <w:iCs w:val="0"/>
          <w:color w:val="auto"/>
          <w:kern w:val="2"/>
          <w:sz w:val="28"/>
          <w:szCs w:val="28"/>
          <w:highlight w:val="none"/>
          <w:lang w:val="en-US" w:eastAsia="zh-CN" w:bidi="ar-SA"/>
        </w:rPr>
        <w:t>二、</w:t>
      </w:r>
      <w:bookmarkEnd w:id="496"/>
      <w:bookmarkEnd w:id="497"/>
      <w:bookmarkEnd w:id="498"/>
      <w:bookmarkEnd w:id="499"/>
      <w:bookmarkEnd w:id="500"/>
      <w:bookmarkEnd w:id="501"/>
      <w:bookmarkStart w:id="503" w:name="_Toc155185931"/>
      <w:r>
        <w:rPr>
          <w:rFonts w:hint="eastAsia" w:eastAsia="宋体" w:asciiTheme="majorHAnsi" w:hAnsiTheme="majorHAnsi" w:cstheme="majorBidi"/>
          <w:b/>
          <w:bCs/>
          <w:i w:val="0"/>
          <w:iCs w:val="0"/>
          <w:color w:val="auto"/>
          <w:kern w:val="2"/>
          <w:sz w:val="28"/>
          <w:szCs w:val="28"/>
          <w:highlight w:val="none"/>
          <w:lang w:val="zh-CN" w:eastAsia="zh-CN" w:bidi="ar-SA"/>
        </w:rPr>
        <w:t>联合体协议书</w:t>
      </w:r>
      <w:bookmarkEnd w:id="503"/>
      <w:r>
        <w:rPr>
          <w:rFonts w:hint="eastAsia" w:ascii="宋体" w:hAnsi="宋体" w:eastAsia="宋体" w:cstheme="minorBidi"/>
          <w:b w:val="0"/>
          <w:bCs w:val="0"/>
          <w:i w:val="0"/>
          <w:iCs w:val="0"/>
          <w:color w:val="auto"/>
          <w:kern w:val="2"/>
          <w:sz w:val="28"/>
          <w:szCs w:val="28"/>
          <w:highlight w:val="none"/>
          <w:lang w:val="zh-CN" w:eastAsia="zh-CN" w:bidi="ar-SA"/>
        </w:rPr>
        <w:t>【</w:t>
      </w:r>
      <w:r>
        <w:rPr>
          <w:rFonts w:hint="eastAsia" w:ascii="宋体" w:hAnsi="宋体" w:cstheme="minorBidi"/>
          <w:b w:val="0"/>
          <w:bCs w:val="0"/>
          <w:i w:val="0"/>
          <w:iCs w:val="0"/>
          <w:color w:val="auto"/>
          <w:kern w:val="2"/>
          <w:sz w:val="28"/>
          <w:szCs w:val="28"/>
          <w:highlight w:val="none"/>
          <w:lang w:val="en-US" w:eastAsia="zh-CN" w:bidi="ar-SA"/>
        </w:rPr>
        <w:t>不适用可不提供</w:t>
      </w:r>
      <w:r>
        <w:rPr>
          <w:rFonts w:hint="eastAsia" w:ascii="宋体" w:hAnsi="宋体" w:eastAsia="宋体" w:cstheme="minorBidi"/>
          <w:b w:val="0"/>
          <w:bCs w:val="0"/>
          <w:i w:val="0"/>
          <w:iCs w:val="0"/>
          <w:color w:val="auto"/>
          <w:kern w:val="2"/>
          <w:sz w:val="28"/>
          <w:szCs w:val="28"/>
          <w:highlight w:val="none"/>
          <w:lang w:val="zh-CN" w:eastAsia="zh-CN" w:bidi="ar-SA"/>
        </w:rPr>
        <w:t>】</w:t>
      </w:r>
      <w:bookmarkEnd w:id="502"/>
    </w:p>
    <w:p w14:paraId="7BD2164D">
      <w:pPr>
        <w:snapToGrid w:val="0"/>
        <w:spacing w:line="360" w:lineRule="auto"/>
        <w:jc w:val="center"/>
        <w:outlineLvl w:val="1"/>
        <w:rPr>
          <w:rFonts w:hint="eastAsia" w:ascii="宋体" w:hAnsi="宋体" w:cs="宋体"/>
          <w:b/>
          <w:i w:val="0"/>
          <w:iCs w:val="0"/>
          <w:color w:val="auto"/>
          <w:kern w:val="0"/>
          <w:sz w:val="32"/>
          <w:szCs w:val="32"/>
          <w:highlight w:val="none"/>
        </w:rPr>
      </w:pPr>
      <w:bookmarkStart w:id="504" w:name="_Toc4639"/>
      <w:r>
        <w:rPr>
          <w:rFonts w:hint="eastAsia" w:ascii="宋体" w:hAnsi="宋体" w:cs="宋体"/>
          <w:b/>
          <w:i w:val="0"/>
          <w:iCs w:val="0"/>
          <w:color w:val="auto"/>
          <w:kern w:val="0"/>
          <w:sz w:val="32"/>
          <w:szCs w:val="32"/>
          <w:highlight w:val="none"/>
        </w:rPr>
        <w:t>联合体协议书</w:t>
      </w:r>
      <w:bookmarkEnd w:id="504"/>
    </w:p>
    <w:p w14:paraId="1FDD62D4">
      <w:pPr>
        <w:widowControl/>
        <w:spacing w:line="360" w:lineRule="auto"/>
        <w:ind w:firstLine="482" w:firstLineChars="200"/>
        <w:jc w:val="left"/>
        <w:rPr>
          <w:rFonts w:ascii="宋体" w:hAnsi="宋体" w:cs="宋体"/>
          <w:b/>
          <w:i w:val="0"/>
          <w:iCs w:val="0"/>
          <w:color w:val="auto"/>
          <w:sz w:val="24"/>
          <w:highlight w:val="none"/>
        </w:rPr>
      </w:pPr>
      <w:r>
        <w:rPr>
          <w:rFonts w:hint="eastAsia" w:ascii="宋体" w:hAnsi="宋体" w:cs="宋体"/>
          <w:b/>
          <w:i w:val="0"/>
          <w:iCs w:val="0"/>
          <w:color w:val="auto"/>
          <w:sz w:val="24"/>
          <w:highlight w:val="none"/>
        </w:rPr>
        <w:t>（以联合体形式</w:t>
      </w:r>
      <w:r>
        <w:rPr>
          <w:rFonts w:hint="eastAsia" w:cs="宋体"/>
          <w:b/>
          <w:i w:val="0"/>
          <w:iCs w:val="0"/>
          <w:color w:val="auto"/>
          <w:sz w:val="24"/>
          <w:highlight w:val="none"/>
          <w:lang w:val="en-US" w:eastAsia="zh-CN"/>
        </w:rPr>
        <w:t>磋商响应</w:t>
      </w:r>
      <w:r>
        <w:rPr>
          <w:rFonts w:hint="eastAsia" w:ascii="宋体" w:hAnsi="宋体" w:cs="宋体"/>
          <w:b/>
          <w:i w:val="0"/>
          <w:iCs w:val="0"/>
          <w:color w:val="auto"/>
          <w:sz w:val="24"/>
          <w:highlight w:val="none"/>
        </w:rPr>
        <w:t>的，提供联合</w:t>
      </w:r>
      <w:r>
        <w:rPr>
          <w:rFonts w:hint="eastAsia" w:cs="宋体"/>
          <w:b/>
          <w:i w:val="0"/>
          <w:iCs w:val="0"/>
          <w:color w:val="auto"/>
          <w:sz w:val="24"/>
          <w:highlight w:val="none"/>
          <w:lang w:val="en-US" w:eastAsia="zh-CN"/>
        </w:rPr>
        <w:t>体</w:t>
      </w:r>
      <w:r>
        <w:rPr>
          <w:rFonts w:hint="eastAsia" w:ascii="宋体" w:hAnsi="宋体" w:cs="宋体"/>
          <w:b/>
          <w:i w:val="0"/>
          <w:iCs w:val="0"/>
          <w:color w:val="auto"/>
          <w:sz w:val="24"/>
          <w:highlight w:val="none"/>
        </w:rPr>
        <w:t>协议</w:t>
      </w:r>
      <w:r>
        <w:rPr>
          <w:rFonts w:hint="eastAsia" w:cs="宋体"/>
          <w:b/>
          <w:i w:val="0"/>
          <w:iCs w:val="0"/>
          <w:color w:val="auto"/>
          <w:sz w:val="24"/>
          <w:highlight w:val="none"/>
          <w:lang w:val="en-US" w:eastAsia="zh-CN"/>
        </w:rPr>
        <w:t>书</w:t>
      </w:r>
      <w:r>
        <w:rPr>
          <w:rFonts w:hint="eastAsia" w:ascii="宋体" w:hAnsi="宋体" w:cs="宋体"/>
          <w:b/>
          <w:i w:val="0"/>
          <w:iCs w:val="0"/>
          <w:color w:val="auto"/>
          <w:sz w:val="24"/>
          <w:highlight w:val="none"/>
        </w:rPr>
        <w:t>；本项目不接受联合体</w:t>
      </w:r>
      <w:r>
        <w:rPr>
          <w:rFonts w:hint="eastAsia" w:cs="宋体"/>
          <w:b/>
          <w:i w:val="0"/>
          <w:iCs w:val="0"/>
          <w:color w:val="auto"/>
          <w:sz w:val="24"/>
          <w:highlight w:val="none"/>
          <w:lang w:val="en-US" w:eastAsia="zh-CN"/>
        </w:rPr>
        <w:t>磋商响应</w:t>
      </w:r>
      <w:r>
        <w:rPr>
          <w:rFonts w:hint="eastAsia" w:ascii="宋体" w:hAnsi="宋体" w:cs="宋体"/>
          <w:b/>
          <w:i w:val="0"/>
          <w:iCs w:val="0"/>
          <w:color w:val="auto"/>
          <w:sz w:val="24"/>
          <w:highlight w:val="none"/>
        </w:rPr>
        <w:t>或者</w:t>
      </w:r>
      <w:r>
        <w:rPr>
          <w:rFonts w:hint="eastAsia" w:cs="宋体"/>
          <w:b/>
          <w:i w:val="0"/>
          <w:iCs w:val="0"/>
          <w:color w:val="auto"/>
          <w:sz w:val="24"/>
          <w:highlight w:val="none"/>
          <w:lang w:val="en-US" w:eastAsia="zh-CN"/>
        </w:rPr>
        <w:t>供应商</w:t>
      </w:r>
      <w:r>
        <w:rPr>
          <w:rFonts w:hint="eastAsia" w:ascii="宋体" w:hAnsi="宋体" w:cs="宋体"/>
          <w:b/>
          <w:i w:val="0"/>
          <w:iCs w:val="0"/>
          <w:color w:val="auto"/>
          <w:sz w:val="24"/>
          <w:highlight w:val="none"/>
        </w:rPr>
        <w:t>不以联合体形式</w:t>
      </w:r>
      <w:r>
        <w:rPr>
          <w:rFonts w:hint="eastAsia" w:cs="宋体"/>
          <w:b/>
          <w:i w:val="0"/>
          <w:iCs w:val="0"/>
          <w:color w:val="auto"/>
          <w:sz w:val="24"/>
          <w:highlight w:val="none"/>
          <w:lang w:val="en-US" w:eastAsia="zh-CN"/>
        </w:rPr>
        <w:t>磋商响应</w:t>
      </w:r>
      <w:r>
        <w:rPr>
          <w:rFonts w:hint="eastAsia" w:ascii="宋体" w:hAnsi="宋体" w:cs="宋体"/>
          <w:b/>
          <w:i w:val="0"/>
          <w:iCs w:val="0"/>
          <w:color w:val="auto"/>
          <w:sz w:val="24"/>
          <w:highlight w:val="none"/>
        </w:rPr>
        <w:t>的，则不需要提供）</w:t>
      </w:r>
    </w:p>
    <w:p w14:paraId="5EE0D0F8">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（联合体所有成员名称）</w:t>
      </w:r>
      <w:r>
        <w:rPr>
          <w:rFonts w:hint="eastAsia" w:ascii="宋体" w:hAnsi="宋体" w:cs="宋体"/>
          <w:i w:val="0"/>
          <w:iCs w:val="0"/>
          <w:color w:val="auto"/>
          <w:kern w:val="0"/>
          <w:sz w:val="24"/>
          <w:highlight w:val="none"/>
        </w:rPr>
        <w:t>自愿</w:t>
      </w:r>
      <w:r>
        <w:rPr>
          <w:rFonts w:hint="eastAsia" w:ascii="宋体" w:hAnsi="宋体" w:cs="宋体"/>
          <w:i w:val="0"/>
          <w:iCs w:val="0"/>
          <w:color w:val="auto"/>
          <w:kern w:val="0"/>
          <w:sz w:val="24"/>
          <w:highlight w:val="none"/>
          <w:lang w:val="zh-CN"/>
        </w:rPr>
        <w:t>组成一个联合体，以一个</w:t>
      </w:r>
      <w:r>
        <w:rPr>
          <w:rFonts w:hint="eastAsia" w:cs="宋体"/>
          <w:i w:val="0"/>
          <w:iCs w:val="0"/>
          <w:color w:val="auto"/>
          <w:kern w:val="0"/>
          <w:sz w:val="24"/>
          <w:highlight w:val="none"/>
          <w:lang w:val="en-US" w:eastAsia="zh-CN"/>
        </w:rPr>
        <w:t>供应商</w:t>
      </w:r>
      <w:r>
        <w:rPr>
          <w:rFonts w:hint="eastAsia" w:ascii="宋体" w:hAnsi="宋体" w:cs="宋体"/>
          <w:i w:val="0"/>
          <w:iCs w:val="0"/>
          <w:color w:val="auto"/>
          <w:kern w:val="0"/>
          <w:sz w:val="24"/>
          <w:highlight w:val="none"/>
          <w:lang w:val="zh-CN"/>
        </w:rPr>
        <w:t>的身份</w:t>
      </w:r>
      <w:r>
        <w:rPr>
          <w:rFonts w:hint="eastAsia" w:ascii="宋体" w:hAnsi="宋体" w:cs="宋体"/>
          <w:i w:val="0"/>
          <w:iCs w:val="0"/>
          <w:color w:val="auto"/>
          <w:kern w:val="0"/>
          <w:sz w:val="24"/>
          <w:highlight w:val="none"/>
        </w:rPr>
        <w:t>参加</w:t>
      </w:r>
      <w:r>
        <w:rPr>
          <w:rFonts w:hint="eastAsia" w:ascii="宋体" w:hAnsi="宋体" w:cs="宋体"/>
          <w:i w:val="0"/>
          <w:iCs w:val="0"/>
          <w:color w:val="auto"/>
          <w:sz w:val="24"/>
          <w:highlight w:val="none"/>
          <w:u w:val="single"/>
        </w:rPr>
        <w:t>（项目名称）</w:t>
      </w:r>
      <w:r>
        <w:rPr>
          <w:rFonts w:hint="eastAsia"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rPr>
        <w:t>【</w:t>
      </w:r>
      <w:r>
        <w:rPr>
          <w:rFonts w:hint="eastAsia" w:cs="宋体"/>
          <w:i w:val="0"/>
          <w:iCs w:val="0"/>
          <w:color w:val="auto"/>
          <w:sz w:val="24"/>
          <w:highlight w:val="none"/>
          <w:lang w:val="en-US" w:eastAsia="zh-CN"/>
        </w:rPr>
        <w:t>项目</w:t>
      </w:r>
      <w:r>
        <w:rPr>
          <w:rFonts w:hint="eastAsia" w:ascii="宋体" w:hAnsi="宋体" w:cs="宋体"/>
          <w:i w:val="0"/>
          <w:iCs w:val="0"/>
          <w:color w:val="auto"/>
          <w:sz w:val="24"/>
          <w:highlight w:val="none"/>
        </w:rPr>
        <w:t>编号</w:t>
      </w:r>
      <w:r>
        <w:rPr>
          <w:rFonts w:hint="eastAsia" w:cs="宋体"/>
          <w:i w:val="0"/>
          <w:iCs w:val="0"/>
          <w:color w:val="auto"/>
          <w:sz w:val="24"/>
          <w:highlight w:val="none"/>
          <w:lang w:val="en-US" w:eastAsia="zh-CN"/>
        </w:rPr>
        <w:t>/包号</w:t>
      </w:r>
      <w:r>
        <w:rPr>
          <w:rFonts w:hint="eastAsia" w:ascii="宋体" w:hAnsi="宋体" w:cs="宋体"/>
          <w:i w:val="0"/>
          <w:iCs w:val="0"/>
          <w:color w:val="auto"/>
          <w:sz w:val="24"/>
          <w:highlight w:val="none"/>
        </w:rPr>
        <w:t>：</w:t>
      </w:r>
      <w:r>
        <w:rPr>
          <w:rFonts w:hint="eastAsia" w:cs="宋体"/>
          <w:i w:val="0"/>
          <w:iCs w:val="0"/>
          <w:color w:val="auto"/>
          <w:sz w:val="24"/>
          <w:highlight w:val="none"/>
          <w:lang w:val="en-US" w:eastAsia="zh-CN"/>
        </w:rPr>
        <w:t xml:space="preserve">    </w:t>
      </w:r>
      <w:r>
        <w:rPr>
          <w:rFonts w:hint="eastAsia" w:ascii="宋体" w:hAnsi="宋体" w:cs="宋体"/>
          <w:i w:val="0"/>
          <w:iCs w:val="0"/>
          <w:color w:val="auto"/>
          <w:sz w:val="24"/>
          <w:highlight w:val="none"/>
        </w:rPr>
        <w:t>】</w:t>
      </w:r>
      <w:r>
        <w:rPr>
          <w:rFonts w:hint="eastAsia" w:cs="宋体"/>
          <w:i w:val="0"/>
          <w:iCs w:val="0"/>
          <w:color w:val="auto"/>
          <w:kern w:val="0"/>
          <w:sz w:val="24"/>
          <w:highlight w:val="none"/>
          <w:lang w:val="en-US" w:eastAsia="zh-CN"/>
        </w:rPr>
        <w:t>磋商</w:t>
      </w:r>
      <w:r>
        <w:rPr>
          <w:rFonts w:hint="eastAsia" w:ascii="宋体" w:hAnsi="宋体" w:cs="宋体"/>
          <w:i w:val="0"/>
          <w:iCs w:val="0"/>
          <w:color w:val="auto"/>
          <w:kern w:val="0"/>
          <w:sz w:val="24"/>
          <w:highlight w:val="none"/>
          <w:lang w:val="zh-CN"/>
        </w:rPr>
        <w:t xml:space="preserve">。 </w:t>
      </w:r>
    </w:p>
    <w:p w14:paraId="75D3551D">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一、各方一致决定，</w:t>
      </w:r>
      <w:r>
        <w:rPr>
          <w:rFonts w:hint="eastAsia" w:ascii="宋体" w:hAnsi="宋体" w:cs="宋体"/>
          <w:i w:val="0"/>
          <w:iCs w:val="0"/>
          <w:color w:val="auto"/>
          <w:kern w:val="0"/>
          <w:sz w:val="24"/>
          <w:highlight w:val="none"/>
          <w:u w:val="single"/>
        </w:rPr>
        <w:t>（某联合体成员名称）</w:t>
      </w:r>
      <w:r>
        <w:rPr>
          <w:rFonts w:hint="eastAsia" w:ascii="宋体" w:hAnsi="宋体" w:cs="宋体"/>
          <w:i w:val="0"/>
          <w:iCs w:val="0"/>
          <w:color w:val="auto"/>
          <w:kern w:val="0"/>
          <w:sz w:val="24"/>
          <w:highlight w:val="none"/>
        </w:rPr>
        <w:t>为联合体</w:t>
      </w:r>
      <w:r>
        <w:rPr>
          <w:rFonts w:hint="eastAsia" w:ascii="宋体" w:hAnsi="宋体" w:cs="宋体"/>
          <w:i w:val="0"/>
          <w:iCs w:val="0"/>
          <w:color w:val="auto"/>
          <w:kern w:val="0"/>
          <w:sz w:val="24"/>
          <w:highlight w:val="none"/>
          <w:lang w:val="zh-CN"/>
        </w:rPr>
        <w:t>牵头人</w:t>
      </w:r>
      <w:r>
        <w:rPr>
          <w:rFonts w:hint="eastAsia" w:ascii="宋体" w:hAnsi="宋体" w:cs="宋体"/>
          <w:i w:val="0"/>
          <w:iCs w:val="0"/>
          <w:color w:val="auto"/>
          <w:sz w:val="24"/>
          <w:highlight w:val="none"/>
        </w:rPr>
        <w:t>，代表所有联合体</w:t>
      </w:r>
      <w:r>
        <w:rPr>
          <w:rFonts w:hint="eastAsia" w:ascii="宋体" w:hAnsi="宋体" w:eastAsia="宋体" w:cs="宋体"/>
          <w:i w:val="0"/>
          <w:iCs w:val="0"/>
          <w:color w:val="auto"/>
          <w:sz w:val="24"/>
          <w:highlight w:val="none"/>
        </w:rPr>
        <w:t>成员负责</w:t>
      </w:r>
      <w:r>
        <w:rPr>
          <w:rFonts w:hint="eastAsia" w:ascii="宋体" w:hAnsi="宋体" w:eastAsia="宋体" w:cs="宋体"/>
          <w:i w:val="0"/>
          <w:iCs w:val="0"/>
          <w:color w:val="auto"/>
          <w:sz w:val="24"/>
          <w:highlight w:val="none"/>
          <w:lang w:val="en-US" w:eastAsia="zh-CN"/>
        </w:rPr>
        <w:t>磋商响应</w:t>
      </w:r>
      <w:r>
        <w:rPr>
          <w:rFonts w:hint="eastAsia" w:ascii="宋体" w:hAnsi="宋体" w:eastAsia="宋体" w:cs="宋体"/>
          <w:i w:val="0"/>
          <w:iCs w:val="0"/>
          <w:color w:val="auto"/>
          <w:sz w:val="24"/>
          <w:highlight w:val="none"/>
        </w:rPr>
        <w:t>和合同实施阶段的</w:t>
      </w:r>
      <w:r>
        <w:rPr>
          <w:rFonts w:hint="eastAsia" w:ascii="宋体" w:hAnsi="宋体" w:cs="宋体"/>
          <w:i w:val="0"/>
          <w:iCs w:val="0"/>
          <w:color w:val="auto"/>
          <w:sz w:val="24"/>
          <w:highlight w:val="none"/>
        </w:rPr>
        <w:t>主办、协调工作</w:t>
      </w:r>
      <w:r>
        <w:rPr>
          <w:rFonts w:hint="eastAsia" w:ascii="宋体" w:hAnsi="宋体" w:cs="宋体"/>
          <w:i w:val="0"/>
          <w:iCs w:val="0"/>
          <w:color w:val="auto"/>
          <w:kern w:val="0"/>
          <w:sz w:val="24"/>
          <w:highlight w:val="none"/>
          <w:lang w:val="zh-CN"/>
        </w:rPr>
        <w:t>。</w:t>
      </w:r>
    </w:p>
    <w:p w14:paraId="35FD114C">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二、</w:t>
      </w:r>
      <w:r>
        <w:rPr>
          <w:rFonts w:hint="eastAsia" w:ascii="宋体" w:hAnsi="宋体" w:cs="宋体"/>
          <w:i w:val="0"/>
          <w:iCs w:val="0"/>
          <w:color w:val="auto"/>
          <w:sz w:val="24"/>
          <w:highlight w:val="none"/>
        </w:rPr>
        <w:t>所有联合体成员各方签署授权书，授权书载明的</w:t>
      </w:r>
      <w:r>
        <w:rPr>
          <w:rFonts w:hint="eastAsia" w:ascii="宋体" w:hAnsi="宋体" w:cs="宋体"/>
          <w:i w:val="0"/>
          <w:iCs w:val="0"/>
          <w:color w:val="auto"/>
          <w:kern w:val="0"/>
          <w:sz w:val="24"/>
          <w:highlight w:val="none"/>
          <w:lang w:val="zh-CN"/>
        </w:rPr>
        <w:t>授权代表根据</w:t>
      </w:r>
      <w:r>
        <w:rPr>
          <w:rFonts w:hint="eastAsia" w:ascii="宋体" w:hAnsi="宋体" w:cs="宋体"/>
          <w:i w:val="0"/>
          <w:iCs w:val="0"/>
          <w:color w:val="auto"/>
          <w:kern w:val="0"/>
          <w:sz w:val="24"/>
          <w:highlight w:val="none"/>
          <w:lang w:val="zh-CN" w:eastAsia="zh-CN"/>
        </w:rPr>
        <w:t>竞争性磋商</w:t>
      </w:r>
      <w:r>
        <w:rPr>
          <w:rFonts w:hint="eastAsia" w:ascii="宋体" w:hAnsi="宋体" w:cs="宋体"/>
          <w:i w:val="0"/>
          <w:iCs w:val="0"/>
          <w:color w:val="auto"/>
          <w:kern w:val="0"/>
          <w:sz w:val="24"/>
          <w:highlight w:val="none"/>
          <w:lang w:val="zh-CN"/>
        </w:rPr>
        <w:t>文件规定及</w:t>
      </w:r>
      <w:r>
        <w:rPr>
          <w:rFonts w:hint="eastAsia" w:cs="宋体"/>
          <w:i w:val="0"/>
          <w:iCs w:val="0"/>
          <w:color w:val="auto"/>
          <w:kern w:val="0"/>
          <w:sz w:val="24"/>
          <w:highlight w:val="none"/>
          <w:lang w:val="en-US" w:eastAsia="zh-CN"/>
        </w:rPr>
        <w:t>响应</w:t>
      </w:r>
      <w:r>
        <w:rPr>
          <w:rFonts w:hint="eastAsia" w:ascii="宋体" w:hAnsi="宋体" w:cs="宋体"/>
          <w:i w:val="0"/>
          <w:iCs w:val="0"/>
          <w:color w:val="auto"/>
          <w:kern w:val="0"/>
          <w:sz w:val="24"/>
          <w:highlight w:val="none"/>
          <w:lang w:val="zh-CN"/>
        </w:rPr>
        <w:t>内容而对采购人、采购代理机构所作的任何合法承诺，包括书面澄清及相应等均对联合投标各方产生约束力。</w:t>
      </w:r>
    </w:p>
    <w:p w14:paraId="61F56079">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三、本次联合</w:t>
      </w:r>
      <w:r>
        <w:rPr>
          <w:rFonts w:hint="eastAsia" w:cs="宋体"/>
          <w:i w:val="0"/>
          <w:iCs w:val="0"/>
          <w:color w:val="auto"/>
          <w:kern w:val="0"/>
          <w:sz w:val="24"/>
          <w:highlight w:val="none"/>
          <w:lang w:val="en-US" w:eastAsia="zh-CN"/>
        </w:rPr>
        <w:t>磋商响应</w:t>
      </w:r>
      <w:r>
        <w:rPr>
          <w:rFonts w:hint="eastAsia" w:ascii="宋体" w:hAnsi="宋体" w:cs="宋体"/>
          <w:i w:val="0"/>
          <w:iCs w:val="0"/>
          <w:color w:val="auto"/>
          <w:kern w:val="0"/>
          <w:sz w:val="24"/>
          <w:highlight w:val="none"/>
          <w:lang w:val="zh-CN"/>
        </w:rPr>
        <w:t>中，分工如下：</w:t>
      </w:r>
    </w:p>
    <w:p w14:paraId="29FFB3D7">
      <w:pPr>
        <w:snapToGrid w:val="0"/>
        <w:spacing w:line="360" w:lineRule="auto"/>
        <w:ind w:firstLine="576"/>
        <w:rPr>
          <w:rFonts w:ascii="宋体" w:hAnsi="宋体" w:cs="宋体"/>
          <w:i w:val="0"/>
          <w:iCs w:val="0"/>
          <w:color w:val="auto"/>
          <w:kern w:val="0"/>
          <w:sz w:val="24"/>
          <w:highlight w:val="none"/>
          <w:lang w:val="zh-CN"/>
        </w:rPr>
      </w:pPr>
      <w:bookmarkStart w:id="505" w:name="_Hlk101134295"/>
      <w:r>
        <w:rPr>
          <w:rFonts w:hint="eastAsia" w:ascii="宋体" w:hAnsi="宋体" w:cs="宋体"/>
          <w:i w:val="0"/>
          <w:iCs w:val="0"/>
          <w:color w:val="auto"/>
          <w:kern w:val="0"/>
          <w:sz w:val="24"/>
          <w:highlight w:val="none"/>
          <w:u w:val="single"/>
        </w:rPr>
        <w:t>（联合体成员1）</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lang w:val="zh-CN"/>
        </w:rPr>
        <w:t>承担</w:t>
      </w:r>
      <w:r>
        <w:rPr>
          <w:rFonts w:hint="eastAsia" w:ascii="宋体" w:hAnsi="宋体" w:cs="宋体"/>
          <w:i w:val="0"/>
          <w:iCs w:val="0"/>
          <w:color w:val="auto"/>
          <w:kern w:val="0"/>
          <w:sz w:val="24"/>
          <w:highlight w:val="none"/>
          <w:lang w:val="en-US" w:eastAsia="zh-CN"/>
        </w:rPr>
        <w:t>项目采购合同金额的</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u w:val="none"/>
          <w:lang w:val="en-US" w:eastAsia="zh-CN"/>
        </w:rPr>
        <w:t>，负责</w:t>
      </w:r>
      <w:r>
        <w:rPr>
          <w:rFonts w:hint="eastAsia" w:ascii="宋体" w:hAnsi="宋体" w:cs="宋体"/>
          <w:i w:val="0"/>
          <w:iCs w:val="0"/>
          <w:color w:val="auto"/>
          <w:kern w:val="0"/>
          <w:sz w:val="24"/>
          <w:highlight w:val="none"/>
          <w:lang w:val="zh-CN"/>
        </w:rPr>
        <w:t>的工作和义务为：</w:t>
      </w:r>
      <w:r>
        <w:rPr>
          <w:rFonts w:hint="eastAsia" w:ascii="宋体" w:hAnsi="宋体" w:cs="宋体"/>
          <w:i w:val="0"/>
          <w:iCs w:val="0"/>
          <w:color w:val="auto"/>
          <w:highlight w:val="none"/>
          <w:u w:val="single"/>
        </w:rPr>
        <w:t xml:space="preserve">             </w:t>
      </w:r>
      <w:r>
        <w:rPr>
          <w:rFonts w:hint="eastAsia" w:ascii="宋体" w:hAnsi="宋体" w:cs="宋体"/>
          <w:i w:val="0"/>
          <w:iCs w:val="0"/>
          <w:color w:val="auto"/>
          <w:kern w:val="0"/>
          <w:sz w:val="24"/>
          <w:highlight w:val="none"/>
          <w:lang w:val="zh-CN"/>
        </w:rPr>
        <w:t>；</w:t>
      </w:r>
    </w:p>
    <w:p w14:paraId="55232A52">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（联合体成员</w:t>
      </w:r>
      <w:r>
        <w:rPr>
          <w:rFonts w:ascii="宋体" w:hAnsi="宋体" w:cs="宋体"/>
          <w:i w:val="0"/>
          <w:iCs w:val="0"/>
          <w:color w:val="auto"/>
          <w:kern w:val="0"/>
          <w:sz w:val="24"/>
          <w:highlight w:val="none"/>
          <w:u w:val="single"/>
        </w:rPr>
        <w:t>2</w:t>
      </w:r>
      <w:r>
        <w:rPr>
          <w:rFonts w:hint="eastAsia" w:ascii="宋体" w:hAnsi="宋体" w:cs="宋体"/>
          <w:i w:val="0"/>
          <w:iCs w:val="0"/>
          <w:color w:val="auto"/>
          <w:kern w:val="0"/>
          <w:sz w:val="24"/>
          <w:highlight w:val="none"/>
          <w:u w:val="single"/>
        </w:rPr>
        <w:t>）</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lang w:val="zh-CN"/>
        </w:rPr>
        <w:t>承担</w:t>
      </w:r>
      <w:r>
        <w:rPr>
          <w:rFonts w:hint="eastAsia" w:ascii="宋体" w:hAnsi="宋体" w:cs="宋体"/>
          <w:i w:val="0"/>
          <w:iCs w:val="0"/>
          <w:color w:val="auto"/>
          <w:kern w:val="0"/>
          <w:sz w:val="24"/>
          <w:highlight w:val="none"/>
          <w:lang w:val="en-US" w:eastAsia="zh-CN"/>
        </w:rPr>
        <w:t>项目采购合同金额的</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u w:val="none"/>
          <w:lang w:val="en-US" w:eastAsia="zh-CN"/>
        </w:rPr>
        <w:t>，负责</w:t>
      </w:r>
      <w:r>
        <w:rPr>
          <w:rFonts w:hint="eastAsia" w:ascii="宋体" w:hAnsi="宋体" w:cs="宋体"/>
          <w:i w:val="0"/>
          <w:iCs w:val="0"/>
          <w:color w:val="auto"/>
          <w:kern w:val="0"/>
          <w:sz w:val="24"/>
          <w:highlight w:val="none"/>
          <w:lang w:val="zh-CN"/>
        </w:rPr>
        <w:t>的工作和义务为：</w:t>
      </w:r>
      <w:r>
        <w:rPr>
          <w:rFonts w:hint="eastAsia" w:ascii="宋体" w:hAnsi="宋体" w:cs="宋体"/>
          <w:i w:val="0"/>
          <w:iCs w:val="0"/>
          <w:color w:val="auto"/>
          <w:highlight w:val="none"/>
          <w:u w:val="single"/>
        </w:rPr>
        <w:t xml:space="preserve">             </w:t>
      </w:r>
      <w:r>
        <w:rPr>
          <w:rFonts w:hint="eastAsia" w:ascii="宋体" w:hAnsi="宋体" w:cs="宋体"/>
          <w:i w:val="0"/>
          <w:iCs w:val="0"/>
          <w:color w:val="auto"/>
          <w:kern w:val="0"/>
          <w:sz w:val="24"/>
          <w:highlight w:val="none"/>
          <w:lang w:val="zh-CN"/>
        </w:rPr>
        <w:t>；</w:t>
      </w:r>
    </w:p>
    <w:p w14:paraId="348246F1">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w:t>
      </w:r>
    </w:p>
    <w:bookmarkEnd w:id="505"/>
    <w:p w14:paraId="1AE0CF4D">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四、联合体成员中小企业合同份额。</w:t>
      </w:r>
    </w:p>
    <w:p w14:paraId="4CF3978B">
      <w:pPr>
        <w:snapToGrid w:val="0"/>
        <w:spacing w:line="360" w:lineRule="auto"/>
        <w:ind w:firstLine="576"/>
        <w:rPr>
          <w:rFonts w:ascii="宋体" w:hAnsi="宋体" w:cs="宋体"/>
          <w:b/>
          <w:i w:val="0"/>
          <w:iCs w:val="0"/>
          <w:color w:val="auto"/>
          <w:kern w:val="0"/>
          <w:sz w:val="24"/>
          <w:highlight w:val="none"/>
          <w:lang w:val="zh-CN"/>
        </w:rPr>
      </w:pPr>
      <w:r>
        <w:rPr>
          <w:rFonts w:hint="eastAsia" w:ascii="宋体" w:hAnsi="宋体" w:cs="宋体"/>
          <w:i w:val="0"/>
          <w:iCs w:val="0"/>
          <w:color w:val="auto"/>
          <w:kern w:val="0"/>
          <w:sz w:val="24"/>
          <w:highlight w:val="none"/>
          <w:lang w:val="zh-CN"/>
        </w:rPr>
        <w:t>1、</w:t>
      </w:r>
      <w:r>
        <w:rPr>
          <w:rFonts w:hint="eastAsia" w:ascii="宋体" w:hAnsi="宋体" w:cs="宋体"/>
          <w:i w:val="0"/>
          <w:iCs w:val="0"/>
          <w:color w:val="auto"/>
          <w:kern w:val="0"/>
          <w:sz w:val="24"/>
          <w:highlight w:val="none"/>
          <w:u w:val="single"/>
        </w:rPr>
        <w:t>（联合体成员</w:t>
      </w:r>
      <w:r>
        <w:rPr>
          <w:rFonts w:ascii="宋体" w:hAnsi="宋体" w:cs="宋体"/>
          <w:i w:val="0"/>
          <w:iCs w:val="0"/>
          <w:color w:val="auto"/>
          <w:kern w:val="0"/>
          <w:sz w:val="24"/>
          <w:highlight w:val="none"/>
          <w:u w:val="single"/>
        </w:rPr>
        <w:t>X,</w:t>
      </w:r>
      <w:r>
        <w:rPr>
          <w:rFonts w:hint="eastAsia" w:ascii="宋体" w:hAnsi="宋体" w:cs="宋体"/>
          <w:i w:val="0"/>
          <w:iCs w:val="0"/>
          <w:color w:val="auto"/>
          <w:kern w:val="0"/>
          <w:sz w:val="24"/>
          <w:highlight w:val="none"/>
          <w:u w:val="single"/>
        </w:rPr>
        <w:t>……）</w:t>
      </w:r>
      <w:r>
        <w:rPr>
          <w:rFonts w:hint="eastAsia" w:ascii="宋体" w:hAnsi="宋体" w:cs="宋体"/>
          <w:i w:val="0"/>
          <w:iCs w:val="0"/>
          <w:color w:val="auto"/>
          <w:kern w:val="0"/>
          <w:sz w:val="24"/>
          <w:highlight w:val="none"/>
        </w:rPr>
        <w:t>提供的全部</w:t>
      </w:r>
      <w:r>
        <w:rPr>
          <w:rFonts w:hint="eastAsia" w:cs="宋体"/>
          <w:i w:val="0"/>
          <w:iCs w:val="0"/>
          <w:color w:val="auto"/>
          <w:kern w:val="0"/>
          <w:sz w:val="24"/>
          <w:highlight w:val="none"/>
          <w:lang w:val="en-US" w:eastAsia="zh-CN"/>
        </w:rPr>
        <w:t>服务及包含的</w:t>
      </w:r>
      <w:r>
        <w:rPr>
          <w:rFonts w:hint="eastAsia" w:ascii="宋体" w:hAnsi="宋体" w:cs="宋体"/>
          <w:i w:val="0"/>
          <w:iCs w:val="0"/>
          <w:color w:val="auto"/>
          <w:kern w:val="0"/>
          <w:sz w:val="24"/>
          <w:highlight w:val="none"/>
        </w:rPr>
        <w:t>货物由小微企业制造，其合同份额占到合同总金额</w:t>
      </w:r>
      <w:r>
        <w:rPr>
          <w:rFonts w:hint="eastAsia" w:ascii="宋体" w:hAnsi="宋体" w:cs="宋体"/>
          <w:i w:val="0"/>
          <w:iCs w:val="0"/>
          <w:color w:val="auto"/>
          <w:kern w:val="0"/>
          <w:sz w:val="24"/>
          <w:highlight w:val="none"/>
          <w:u w:val="single"/>
        </w:rPr>
        <w:t xml:space="preserve">     </w:t>
      </w:r>
      <w:r>
        <w:rPr>
          <w:rFonts w:hint="eastAsia" w:ascii="宋体" w:hAnsi="宋体" w:cs="宋体"/>
          <w:i w:val="0"/>
          <w:iCs w:val="0"/>
          <w:color w:val="auto"/>
          <w:kern w:val="0"/>
          <w:sz w:val="24"/>
          <w:highlight w:val="none"/>
        </w:rPr>
        <w:t>%以上；</w:t>
      </w:r>
      <w:r>
        <w:rPr>
          <w:rFonts w:hint="eastAsia" w:ascii="宋体" w:hAnsi="宋体" w:cs="宋体"/>
          <w:i w:val="0"/>
          <w:iCs w:val="0"/>
          <w:color w:val="auto"/>
          <w:kern w:val="0"/>
          <w:sz w:val="24"/>
          <w:highlight w:val="none"/>
          <w:lang w:val="zh-CN"/>
        </w:rPr>
        <w:t>……。</w:t>
      </w:r>
      <w:r>
        <w:rPr>
          <w:rFonts w:hint="eastAsia" w:ascii="宋体" w:hAnsi="宋体" w:cs="宋体"/>
          <w:b/>
          <w:i w:val="0"/>
          <w:iCs w:val="0"/>
          <w:color w:val="auto"/>
          <w:kern w:val="0"/>
          <w:sz w:val="24"/>
          <w:highlight w:val="none"/>
          <w:lang w:val="zh-CN"/>
        </w:rPr>
        <w:t>（未预留份额专门面向中小企业采购的采购项目，以及预留份额中的非预留部分采购包，接受联合体投标的，联合</w:t>
      </w:r>
      <w:r>
        <w:rPr>
          <w:rFonts w:hint="eastAsia" w:cs="宋体"/>
          <w:b/>
          <w:i w:val="0"/>
          <w:iCs w:val="0"/>
          <w:color w:val="auto"/>
          <w:kern w:val="0"/>
          <w:sz w:val="24"/>
          <w:highlight w:val="none"/>
          <w:lang w:val="en-US" w:eastAsia="zh-CN"/>
        </w:rPr>
        <w:t>体</w:t>
      </w:r>
      <w:r>
        <w:rPr>
          <w:rFonts w:hint="eastAsia" w:ascii="宋体" w:hAnsi="宋体" w:cs="宋体"/>
          <w:b/>
          <w:i w:val="0"/>
          <w:iCs w:val="0"/>
          <w:color w:val="auto"/>
          <w:kern w:val="0"/>
          <w:sz w:val="24"/>
          <w:highlight w:val="none"/>
          <w:lang w:val="zh-CN"/>
        </w:rPr>
        <w:t>协议</w:t>
      </w:r>
      <w:r>
        <w:rPr>
          <w:rFonts w:hint="eastAsia" w:cs="宋体"/>
          <w:b/>
          <w:i w:val="0"/>
          <w:iCs w:val="0"/>
          <w:color w:val="auto"/>
          <w:kern w:val="0"/>
          <w:sz w:val="24"/>
          <w:highlight w:val="none"/>
          <w:lang w:val="en-US" w:eastAsia="zh-CN"/>
        </w:rPr>
        <w:t>书</w:t>
      </w:r>
      <w:r>
        <w:rPr>
          <w:rFonts w:hint="eastAsia" w:ascii="宋体" w:hAnsi="宋体" w:cs="宋体"/>
          <w:b/>
          <w:i w:val="0"/>
          <w:iCs w:val="0"/>
          <w:color w:val="auto"/>
          <w:kern w:val="0"/>
          <w:sz w:val="24"/>
          <w:highlight w:val="none"/>
          <w:lang w:val="zh-CN"/>
        </w:rPr>
        <w:t>约定小微企业的合同份额占到合同总金额30%以上的，对联合体报价按评</w:t>
      </w:r>
      <w:r>
        <w:rPr>
          <w:rFonts w:hint="eastAsia" w:cs="宋体"/>
          <w:b/>
          <w:i w:val="0"/>
          <w:iCs w:val="0"/>
          <w:color w:val="auto"/>
          <w:kern w:val="0"/>
          <w:sz w:val="24"/>
          <w:highlight w:val="none"/>
          <w:lang w:val="en-US" w:eastAsia="zh-CN"/>
        </w:rPr>
        <w:t>审</w:t>
      </w:r>
      <w:r>
        <w:rPr>
          <w:rFonts w:hint="eastAsia" w:ascii="宋体" w:hAnsi="宋体" w:cs="宋体"/>
          <w:b/>
          <w:i w:val="0"/>
          <w:iCs w:val="0"/>
          <w:color w:val="auto"/>
          <w:kern w:val="0"/>
          <w:sz w:val="24"/>
          <w:highlight w:val="none"/>
          <w:lang w:val="zh-CN"/>
        </w:rPr>
        <w:t>标准确定的比例给予扣除。供应商</w:t>
      </w:r>
      <w:r>
        <w:rPr>
          <w:rFonts w:hint="eastAsia" w:ascii="宋体" w:hAnsi="宋体" w:cs="宋体"/>
          <w:b/>
          <w:i w:val="0"/>
          <w:iCs w:val="0"/>
          <w:color w:val="auto"/>
          <w:sz w:val="24"/>
          <w:highlight w:val="none"/>
        </w:rPr>
        <w:t>拟享受以上价格扣除政策的，填写有关内容。</w:t>
      </w:r>
      <w:r>
        <w:rPr>
          <w:rFonts w:hint="eastAsia" w:ascii="宋体" w:hAnsi="宋体" w:cs="宋体"/>
          <w:b/>
          <w:i w:val="0"/>
          <w:iCs w:val="0"/>
          <w:color w:val="auto"/>
          <w:kern w:val="0"/>
          <w:sz w:val="24"/>
          <w:highlight w:val="none"/>
          <w:lang w:val="zh-CN"/>
        </w:rPr>
        <w:t>）</w:t>
      </w:r>
    </w:p>
    <w:p w14:paraId="00D2B121">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sz w:val="24"/>
          <w:highlight w:val="none"/>
        </w:rPr>
        <w:t>2、中小企业合同金额达到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rPr>
        <w:t>%，其中小微企业合同金额达到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rPr>
        <w:t>%</w:t>
      </w:r>
      <w:r>
        <w:rPr>
          <w:rFonts w:hint="eastAsia" w:ascii="宋体" w:hAnsi="宋体" w:cs="宋体"/>
          <w:i w:val="0"/>
          <w:iCs w:val="0"/>
          <w:color w:val="auto"/>
          <w:kern w:val="0"/>
          <w:sz w:val="24"/>
          <w:highlight w:val="none"/>
          <w:lang w:val="zh-CN"/>
        </w:rPr>
        <w:t>。</w:t>
      </w:r>
      <w:r>
        <w:rPr>
          <w:rFonts w:hint="eastAsia" w:ascii="宋体" w:hAnsi="宋体" w:cs="宋体"/>
          <w:b/>
          <w:bCs/>
          <w:i w:val="0"/>
          <w:iCs w:val="0"/>
          <w:color w:val="auto"/>
          <w:kern w:val="0"/>
          <w:sz w:val="24"/>
          <w:highlight w:val="none"/>
          <w:lang w:val="zh-CN"/>
        </w:rPr>
        <w:t>（</w:t>
      </w:r>
      <w:r>
        <w:rPr>
          <w:rFonts w:hint="eastAsia" w:ascii="宋体" w:hAnsi="宋体" w:cs="宋体"/>
          <w:b/>
          <w:bCs/>
          <w:i w:val="0"/>
          <w:iCs w:val="0"/>
          <w:color w:val="auto"/>
          <w:sz w:val="24"/>
          <w:highlight w:val="none"/>
        </w:rPr>
        <w:t>要求以联合体形式参加的项目或采购包，供应商按</w:t>
      </w:r>
      <w:r>
        <w:rPr>
          <w:rFonts w:hint="eastAsia" w:cs="宋体"/>
          <w:b/>
          <w:bCs/>
          <w:i w:val="0"/>
          <w:iCs w:val="0"/>
          <w:color w:val="auto"/>
          <w:sz w:val="24"/>
          <w:highlight w:val="none"/>
          <w:lang w:val="en-US" w:eastAsia="zh-CN"/>
        </w:rPr>
        <w:t>竞争性磋商</w:t>
      </w:r>
      <w:r>
        <w:rPr>
          <w:rFonts w:hint="eastAsia" w:ascii="宋体" w:hAnsi="宋体" w:cs="宋体"/>
          <w:b/>
          <w:bCs/>
          <w:i w:val="0"/>
          <w:iCs w:val="0"/>
          <w:color w:val="auto"/>
          <w:sz w:val="24"/>
          <w:highlight w:val="none"/>
        </w:rPr>
        <w:t>文件第一部分</w:t>
      </w:r>
      <w:r>
        <w:rPr>
          <w:rFonts w:hint="eastAsia" w:cs="宋体"/>
          <w:b/>
          <w:bCs/>
          <w:i w:val="0"/>
          <w:iCs w:val="0"/>
          <w:color w:val="auto"/>
          <w:sz w:val="24"/>
          <w:highlight w:val="none"/>
          <w:lang w:val="en-US" w:eastAsia="zh-CN"/>
        </w:rPr>
        <w:t>竞争性磋商</w:t>
      </w:r>
      <w:r>
        <w:rPr>
          <w:rFonts w:hint="eastAsia" w:ascii="宋体" w:hAnsi="宋体" w:cs="宋体"/>
          <w:b/>
          <w:bCs/>
          <w:i w:val="0"/>
          <w:iCs w:val="0"/>
          <w:color w:val="auto"/>
          <w:sz w:val="24"/>
          <w:highlight w:val="none"/>
        </w:rPr>
        <w:t>公告申请人的资格要求中规定的联合</w:t>
      </w:r>
      <w:r>
        <w:rPr>
          <w:rFonts w:hint="eastAsia" w:cs="宋体"/>
          <w:b/>
          <w:bCs/>
          <w:i w:val="0"/>
          <w:iCs w:val="0"/>
          <w:color w:val="auto"/>
          <w:sz w:val="24"/>
          <w:highlight w:val="none"/>
          <w:lang w:val="en-US" w:eastAsia="zh-CN"/>
        </w:rPr>
        <w:t>体</w:t>
      </w:r>
      <w:r>
        <w:rPr>
          <w:rFonts w:hint="eastAsia" w:ascii="宋体" w:hAnsi="宋体" w:cs="宋体"/>
          <w:b/>
          <w:bCs/>
          <w:i w:val="0"/>
          <w:iCs w:val="0"/>
          <w:color w:val="auto"/>
          <w:sz w:val="24"/>
          <w:highlight w:val="none"/>
        </w:rPr>
        <w:t>协议</w:t>
      </w:r>
      <w:r>
        <w:rPr>
          <w:rFonts w:hint="eastAsia" w:cs="宋体"/>
          <w:b/>
          <w:bCs/>
          <w:i w:val="0"/>
          <w:iCs w:val="0"/>
          <w:color w:val="auto"/>
          <w:sz w:val="24"/>
          <w:highlight w:val="none"/>
          <w:lang w:val="en-US" w:eastAsia="zh-CN"/>
        </w:rPr>
        <w:t>书</w:t>
      </w:r>
      <w:r>
        <w:rPr>
          <w:rFonts w:hint="eastAsia" w:ascii="宋体" w:hAnsi="宋体" w:cs="宋体"/>
          <w:b/>
          <w:bCs/>
          <w:i w:val="0"/>
          <w:iCs w:val="0"/>
          <w:color w:val="auto"/>
          <w:sz w:val="24"/>
          <w:highlight w:val="none"/>
        </w:rPr>
        <w:t>中中小企业、小微企业合同金额应当达到的比例要求填写。</w:t>
      </w:r>
      <w:r>
        <w:rPr>
          <w:rFonts w:hint="eastAsia" w:ascii="宋体" w:hAnsi="宋体" w:cs="宋体"/>
          <w:b/>
          <w:bCs/>
          <w:i w:val="0"/>
          <w:iCs w:val="0"/>
          <w:color w:val="auto"/>
          <w:kern w:val="0"/>
          <w:sz w:val="24"/>
          <w:highlight w:val="none"/>
          <w:lang w:val="zh-CN"/>
        </w:rPr>
        <w:t>）</w:t>
      </w:r>
    </w:p>
    <w:p w14:paraId="20F285C2">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五、如果</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w:t>
      </w:r>
      <w:r>
        <w:rPr>
          <w:rFonts w:hint="eastAsia" w:ascii="宋体" w:hAnsi="宋体" w:cs="宋体"/>
          <w:i w:val="0"/>
          <w:iCs w:val="0"/>
          <w:color w:val="auto"/>
          <w:sz w:val="24"/>
          <w:highlight w:val="none"/>
        </w:rPr>
        <w:t>联合体各成员方共同与采购人签订</w:t>
      </w:r>
      <w:r>
        <w:rPr>
          <w:rFonts w:hint="eastAsia" w:ascii="宋体" w:hAnsi="宋体" w:cs="宋体"/>
          <w:i w:val="0"/>
          <w:iCs w:val="0"/>
          <w:color w:val="auto"/>
          <w:sz w:val="24"/>
          <w:highlight w:val="none"/>
          <w:lang w:val="en-US" w:eastAsia="zh-CN"/>
        </w:rPr>
        <w:t>采购</w:t>
      </w:r>
      <w:r>
        <w:rPr>
          <w:rFonts w:hint="eastAsia" w:ascii="宋体" w:hAnsi="宋体" w:cs="宋体"/>
          <w:i w:val="0"/>
          <w:iCs w:val="0"/>
          <w:color w:val="auto"/>
          <w:sz w:val="24"/>
          <w:highlight w:val="none"/>
        </w:rPr>
        <w:t>合同，并就采购合同约定的事项对采购人承担连带责任。</w:t>
      </w:r>
    </w:p>
    <w:p w14:paraId="4C5E0277">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六、有关本次联合</w:t>
      </w:r>
      <w:r>
        <w:rPr>
          <w:rFonts w:hint="eastAsia" w:cs="宋体"/>
          <w:i w:val="0"/>
          <w:iCs w:val="0"/>
          <w:color w:val="auto"/>
          <w:kern w:val="0"/>
          <w:sz w:val="24"/>
          <w:highlight w:val="none"/>
          <w:lang w:val="en-US" w:eastAsia="zh-CN"/>
        </w:rPr>
        <w:t>磋商响应</w:t>
      </w:r>
      <w:r>
        <w:rPr>
          <w:rFonts w:hint="eastAsia" w:ascii="宋体" w:hAnsi="宋体" w:cs="宋体"/>
          <w:i w:val="0"/>
          <w:iCs w:val="0"/>
          <w:color w:val="auto"/>
          <w:kern w:val="0"/>
          <w:sz w:val="24"/>
          <w:highlight w:val="none"/>
          <w:lang w:val="zh-CN"/>
        </w:rPr>
        <w:t>的其他事宜：</w:t>
      </w:r>
    </w:p>
    <w:p w14:paraId="28692FB2">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1、联合体各方不再单独参加或者与其他供应商另外组成联合体参加同一合同项下的政府采购活动。</w:t>
      </w:r>
    </w:p>
    <w:p w14:paraId="5F9FFE41">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2、联合体中有同类资质的各方按照联合体分工承担相同工作的，按照资质等级较低的供应商确定资质等级。</w:t>
      </w:r>
    </w:p>
    <w:p w14:paraId="6118E77D">
      <w:pPr>
        <w:snapToGrid w:val="0"/>
        <w:spacing w:line="360" w:lineRule="auto"/>
        <w:ind w:firstLine="576"/>
        <w:rPr>
          <w:rFonts w:hint="eastAsia"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3、本协议提交采购人、采购代理机构后，联合体各方不得以任何形式对上述内容进行修改或撤销。</w:t>
      </w:r>
    </w:p>
    <w:p w14:paraId="7574AD7E">
      <w:pPr>
        <w:snapToGrid w:val="0"/>
        <w:spacing w:line="360" w:lineRule="auto"/>
        <w:ind w:firstLine="576"/>
        <w:rPr>
          <w:rFonts w:hint="eastAsia" w:ascii="宋体" w:hAnsi="宋体" w:cs="宋体"/>
          <w:i w:val="0"/>
          <w:iCs w:val="0"/>
          <w:color w:val="auto"/>
          <w:kern w:val="0"/>
          <w:sz w:val="24"/>
          <w:highlight w:val="none"/>
          <w:lang w:val="zh-CN"/>
        </w:rPr>
      </w:pPr>
      <w:r>
        <w:rPr>
          <w:rFonts w:hint="eastAsia" w:cs="宋体"/>
          <w:i w:val="0"/>
          <w:iCs w:val="0"/>
          <w:color w:val="auto"/>
          <w:kern w:val="0"/>
          <w:sz w:val="24"/>
          <w:highlight w:val="none"/>
          <w:lang w:val="en-US" w:eastAsia="zh-CN"/>
        </w:rPr>
        <w:t>4、</w:t>
      </w:r>
      <w:r>
        <w:rPr>
          <w:rFonts w:hint="eastAsia" w:ascii="宋体" w:hAnsi="宋体" w:cs="宋体"/>
          <w:i w:val="0"/>
          <w:iCs w:val="0"/>
          <w:color w:val="auto"/>
          <w:kern w:val="0"/>
          <w:sz w:val="24"/>
          <w:highlight w:val="none"/>
          <w:lang w:val="zh-CN"/>
        </w:rPr>
        <w:t>其他：……</w:t>
      </w:r>
    </w:p>
    <w:p w14:paraId="658DCD00">
      <w:pPr>
        <w:snapToGrid w:val="0"/>
        <w:spacing w:line="360" w:lineRule="auto"/>
        <w:ind w:firstLine="576"/>
        <w:rPr>
          <w:rFonts w:hint="eastAsia" w:ascii="宋体" w:hAnsi="宋体" w:cs="宋体"/>
          <w:i w:val="0"/>
          <w:iCs w:val="0"/>
          <w:color w:val="auto"/>
          <w:kern w:val="0"/>
          <w:sz w:val="24"/>
          <w:highlight w:val="none"/>
          <w:lang w:val="zh-CN"/>
        </w:rPr>
      </w:pPr>
      <w:r>
        <w:rPr>
          <w:rFonts w:hint="eastAsia" w:cs="宋体"/>
          <w:i w:val="0"/>
          <w:iCs w:val="0"/>
          <w:color w:val="auto"/>
          <w:kern w:val="0"/>
          <w:sz w:val="24"/>
          <w:highlight w:val="none"/>
          <w:lang w:val="en-US" w:eastAsia="zh-CN"/>
        </w:rPr>
        <w:t>5、</w:t>
      </w:r>
      <w:r>
        <w:rPr>
          <w:rFonts w:hint="eastAsia" w:ascii="宋体" w:hAnsi="宋体" w:cs="宋体"/>
          <w:i w:val="0"/>
          <w:iCs w:val="0"/>
          <w:color w:val="auto"/>
          <w:kern w:val="0"/>
          <w:sz w:val="24"/>
          <w:highlight w:val="none"/>
          <w:lang w:val="zh-CN"/>
        </w:rPr>
        <w:t>本协议书自签署之日起生效，若未</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，自本</w:t>
      </w:r>
      <w:r>
        <w:rPr>
          <w:rFonts w:hint="eastAsia" w:cs="宋体"/>
          <w:i w:val="0"/>
          <w:iCs w:val="0"/>
          <w:color w:val="auto"/>
          <w:kern w:val="0"/>
          <w:sz w:val="24"/>
          <w:highlight w:val="none"/>
          <w:lang w:val="en-US" w:eastAsia="zh-CN"/>
        </w:rPr>
        <w:t>响应文件</w:t>
      </w:r>
      <w:r>
        <w:rPr>
          <w:rFonts w:hint="eastAsia" w:ascii="宋体" w:hAnsi="宋体" w:cs="宋体"/>
          <w:i w:val="0"/>
          <w:iCs w:val="0"/>
          <w:color w:val="auto"/>
          <w:kern w:val="0"/>
          <w:sz w:val="24"/>
          <w:highlight w:val="none"/>
          <w:lang w:val="zh-CN"/>
        </w:rPr>
        <w:t>有效期结束后自行失效；若</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，自合同书规定的期限之后自行失效。</w:t>
      </w:r>
    </w:p>
    <w:p w14:paraId="5C3C02AD">
      <w:pPr>
        <w:snapToGrid w:val="0"/>
        <w:spacing w:line="360" w:lineRule="auto"/>
        <w:ind w:firstLine="576"/>
        <w:rPr>
          <w:rFonts w:hint="eastAsia" w:ascii="宋体" w:hAnsi="宋体" w:cs="宋体"/>
          <w:i w:val="0"/>
          <w:iCs w:val="0"/>
          <w:color w:val="auto"/>
          <w:kern w:val="0"/>
          <w:sz w:val="24"/>
          <w:highlight w:val="none"/>
          <w:lang w:val="zh-CN"/>
        </w:rPr>
      </w:pPr>
      <w:r>
        <w:rPr>
          <w:rFonts w:hint="eastAsia" w:cs="宋体"/>
          <w:i w:val="0"/>
          <w:iCs w:val="0"/>
          <w:color w:val="auto"/>
          <w:kern w:val="0"/>
          <w:sz w:val="24"/>
          <w:highlight w:val="none"/>
          <w:lang w:val="en-US" w:eastAsia="zh-CN"/>
        </w:rPr>
        <w:t>6、</w:t>
      </w:r>
      <w:r>
        <w:rPr>
          <w:rFonts w:hint="eastAsia" w:ascii="宋体" w:hAnsi="宋体" w:cs="宋体"/>
          <w:i w:val="0"/>
          <w:iCs w:val="0"/>
          <w:color w:val="auto"/>
          <w:kern w:val="0"/>
          <w:sz w:val="24"/>
          <w:highlight w:val="none"/>
          <w:lang w:val="zh-CN"/>
        </w:rPr>
        <w:t>本协议书正本一式</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份，联合体成员各执</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份；副本一式</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份，联合体成员各执</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w:t>
      </w:r>
    </w:p>
    <w:p w14:paraId="15EE1377">
      <w:pPr>
        <w:snapToGrid w:val="0"/>
        <w:spacing w:line="360" w:lineRule="auto"/>
        <w:ind w:firstLine="3840" w:firstLineChars="1600"/>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联合体成员</w:t>
      </w:r>
      <w:r>
        <w:rPr>
          <w:rFonts w:hint="eastAsia" w:ascii="宋体" w:hAnsi="宋体" w:cs="宋体"/>
          <w:i w:val="0"/>
          <w:iCs w:val="0"/>
          <w:color w:val="auto"/>
          <w:kern w:val="0"/>
          <w:sz w:val="24"/>
          <w:highlight w:val="none"/>
          <w:lang w:val="en-US" w:eastAsia="zh-CN"/>
        </w:rPr>
        <w:t>1</w:t>
      </w:r>
      <w:r>
        <w:rPr>
          <w:rFonts w:hint="eastAsia" w:ascii="宋体" w:hAnsi="宋体" w:cs="宋体"/>
          <w:i w:val="0"/>
          <w:iCs w:val="0"/>
          <w:color w:val="auto"/>
          <w:kern w:val="0"/>
          <w:sz w:val="24"/>
          <w:highlight w:val="none"/>
          <w:lang w:val="zh-CN"/>
        </w:rPr>
        <w:t>名称(公章)：</w:t>
      </w:r>
    </w:p>
    <w:p w14:paraId="759F015F">
      <w:pPr>
        <w:snapToGrid w:val="0"/>
        <w:spacing w:line="360" w:lineRule="auto"/>
        <w:ind w:firstLine="3840" w:firstLineChars="1600"/>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联合体成员</w:t>
      </w:r>
      <w:r>
        <w:rPr>
          <w:rFonts w:hint="eastAsia" w:ascii="宋体" w:hAnsi="宋体" w:cs="宋体"/>
          <w:i w:val="0"/>
          <w:iCs w:val="0"/>
          <w:color w:val="auto"/>
          <w:kern w:val="0"/>
          <w:sz w:val="24"/>
          <w:highlight w:val="none"/>
          <w:lang w:val="en-US" w:eastAsia="zh-CN"/>
        </w:rPr>
        <w:t>2</w:t>
      </w:r>
      <w:r>
        <w:rPr>
          <w:rFonts w:hint="eastAsia" w:ascii="宋体" w:hAnsi="宋体" w:cs="宋体"/>
          <w:i w:val="0"/>
          <w:iCs w:val="0"/>
          <w:color w:val="auto"/>
          <w:kern w:val="0"/>
          <w:sz w:val="24"/>
          <w:highlight w:val="none"/>
          <w:lang w:val="zh-CN"/>
        </w:rPr>
        <w:t>名称(公章)：</w:t>
      </w:r>
    </w:p>
    <w:p w14:paraId="16E67483">
      <w:pPr>
        <w:snapToGrid w:val="0"/>
        <w:spacing w:line="360" w:lineRule="auto"/>
        <w:ind w:right="960"/>
        <w:jc w:val="center"/>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 xml:space="preserve">                   ……</w:t>
      </w:r>
    </w:p>
    <w:p w14:paraId="1446372E">
      <w:pPr>
        <w:snapToGrid w:val="0"/>
        <w:spacing w:line="360" w:lineRule="auto"/>
        <w:jc w:val="right"/>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日期：  年  月   日</w:t>
      </w:r>
    </w:p>
    <w:p w14:paraId="296E6F70">
      <w:pPr>
        <w:spacing w:line="360" w:lineRule="auto"/>
        <w:ind w:right="420"/>
        <w:rPr>
          <w:rFonts w:ascii="宋体" w:hAnsi="宋体" w:cs="宋体"/>
          <w:i w:val="0"/>
          <w:iCs w:val="0"/>
          <w:color w:val="auto"/>
          <w:sz w:val="24"/>
          <w:highlight w:val="none"/>
        </w:rPr>
      </w:pPr>
      <w:r>
        <w:rPr>
          <w:rFonts w:hint="eastAsia" w:ascii="宋体" w:hAnsi="宋体" w:cs="宋体"/>
          <w:i w:val="0"/>
          <w:iCs w:val="0"/>
          <w:color w:val="auto"/>
          <w:sz w:val="21"/>
          <w:szCs w:val="21"/>
          <w:highlight w:val="none"/>
        </w:rPr>
        <w:t>注：按本格式和要求提供。</w:t>
      </w:r>
    </w:p>
    <w:p w14:paraId="684FFEBB">
      <w:pPr>
        <w:keepNext w:val="0"/>
        <w:keepLines w:val="0"/>
        <w:pageBreakBefore w:val="0"/>
        <w:kinsoku/>
        <w:overflowPunct/>
        <w:topLinePunct w:val="0"/>
        <w:autoSpaceDE/>
        <w:autoSpaceDN/>
        <w:bidi w:val="0"/>
        <w:spacing w:before="157" w:beforeLines="50" w:after="157" w:afterLines="50"/>
        <w:ind w:left="2520" w:leftChars="1050"/>
        <w:textAlignment w:val="auto"/>
        <w:rPr>
          <w:rFonts w:cs="Tahoma"/>
          <w:i w:val="0"/>
          <w:iCs w:val="0"/>
          <w:color w:val="auto"/>
          <w:highlight w:val="none"/>
          <w:u w:val="single"/>
        </w:rPr>
      </w:pPr>
      <w:r>
        <w:rPr>
          <w:rFonts w:cs="Tahoma"/>
          <w:i w:val="0"/>
          <w:iCs w:val="0"/>
          <w:color w:val="auto"/>
          <w:highlight w:val="none"/>
          <w:u w:val="single"/>
        </w:rPr>
        <w:br w:type="page"/>
      </w:r>
    </w:p>
    <w:p w14:paraId="06A3B12B">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i w:val="0"/>
          <w:iCs w:val="0"/>
          <w:color w:val="auto"/>
          <w:kern w:val="2"/>
          <w:sz w:val="28"/>
          <w:szCs w:val="28"/>
          <w:highlight w:val="none"/>
          <w:lang w:val="zh-CN" w:eastAsia="zh-CN" w:bidi="ar-SA"/>
        </w:rPr>
      </w:pPr>
      <w:bookmarkStart w:id="506" w:name="_Toc156490356"/>
      <w:bookmarkStart w:id="507" w:name="_Toc10112"/>
      <w:bookmarkStart w:id="508" w:name="_Toc162299566"/>
      <w:bookmarkStart w:id="509" w:name="_Hlk101169080"/>
      <w:r>
        <w:rPr>
          <w:rFonts w:hint="eastAsia" w:cstheme="majorBidi"/>
          <w:b/>
          <w:bCs/>
          <w:i w:val="0"/>
          <w:iCs w:val="0"/>
          <w:color w:val="auto"/>
          <w:kern w:val="2"/>
          <w:sz w:val="28"/>
          <w:szCs w:val="28"/>
          <w:highlight w:val="none"/>
          <w:lang w:val="en-US" w:eastAsia="zh-CN" w:bidi="ar-SA"/>
        </w:rPr>
        <w:t>三</w:t>
      </w:r>
      <w:r>
        <w:rPr>
          <w:rFonts w:hint="eastAsia" w:eastAsia="宋体" w:asciiTheme="majorHAnsi" w:hAnsiTheme="majorHAnsi" w:cstheme="majorBidi"/>
          <w:b/>
          <w:bCs/>
          <w:i w:val="0"/>
          <w:iCs w:val="0"/>
          <w:color w:val="auto"/>
          <w:kern w:val="2"/>
          <w:sz w:val="28"/>
          <w:szCs w:val="28"/>
          <w:highlight w:val="none"/>
          <w:lang w:val="en-US" w:eastAsia="zh-CN" w:bidi="ar-SA"/>
        </w:rPr>
        <w:t>、</w:t>
      </w:r>
      <w:r>
        <w:rPr>
          <w:rFonts w:hint="eastAsia" w:eastAsia="宋体" w:asciiTheme="majorHAnsi" w:hAnsiTheme="majorHAnsi" w:cstheme="majorBidi"/>
          <w:b/>
          <w:bCs/>
          <w:i w:val="0"/>
          <w:iCs w:val="0"/>
          <w:color w:val="auto"/>
          <w:kern w:val="2"/>
          <w:sz w:val="28"/>
          <w:szCs w:val="28"/>
          <w:highlight w:val="none"/>
          <w:lang w:val="zh-CN" w:eastAsia="zh-CN" w:bidi="ar-SA"/>
        </w:rPr>
        <w:t>分包意向协议书</w:t>
      </w:r>
      <w:r>
        <w:rPr>
          <w:rFonts w:hint="eastAsia" w:ascii="宋体" w:hAnsi="宋体" w:eastAsia="宋体" w:cstheme="minorBidi"/>
          <w:b w:val="0"/>
          <w:bCs w:val="0"/>
          <w:i w:val="0"/>
          <w:iCs w:val="0"/>
          <w:color w:val="auto"/>
          <w:kern w:val="2"/>
          <w:sz w:val="28"/>
          <w:szCs w:val="28"/>
          <w:highlight w:val="none"/>
          <w:lang w:val="zh-CN" w:eastAsia="zh-CN" w:bidi="ar-SA"/>
        </w:rPr>
        <w:t>【</w:t>
      </w:r>
      <w:r>
        <w:rPr>
          <w:rFonts w:hint="eastAsia" w:ascii="宋体" w:hAnsi="宋体" w:cstheme="minorBidi"/>
          <w:b w:val="0"/>
          <w:bCs w:val="0"/>
          <w:i w:val="0"/>
          <w:iCs w:val="0"/>
          <w:color w:val="auto"/>
          <w:kern w:val="2"/>
          <w:sz w:val="28"/>
          <w:szCs w:val="28"/>
          <w:highlight w:val="none"/>
          <w:lang w:val="en-US" w:eastAsia="zh-CN" w:bidi="ar-SA"/>
        </w:rPr>
        <w:t>不适用可不提供</w:t>
      </w:r>
      <w:r>
        <w:rPr>
          <w:rFonts w:hint="eastAsia" w:ascii="宋体" w:hAnsi="宋体" w:eastAsia="宋体" w:cstheme="minorBidi"/>
          <w:b w:val="0"/>
          <w:bCs w:val="0"/>
          <w:i w:val="0"/>
          <w:iCs w:val="0"/>
          <w:color w:val="auto"/>
          <w:kern w:val="2"/>
          <w:sz w:val="28"/>
          <w:szCs w:val="28"/>
          <w:highlight w:val="none"/>
          <w:lang w:val="zh-CN" w:eastAsia="zh-CN" w:bidi="ar-SA"/>
        </w:rPr>
        <w:t>】</w:t>
      </w:r>
      <w:bookmarkEnd w:id="506"/>
      <w:bookmarkEnd w:id="507"/>
      <w:bookmarkEnd w:id="508"/>
    </w:p>
    <w:p w14:paraId="3438DF08">
      <w:pPr>
        <w:snapToGrid w:val="0"/>
        <w:spacing w:line="360" w:lineRule="auto"/>
        <w:jc w:val="center"/>
        <w:outlineLvl w:val="1"/>
        <w:rPr>
          <w:rFonts w:hint="eastAsia" w:ascii="宋体" w:hAnsi="宋体" w:eastAsia="宋体" w:cs="宋体"/>
          <w:b/>
          <w:i w:val="0"/>
          <w:iCs w:val="0"/>
          <w:color w:val="auto"/>
          <w:kern w:val="0"/>
          <w:sz w:val="32"/>
          <w:szCs w:val="32"/>
          <w:highlight w:val="none"/>
          <w:lang w:val="en-US" w:eastAsia="zh-CN"/>
        </w:rPr>
      </w:pPr>
      <w:bookmarkStart w:id="510" w:name="_Toc21028"/>
      <w:r>
        <w:rPr>
          <w:rFonts w:hint="eastAsia" w:ascii="宋体" w:hAnsi="宋体" w:cs="宋体"/>
          <w:b/>
          <w:i w:val="0"/>
          <w:iCs w:val="0"/>
          <w:color w:val="auto"/>
          <w:kern w:val="0"/>
          <w:sz w:val="32"/>
          <w:szCs w:val="32"/>
          <w:highlight w:val="none"/>
        </w:rPr>
        <w:t>分包意向协议</w:t>
      </w:r>
      <w:r>
        <w:rPr>
          <w:rFonts w:hint="eastAsia" w:ascii="宋体" w:hAnsi="宋体" w:cs="宋体"/>
          <w:b/>
          <w:i w:val="0"/>
          <w:iCs w:val="0"/>
          <w:color w:val="auto"/>
          <w:kern w:val="0"/>
          <w:sz w:val="32"/>
          <w:szCs w:val="32"/>
          <w:highlight w:val="none"/>
          <w:lang w:val="en-US" w:eastAsia="zh-CN"/>
        </w:rPr>
        <w:t>书</w:t>
      </w:r>
      <w:bookmarkEnd w:id="510"/>
    </w:p>
    <w:p w14:paraId="56544C74">
      <w:pPr>
        <w:widowControl/>
        <w:spacing w:line="360" w:lineRule="auto"/>
        <w:ind w:firstLine="120" w:firstLineChars="50"/>
        <w:jc w:val="left"/>
        <w:rPr>
          <w:rFonts w:ascii="宋体" w:hAnsi="宋体" w:cs="宋体"/>
          <w:i w:val="0"/>
          <w:iCs w:val="0"/>
          <w:color w:val="auto"/>
          <w:sz w:val="24"/>
          <w:highlight w:val="none"/>
        </w:rPr>
      </w:pPr>
      <w:r>
        <w:rPr>
          <w:rFonts w:hint="eastAsia" w:ascii="宋体" w:hAnsi="宋体" w:cs="宋体"/>
          <w:i w:val="0"/>
          <w:iCs w:val="0"/>
          <w:color w:val="auto"/>
          <w:sz w:val="24"/>
          <w:highlight w:val="none"/>
        </w:rPr>
        <w:t>（</w:t>
      </w:r>
      <w:r>
        <w:rPr>
          <w:rFonts w:hint="eastAsia" w:cs="宋体"/>
          <w:b/>
          <w:i w:val="0"/>
          <w:iCs w:val="0"/>
          <w:color w:val="auto"/>
          <w:sz w:val="24"/>
          <w:highlight w:val="none"/>
          <w:lang w:val="en-US" w:eastAsia="zh-CN"/>
        </w:rPr>
        <w:t>成交</w:t>
      </w:r>
      <w:r>
        <w:rPr>
          <w:rFonts w:hint="eastAsia" w:ascii="宋体" w:hAnsi="宋体" w:cs="宋体"/>
          <w:b/>
          <w:i w:val="0"/>
          <w:iCs w:val="0"/>
          <w:color w:val="auto"/>
          <w:sz w:val="24"/>
          <w:highlight w:val="none"/>
        </w:rPr>
        <w:t>后以分包方式履行合同的，提供分包意向协议</w:t>
      </w:r>
      <w:r>
        <w:rPr>
          <w:rFonts w:hint="eastAsia" w:cs="宋体"/>
          <w:b/>
          <w:i w:val="0"/>
          <w:iCs w:val="0"/>
          <w:color w:val="auto"/>
          <w:sz w:val="24"/>
          <w:highlight w:val="none"/>
          <w:lang w:val="en-US" w:eastAsia="zh-CN"/>
        </w:rPr>
        <w:t>书</w:t>
      </w:r>
      <w:r>
        <w:rPr>
          <w:rFonts w:hint="eastAsia" w:ascii="宋体" w:hAnsi="宋体" w:cs="宋体"/>
          <w:b/>
          <w:i w:val="0"/>
          <w:iCs w:val="0"/>
          <w:color w:val="auto"/>
          <w:sz w:val="24"/>
          <w:highlight w:val="none"/>
        </w:rPr>
        <w:t>；采购人不同意分包或者</w:t>
      </w:r>
      <w:r>
        <w:rPr>
          <w:rFonts w:hint="eastAsia" w:cs="宋体"/>
          <w:b/>
          <w:i w:val="0"/>
          <w:iCs w:val="0"/>
          <w:color w:val="auto"/>
          <w:sz w:val="24"/>
          <w:highlight w:val="none"/>
          <w:lang w:val="en-US" w:eastAsia="zh-CN"/>
        </w:rPr>
        <w:t>供应商成交</w:t>
      </w:r>
      <w:r>
        <w:rPr>
          <w:rFonts w:hint="eastAsia" w:ascii="宋体" w:hAnsi="宋体" w:cs="宋体"/>
          <w:b/>
          <w:i w:val="0"/>
          <w:iCs w:val="0"/>
          <w:color w:val="auto"/>
          <w:sz w:val="24"/>
          <w:highlight w:val="none"/>
        </w:rPr>
        <w:t>后不以分包方式履行合同的，则不需要提供。</w:t>
      </w:r>
      <w:r>
        <w:rPr>
          <w:rFonts w:hint="eastAsia" w:ascii="宋体" w:hAnsi="宋体" w:cs="宋体"/>
          <w:i w:val="0"/>
          <w:iCs w:val="0"/>
          <w:color w:val="auto"/>
          <w:sz w:val="24"/>
          <w:highlight w:val="none"/>
        </w:rPr>
        <w:t>）</w:t>
      </w:r>
    </w:p>
    <w:p w14:paraId="23FD399A">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w:t>
      </w:r>
      <w:r>
        <w:rPr>
          <w:rFonts w:hint="eastAsia" w:cs="宋体"/>
          <w:i w:val="0"/>
          <w:iCs w:val="0"/>
          <w:color w:val="auto"/>
          <w:kern w:val="0"/>
          <w:sz w:val="24"/>
          <w:highlight w:val="none"/>
          <w:u w:val="single"/>
          <w:lang w:val="en-US" w:eastAsia="zh-CN"/>
        </w:rPr>
        <w:t>供应商</w:t>
      </w:r>
      <w:r>
        <w:rPr>
          <w:rFonts w:hint="eastAsia" w:ascii="宋体" w:hAnsi="宋体" w:cs="宋体"/>
          <w:i w:val="0"/>
          <w:iCs w:val="0"/>
          <w:color w:val="auto"/>
          <w:kern w:val="0"/>
          <w:sz w:val="24"/>
          <w:highlight w:val="none"/>
          <w:u w:val="single"/>
        </w:rPr>
        <w:t>名称）</w:t>
      </w:r>
      <w:r>
        <w:rPr>
          <w:rFonts w:hint="eastAsia" w:ascii="宋体" w:hAnsi="宋体" w:cs="宋体"/>
          <w:i w:val="0"/>
          <w:iCs w:val="0"/>
          <w:color w:val="auto"/>
          <w:kern w:val="0"/>
          <w:sz w:val="24"/>
          <w:highlight w:val="none"/>
          <w:lang w:val="zh-CN"/>
        </w:rPr>
        <w:t>若成为</w:t>
      </w:r>
      <w:r>
        <w:rPr>
          <w:rFonts w:hint="eastAsia" w:ascii="宋体" w:hAnsi="宋体" w:cs="宋体"/>
          <w:i w:val="0"/>
          <w:iCs w:val="0"/>
          <w:color w:val="auto"/>
          <w:sz w:val="24"/>
          <w:highlight w:val="none"/>
          <w:u w:val="single"/>
        </w:rPr>
        <w:t>（项目名称）</w:t>
      </w:r>
      <w:r>
        <w:rPr>
          <w:rFonts w:hint="eastAsia"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rPr>
        <w:t>【</w:t>
      </w:r>
      <w:r>
        <w:rPr>
          <w:rFonts w:hint="eastAsia" w:cs="宋体"/>
          <w:i w:val="0"/>
          <w:iCs w:val="0"/>
          <w:color w:val="auto"/>
          <w:sz w:val="24"/>
          <w:highlight w:val="none"/>
          <w:lang w:val="en-US" w:eastAsia="zh-CN"/>
        </w:rPr>
        <w:t>项目</w:t>
      </w:r>
      <w:r>
        <w:rPr>
          <w:rFonts w:hint="eastAsia" w:ascii="宋体" w:hAnsi="宋体" w:cs="宋体"/>
          <w:i w:val="0"/>
          <w:iCs w:val="0"/>
          <w:color w:val="auto"/>
          <w:sz w:val="24"/>
          <w:highlight w:val="none"/>
        </w:rPr>
        <w:t>编号</w:t>
      </w:r>
      <w:r>
        <w:rPr>
          <w:rFonts w:hint="eastAsia" w:cs="宋体"/>
          <w:i w:val="0"/>
          <w:iCs w:val="0"/>
          <w:color w:val="auto"/>
          <w:sz w:val="24"/>
          <w:highlight w:val="none"/>
          <w:lang w:val="en-US" w:eastAsia="zh-CN"/>
        </w:rPr>
        <w:t>/包号</w:t>
      </w:r>
      <w:r>
        <w:rPr>
          <w:rFonts w:hint="eastAsia" w:ascii="宋体" w:hAnsi="宋体" w:cs="宋体"/>
          <w:i w:val="0"/>
          <w:iCs w:val="0"/>
          <w:color w:val="auto"/>
          <w:sz w:val="24"/>
          <w:highlight w:val="none"/>
        </w:rPr>
        <w:t>：</w:t>
      </w:r>
      <w:r>
        <w:rPr>
          <w:rFonts w:hint="eastAsia" w:cs="宋体"/>
          <w:i w:val="0"/>
          <w:iCs w:val="0"/>
          <w:color w:val="auto"/>
          <w:sz w:val="24"/>
          <w:highlight w:val="none"/>
          <w:lang w:val="en-US" w:eastAsia="zh-CN"/>
        </w:rPr>
        <w:t xml:space="preserve">    </w:t>
      </w:r>
      <w:r>
        <w:rPr>
          <w:rFonts w:hint="eastAsia" w:ascii="宋体" w:hAnsi="宋体" w:cs="宋体"/>
          <w:i w:val="0"/>
          <w:iCs w:val="0"/>
          <w:color w:val="auto"/>
          <w:sz w:val="24"/>
          <w:highlight w:val="none"/>
        </w:rPr>
        <w:t>】</w:t>
      </w:r>
      <w:r>
        <w:rPr>
          <w:rFonts w:hint="eastAsia" w:ascii="宋体" w:hAnsi="宋体" w:cs="宋体"/>
          <w:i w:val="0"/>
          <w:iCs w:val="0"/>
          <w:color w:val="auto"/>
          <w:kern w:val="0"/>
          <w:sz w:val="24"/>
          <w:highlight w:val="none"/>
          <w:lang w:val="zh-CN"/>
        </w:rPr>
        <w:t>的</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供应商，将依法采取分包方式履行合同。</w:t>
      </w:r>
      <w:r>
        <w:rPr>
          <w:rFonts w:hint="eastAsia" w:ascii="宋体" w:hAnsi="宋体" w:cs="宋体"/>
          <w:i w:val="0"/>
          <w:iCs w:val="0"/>
          <w:color w:val="auto"/>
          <w:kern w:val="0"/>
          <w:sz w:val="24"/>
          <w:highlight w:val="none"/>
          <w:u w:val="single"/>
        </w:rPr>
        <w:t>（</w:t>
      </w:r>
      <w:r>
        <w:rPr>
          <w:rFonts w:hint="eastAsia" w:cs="宋体"/>
          <w:i w:val="0"/>
          <w:iCs w:val="0"/>
          <w:color w:val="auto"/>
          <w:kern w:val="0"/>
          <w:sz w:val="24"/>
          <w:highlight w:val="none"/>
          <w:u w:val="single"/>
          <w:lang w:val="en-US" w:eastAsia="zh-CN"/>
        </w:rPr>
        <w:t>供应商</w:t>
      </w:r>
      <w:r>
        <w:rPr>
          <w:rFonts w:hint="eastAsia" w:ascii="宋体" w:hAnsi="宋体" w:cs="宋体"/>
          <w:i w:val="0"/>
          <w:iCs w:val="0"/>
          <w:color w:val="auto"/>
          <w:kern w:val="0"/>
          <w:sz w:val="24"/>
          <w:highlight w:val="none"/>
          <w:u w:val="single"/>
        </w:rPr>
        <w:t>名称）</w:t>
      </w:r>
      <w:r>
        <w:rPr>
          <w:rFonts w:hint="eastAsia" w:ascii="宋体" w:hAnsi="宋体" w:cs="宋体"/>
          <w:i w:val="0"/>
          <w:iCs w:val="0"/>
          <w:color w:val="auto"/>
          <w:kern w:val="0"/>
          <w:sz w:val="24"/>
          <w:highlight w:val="none"/>
        </w:rPr>
        <w:t>与</w:t>
      </w:r>
      <w:r>
        <w:rPr>
          <w:rFonts w:hint="eastAsia" w:ascii="宋体" w:hAnsi="宋体" w:cs="宋体"/>
          <w:i w:val="0"/>
          <w:iCs w:val="0"/>
          <w:color w:val="auto"/>
          <w:kern w:val="0"/>
          <w:sz w:val="24"/>
          <w:highlight w:val="none"/>
          <w:u w:val="single"/>
        </w:rPr>
        <w:t>（所有分包供应商名称）</w:t>
      </w:r>
      <w:r>
        <w:rPr>
          <w:rFonts w:hint="eastAsia" w:ascii="宋体" w:hAnsi="宋体" w:cs="宋体"/>
          <w:i w:val="0"/>
          <w:iCs w:val="0"/>
          <w:color w:val="auto"/>
          <w:kern w:val="0"/>
          <w:sz w:val="24"/>
          <w:highlight w:val="none"/>
        </w:rPr>
        <w:t>达成分包意向协议</w:t>
      </w:r>
      <w:r>
        <w:rPr>
          <w:rFonts w:hint="eastAsia" w:cs="宋体"/>
          <w:i w:val="0"/>
          <w:iCs w:val="0"/>
          <w:color w:val="auto"/>
          <w:kern w:val="0"/>
          <w:sz w:val="24"/>
          <w:highlight w:val="none"/>
          <w:lang w:val="en-US" w:eastAsia="zh-CN"/>
        </w:rPr>
        <w:t>书</w:t>
      </w:r>
      <w:r>
        <w:rPr>
          <w:rFonts w:hint="eastAsia" w:ascii="宋体" w:hAnsi="宋体" w:cs="宋体"/>
          <w:i w:val="0"/>
          <w:iCs w:val="0"/>
          <w:color w:val="auto"/>
          <w:kern w:val="0"/>
          <w:sz w:val="24"/>
          <w:highlight w:val="none"/>
          <w:lang w:val="zh-CN"/>
        </w:rPr>
        <w:t xml:space="preserve">。 </w:t>
      </w:r>
    </w:p>
    <w:p w14:paraId="67152639">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一、分包标的及数量</w:t>
      </w:r>
    </w:p>
    <w:p w14:paraId="38B0EAFF">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w:t>
      </w:r>
      <w:r>
        <w:rPr>
          <w:rFonts w:hint="eastAsia" w:cs="宋体"/>
          <w:i w:val="0"/>
          <w:iCs w:val="0"/>
          <w:color w:val="auto"/>
          <w:kern w:val="0"/>
          <w:sz w:val="24"/>
          <w:highlight w:val="none"/>
          <w:u w:val="single"/>
          <w:lang w:val="en-US" w:eastAsia="zh-CN"/>
        </w:rPr>
        <w:t>供应商</w:t>
      </w:r>
      <w:r>
        <w:rPr>
          <w:rFonts w:hint="eastAsia" w:ascii="宋体" w:hAnsi="宋体" w:cs="宋体"/>
          <w:i w:val="0"/>
          <w:iCs w:val="0"/>
          <w:color w:val="auto"/>
          <w:kern w:val="0"/>
          <w:sz w:val="24"/>
          <w:highlight w:val="none"/>
          <w:u w:val="single"/>
        </w:rPr>
        <w:t>名称）</w:t>
      </w:r>
      <w:r>
        <w:rPr>
          <w:rFonts w:hint="eastAsia" w:ascii="宋体" w:hAnsi="宋体" w:cs="宋体"/>
          <w:i w:val="0"/>
          <w:iCs w:val="0"/>
          <w:color w:val="auto"/>
          <w:kern w:val="0"/>
          <w:sz w:val="24"/>
          <w:highlight w:val="none"/>
          <w:lang w:val="zh-CN"/>
        </w:rPr>
        <w:t>将</w:t>
      </w:r>
      <w:r>
        <w:rPr>
          <w:rFonts w:hint="eastAsia" w:ascii="宋体" w:hAnsi="宋体" w:cs="宋体"/>
          <w:i w:val="0"/>
          <w:iCs w:val="0"/>
          <w:color w:val="auto"/>
          <w:highlight w:val="none"/>
          <w:u w:val="single"/>
        </w:rPr>
        <w:t xml:space="preserve"> </w:t>
      </w:r>
      <w:r>
        <w:rPr>
          <w:rFonts w:ascii="宋体" w:hAnsi="宋体" w:cs="宋体"/>
          <w:i w:val="0"/>
          <w:iCs w:val="0"/>
          <w:color w:val="auto"/>
          <w:kern w:val="0"/>
          <w:sz w:val="24"/>
          <w:highlight w:val="none"/>
          <w:u w:val="single"/>
        </w:rPr>
        <w:t xml:space="preserve">  XX工作内容   </w:t>
      </w:r>
      <w:r>
        <w:rPr>
          <w:rFonts w:hint="eastAsia" w:ascii="宋体" w:hAnsi="宋体" w:cs="宋体"/>
          <w:i w:val="0"/>
          <w:iCs w:val="0"/>
          <w:color w:val="auto"/>
          <w:sz w:val="24"/>
          <w:highlight w:val="none"/>
        </w:rPr>
        <w:t>分包给</w:t>
      </w:r>
      <w:r>
        <w:rPr>
          <w:rFonts w:hint="eastAsia" w:ascii="宋体" w:hAnsi="宋体" w:cs="宋体"/>
          <w:i w:val="0"/>
          <w:iCs w:val="0"/>
          <w:color w:val="auto"/>
          <w:kern w:val="0"/>
          <w:sz w:val="24"/>
          <w:highlight w:val="none"/>
          <w:u w:val="single"/>
        </w:rPr>
        <w:t>（分包供应商1名称）</w:t>
      </w:r>
      <w:r>
        <w:rPr>
          <w:rFonts w:hint="eastAsia" w:ascii="宋体" w:hAnsi="宋体" w:cs="宋体"/>
          <w:i w:val="0"/>
          <w:iCs w:val="0"/>
          <w:color w:val="auto"/>
          <w:kern w:val="0"/>
          <w:sz w:val="24"/>
          <w:highlight w:val="none"/>
          <w:lang w:val="zh-CN"/>
        </w:rPr>
        <w:t>，</w:t>
      </w:r>
      <w:r>
        <w:rPr>
          <w:rFonts w:hint="eastAsia" w:ascii="宋体" w:hAnsi="宋体" w:cs="宋体"/>
          <w:i w:val="0"/>
          <w:iCs w:val="0"/>
          <w:color w:val="auto"/>
          <w:kern w:val="0"/>
          <w:sz w:val="24"/>
          <w:highlight w:val="none"/>
          <w:u w:val="single"/>
        </w:rPr>
        <w:t>（分包供应商1名称），</w:t>
      </w:r>
      <w:r>
        <w:rPr>
          <w:rFonts w:hint="eastAsia" w:ascii="宋体" w:hAnsi="宋体" w:cs="宋体"/>
          <w:i w:val="0"/>
          <w:iCs w:val="0"/>
          <w:color w:val="auto"/>
          <w:kern w:val="0"/>
          <w:sz w:val="24"/>
          <w:highlight w:val="none"/>
          <w:lang w:val="zh-CN"/>
        </w:rPr>
        <w:t>具备承</w:t>
      </w:r>
      <w:r>
        <w:rPr>
          <w:rFonts w:hint="eastAsia" w:ascii="宋体" w:hAnsi="宋体" w:cs="宋体"/>
          <w:i w:val="0"/>
          <w:iCs w:val="0"/>
          <w:color w:val="auto"/>
          <w:kern w:val="0"/>
          <w:sz w:val="24"/>
          <w:highlight w:val="none"/>
        </w:rPr>
        <w:t>担</w:t>
      </w:r>
      <w:r>
        <w:rPr>
          <w:rFonts w:hint="eastAsia" w:ascii="宋体" w:hAnsi="宋体" w:cs="宋体"/>
          <w:i w:val="0"/>
          <w:iCs w:val="0"/>
          <w:color w:val="auto"/>
          <w:kern w:val="0"/>
          <w:sz w:val="24"/>
          <w:highlight w:val="none"/>
          <w:u w:val="single"/>
          <w:lang w:val="zh-CN"/>
        </w:rPr>
        <w:t>XX工作内容</w:t>
      </w:r>
      <w:r>
        <w:rPr>
          <w:rFonts w:hint="eastAsia" w:ascii="宋体" w:hAnsi="宋体" w:cs="宋体"/>
          <w:i w:val="0"/>
          <w:iCs w:val="0"/>
          <w:color w:val="auto"/>
          <w:kern w:val="0"/>
          <w:sz w:val="24"/>
          <w:highlight w:val="none"/>
          <w:lang w:val="zh-CN"/>
        </w:rPr>
        <w:t>相应资质条件且不得再次分包；</w:t>
      </w:r>
    </w:p>
    <w:p w14:paraId="63FF6DF7">
      <w:pPr>
        <w:pStyle w:val="5"/>
        <w:tabs>
          <w:tab w:val="left" w:pos="432"/>
        </w:tabs>
        <w:ind w:left="758" w:leftChars="316" w:firstLine="229" w:firstLineChars="95"/>
        <w:rPr>
          <w:rFonts w:ascii="宋体" w:hAnsi="宋体" w:eastAsia="宋体" w:cs="宋体"/>
          <w:i w:val="0"/>
          <w:iCs w:val="0"/>
          <w:color w:val="auto"/>
          <w:kern w:val="0"/>
          <w:sz w:val="24"/>
          <w:szCs w:val="24"/>
          <w:highlight w:val="none"/>
        </w:rPr>
      </w:pPr>
      <w:bookmarkStart w:id="511" w:name="_Toc12110"/>
      <w:r>
        <w:rPr>
          <w:rFonts w:hint="eastAsia" w:ascii="宋体" w:hAnsi="宋体" w:eastAsia="宋体" w:cs="宋体"/>
          <w:i w:val="0"/>
          <w:iCs w:val="0"/>
          <w:color w:val="auto"/>
          <w:kern w:val="0"/>
          <w:sz w:val="24"/>
          <w:szCs w:val="24"/>
          <w:highlight w:val="none"/>
        </w:rPr>
        <w:t>……</w:t>
      </w:r>
      <w:bookmarkEnd w:id="511"/>
    </w:p>
    <w:p w14:paraId="6C285264">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二、分包供应商中小企业合同份额</w:t>
      </w:r>
    </w:p>
    <w:p w14:paraId="5E07AB6F">
      <w:pPr>
        <w:snapToGrid w:val="0"/>
        <w:spacing w:line="360" w:lineRule="auto"/>
        <w:ind w:firstLine="576"/>
        <w:rPr>
          <w:rFonts w:ascii="宋体" w:hAnsi="宋体" w:cs="宋体"/>
          <w:b/>
          <w:i w:val="0"/>
          <w:iCs w:val="0"/>
          <w:color w:val="auto"/>
          <w:kern w:val="0"/>
          <w:sz w:val="24"/>
          <w:highlight w:val="none"/>
          <w:lang w:val="zh-CN"/>
        </w:rPr>
      </w:pPr>
      <w:r>
        <w:rPr>
          <w:rFonts w:ascii="宋体" w:hAnsi="宋体" w:cs="宋体"/>
          <w:i w:val="0"/>
          <w:iCs w:val="0"/>
          <w:color w:val="auto"/>
          <w:kern w:val="0"/>
          <w:sz w:val="24"/>
          <w:highlight w:val="none"/>
        </w:rPr>
        <w:t>1、</w:t>
      </w:r>
      <w:r>
        <w:rPr>
          <w:rFonts w:hint="eastAsia" w:ascii="宋体" w:hAnsi="宋体" w:cs="宋体"/>
          <w:i w:val="0"/>
          <w:iCs w:val="0"/>
          <w:color w:val="auto"/>
          <w:kern w:val="0"/>
          <w:sz w:val="24"/>
          <w:highlight w:val="none"/>
          <w:u w:val="single"/>
        </w:rPr>
        <w:t>（分包供应商X</w:t>
      </w:r>
      <w:r>
        <w:rPr>
          <w:rFonts w:ascii="宋体" w:hAnsi="宋体" w:cs="宋体"/>
          <w:i w:val="0"/>
          <w:iCs w:val="0"/>
          <w:color w:val="auto"/>
          <w:kern w:val="0"/>
          <w:sz w:val="24"/>
          <w:highlight w:val="none"/>
          <w:u w:val="single"/>
        </w:rPr>
        <w:t>,</w:t>
      </w:r>
      <w:r>
        <w:rPr>
          <w:rFonts w:hint="eastAsia" w:ascii="宋体" w:hAnsi="宋体" w:cs="宋体"/>
          <w:i w:val="0"/>
          <w:iCs w:val="0"/>
          <w:color w:val="auto"/>
          <w:kern w:val="0"/>
          <w:sz w:val="24"/>
          <w:highlight w:val="none"/>
          <w:u w:val="single"/>
        </w:rPr>
        <w:t>……）提供的</w:t>
      </w:r>
      <w:r>
        <w:rPr>
          <w:rFonts w:hint="eastAsia" w:cs="宋体"/>
          <w:i w:val="0"/>
          <w:iCs w:val="0"/>
          <w:color w:val="auto"/>
          <w:kern w:val="0"/>
          <w:sz w:val="24"/>
          <w:highlight w:val="none"/>
          <w:u w:val="single"/>
          <w:lang w:val="en-US" w:eastAsia="zh-CN"/>
        </w:rPr>
        <w:t>服务</w:t>
      </w:r>
      <w:r>
        <w:rPr>
          <w:rFonts w:hint="eastAsia" w:ascii="宋体" w:hAnsi="宋体" w:cs="宋体"/>
          <w:i w:val="0"/>
          <w:iCs w:val="0"/>
          <w:color w:val="auto"/>
          <w:kern w:val="0"/>
          <w:sz w:val="24"/>
          <w:highlight w:val="none"/>
          <w:u w:val="single"/>
        </w:rPr>
        <w:t>全部由小微企业制造，</w:t>
      </w:r>
      <w:r>
        <w:rPr>
          <w:rFonts w:hint="eastAsia" w:ascii="宋体" w:hAnsi="宋体" w:cs="宋体"/>
          <w:i w:val="0"/>
          <w:iCs w:val="0"/>
          <w:color w:val="auto"/>
          <w:kern w:val="0"/>
          <w:sz w:val="24"/>
          <w:highlight w:val="none"/>
        </w:rPr>
        <w:t>其合同份额占到合同总金额</w:t>
      </w:r>
      <w:r>
        <w:rPr>
          <w:rFonts w:hint="eastAsia" w:ascii="宋体" w:hAnsi="宋体" w:cs="宋体"/>
          <w:i w:val="0"/>
          <w:iCs w:val="0"/>
          <w:color w:val="auto"/>
          <w:kern w:val="0"/>
          <w:sz w:val="24"/>
          <w:highlight w:val="none"/>
          <w:u w:val="single"/>
        </w:rPr>
        <w:t xml:space="preserve">     </w:t>
      </w:r>
      <w:r>
        <w:rPr>
          <w:rFonts w:hint="eastAsia" w:ascii="宋体" w:hAnsi="宋体" w:cs="宋体"/>
          <w:i w:val="0"/>
          <w:iCs w:val="0"/>
          <w:color w:val="auto"/>
          <w:kern w:val="0"/>
          <w:sz w:val="24"/>
          <w:highlight w:val="none"/>
        </w:rPr>
        <w:t>%以上</w:t>
      </w:r>
      <w:r>
        <w:rPr>
          <w:rFonts w:hint="eastAsia" w:ascii="宋体" w:hAnsi="宋体" w:cs="宋体"/>
          <w:i w:val="0"/>
          <w:iCs w:val="0"/>
          <w:color w:val="auto"/>
          <w:highlight w:val="none"/>
        </w:rPr>
        <w:t>。</w:t>
      </w:r>
      <w:r>
        <w:rPr>
          <w:rFonts w:hint="eastAsia" w:ascii="宋体" w:hAnsi="宋体" w:cs="宋体"/>
          <w:b/>
          <w:i w:val="0"/>
          <w:iCs w:val="0"/>
          <w:color w:val="auto"/>
          <w:kern w:val="0"/>
          <w:sz w:val="24"/>
          <w:highlight w:val="none"/>
          <w:lang w:val="zh-CN"/>
        </w:rPr>
        <w:t>（未预留份额专门面向中小企业采购的采购项目，以及预留份额中的非预留部分采购包，允许分包的，分包意向协议</w:t>
      </w:r>
      <w:r>
        <w:rPr>
          <w:rFonts w:hint="eastAsia" w:cs="宋体"/>
          <w:b/>
          <w:i w:val="0"/>
          <w:iCs w:val="0"/>
          <w:color w:val="auto"/>
          <w:kern w:val="0"/>
          <w:sz w:val="24"/>
          <w:highlight w:val="none"/>
          <w:lang w:val="en-US" w:eastAsia="zh-CN"/>
        </w:rPr>
        <w:t>书</w:t>
      </w:r>
      <w:r>
        <w:rPr>
          <w:rFonts w:hint="eastAsia" w:ascii="宋体" w:hAnsi="宋体" w:cs="宋体"/>
          <w:b/>
          <w:i w:val="0"/>
          <w:iCs w:val="0"/>
          <w:color w:val="auto"/>
          <w:kern w:val="0"/>
          <w:sz w:val="24"/>
          <w:highlight w:val="none"/>
          <w:lang w:val="zh-CN"/>
        </w:rPr>
        <w:t>约定小微企业的合同份额占到合同总金额30%以上的，对大中型企业的报价按评标标准确定的比例给予扣除。供应商</w:t>
      </w:r>
      <w:r>
        <w:rPr>
          <w:rFonts w:hint="eastAsia" w:ascii="宋体" w:hAnsi="宋体" w:cs="宋体"/>
          <w:b/>
          <w:i w:val="0"/>
          <w:iCs w:val="0"/>
          <w:color w:val="auto"/>
          <w:sz w:val="24"/>
          <w:highlight w:val="none"/>
        </w:rPr>
        <w:t>拟享受以上价格扣除政策的，填写有关内容。</w:t>
      </w:r>
      <w:r>
        <w:rPr>
          <w:rFonts w:hint="eastAsia" w:ascii="宋体" w:hAnsi="宋体" w:cs="宋体"/>
          <w:b/>
          <w:i w:val="0"/>
          <w:iCs w:val="0"/>
          <w:color w:val="auto"/>
          <w:kern w:val="0"/>
          <w:sz w:val="24"/>
          <w:highlight w:val="none"/>
          <w:lang w:val="zh-CN"/>
        </w:rPr>
        <w:t>）</w:t>
      </w:r>
    </w:p>
    <w:p w14:paraId="65C2E2DD">
      <w:pPr>
        <w:spacing w:line="360" w:lineRule="auto"/>
        <w:ind w:firstLine="480" w:firstLineChars="200"/>
        <w:rPr>
          <w:rFonts w:ascii="宋体" w:hAnsi="宋体" w:cs="宋体"/>
          <w:b/>
          <w:bCs/>
          <w:i w:val="0"/>
          <w:iCs w:val="0"/>
          <w:color w:val="auto"/>
          <w:kern w:val="0"/>
          <w:sz w:val="24"/>
          <w:highlight w:val="none"/>
          <w:lang w:val="zh-CN"/>
        </w:rPr>
      </w:pPr>
      <w:r>
        <w:rPr>
          <w:rFonts w:hint="eastAsia" w:ascii="宋体" w:hAnsi="宋体" w:cs="宋体"/>
          <w:i w:val="0"/>
          <w:iCs w:val="0"/>
          <w:color w:val="auto"/>
          <w:sz w:val="24"/>
          <w:highlight w:val="none"/>
        </w:rPr>
        <w:t>2、</w:t>
      </w:r>
      <w:bookmarkStart w:id="512" w:name="_Hlk101133173"/>
      <w:r>
        <w:rPr>
          <w:rFonts w:hint="eastAsia" w:ascii="宋体" w:hAnsi="宋体" w:cs="宋体"/>
          <w:i w:val="0"/>
          <w:iCs w:val="0"/>
          <w:color w:val="auto"/>
          <w:sz w:val="24"/>
          <w:highlight w:val="none"/>
        </w:rPr>
        <w:t>中小企业合同金额达到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rPr>
        <w:t>%，其中小微企业合同金额达到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rPr>
        <w:t>%</w:t>
      </w:r>
      <w:r>
        <w:rPr>
          <w:rFonts w:hint="eastAsia" w:ascii="宋体" w:hAnsi="宋体" w:cs="宋体"/>
          <w:i w:val="0"/>
          <w:iCs w:val="0"/>
          <w:color w:val="auto"/>
          <w:kern w:val="0"/>
          <w:sz w:val="24"/>
          <w:highlight w:val="none"/>
          <w:lang w:val="zh-CN"/>
        </w:rPr>
        <w:t>。</w:t>
      </w:r>
      <w:r>
        <w:rPr>
          <w:rFonts w:hint="eastAsia" w:ascii="宋体" w:hAnsi="宋体" w:cs="宋体"/>
          <w:b/>
          <w:bCs/>
          <w:i w:val="0"/>
          <w:iCs w:val="0"/>
          <w:color w:val="auto"/>
          <w:kern w:val="0"/>
          <w:sz w:val="24"/>
          <w:highlight w:val="none"/>
          <w:lang w:val="zh-CN"/>
        </w:rPr>
        <w:t>（</w:t>
      </w:r>
      <w:r>
        <w:rPr>
          <w:rFonts w:hint="eastAsia" w:ascii="宋体" w:hAnsi="宋体" w:cs="宋体"/>
          <w:b/>
          <w:bCs/>
          <w:i w:val="0"/>
          <w:iCs w:val="0"/>
          <w:color w:val="auto"/>
          <w:sz w:val="24"/>
          <w:highlight w:val="none"/>
        </w:rPr>
        <w:t>要求合同分包形式参加的项目或采购包，供应商按招标文件第一部分招标公告申请人的资格要求中规定的</w:t>
      </w:r>
      <w:r>
        <w:rPr>
          <w:rFonts w:hint="eastAsia" w:ascii="宋体" w:hAnsi="宋体" w:cs="宋体"/>
          <w:b/>
          <w:i w:val="0"/>
          <w:iCs w:val="0"/>
          <w:color w:val="auto"/>
          <w:kern w:val="0"/>
          <w:sz w:val="24"/>
          <w:highlight w:val="none"/>
          <w:lang w:val="zh-CN"/>
        </w:rPr>
        <w:t>分包意向协议</w:t>
      </w:r>
      <w:r>
        <w:rPr>
          <w:rFonts w:hint="eastAsia" w:cs="宋体"/>
          <w:b/>
          <w:i w:val="0"/>
          <w:iCs w:val="0"/>
          <w:color w:val="auto"/>
          <w:kern w:val="0"/>
          <w:sz w:val="24"/>
          <w:highlight w:val="none"/>
          <w:lang w:val="en-US" w:eastAsia="zh-CN"/>
        </w:rPr>
        <w:t>书</w:t>
      </w:r>
      <w:r>
        <w:rPr>
          <w:rFonts w:hint="eastAsia" w:ascii="宋体" w:hAnsi="宋体" w:cs="宋体"/>
          <w:b/>
          <w:bCs/>
          <w:i w:val="0"/>
          <w:iCs w:val="0"/>
          <w:color w:val="auto"/>
          <w:sz w:val="24"/>
          <w:highlight w:val="none"/>
        </w:rPr>
        <w:t>中中小企业、小微企业合同金额应当达到的比例要求填写。</w:t>
      </w:r>
      <w:r>
        <w:rPr>
          <w:rFonts w:hint="eastAsia" w:ascii="宋体" w:hAnsi="宋体" w:cs="宋体"/>
          <w:b/>
          <w:bCs/>
          <w:i w:val="0"/>
          <w:iCs w:val="0"/>
          <w:color w:val="auto"/>
          <w:kern w:val="0"/>
          <w:sz w:val="24"/>
          <w:highlight w:val="none"/>
          <w:lang w:val="zh-CN"/>
        </w:rPr>
        <w:t>）</w:t>
      </w:r>
      <w:bookmarkEnd w:id="512"/>
    </w:p>
    <w:p w14:paraId="59F29060">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三、分包工作履行期限、地点、方式</w:t>
      </w:r>
    </w:p>
    <w:p w14:paraId="55D77694">
      <w:pPr>
        <w:snapToGrid w:val="0"/>
        <w:spacing w:line="360" w:lineRule="auto"/>
        <w:ind w:firstLine="576"/>
        <w:rPr>
          <w:rFonts w:ascii="宋体" w:hAnsi="宋体" w:cs="宋体"/>
          <w:i w:val="0"/>
          <w:iCs w:val="0"/>
          <w:color w:val="auto"/>
          <w:highlight w:val="none"/>
          <w:u w:val="single"/>
        </w:rPr>
      </w:pPr>
      <w:r>
        <w:rPr>
          <w:rFonts w:hint="eastAsia" w:ascii="宋体" w:hAnsi="宋体" w:cs="宋体"/>
          <w:i w:val="0"/>
          <w:iCs w:val="0"/>
          <w:color w:val="auto"/>
          <w:highlight w:val="none"/>
          <w:u w:val="single"/>
        </w:rPr>
        <w:t xml:space="preserve">                                                                                  </w:t>
      </w:r>
    </w:p>
    <w:p w14:paraId="69186C77">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四、质量</w:t>
      </w:r>
    </w:p>
    <w:p w14:paraId="45377040">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24F1EA6C">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五、价款或者报酬</w:t>
      </w:r>
    </w:p>
    <w:p w14:paraId="2F84AD13">
      <w:pPr>
        <w:snapToGrid w:val="0"/>
        <w:spacing w:line="360" w:lineRule="auto"/>
        <w:ind w:left="655" w:leftChars="273"/>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79249CF4">
      <w:pPr>
        <w:snapToGrid w:val="0"/>
        <w:spacing w:line="360" w:lineRule="auto"/>
        <w:ind w:left="655" w:leftChars="273"/>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六、违约责任</w:t>
      </w:r>
    </w:p>
    <w:p w14:paraId="159F7362">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5986349C">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七、争议解决的办法</w:t>
      </w:r>
    </w:p>
    <w:p w14:paraId="79FF3566">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6986A023">
      <w:pPr>
        <w:snapToGrid w:val="0"/>
        <w:spacing w:line="360" w:lineRule="auto"/>
        <w:ind w:left="5861" w:leftChars="342" w:hanging="5040" w:hangingChars="2100"/>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 xml:space="preserve">                                          </w:t>
      </w:r>
      <w:r>
        <w:rPr>
          <w:rFonts w:hint="eastAsia" w:cs="宋体"/>
          <w:i w:val="0"/>
          <w:iCs w:val="0"/>
          <w:color w:val="auto"/>
          <w:kern w:val="0"/>
          <w:sz w:val="24"/>
          <w:highlight w:val="none"/>
          <w:lang w:val="en-US" w:eastAsia="zh-CN"/>
        </w:rPr>
        <w:t>供应商</w:t>
      </w:r>
      <w:r>
        <w:rPr>
          <w:rFonts w:hint="eastAsia" w:ascii="宋体" w:hAnsi="宋体" w:cs="宋体"/>
          <w:i w:val="0"/>
          <w:iCs w:val="0"/>
          <w:color w:val="auto"/>
          <w:kern w:val="0"/>
          <w:sz w:val="24"/>
          <w:highlight w:val="none"/>
          <w:lang w:val="zh-CN"/>
        </w:rPr>
        <w:t>名称(</w:t>
      </w:r>
      <w:r>
        <w:rPr>
          <w:rFonts w:hint="eastAsia" w:cs="宋体"/>
          <w:i w:val="0"/>
          <w:iCs w:val="0"/>
          <w:color w:val="auto"/>
          <w:kern w:val="0"/>
          <w:sz w:val="24"/>
          <w:highlight w:val="none"/>
          <w:lang w:val="zh-CN"/>
        </w:rPr>
        <w:t>公章</w:t>
      </w:r>
      <w:r>
        <w:rPr>
          <w:rFonts w:hint="eastAsia" w:ascii="宋体" w:hAnsi="宋体" w:cs="宋体"/>
          <w:i w:val="0"/>
          <w:iCs w:val="0"/>
          <w:color w:val="auto"/>
          <w:kern w:val="0"/>
          <w:sz w:val="24"/>
          <w:highlight w:val="none"/>
          <w:lang w:val="zh-CN"/>
        </w:rPr>
        <w:t>)：</w:t>
      </w:r>
    </w:p>
    <w:p w14:paraId="7B5FA272">
      <w:pPr>
        <w:snapToGrid w:val="0"/>
        <w:spacing w:line="360" w:lineRule="auto"/>
        <w:jc w:val="right"/>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分包供应商名称(公章)：</w:t>
      </w:r>
    </w:p>
    <w:p w14:paraId="2DCC977E">
      <w:pPr>
        <w:snapToGrid w:val="0"/>
        <w:spacing w:line="360" w:lineRule="auto"/>
        <w:ind w:firstLine="5760" w:firstLineChars="2400"/>
        <w:rPr>
          <w:rFonts w:ascii="宋体" w:hAnsi="宋体" w:cs="宋体"/>
          <w:i w:val="0"/>
          <w:iCs w:val="0"/>
          <w:color w:val="auto"/>
          <w:highlight w:val="none"/>
        </w:rPr>
      </w:pPr>
      <w:r>
        <w:rPr>
          <w:rFonts w:hint="eastAsia" w:ascii="宋体" w:hAnsi="宋体" w:cs="宋体"/>
          <w:i w:val="0"/>
          <w:iCs w:val="0"/>
          <w:color w:val="auto"/>
          <w:kern w:val="0"/>
          <w:sz w:val="24"/>
          <w:highlight w:val="none"/>
          <w:lang w:val="zh-CN"/>
        </w:rPr>
        <w:t>……</w:t>
      </w:r>
    </w:p>
    <w:p w14:paraId="43413851">
      <w:pPr>
        <w:spacing w:line="360" w:lineRule="auto"/>
        <w:jc w:val="center"/>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 xml:space="preserve">                                        日期：  年  月   日</w:t>
      </w:r>
    </w:p>
    <w:p w14:paraId="5E052511">
      <w:pPr>
        <w:spacing w:line="360" w:lineRule="auto"/>
        <w:ind w:right="420"/>
        <w:rPr>
          <w:rFonts w:ascii="宋体" w:hAnsi="宋体" w:cs="宋体"/>
          <w:i w:val="0"/>
          <w:iCs w:val="0"/>
          <w:color w:val="auto"/>
          <w:sz w:val="24"/>
          <w:highlight w:val="none"/>
        </w:rPr>
      </w:pPr>
      <w:r>
        <w:rPr>
          <w:rFonts w:hint="eastAsia" w:ascii="宋体" w:hAnsi="宋体" w:cs="宋体"/>
          <w:i w:val="0"/>
          <w:iCs w:val="0"/>
          <w:color w:val="auto"/>
          <w:sz w:val="21"/>
          <w:szCs w:val="21"/>
          <w:highlight w:val="none"/>
        </w:rPr>
        <w:t>注：按本格式和要求提供。</w:t>
      </w:r>
    </w:p>
    <w:p w14:paraId="5821A3B7">
      <w:pPr>
        <w:topLinePunct/>
        <w:ind w:firstLine="480" w:firstLineChars="200"/>
        <w:rPr>
          <w:rFonts w:hint="eastAsia"/>
          <w:i w:val="0"/>
          <w:iCs w:val="0"/>
          <w:color w:val="auto"/>
          <w:szCs w:val="32"/>
          <w:highlight w:val="none"/>
        </w:rPr>
      </w:pPr>
    </w:p>
    <w:p w14:paraId="611D4ADF">
      <w:pPr>
        <w:topLinePunct/>
        <w:ind w:firstLine="480" w:firstLineChars="200"/>
        <w:rPr>
          <w:rFonts w:hint="eastAsia"/>
          <w:i w:val="0"/>
          <w:iCs w:val="0"/>
          <w:color w:val="auto"/>
          <w:szCs w:val="32"/>
          <w:highlight w:val="none"/>
        </w:rPr>
      </w:pPr>
    </w:p>
    <w:p w14:paraId="376490F9">
      <w:pPr>
        <w:topLinePunct/>
        <w:ind w:firstLine="480" w:firstLineChars="200"/>
        <w:rPr>
          <w:rFonts w:hint="eastAsia"/>
          <w:i w:val="0"/>
          <w:iCs w:val="0"/>
          <w:color w:val="auto"/>
          <w:szCs w:val="32"/>
          <w:highlight w:val="none"/>
        </w:rPr>
      </w:pPr>
    </w:p>
    <w:p w14:paraId="48ED72FF">
      <w:pPr>
        <w:topLinePunct/>
        <w:ind w:firstLine="480" w:firstLineChars="200"/>
        <w:rPr>
          <w:rFonts w:hint="eastAsia"/>
          <w:i w:val="0"/>
          <w:iCs w:val="0"/>
          <w:color w:val="auto"/>
          <w:szCs w:val="32"/>
          <w:highlight w:val="none"/>
        </w:rPr>
      </w:pPr>
    </w:p>
    <w:bookmarkEnd w:id="509"/>
    <w:p w14:paraId="37E1E50C">
      <w:pPr>
        <w:ind w:left="2520" w:leftChars="1050"/>
        <w:rPr>
          <w:i w:val="0"/>
          <w:iCs w:val="0"/>
          <w:color w:val="auto"/>
          <w:highlight w:val="none"/>
        </w:rPr>
      </w:pPr>
      <w:r>
        <w:rPr>
          <w:rFonts w:cs="Courier New"/>
          <w:i w:val="0"/>
          <w:iCs w:val="0"/>
          <w:color w:val="auto"/>
          <w:szCs w:val="24"/>
          <w:highlight w:val="none"/>
        </w:rPr>
        <w:br w:type="page"/>
      </w:r>
    </w:p>
    <w:p w14:paraId="324FFC3F">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i w:val="0"/>
          <w:iCs w:val="0"/>
          <w:color w:val="auto"/>
          <w:kern w:val="2"/>
          <w:sz w:val="28"/>
          <w:szCs w:val="28"/>
          <w:highlight w:val="none"/>
          <w:lang w:val="en-US" w:eastAsia="zh-CN" w:bidi="ar-SA"/>
        </w:rPr>
      </w:pPr>
      <w:bookmarkStart w:id="513" w:name="_Toc163492926"/>
      <w:bookmarkStart w:id="514" w:name="_Toc155185932"/>
      <w:bookmarkStart w:id="515" w:name="_Toc26686"/>
      <w:r>
        <w:rPr>
          <w:rFonts w:hint="eastAsia" w:cstheme="majorBidi"/>
          <w:b/>
          <w:bCs/>
          <w:i w:val="0"/>
          <w:iCs w:val="0"/>
          <w:color w:val="auto"/>
          <w:kern w:val="2"/>
          <w:sz w:val="28"/>
          <w:szCs w:val="28"/>
          <w:highlight w:val="none"/>
          <w:lang w:val="en-US" w:eastAsia="zh-CN" w:bidi="ar-SA"/>
        </w:rPr>
        <w:t>四</w:t>
      </w:r>
      <w:r>
        <w:rPr>
          <w:rFonts w:hint="eastAsia" w:eastAsia="宋体" w:asciiTheme="majorHAnsi" w:hAnsiTheme="majorHAnsi" w:cstheme="majorBidi"/>
          <w:b/>
          <w:bCs/>
          <w:i w:val="0"/>
          <w:iCs w:val="0"/>
          <w:color w:val="auto"/>
          <w:kern w:val="2"/>
          <w:sz w:val="28"/>
          <w:szCs w:val="28"/>
          <w:highlight w:val="none"/>
          <w:lang w:val="en-US" w:eastAsia="zh-CN" w:bidi="ar-SA"/>
        </w:rPr>
        <w:t>、</w:t>
      </w:r>
      <w:bookmarkEnd w:id="513"/>
      <w:bookmarkEnd w:id="514"/>
      <w:r>
        <w:rPr>
          <w:rFonts w:hint="eastAsia" w:eastAsia="宋体" w:asciiTheme="majorHAnsi" w:hAnsiTheme="majorHAnsi" w:cstheme="majorBidi"/>
          <w:b/>
          <w:bCs/>
          <w:i w:val="0"/>
          <w:iCs w:val="0"/>
          <w:color w:val="auto"/>
          <w:kern w:val="2"/>
          <w:sz w:val="28"/>
          <w:szCs w:val="28"/>
          <w:highlight w:val="none"/>
          <w:lang w:val="en-US" w:eastAsia="zh-CN" w:bidi="ar-SA"/>
        </w:rPr>
        <w:t>落实政府采购政策相关证明文件</w:t>
      </w:r>
      <w:bookmarkEnd w:id="515"/>
    </w:p>
    <w:p w14:paraId="3313777C">
      <w:pPr>
        <w:pStyle w:val="6"/>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516" w:name="_Toc163492938"/>
      <w:bookmarkStart w:id="517" w:name="_Toc21782"/>
      <w:r>
        <w:rPr>
          <w:rFonts w:hint="eastAsia" w:ascii="宋体" w:hAnsi="宋体" w:eastAsia="宋体" w:cs="宋体"/>
          <w:b/>
          <w:bCs/>
          <w:i w:val="0"/>
          <w:iCs w:val="0"/>
          <w:color w:val="auto"/>
          <w:kern w:val="2"/>
          <w:sz w:val="24"/>
          <w:szCs w:val="24"/>
          <w:highlight w:val="none"/>
          <w:lang w:val="en-US" w:eastAsia="zh-CN" w:bidi="ar-SA"/>
        </w:rPr>
        <w:t>（一）节能环保产品清单及证明材料</w:t>
      </w:r>
      <w:r>
        <w:rPr>
          <w:rFonts w:hint="eastAsia" w:ascii="宋体" w:hAnsi="宋体" w:eastAsia="宋体" w:cs="宋体"/>
          <w:b w:val="0"/>
          <w:bCs w:val="0"/>
          <w:i w:val="0"/>
          <w:iCs w:val="0"/>
          <w:color w:val="auto"/>
          <w:kern w:val="2"/>
          <w:sz w:val="24"/>
          <w:szCs w:val="24"/>
          <w:highlight w:val="none"/>
          <w:lang w:val="en-US" w:eastAsia="zh-CN" w:bidi="ar-SA"/>
        </w:rPr>
        <w:t>【</w:t>
      </w:r>
      <w:r>
        <w:rPr>
          <w:rFonts w:hint="eastAsia" w:cs="宋体"/>
          <w:b w:val="0"/>
          <w:bCs w:val="0"/>
          <w:i w:val="0"/>
          <w:iCs w:val="0"/>
          <w:color w:val="auto"/>
          <w:kern w:val="2"/>
          <w:sz w:val="24"/>
          <w:szCs w:val="24"/>
          <w:highlight w:val="none"/>
          <w:lang w:val="en-US" w:eastAsia="zh-CN" w:bidi="ar-SA"/>
        </w:rPr>
        <w:t>不适用可不提供</w:t>
      </w:r>
      <w:r>
        <w:rPr>
          <w:rFonts w:hint="eastAsia" w:ascii="宋体" w:hAnsi="宋体" w:eastAsia="宋体" w:cs="宋体"/>
          <w:b w:val="0"/>
          <w:bCs w:val="0"/>
          <w:i w:val="0"/>
          <w:iCs w:val="0"/>
          <w:color w:val="auto"/>
          <w:kern w:val="2"/>
          <w:sz w:val="24"/>
          <w:szCs w:val="24"/>
          <w:highlight w:val="none"/>
          <w:lang w:val="en-US" w:eastAsia="zh-CN" w:bidi="ar-SA"/>
        </w:rPr>
        <w:t>】</w:t>
      </w:r>
      <w:bookmarkEnd w:id="516"/>
      <w:bookmarkEnd w:id="517"/>
    </w:p>
    <w:p w14:paraId="4FF20263">
      <w:pPr>
        <w:spacing w:line="300" w:lineRule="auto"/>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项目名称：</w:t>
      </w: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项目编号</w:t>
      </w:r>
      <w:r>
        <w:rPr>
          <w:rFonts w:hint="eastAsia" w:ascii="宋体" w:hAnsi="宋体" w:eastAsia="宋体" w:cs="宋体"/>
          <w:i w:val="0"/>
          <w:iCs w:val="0"/>
          <w:color w:val="auto"/>
          <w:sz w:val="24"/>
          <w:szCs w:val="24"/>
          <w:highlight w:val="none"/>
          <w:lang w:val="en-US" w:eastAsia="zh-CN"/>
        </w:rPr>
        <w:t>/包号</w:t>
      </w:r>
      <w:r>
        <w:rPr>
          <w:rFonts w:hint="eastAsia" w:ascii="宋体" w:hAnsi="宋体" w:eastAsia="宋体" w:cs="宋体"/>
          <w:i w:val="0"/>
          <w:iCs w:val="0"/>
          <w:color w:val="auto"/>
          <w:sz w:val="24"/>
          <w:szCs w:val="24"/>
          <w:highlight w:val="none"/>
        </w:rPr>
        <w:t>：</w:t>
      </w:r>
    </w:p>
    <w:p w14:paraId="293DD01E">
      <w:pPr>
        <w:spacing w:line="30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节能产品</w:t>
      </w:r>
    </w:p>
    <w:tbl>
      <w:tblPr>
        <w:tblStyle w:val="3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4276A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1A04898A">
            <w:pPr>
              <w:pStyle w:val="52"/>
              <w:jc w:val="center"/>
              <w:rPr>
                <w:i w:val="0"/>
                <w:iCs w:val="0"/>
                <w:color w:val="auto"/>
                <w:sz w:val="21"/>
                <w:szCs w:val="21"/>
                <w:highlight w:val="none"/>
              </w:rPr>
            </w:pPr>
            <w:r>
              <w:rPr>
                <w:rFonts w:hint="eastAsia"/>
                <w:i w:val="0"/>
                <w:iCs w:val="0"/>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7677726A">
            <w:pPr>
              <w:pStyle w:val="52"/>
              <w:jc w:val="center"/>
              <w:rPr>
                <w:i w:val="0"/>
                <w:iCs w:val="0"/>
                <w:color w:val="auto"/>
                <w:sz w:val="21"/>
                <w:szCs w:val="21"/>
                <w:highlight w:val="none"/>
              </w:rPr>
            </w:pPr>
            <w:r>
              <w:rPr>
                <w:rFonts w:hint="eastAsia"/>
                <w:i w:val="0"/>
                <w:iCs w:val="0"/>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374FD25E">
            <w:pPr>
              <w:pStyle w:val="52"/>
              <w:jc w:val="center"/>
              <w:rPr>
                <w:i w:val="0"/>
                <w:iCs w:val="0"/>
                <w:color w:val="auto"/>
                <w:sz w:val="21"/>
                <w:szCs w:val="21"/>
                <w:highlight w:val="none"/>
              </w:rPr>
            </w:pPr>
            <w:r>
              <w:rPr>
                <w:rFonts w:hint="eastAsia"/>
                <w:i w:val="0"/>
                <w:iCs w:val="0"/>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019718B1">
            <w:pPr>
              <w:pStyle w:val="52"/>
              <w:jc w:val="center"/>
              <w:rPr>
                <w:i w:val="0"/>
                <w:iCs w:val="0"/>
                <w:color w:val="auto"/>
                <w:sz w:val="21"/>
                <w:szCs w:val="21"/>
                <w:highlight w:val="none"/>
              </w:rPr>
            </w:pPr>
            <w:r>
              <w:rPr>
                <w:rFonts w:hint="eastAsia"/>
                <w:i w:val="0"/>
                <w:iCs w:val="0"/>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1B59C470">
            <w:pPr>
              <w:pStyle w:val="52"/>
              <w:jc w:val="center"/>
              <w:rPr>
                <w:i w:val="0"/>
                <w:iCs w:val="0"/>
                <w:color w:val="auto"/>
                <w:sz w:val="21"/>
                <w:szCs w:val="21"/>
                <w:highlight w:val="none"/>
              </w:rPr>
            </w:pPr>
            <w:r>
              <w:rPr>
                <w:rFonts w:hint="eastAsia"/>
                <w:i w:val="0"/>
                <w:iCs w:val="0"/>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0FF83C4B">
            <w:pPr>
              <w:pStyle w:val="52"/>
              <w:jc w:val="center"/>
              <w:rPr>
                <w:i w:val="0"/>
                <w:iCs w:val="0"/>
                <w:color w:val="auto"/>
                <w:sz w:val="21"/>
                <w:szCs w:val="21"/>
                <w:highlight w:val="none"/>
              </w:rPr>
            </w:pPr>
            <w:r>
              <w:rPr>
                <w:rFonts w:hint="eastAsia"/>
                <w:i w:val="0"/>
                <w:iCs w:val="0"/>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58394859">
            <w:pPr>
              <w:pStyle w:val="52"/>
              <w:jc w:val="center"/>
              <w:rPr>
                <w:i w:val="0"/>
                <w:iCs w:val="0"/>
                <w:color w:val="auto"/>
                <w:sz w:val="21"/>
                <w:szCs w:val="21"/>
                <w:highlight w:val="none"/>
              </w:rPr>
            </w:pPr>
            <w:r>
              <w:rPr>
                <w:rFonts w:hint="eastAsia"/>
                <w:i w:val="0"/>
                <w:iCs w:val="0"/>
                <w:color w:val="auto"/>
                <w:sz w:val="21"/>
                <w:szCs w:val="21"/>
                <w:highlight w:val="none"/>
              </w:rPr>
              <w:t>单价</w:t>
            </w:r>
          </w:p>
          <w:p w14:paraId="4F8410E1">
            <w:pPr>
              <w:pStyle w:val="52"/>
              <w:jc w:val="center"/>
              <w:rPr>
                <w:i w:val="0"/>
                <w:iCs w:val="0"/>
                <w:color w:val="auto"/>
                <w:sz w:val="21"/>
                <w:szCs w:val="21"/>
                <w:highlight w:val="none"/>
              </w:rPr>
            </w:pPr>
            <w:r>
              <w:rPr>
                <w:rFonts w:hint="eastAsia"/>
                <w:i w:val="0"/>
                <w:iCs w:val="0"/>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1680867E">
            <w:pPr>
              <w:pStyle w:val="52"/>
              <w:jc w:val="center"/>
              <w:rPr>
                <w:i w:val="0"/>
                <w:iCs w:val="0"/>
                <w:color w:val="auto"/>
                <w:sz w:val="21"/>
                <w:szCs w:val="21"/>
                <w:highlight w:val="none"/>
              </w:rPr>
            </w:pPr>
            <w:r>
              <w:rPr>
                <w:rFonts w:hint="eastAsia"/>
                <w:i w:val="0"/>
                <w:iCs w:val="0"/>
                <w:color w:val="auto"/>
                <w:sz w:val="21"/>
                <w:szCs w:val="21"/>
                <w:highlight w:val="none"/>
              </w:rPr>
              <w:t>总价</w:t>
            </w:r>
          </w:p>
          <w:p w14:paraId="23E0A29D">
            <w:pPr>
              <w:pStyle w:val="52"/>
              <w:jc w:val="center"/>
              <w:rPr>
                <w:i w:val="0"/>
                <w:iCs w:val="0"/>
                <w:color w:val="auto"/>
                <w:sz w:val="21"/>
                <w:szCs w:val="21"/>
                <w:highlight w:val="none"/>
              </w:rPr>
            </w:pPr>
            <w:r>
              <w:rPr>
                <w:rFonts w:hint="eastAsia"/>
                <w:i w:val="0"/>
                <w:iCs w:val="0"/>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23356323">
            <w:pPr>
              <w:pStyle w:val="52"/>
              <w:jc w:val="center"/>
              <w:rPr>
                <w:i w:val="0"/>
                <w:iCs w:val="0"/>
                <w:color w:val="auto"/>
                <w:sz w:val="21"/>
                <w:szCs w:val="21"/>
                <w:highlight w:val="none"/>
              </w:rPr>
            </w:pPr>
            <w:r>
              <w:rPr>
                <w:rFonts w:hint="eastAsia"/>
                <w:i w:val="0"/>
                <w:iCs w:val="0"/>
                <w:color w:val="auto"/>
                <w:sz w:val="21"/>
                <w:szCs w:val="21"/>
                <w:highlight w:val="none"/>
              </w:rPr>
              <w:t>属强制采购或优先采购</w:t>
            </w:r>
          </w:p>
        </w:tc>
      </w:tr>
      <w:tr w14:paraId="74A6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180150D8">
            <w:pPr>
              <w:pStyle w:val="52"/>
              <w:numPr>
                <w:ilvl w:val="0"/>
                <w:numId w:val="4"/>
              </w:numPr>
              <w:jc w:val="center"/>
              <w:rPr>
                <w:i w:val="0"/>
                <w:iCs w:val="0"/>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5097A6E">
            <w:pPr>
              <w:pStyle w:val="52"/>
              <w:jc w:val="center"/>
              <w:rPr>
                <w:i w:val="0"/>
                <w:iCs w:val="0"/>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35D07BDB">
            <w:pPr>
              <w:pStyle w:val="52"/>
              <w:jc w:val="center"/>
              <w:rPr>
                <w:i w:val="0"/>
                <w:iCs w:val="0"/>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734BBFC">
            <w:pPr>
              <w:pStyle w:val="52"/>
              <w:jc w:val="center"/>
              <w:rPr>
                <w:i w:val="0"/>
                <w:iCs w:val="0"/>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42309CD4">
            <w:pPr>
              <w:pStyle w:val="52"/>
              <w:jc w:val="center"/>
              <w:rPr>
                <w:i w:val="0"/>
                <w:iCs w:val="0"/>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39CFDB86">
            <w:pPr>
              <w:pStyle w:val="52"/>
              <w:jc w:val="center"/>
              <w:rPr>
                <w:i w:val="0"/>
                <w:iCs w:val="0"/>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304778E7">
            <w:pPr>
              <w:pStyle w:val="52"/>
              <w:jc w:val="center"/>
              <w:rPr>
                <w:i w:val="0"/>
                <w:iCs w:val="0"/>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358D311B">
            <w:pPr>
              <w:pStyle w:val="52"/>
              <w:jc w:val="center"/>
              <w:rPr>
                <w:i w:val="0"/>
                <w:iCs w:val="0"/>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EB1543A">
            <w:pPr>
              <w:pStyle w:val="52"/>
              <w:jc w:val="center"/>
              <w:rPr>
                <w:i w:val="0"/>
                <w:iCs w:val="0"/>
                <w:color w:val="auto"/>
                <w:sz w:val="21"/>
                <w:szCs w:val="21"/>
                <w:highlight w:val="none"/>
              </w:rPr>
            </w:pPr>
          </w:p>
        </w:tc>
      </w:tr>
      <w:tr w14:paraId="74DE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7DACE650">
            <w:pPr>
              <w:pStyle w:val="52"/>
              <w:numPr>
                <w:ilvl w:val="0"/>
                <w:numId w:val="4"/>
              </w:numPr>
              <w:jc w:val="center"/>
              <w:rPr>
                <w:i w:val="0"/>
                <w:iCs w:val="0"/>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7EDE620">
            <w:pPr>
              <w:pStyle w:val="52"/>
              <w:jc w:val="center"/>
              <w:rPr>
                <w:i w:val="0"/>
                <w:iCs w:val="0"/>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71CDD3BE">
            <w:pPr>
              <w:pStyle w:val="52"/>
              <w:jc w:val="center"/>
              <w:rPr>
                <w:i w:val="0"/>
                <w:iCs w:val="0"/>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4EEAB400">
            <w:pPr>
              <w:pStyle w:val="52"/>
              <w:jc w:val="center"/>
              <w:rPr>
                <w:i w:val="0"/>
                <w:iCs w:val="0"/>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6A2C2926">
            <w:pPr>
              <w:pStyle w:val="52"/>
              <w:jc w:val="center"/>
              <w:rPr>
                <w:i w:val="0"/>
                <w:iCs w:val="0"/>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69B4D3DB">
            <w:pPr>
              <w:pStyle w:val="52"/>
              <w:jc w:val="center"/>
              <w:rPr>
                <w:i w:val="0"/>
                <w:iCs w:val="0"/>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6B1FEBFC">
            <w:pPr>
              <w:pStyle w:val="52"/>
              <w:jc w:val="center"/>
              <w:rPr>
                <w:i w:val="0"/>
                <w:iCs w:val="0"/>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69C95585">
            <w:pPr>
              <w:pStyle w:val="52"/>
              <w:jc w:val="center"/>
              <w:rPr>
                <w:i w:val="0"/>
                <w:iCs w:val="0"/>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2B3FB40C">
            <w:pPr>
              <w:pStyle w:val="52"/>
              <w:jc w:val="center"/>
              <w:rPr>
                <w:i w:val="0"/>
                <w:iCs w:val="0"/>
                <w:color w:val="auto"/>
                <w:sz w:val="21"/>
                <w:szCs w:val="21"/>
                <w:highlight w:val="none"/>
              </w:rPr>
            </w:pPr>
          </w:p>
        </w:tc>
      </w:tr>
      <w:tr w14:paraId="6B272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074810A1">
            <w:pPr>
              <w:pStyle w:val="52"/>
              <w:numPr>
                <w:ilvl w:val="0"/>
                <w:numId w:val="4"/>
              </w:numPr>
              <w:jc w:val="center"/>
              <w:rPr>
                <w:i w:val="0"/>
                <w:iCs w:val="0"/>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36415221">
            <w:pPr>
              <w:pStyle w:val="52"/>
              <w:jc w:val="center"/>
              <w:rPr>
                <w:i w:val="0"/>
                <w:iCs w:val="0"/>
                <w:color w:val="auto"/>
                <w:sz w:val="21"/>
                <w:szCs w:val="21"/>
                <w:highlight w:val="none"/>
              </w:rPr>
            </w:pPr>
            <w:r>
              <w:rPr>
                <w:i w:val="0"/>
                <w:iCs w:val="0"/>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29D8CD5E">
            <w:pPr>
              <w:pStyle w:val="52"/>
              <w:jc w:val="center"/>
              <w:rPr>
                <w:i w:val="0"/>
                <w:iCs w:val="0"/>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6C5D61F7">
            <w:pPr>
              <w:pStyle w:val="52"/>
              <w:jc w:val="center"/>
              <w:rPr>
                <w:i w:val="0"/>
                <w:iCs w:val="0"/>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74B4F304">
            <w:pPr>
              <w:pStyle w:val="52"/>
              <w:jc w:val="center"/>
              <w:rPr>
                <w:i w:val="0"/>
                <w:iCs w:val="0"/>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074063FE">
            <w:pPr>
              <w:pStyle w:val="52"/>
              <w:jc w:val="center"/>
              <w:rPr>
                <w:i w:val="0"/>
                <w:iCs w:val="0"/>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3A037419">
            <w:pPr>
              <w:pStyle w:val="52"/>
              <w:jc w:val="center"/>
              <w:rPr>
                <w:i w:val="0"/>
                <w:iCs w:val="0"/>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48A60167">
            <w:pPr>
              <w:pStyle w:val="52"/>
              <w:jc w:val="center"/>
              <w:rPr>
                <w:i w:val="0"/>
                <w:iCs w:val="0"/>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39C87CD6">
            <w:pPr>
              <w:pStyle w:val="52"/>
              <w:jc w:val="center"/>
              <w:rPr>
                <w:i w:val="0"/>
                <w:iCs w:val="0"/>
                <w:color w:val="auto"/>
                <w:sz w:val="21"/>
                <w:szCs w:val="21"/>
                <w:highlight w:val="none"/>
              </w:rPr>
            </w:pPr>
          </w:p>
        </w:tc>
      </w:tr>
    </w:tbl>
    <w:p w14:paraId="4F2768BB">
      <w:pPr>
        <w:spacing w:line="300" w:lineRule="auto"/>
        <w:rPr>
          <w:rFonts w:ascii="Arial" w:hAnsi="Arial" w:cs="Arial"/>
          <w:i w:val="0"/>
          <w:iCs w:val="0"/>
          <w:color w:val="auto"/>
          <w:szCs w:val="21"/>
          <w:highlight w:val="none"/>
        </w:rPr>
      </w:pPr>
    </w:p>
    <w:p w14:paraId="68854158">
      <w:pPr>
        <w:spacing w:line="300" w:lineRule="auto"/>
        <w:rPr>
          <w:rFonts w:hint="eastAsia"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2</w:t>
      </w:r>
      <w:r>
        <w:rPr>
          <w:rFonts w:hint="eastAsia" w:ascii="宋体" w:hAnsi="宋体" w:eastAsia="宋体" w:cs="宋体"/>
          <w:i w:val="0"/>
          <w:iCs w:val="0"/>
          <w:color w:val="auto"/>
          <w:szCs w:val="21"/>
          <w:highlight w:val="none"/>
          <w:lang w:eastAsia="zh-CN"/>
        </w:rPr>
        <w:t>、</w:t>
      </w:r>
      <w:r>
        <w:rPr>
          <w:rFonts w:hint="eastAsia" w:ascii="宋体" w:hAnsi="宋体" w:eastAsia="宋体" w:cs="宋体"/>
          <w:i w:val="0"/>
          <w:iCs w:val="0"/>
          <w:color w:val="auto"/>
          <w:szCs w:val="21"/>
          <w:highlight w:val="none"/>
        </w:rPr>
        <w:t>环保产品</w:t>
      </w:r>
    </w:p>
    <w:tbl>
      <w:tblPr>
        <w:tblStyle w:val="32"/>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74EE6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49104DE9">
            <w:pPr>
              <w:pStyle w:val="52"/>
              <w:jc w:val="center"/>
              <w:rPr>
                <w:i w:val="0"/>
                <w:iCs w:val="0"/>
                <w:color w:val="auto"/>
                <w:sz w:val="21"/>
                <w:szCs w:val="21"/>
                <w:highlight w:val="none"/>
              </w:rPr>
            </w:pPr>
            <w:r>
              <w:rPr>
                <w:rFonts w:hint="eastAsia"/>
                <w:i w:val="0"/>
                <w:iCs w:val="0"/>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1B68D74A">
            <w:pPr>
              <w:pStyle w:val="52"/>
              <w:jc w:val="center"/>
              <w:rPr>
                <w:i w:val="0"/>
                <w:iCs w:val="0"/>
                <w:color w:val="auto"/>
                <w:sz w:val="21"/>
                <w:szCs w:val="21"/>
                <w:highlight w:val="none"/>
              </w:rPr>
            </w:pPr>
            <w:r>
              <w:rPr>
                <w:rFonts w:hint="eastAsia"/>
                <w:i w:val="0"/>
                <w:iCs w:val="0"/>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386EA8FB">
            <w:pPr>
              <w:pStyle w:val="52"/>
              <w:jc w:val="center"/>
              <w:rPr>
                <w:i w:val="0"/>
                <w:iCs w:val="0"/>
                <w:color w:val="auto"/>
                <w:sz w:val="21"/>
                <w:szCs w:val="21"/>
                <w:highlight w:val="none"/>
              </w:rPr>
            </w:pPr>
            <w:r>
              <w:rPr>
                <w:rFonts w:hint="eastAsia"/>
                <w:i w:val="0"/>
                <w:iCs w:val="0"/>
                <w:color w:val="auto"/>
                <w:sz w:val="21"/>
                <w:szCs w:val="21"/>
                <w:highlight w:val="none"/>
              </w:rPr>
              <w:t>制造商</w:t>
            </w:r>
          </w:p>
          <w:p w14:paraId="4DA4F397">
            <w:pPr>
              <w:pStyle w:val="52"/>
              <w:jc w:val="center"/>
              <w:rPr>
                <w:i w:val="0"/>
                <w:iCs w:val="0"/>
                <w:color w:val="auto"/>
                <w:sz w:val="21"/>
                <w:szCs w:val="21"/>
                <w:highlight w:val="none"/>
              </w:rPr>
            </w:pPr>
            <w:r>
              <w:rPr>
                <w:rFonts w:hint="eastAsia"/>
                <w:i w:val="0"/>
                <w:iCs w:val="0"/>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68A5A5EE">
            <w:pPr>
              <w:pStyle w:val="52"/>
              <w:jc w:val="center"/>
              <w:rPr>
                <w:i w:val="0"/>
                <w:iCs w:val="0"/>
                <w:color w:val="auto"/>
                <w:sz w:val="21"/>
                <w:szCs w:val="21"/>
                <w:highlight w:val="none"/>
              </w:rPr>
            </w:pPr>
            <w:r>
              <w:rPr>
                <w:rFonts w:hint="eastAsia"/>
                <w:i w:val="0"/>
                <w:iCs w:val="0"/>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352E34BB">
            <w:pPr>
              <w:pStyle w:val="52"/>
              <w:jc w:val="center"/>
              <w:rPr>
                <w:i w:val="0"/>
                <w:iCs w:val="0"/>
                <w:color w:val="auto"/>
                <w:sz w:val="21"/>
                <w:szCs w:val="21"/>
                <w:highlight w:val="none"/>
              </w:rPr>
            </w:pPr>
            <w:r>
              <w:rPr>
                <w:rFonts w:hint="eastAsia"/>
                <w:i w:val="0"/>
                <w:iCs w:val="0"/>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34BDE930">
            <w:pPr>
              <w:pStyle w:val="52"/>
              <w:jc w:val="center"/>
              <w:rPr>
                <w:i w:val="0"/>
                <w:iCs w:val="0"/>
                <w:color w:val="auto"/>
                <w:sz w:val="21"/>
                <w:szCs w:val="21"/>
                <w:highlight w:val="none"/>
              </w:rPr>
            </w:pPr>
            <w:r>
              <w:rPr>
                <w:rFonts w:hint="eastAsia"/>
                <w:i w:val="0"/>
                <w:iCs w:val="0"/>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1C8CD08E">
            <w:pPr>
              <w:pStyle w:val="52"/>
              <w:jc w:val="center"/>
              <w:rPr>
                <w:i w:val="0"/>
                <w:iCs w:val="0"/>
                <w:color w:val="auto"/>
                <w:sz w:val="21"/>
                <w:szCs w:val="21"/>
                <w:highlight w:val="none"/>
              </w:rPr>
            </w:pPr>
            <w:r>
              <w:rPr>
                <w:rFonts w:hint="eastAsia"/>
                <w:i w:val="0"/>
                <w:iCs w:val="0"/>
                <w:color w:val="auto"/>
                <w:sz w:val="21"/>
                <w:szCs w:val="21"/>
                <w:highlight w:val="none"/>
              </w:rPr>
              <w:t>单价</w:t>
            </w:r>
          </w:p>
          <w:p w14:paraId="569505D3">
            <w:pPr>
              <w:pStyle w:val="52"/>
              <w:jc w:val="center"/>
              <w:rPr>
                <w:i w:val="0"/>
                <w:iCs w:val="0"/>
                <w:color w:val="auto"/>
                <w:sz w:val="21"/>
                <w:szCs w:val="21"/>
                <w:highlight w:val="none"/>
              </w:rPr>
            </w:pPr>
            <w:r>
              <w:rPr>
                <w:rFonts w:hint="eastAsia"/>
                <w:i w:val="0"/>
                <w:iCs w:val="0"/>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5EE59CCB">
            <w:pPr>
              <w:pStyle w:val="52"/>
              <w:jc w:val="center"/>
              <w:rPr>
                <w:i w:val="0"/>
                <w:iCs w:val="0"/>
                <w:color w:val="auto"/>
                <w:sz w:val="21"/>
                <w:szCs w:val="21"/>
                <w:highlight w:val="none"/>
              </w:rPr>
            </w:pPr>
            <w:r>
              <w:rPr>
                <w:rFonts w:hint="eastAsia"/>
                <w:i w:val="0"/>
                <w:iCs w:val="0"/>
                <w:color w:val="auto"/>
                <w:sz w:val="21"/>
                <w:szCs w:val="21"/>
                <w:highlight w:val="none"/>
              </w:rPr>
              <w:t>总价</w:t>
            </w:r>
          </w:p>
          <w:p w14:paraId="6A32D5F7">
            <w:pPr>
              <w:pStyle w:val="52"/>
              <w:jc w:val="center"/>
              <w:rPr>
                <w:i w:val="0"/>
                <w:iCs w:val="0"/>
                <w:color w:val="auto"/>
                <w:sz w:val="21"/>
                <w:szCs w:val="21"/>
                <w:highlight w:val="none"/>
              </w:rPr>
            </w:pPr>
            <w:r>
              <w:rPr>
                <w:rFonts w:hint="eastAsia"/>
                <w:i w:val="0"/>
                <w:iCs w:val="0"/>
                <w:color w:val="auto"/>
                <w:sz w:val="21"/>
                <w:szCs w:val="21"/>
                <w:highlight w:val="none"/>
              </w:rPr>
              <w:t>（万元）</w:t>
            </w:r>
          </w:p>
        </w:tc>
      </w:tr>
      <w:tr w14:paraId="6AC0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4AD7687">
            <w:pPr>
              <w:pStyle w:val="52"/>
              <w:numPr>
                <w:ilvl w:val="0"/>
                <w:numId w:val="5"/>
              </w:numPr>
              <w:jc w:val="center"/>
              <w:rPr>
                <w:i w:val="0"/>
                <w:iCs w:val="0"/>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42482162">
            <w:pPr>
              <w:pStyle w:val="52"/>
              <w:jc w:val="center"/>
              <w:rPr>
                <w:i w:val="0"/>
                <w:iCs w:val="0"/>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1B980806">
            <w:pPr>
              <w:pStyle w:val="52"/>
              <w:jc w:val="center"/>
              <w:rPr>
                <w:i w:val="0"/>
                <w:iCs w:val="0"/>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AA0B412">
            <w:pPr>
              <w:pStyle w:val="52"/>
              <w:jc w:val="center"/>
              <w:rPr>
                <w:i w:val="0"/>
                <w:iCs w:val="0"/>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639AB31">
            <w:pPr>
              <w:pStyle w:val="52"/>
              <w:jc w:val="center"/>
              <w:rPr>
                <w:i w:val="0"/>
                <w:iCs w:val="0"/>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048B38AE">
            <w:pPr>
              <w:pStyle w:val="52"/>
              <w:jc w:val="center"/>
              <w:rPr>
                <w:i w:val="0"/>
                <w:iCs w:val="0"/>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6FC8C535">
            <w:pPr>
              <w:pStyle w:val="52"/>
              <w:jc w:val="center"/>
              <w:rPr>
                <w:i w:val="0"/>
                <w:iCs w:val="0"/>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0CD0CD95">
            <w:pPr>
              <w:pStyle w:val="52"/>
              <w:jc w:val="center"/>
              <w:rPr>
                <w:i w:val="0"/>
                <w:iCs w:val="0"/>
                <w:color w:val="auto"/>
                <w:sz w:val="21"/>
                <w:szCs w:val="21"/>
                <w:highlight w:val="none"/>
              </w:rPr>
            </w:pPr>
          </w:p>
        </w:tc>
      </w:tr>
      <w:tr w14:paraId="3BE73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1D2286C2">
            <w:pPr>
              <w:pStyle w:val="52"/>
              <w:numPr>
                <w:ilvl w:val="0"/>
                <w:numId w:val="5"/>
              </w:numPr>
              <w:jc w:val="center"/>
              <w:rPr>
                <w:i w:val="0"/>
                <w:iCs w:val="0"/>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005DBBC5">
            <w:pPr>
              <w:pStyle w:val="52"/>
              <w:jc w:val="center"/>
              <w:rPr>
                <w:i w:val="0"/>
                <w:iCs w:val="0"/>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2ACD378C">
            <w:pPr>
              <w:pStyle w:val="52"/>
              <w:jc w:val="center"/>
              <w:rPr>
                <w:i w:val="0"/>
                <w:iCs w:val="0"/>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6AB0490">
            <w:pPr>
              <w:pStyle w:val="52"/>
              <w:jc w:val="center"/>
              <w:rPr>
                <w:i w:val="0"/>
                <w:iCs w:val="0"/>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1D255A3C">
            <w:pPr>
              <w:pStyle w:val="52"/>
              <w:jc w:val="center"/>
              <w:rPr>
                <w:i w:val="0"/>
                <w:iCs w:val="0"/>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69B85CD0">
            <w:pPr>
              <w:pStyle w:val="52"/>
              <w:jc w:val="center"/>
              <w:rPr>
                <w:i w:val="0"/>
                <w:iCs w:val="0"/>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44D75919">
            <w:pPr>
              <w:pStyle w:val="52"/>
              <w:jc w:val="center"/>
              <w:rPr>
                <w:i w:val="0"/>
                <w:iCs w:val="0"/>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23E9BEB2">
            <w:pPr>
              <w:pStyle w:val="52"/>
              <w:jc w:val="center"/>
              <w:rPr>
                <w:i w:val="0"/>
                <w:iCs w:val="0"/>
                <w:color w:val="auto"/>
                <w:sz w:val="21"/>
                <w:szCs w:val="21"/>
                <w:highlight w:val="none"/>
              </w:rPr>
            </w:pPr>
          </w:p>
        </w:tc>
      </w:tr>
      <w:tr w14:paraId="23BAB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4E61A215">
            <w:pPr>
              <w:pStyle w:val="52"/>
              <w:numPr>
                <w:ilvl w:val="0"/>
                <w:numId w:val="5"/>
              </w:numPr>
              <w:jc w:val="center"/>
              <w:rPr>
                <w:i w:val="0"/>
                <w:iCs w:val="0"/>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41185C1F">
            <w:pPr>
              <w:pStyle w:val="52"/>
              <w:jc w:val="center"/>
              <w:rPr>
                <w:i w:val="0"/>
                <w:iCs w:val="0"/>
                <w:color w:val="auto"/>
                <w:sz w:val="21"/>
                <w:szCs w:val="21"/>
                <w:highlight w:val="none"/>
              </w:rPr>
            </w:pPr>
            <w:r>
              <w:rPr>
                <w:i w:val="0"/>
                <w:iCs w:val="0"/>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42C7102F">
            <w:pPr>
              <w:pStyle w:val="52"/>
              <w:jc w:val="center"/>
              <w:rPr>
                <w:i w:val="0"/>
                <w:iCs w:val="0"/>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6CF0B56">
            <w:pPr>
              <w:pStyle w:val="52"/>
              <w:jc w:val="center"/>
              <w:rPr>
                <w:i w:val="0"/>
                <w:iCs w:val="0"/>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3BFF0601">
            <w:pPr>
              <w:pStyle w:val="52"/>
              <w:jc w:val="center"/>
              <w:rPr>
                <w:i w:val="0"/>
                <w:iCs w:val="0"/>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0A9B9A0B">
            <w:pPr>
              <w:pStyle w:val="52"/>
              <w:jc w:val="center"/>
              <w:rPr>
                <w:i w:val="0"/>
                <w:iCs w:val="0"/>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457879B5">
            <w:pPr>
              <w:pStyle w:val="52"/>
              <w:jc w:val="center"/>
              <w:rPr>
                <w:i w:val="0"/>
                <w:iCs w:val="0"/>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7BA08B94">
            <w:pPr>
              <w:pStyle w:val="52"/>
              <w:jc w:val="center"/>
              <w:rPr>
                <w:i w:val="0"/>
                <w:iCs w:val="0"/>
                <w:color w:val="auto"/>
                <w:sz w:val="21"/>
                <w:szCs w:val="21"/>
                <w:highlight w:val="none"/>
              </w:rPr>
            </w:pPr>
          </w:p>
        </w:tc>
      </w:tr>
    </w:tbl>
    <w:p w14:paraId="5436B490">
      <w:pPr>
        <w:spacing w:line="300" w:lineRule="auto"/>
        <w:rPr>
          <w:rFonts w:ascii="Arial" w:hAnsi="Arial" w:cs="Arial"/>
          <w:i w:val="0"/>
          <w:iCs w:val="0"/>
          <w:color w:val="auto"/>
          <w:szCs w:val="21"/>
          <w:highlight w:val="none"/>
        </w:rPr>
      </w:pPr>
    </w:p>
    <w:p w14:paraId="011EA8A5">
      <w:pPr>
        <w:rPr>
          <w:rFonts w:ascii="Arial" w:hAnsi="Arial" w:cs="Arial"/>
          <w:b/>
          <w:i w:val="0"/>
          <w:iCs w:val="0"/>
          <w:color w:val="auto"/>
          <w:szCs w:val="21"/>
          <w:highlight w:val="none"/>
        </w:rPr>
      </w:pPr>
      <w:r>
        <w:rPr>
          <w:rFonts w:hint="eastAsia" w:ascii="Arial" w:hAnsi="Arial" w:cs="Arial"/>
          <w:b/>
          <w:i w:val="0"/>
          <w:iCs w:val="0"/>
          <w:color w:val="auto"/>
          <w:sz w:val="21"/>
          <w:szCs w:val="21"/>
          <w:highlight w:val="none"/>
        </w:rPr>
        <w:t>特别说明：</w:t>
      </w:r>
      <w:r>
        <w:rPr>
          <w:rFonts w:hint="eastAsia" w:ascii="Arial" w:hAnsi="Arial" w:cs="Arial"/>
          <w:b/>
          <w:i w:val="0"/>
          <w:iCs w:val="0"/>
          <w:color w:val="auto"/>
          <w:sz w:val="21"/>
          <w:szCs w:val="21"/>
          <w:highlight w:val="none"/>
          <w:lang w:val="en-US" w:eastAsia="zh-CN"/>
        </w:rPr>
        <w:t>供应商</w:t>
      </w:r>
      <w:r>
        <w:rPr>
          <w:rFonts w:hint="eastAsia" w:ascii="Arial" w:hAnsi="Arial" w:cs="Arial"/>
          <w:b/>
          <w:i w:val="0"/>
          <w:iCs w:val="0"/>
          <w:color w:val="auto"/>
          <w:sz w:val="21"/>
          <w:szCs w:val="21"/>
          <w:highlight w:val="none"/>
        </w:rPr>
        <w:t>应将所投产品中节能、环保产品分别列入上表中，并按本</w:t>
      </w:r>
      <w:r>
        <w:rPr>
          <w:rFonts w:hint="eastAsia" w:ascii="Arial" w:hAnsi="Arial" w:cs="Arial"/>
          <w:b/>
          <w:i w:val="0"/>
          <w:iCs w:val="0"/>
          <w:color w:val="auto"/>
          <w:sz w:val="21"/>
          <w:szCs w:val="21"/>
          <w:highlight w:val="none"/>
          <w:lang w:val="en-US" w:eastAsia="zh-CN"/>
        </w:rPr>
        <w:t>竞争性磋商</w:t>
      </w:r>
      <w:r>
        <w:rPr>
          <w:rFonts w:hint="eastAsia" w:ascii="Arial" w:hAnsi="Arial" w:cs="Arial"/>
          <w:b/>
          <w:i w:val="0"/>
          <w:iCs w:val="0"/>
          <w:color w:val="auto"/>
          <w:sz w:val="21"/>
          <w:szCs w:val="21"/>
          <w:highlight w:val="none"/>
        </w:rPr>
        <w:t>文件</w:t>
      </w:r>
      <w:r>
        <w:rPr>
          <w:rFonts w:hint="eastAsia" w:ascii="Arial" w:hAnsi="Arial" w:eastAsia="宋体" w:cs="Arial"/>
          <w:b/>
          <w:i w:val="0"/>
          <w:iCs w:val="0"/>
          <w:color w:val="auto"/>
          <w:sz w:val="21"/>
          <w:szCs w:val="21"/>
          <w:highlight w:val="none"/>
          <w:lang w:val="en-US" w:eastAsia="zh-CN"/>
        </w:rPr>
        <w:t>“</w:t>
      </w:r>
      <w:r>
        <w:rPr>
          <w:rFonts w:hint="eastAsia" w:ascii="Arial" w:hAnsi="Arial" w:eastAsia="宋体" w:cs="Arial"/>
          <w:b/>
          <w:i w:val="0"/>
          <w:iCs w:val="0"/>
          <w:color w:val="auto"/>
          <w:sz w:val="21"/>
          <w:szCs w:val="21"/>
          <w:highlight w:val="none"/>
        </w:rPr>
        <w:t>第二章</w:t>
      </w:r>
      <w:r>
        <w:rPr>
          <w:rFonts w:hint="eastAsia" w:ascii="Arial" w:hAnsi="Arial" w:eastAsia="宋体" w:cs="Arial"/>
          <w:b/>
          <w:i w:val="0"/>
          <w:iCs w:val="0"/>
          <w:color w:val="auto"/>
          <w:sz w:val="21"/>
          <w:szCs w:val="21"/>
          <w:highlight w:val="none"/>
          <w:lang w:val="en-US" w:eastAsia="zh-CN"/>
        </w:rPr>
        <w:t>供应商须知”</w:t>
      </w:r>
      <w:r>
        <w:rPr>
          <w:rFonts w:hint="eastAsia" w:ascii="Arial" w:hAnsi="Arial" w:eastAsia="宋体" w:cs="Arial"/>
          <w:b/>
          <w:i w:val="0"/>
          <w:iCs w:val="0"/>
          <w:color w:val="auto"/>
          <w:sz w:val="21"/>
          <w:szCs w:val="21"/>
          <w:highlight w:val="none"/>
        </w:rPr>
        <w:t>提</w:t>
      </w:r>
      <w:r>
        <w:rPr>
          <w:rFonts w:hint="eastAsia" w:ascii="Arial" w:hAnsi="Arial" w:cs="Arial"/>
          <w:b/>
          <w:i w:val="0"/>
          <w:iCs w:val="0"/>
          <w:color w:val="auto"/>
          <w:sz w:val="21"/>
          <w:szCs w:val="21"/>
          <w:highlight w:val="none"/>
        </w:rPr>
        <w:t>供相关证明材料，未填写本表或未提供有效认证证书</w:t>
      </w:r>
      <w:r>
        <w:rPr>
          <w:rFonts w:ascii="Arial" w:hAnsi="Arial" w:cs="Arial"/>
          <w:b/>
          <w:i w:val="0"/>
          <w:iCs w:val="0"/>
          <w:color w:val="auto"/>
          <w:sz w:val="21"/>
          <w:szCs w:val="21"/>
          <w:highlight w:val="none"/>
        </w:rPr>
        <w:t>的</w:t>
      </w:r>
      <w:r>
        <w:rPr>
          <w:rFonts w:hint="eastAsia" w:ascii="Arial" w:hAnsi="Arial" w:cs="Arial"/>
          <w:b/>
          <w:i w:val="0"/>
          <w:iCs w:val="0"/>
          <w:color w:val="auto"/>
          <w:sz w:val="21"/>
          <w:szCs w:val="21"/>
          <w:highlight w:val="none"/>
        </w:rPr>
        <w:t>不给予</w:t>
      </w:r>
      <w:r>
        <w:rPr>
          <w:rFonts w:ascii="Arial" w:hAnsi="Arial" w:cs="Arial"/>
          <w:b/>
          <w:i w:val="0"/>
          <w:iCs w:val="0"/>
          <w:color w:val="auto"/>
          <w:sz w:val="21"/>
          <w:szCs w:val="21"/>
          <w:highlight w:val="none"/>
        </w:rPr>
        <w:t>价格扣除</w:t>
      </w:r>
      <w:r>
        <w:rPr>
          <w:rFonts w:hint="eastAsia" w:ascii="Arial" w:hAnsi="Arial" w:cs="Arial"/>
          <w:b/>
          <w:i w:val="0"/>
          <w:iCs w:val="0"/>
          <w:color w:val="auto"/>
          <w:sz w:val="21"/>
          <w:szCs w:val="21"/>
          <w:highlight w:val="none"/>
        </w:rPr>
        <w:t>。</w:t>
      </w:r>
    </w:p>
    <w:p w14:paraId="424ED3E0">
      <w:pPr>
        <w:spacing w:line="300" w:lineRule="auto"/>
        <w:rPr>
          <w:rFonts w:ascii="Arial" w:hAnsi="Arial" w:cs="Arial"/>
          <w:i w:val="0"/>
          <w:iCs w:val="0"/>
          <w:color w:val="auto"/>
          <w:szCs w:val="21"/>
          <w:highlight w:val="none"/>
        </w:rPr>
      </w:pPr>
    </w:p>
    <w:p w14:paraId="0212EA8F">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1D2F85F6">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345DFCC9">
      <w:pPr>
        <w:rPr>
          <w:rFonts w:ascii="Arial" w:hAnsi="Arial" w:cs="Arial"/>
          <w:i w:val="0"/>
          <w:iCs w:val="0"/>
          <w:color w:val="auto"/>
          <w:szCs w:val="21"/>
          <w:highlight w:val="none"/>
        </w:rPr>
      </w:pPr>
      <w:r>
        <w:rPr>
          <w:rFonts w:ascii="Arial" w:hAnsi="Arial" w:cs="Arial"/>
          <w:i w:val="0"/>
          <w:iCs w:val="0"/>
          <w:color w:val="auto"/>
          <w:szCs w:val="21"/>
          <w:highlight w:val="none"/>
        </w:rPr>
        <w:br w:type="page"/>
      </w:r>
    </w:p>
    <w:p w14:paraId="79D2BBFA">
      <w:pPr>
        <w:pStyle w:val="6"/>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eastAsia="宋体" w:cstheme="minorBidi"/>
          <w:b/>
          <w:bCs/>
          <w:i w:val="0"/>
          <w:iCs w:val="0"/>
          <w:color w:val="auto"/>
          <w:kern w:val="2"/>
          <w:sz w:val="24"/>
          <w:szCs w:val="24"/>
          <w:highlight w:val="none"/>
          <w:lang w:val="en-US" w:eastAsia="zh-CN" w:bidi="ar-SA"/>
        </w:rPr>
      </w:pPr>
      <w:bookmarkStart w:id="518" w:name="_Toc163492939"/>
      <w:bookmarkStart w:id="519" w:name="_Toc27847"/>
      <w:r>
        <w:rPr>
          <w:rFonts w:hint="eastAsia" w:ascii="宋体" w:hAnsi="宋体" w:eastAsia="宋体" w:cstheme="minorBidi"/>
          <w:b/>
          <w:bCs/>
          <w:i w:val="0"/>
          <w:iCs w:val="0"/>
          <w:color w:val="auto"/>
          <w:kern w:val="2"/>
          <w:sz w:val="24"/>
          <w:szCs w:val="24"/>
          <w:highlight w:val="none"/>
          <w:lang w:val="en-US" w:eastAsia="zh-CN" w:bidi="ar-SA"/>
        </w:rPr>
        <w:t>（二）中小企业声明函</w:t>
      </w:r>
      <w:r>
        <w:rPr>
          <w:rFonts w:hint="eastAsia" w:ascii="宋体" w:hAnsi="宋体" w:eastAsia="宋体" w:cstheme="minorBidi"/>
          <w:b w:val="0"/>
          <w:bCs w:val="0"/>
          <w:i w:val="0"/>
          <w:iCs w:val="0"/>
          <w:color w:val="auto"/>
          <w:kern w:val="2"/>
          <w:sz w:val="24"/>
          <w:szCs w:val="24"/>
          <w:highlight w:val="none"/>
          <w:lang w:val="en-US" w:eastAsia="zh-CN" w:bidi="ar-SA"/>
        </w:rPr>
        <w:t>【</w:t>
      </w:r>
      <w:r>
        <w:rPr>
          <w:rFonts w:hint="eastAsia" w:cstheme="minorBidi"/>
          <w:b w:val="0"/>
          <w:bCs w:val="0"/>
          <w:i w:val="0"/>
          <w:iCs w:val="0"/>
          <w:color w:val="auto"/>
          <w:kern w:val="2"/>
          <w:sz w:val="24"/>
          <w:szCs w:val="24"/>
          <w:highlight w:val="none"/>
          <w:lang w:val="en-US" w:eastAsia="zh-CN" w:bidi="ar-SA"/>
        </w:rPr>
        <w:t>如专门面向中小企业采购的项目，此函可放于此处，否则，应后置于“其他资格证明文件”</w:t>
      </w:r>
      <w:r>
        <w:rPr>
          <w:rFonts w:hint="eastAsia" w:ascii="宋体" w:hAnsi="宋体" w:eastAsia="宋体" w:cstheme="minorBidi"/>
          <w:b w:val="0"/>
          <w:bCs w:val="0"/>
          <w:i w:val="0"/>
          <w:iCs w:val="0"/>
          <w:color w:val="auto"/>
          <w:kern w:val="2"/>
          <w:sz w:val="24"/>
          <w:szCs w:val="24"/>
          <w:highlight w:val="none"/>
          <w:lang w:val="en-US" w:eastAsia="zh-CN" w:bidi="ar-SA"/>
        </w:rPr>
        <w:t>】</w:t>
      </w:r>
      <w:bookmarkEnd w:id="518"/>
      <w:bookmarkEnd w:id="519"/>
    </w:p>
    <w:p w14:paraId="50A170A9">
      <w:pPr>
        <w:pStyle w:val="45"/>
        <w:keepNext w:val="0"/>
        <w:keepLines w:val="0"/>
        <w:pageBreakBefore w:val="0"/>
        <w:widowControl w:val="0"/>
        <w:numPr>
          <w:ilvl w:val="0"/>
          <w:numId w:val="0"/>
        </w:numP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i w:val="0"/>
          <w:iCs w:val="0"/>
          <w:color w:val="auto"/>
          <w:sz w:val="32"/>
          <w:szCs w:val="32"/>
          <w:highlight w:val="none"/>
        </w:rPr>
      </w:pPr>
    </w:p>
    <w:p w14:paraId="5B7ED196">
      <w:pPr>
        <w:pStyle w:val="45"/>
        <w:numPr>
          <w:ilvl w:val="0"/>
          <w:numId w:val="0"/>
        </w:numPr>
        <w:ind w:left="420" w:leftChars="0" w:hanging="420" w:firstLineChars="0"/>
        <w:jc w:val="center"/>
        <w:rPr>
          <w:b/>
          <w:bCs/>
          <w:i w:val="0"/>
          <w:iCs w:val="0"/>
          <w:color w:val="auto"/>
          <w:sz w:val="32"/>
          <w:szCs w:val="32"/>
          <w:highlight w:val="none"/>
        </w:rPr>
      </w:pPr>
      <w:r>
        <w:rPr>
          <w:rFonts w:hint="eastAsia"/>
          <w:b/>
          <w:bCs/>
          <w:i w:val="0"/>
          <w:iCs w:val="0"/>
          <w:color w:val="auto"/>
          <w:sz w:val="32"/>
          <w:szCs w:val="32"/>
          <w:highlight w:val="none"/>
        </w:rPr>
        <w:t>中小企业声明函</w:t>
      </w:r>
    </w:p>
    <w:p w14:paraId="02613900">
      <w:pPr>
        <w:ind w:firstLine="504" w:firstLineChars="200"/>
        <w:rPr>
          <w:rFonts w:cs="宋体"/>
          <w:i w:val="0"/>
          <w:iCs w:val="0"/>
          <w:color w:val="auto"/>
          <w:spacing w:val="6"/>
          <w:szCs w:val="24"/>
          <w:highlight w:val="none"/>
        </w:rPr>
      </w:pPr>
      <w:r>
        <w:rPr>
          <w:rFonts w:hint="eastAsia" w:cs="宋体"/>
          <w:i w:val="0"/>
          <w:iCs w:val="0"/>
          <w:color w:val="auto"/>
          <w:spacing w:val="6"/>
          <w:szCs w:val="24"/>
          <w:highlight w:val="none"/>
        </w:rPr>
        <w:t>本公司（联合体）郑重声明，根据《政府采购促进中小企业发展管理办法》（财库﹝2020﹞46 号）的规定，本公司（联合体）参加</w:t>
      </w:r>
      <w:r>
        <w:rPr>
          <w:rFonts w:hint="eastAsia" w:cs="宋体"/>
          <w:i w:val="0"/>
          <w:iCs w:val="0"/>
          <w:color w:val="auto"/>
          <w:spacing w:val="6"/>
          <w:szCs w:val="24"/>
          <w:highlight w:val="none"/>
          <w:u w:val="single"/>
        </w:rPr>
        <w:t xml:space="preserve"> （单位名称）</w:t>
      </w:r>
      <w:r>
        <w:rPr>
          <w:rFonts w:hint="eastAsia" w:cs="宋体"/>
          <w:i w:val="0"/>
          <w:iCs w:val="0"/>
          <w:color w:val="auto"/>
          <w:spacing w:val="6"/>
          <w:szCs w:val="24"/>
          <w:highlight w:val="none"/>
          <w:u w:val="single"/>
          <w:lang w:val="en-US" w:eastAsia="zh-CN"/>
        </w:rPr>
        <w:t xml:space="preserve"> </w:t>
      </w:r>
      <w:r>
        <w:rPr>
          <w:rFonts w:hint="eastAsia" w:cs="宋体"/>
          <w:i w:val="0"/>
          <w:iCs w:val="0"/>
          <w:color w:val="auto"/>
          <w:spacing w:val="6"/>
          <w:szCs w:val="24"/>
          <w:highlight w:val="none"/>
          <w:u w:val="single"/>
        </w:rPr>
        <w:t xml:space="preserve"> </w:t>
      </w:r>
      <w:r>
        <w:rPr>
          <w:rFonts w:hint="eastAsia" w:cs="宋体"/>
          <w:i w:val="0"/>
          <w:iCs w:val="0"/>
          <w:color w:val="auto"/>
          <w:spacing w:val="6"/>
          <w:szCs w:val="24"/>
          <w:highlight w:val="none"/>
        </w:rPr>
        <w:t xml:space="preserve">的 </w:t>
      </w:r>
      <w:r>
        <w:rPr>
          <w:rFonts w:hint="eastAsia" w:cs="宋体"/>
          <w:i w:val="0"/>
          <w:iCs w:val="0"/>
          <w:color w:val="auto"/>
          <w:spacing w:val="6"/>
          <w:szCs w:val="24"/>
          <w:highlight w:val="none"/>
          <w:u w:val="single"/>
        </w:rPr>
        <w:t xml:space="preserve">（项目名称） </w:t>
      </w:r>
      <w:r>
        <w:rPr>
          <w:rFonts w:hint="eastAsia" w:cs="宋体"/>
          <w:i w:val="0"/>
          <w:iCs w:val="0"/>
          <w:color w:val="auto"/>
          <w:spacing w:val="6"/>
          <w:szCs w:val="24"/>
          <w:highlight w:val="none"/>
        </w:rPr>
        <w:t>采购活动，服务全部由符合政策要求的中小企业承接。相关企业（含联合体中的中小企业、签订分包意向协议</w:t>
      </w:r>
      <w:r>
        <w:rPr>
          <w:rFonts w:hint="eastAsia" w:cs="宋体"/>
          <w:i w:val="0"/>
          <w:iCs w:val="0"/>
          <w:color w:val="auto"/>
          <w:spacing w:val="6"/>
          <w:szCs w:val="24"/>
          <w:highlight w:val="none"/>
          <w:lang w:val="en-US" w:eastAsia="zh-CN"/>
        </w:rPr>
        <w:t>书</w:t>
      </w:r>
      <w:r>
        <w:rPr>
          <w:rFonts w:hint="eastAsia" w:cs="宋体"/>
          <w:i w:val="0"/>
          <w:iCs w:val="0"/>
          <w:color w:val="auto"/>
          <w:spacing w:val="6"/>
          <w:szCs w:val="24"/>
          <w:highlight w:val="none"/>
        </w:rPr>
        <w:t>的中小企业）的具体情况如下：</w:t>
      </w:r>
    </w:p>
    <w:p w14:paraId="7D7C0AD4">
      <w:pPr>
        <w:ind w:firstLine="504" w:firstLineChars="200"/>
        <w:rPr>
          <w:rFonts w:cs="宋体"/>
          <w:i w:val="0"/>
          <w:iCs w:val="0"/>
          <w:color w:val="auto"/>
          <w:spacing w:val="6"/>
          <w:szCs w:val="24"/>
          <w:highlight w:val="none"/>
        </w:rPr>
      </w:pPr>
      <w:r>
        <w:rPr>
          <w:rFonts w:hint="eastAsia" w:cs="宋体"/>
          <w:i w:val="0"/>
          <w:iCs w:val="0"/>
          <w:color w:val="auto"/>
          <w:spacing w:val="6"/>
          <w:szCs w:val="24"/>
          <w:highlight w:val="none"/>
        </w:rPr>
        <w:t>1.</w:t>
      </w:r>
      <w:r>
        <w:rPr>
          <w:rFonts w:hint="eastAsia" w:cs="宋体"/>
          <w:i w:val="0"/>
          <w:iCs w:val="0"/>
          <w:color w:val="auto"/>
          <w:spacing w:val="6"/>
          <w:szCs w:val="24"/>
          <w:highlight w:val="none"/>
          <w:u w:val="single"/>
        </w:rPr>
        <w:t xml:space="preserve"> （标的名称） </w:t>
      </w:r>
      <w:r>
        <w:rPr>
          <w:rFonts w:hint="eastAsia" w:cs="宋体"/>
          <w:i w:val="0"/>
          <w:iCs w:val="0"/>
          <w:color w:val="auto"/>
          <w:spacing w:val="6"/>
          <w:szCs w:val="24"/>
          <w:highlight w:val="none"/>
        </w:rPr>
        <w:t>，属于</w:t>
      </w:r>
      <w:r>
        <w:rPr>
          <w:rFonts w:hint="eastAsia" w:cs="宋体"/>
          <w:i w:val="0"/>
          <w:iCs w:val="0"/>
          <w:color w:val="auto"/>
          <w:spacing w:val="6"/>
          <w:szCs w:val="24"/>
          <w:highlight w:val="none"/>
          <w:u w:val="single"/>
        </w:rPr>
        <w:t xml:space="preserve"> </w:t>
      </w:r>
      <w:r>
        <w:rPr>
          <w:rFonts w:hint="eastAsia" w:cs="宋体"/>
          <w:color w:val="auto"/>
          <w:spacing w:val="6"/>
          <w:szCs w:val="24"/>
          <w:highlight w:val="none"/>
          <w:u w:val="single"/>
        </w:rPr>
        <w:t xml:space="preserve"> </w:t>
      </w:r>
      <w:r>
        <w:rPr>
          <w:rStyle w:val="35"/>
          <w:rFonts w:hint="eastAsia" w:cs="宋体"/>
          <w:b w:val="0"/>
          <w:bCs w:val="0"/>
          <w:color w:val="auto"/>
          <w:szCs w:val="24"/>
          <w:highlight w:val="none"/>
          <w:u w:val="single"/>
          <w:lang w:eastAsia="zh-CN"/>
        </w:rPr>
        <w:t>（</w:t>
      </w:r>
      <w:r>
        <w:rPr>
          <w:rStyle w:val="35"/>
          <w:rFonts w:hint="eastAsia" w:cs="宋体"/>
          <w:b w:val="0"/>
          <w:bCs w:val="0"/>
          <w:color w:val="auto"/>
          <w:szCs w:val="24"/>
          <w:highlight w:val="none"/>
          <w:u w:val="single"/>
          <w:lang w:val="en-US" w:eastAsia="zh-CN"/>
        </w:rPr>
        <w:t>采购文件标明</w:t>
      </w:r>
      <w:r>
        <w:rPr>
          <w:rStyle w:val="35"/>
          <w:rFonts w:hint="eastAsia" w:cs="宋体"/>
          <w:b w:val="0"/>
          <w:bCs w:val="0"/>
          <w:color w:val="auto"/>
          <w:szCs w:val="24"/>
          <w:highlight w:val="none"/>
          <w:u w:val="single"/>
          <w:lang w:eastAsia="zh-CN"/>
        </w:rPr>
        <w:t>）</w:t>
      </w:r>
      <w:r>
        <w:rPr>
          <w:rStyle w:val="35"/>
          <w:rFonts w:hint="eastAsia" w:cs="宋体"/>
          <w:b w:val="0"/>
          <w:bCs w:val="0"/>
          <w:color w:val="auto"/>
          <w:szCs w:val="24"/>
          <w:highlight w:val="none"/>
          <w:u w:val="single"/>
          <w:lang w:val="en-US" w:eastAsia="zh-CN"/>
        </w:rPr>
        <w:t xml:space="preserve"> </w:t>
      </w:r>
      <w:r>
        <w:rPr>
          <w:rFonts w:hint="eastAsia" w:cs="宋体"/>
          <w:i w:val="0"/>
          <w:iCs w:val="0"/>
          <w:color w:val="auto"/>
          <w:spacing w:val="6"/>
          <w:szCs w:val="24"/>
          <w:highlight w:val="none"/>
        </w:rPr>
        <w:t>行业 ；承接企业为</w:t>
      </w:r>
      <w:r>
        <w:rPr>
          <w:rFonts w:hint="eastAsia" w:cs="宋体"/>
          <w:i w:val="0"/>
          <w:iCs w:val="0"/>
          <w:color w:val="auto"/>
          <w:spacing w:val="6"/>
          <w:szCs w:val="24"/>
          <w:highlight w:val="none"/>
          <w:u w:val="single"/>
        </w:rPr>
        <w:t xml:space="preserve"> （企业名称） </w:t>
      </w:r>
      <w:r>
        <w:rPr>
          <w:rFonts w:hint="eastAsia" w:cs="宋体"/>
          <w:i w:val="0"/>
          <w:iCs w:val="0"/>
          <w:color w:val="auto"/>
          <w:spacing w:val="6"/>
          <w:szCs w:val="24"/>
          <w:highlight w:val="none"/>
        </w:rPr>
        <w:t>，从业人员</w:t>
      </w:r>
      <w:r>
        <w:rPr>
          <w:rFonts w:hint="eastAsia" w:cs="宋体"/>
          <w:i w:val="0"/>
          <w:iCs w:val="0"/>
          <w:color w:val="auto"/>
          <w:spacing w:val="6"/>
          <w:szCs w:val="24"/>
          <w:highlight w:val="none"/>
          <w:u w:val="single"/>
          <w:lang w:val="en-US" w:eastAsia="zh-CN"/>
        </w:rPr>
        <w:t xml:space="preserve">   </w:t>
      </w:r>
      <w:r>
        <w:rPr>
          <w:rFonts w:hint="eastAsia" w:cs="宋体"/>
          <w:i w:val="0"/>
          <w:iCs w:val="0"/>
          <w:color w:val="auto"/>
          <w:spacing w:val="6"/>
          <w:szCs w:val="24"/>
          <w:highlight w:val="none"/>
        </w:rPr>
        <w:t>人，营业收入为</w:t>
      </w:r>
      <w:r>
        <w:rPr>
          <w:rFonts w:hint="eastAsia" w:cs="宋体"/>
          <w:i w:val="0"/>
          <w:iCs w:val="0"/>
          <w:color w:val="auto"/>
          <w:spacing w:val="6"/>
          <w:szCs w:val="24"/>
          <w:highlight w:val="none"/>
          <w:u w:val="single"/>
          <w:lang w:val="en-US" w:eastAsia="zh-CN"/>
        </w:rPr>
        <w:t xml:space="preserve">     </w:t>
      </w:r>
      <w:r>
        <w:rPr>
          <w:rFonts w:hint="eastAsia" w:cs="宋体"/>
          <w:i w:val="0"/>
          <w:iCs w:val="0"/>
          <w:color w:val="auto"/>
          <w:spacing w:val="6"/>
          <w:szCs w:val="24"/>
          <w:highlight w:val="none"/>
        </w:rPr>
        <w:t>万元，资产总额为</w:t>
      </w:r>
      <w:r>
        <w:rPr>
          <w:rFonts w:hint="eastAsia" w:cs="宋体"/>
          <w:i w:val="0"/>
          <w:iCs w:val="0"/>
          <w:color w:val="auto"/>
          <w:spacing w:val="6"/>
          <w:szCs w:val="24"/>
          <w:highlight w:val="none"/>
          <w:u w:val="single"/>
          <w:lang w:val="en-US" w:eastAsia="zh-CN"/>
        </w:rPr>
        <w:t xml:space="preserve">     </w:t>
      </w:r>
      <w:r>
        <w:rPr>
          <w:rFonts w:hint="eastAsia" w:cs="宋体"/>
          <w:i w:val="0"/>
          <w:iCs w:val="0"/>
          <w:color w:val="auto"/>
          <w:spacing w:val="6"/>
          <w:szCs w:val="24"/>
          <w:highlight w:val="none"/>
        </w:rPr>
        <w:t>万元，属于</w:t>
      </w:r>
      <w:r>
        <w:rPr>
          <w:rFonts w:hint="eastAsia" w:cs="宋体"/>
          <w:i w:val="0"/>
          <w:iCs w:val="0"/>
          <w:color w:val="auto"/>
          <w:spacing w:val="6"/>
          <w:szCs w:val="24"/>
          <w:highlight w:val="none"/>
          <w:u w:val="single"/>
        </w:rPr>
        <w:t xml:space="preserve"> （中型企业、小型企业、微型企业）</w:t>
      </w:r>
      <w:r>
        <w:rPr>
          <w:rFonts w:hint="eastAsia" w:cs="宋体"/>
          <w:i w:val="0"/>
          <w:iCs w:val="0"/>
          <w:color w:val="auto"/>
          <w:spacing w:val="6"/>
          <w:szCs w:val="24"/>
          <w:highlight w:val="none"/>
        </w:rPr>
        <w:t>；</w:t>
      </w:r>
    </w:p>
    <w:p w14:paraId="07479E30">
      <w:pPr>
        <w:ind w:firstLine="504" w:firstLineChars="200"/>
        <w:rPr>
          <w:rFonts w:cs="宋体"/>
          <w:i w:val="0"/>
          <w:iCs w:val="0"/>
          <w:color w:val="auto"/>
          <w:spacing w:val="6"/>
          <w:szCs w:val="24"/>
          <w:highlight w:val="none"/>
        </w:rPr>
      </w:pPr>
      <w:r>
        <w:rPr>
          <w:rFonts w:hint="eastAsia" w:cs="宋体"/>
          <w:i w:val="0"/>
          <w:iCs w:val="0"/>
          <w:color w:val="auto"/>
          <w:spacing w:val="6"/>
          <w:szCs w:val="24"/>
          <w:highlight w:val="none"/>
        </w:rPr>
        <w:t>2.</w:t>
      </w:r>
      <w:r>
        <w:rPr>
          <w:rFonts w:hint="eastAsia" w:cs="宋体"/>
          <w:i w:val="0"/>
          <w:iCs w:val="0"/>
          <w:color w:val="auto"/>
          <w:spacing w:val="6"/>
          <w:szCs w:val="24"/>
          <w:highlight w:val="none"/>
          <w:u w:val="single"/>
        </w:rPr>
        <w:t xml:space="preserve"> （标的名称） </w:t>
      </w:r>
      <w:r>
        <w:rPr>
          <w:rFonts w:hint="eastAsia" w:cs="宋体"/>
          <w:i w:val="0"/>
          <w:iCs w:val="0"/>
          <w:color w:val="auto"/>
          <w:spacing w:val="6"/>
          <w:szCs w:val="24"/>
          <w:highlight w:val="none"/>
        </w:rPr>
        <w:t>，属于</w:t>
      </w:r>
      <w:r>
        <w:rPr>
          <w:rFonts w:hint="eastAsia" w:cs="宋体"/>
          <w:i w:val="0"/>
          <w:iCs w:val="0"/>
          <w:color w:val="auto"/>
          <w:spacing w:val="6"/>
          <w:szCs w:val="24"/>
          <w:highlight w:val="none"/>
          <w:u w:val="single"/>
        </w:rPr>
        <w:t xml:space="preserve"> </w:t>
      </w:r>
      <w:r>
        <w:rPr>
          <w:rFonts w:hint="eastAsia" w:cs="宋体"/>
          <w:color w:val="auto"/>
          <w:spacing w:val="6"/>
          <w:szCs w:val="24"/>
          <w:highlight w:val="none"/>
          <w:u w:val="single"/>
        </w:rPr>
        <w:t xml:space="preserve"> </w:t>
      </w:r>
      <w:r>
        <w:rPr>
          <w:rStyle w:val="35"/>
          <w:rFonts w:hint="eastAsia" w:cs="宋体"/>
          <w:b w:val="0"/>
          <w:bCs w:val="0"/>
          <w:color w:val="auto"/>
          <w:szCs w:val="24"/>
          <w:highlight w:val="none"/>
          <w:u w:val="single"/>
          <w:lang w:eastAsia="zh-CN"/>
        </w:rPr>
        <w:t>（</w:t>
      </w:r>
      <w:r>
        <w:rPr>
          <w:rStyle w:val="35"/>
          <w:rFonts w:hint="eastAsia" w:cs="宋体"/>
          <w:b w:val="0"/>
          <w:bCs w:val="0"/>
          <w:color w:val="auto"/>
          <w:szCs w:val="24"/>
          <w:highlight w:val="none"/>
          <w:u w:val="single"/>
          <w:lang w:val="en-US" w:eastAsia="zh-CN"/>
        </w:rPr>
        <w:t>采购文件标明</w:t>
      </w:r>
      <w:r>
        <w:rPr>
          <w:rStyle w:val="35"/>
          <w:rFonts w:hint="eastAsia" w:cs="宋体"/>
          <w:b w:val="0"/>
          <w:bCs w:val="0"/>
          <w:color w:val="auto"/>
          <w:szCs w:val="24"/>
          <w:highlight w:val="none"/>
          <w:u w:val="single"/>
          <w:lang w:eastAsia="zh-CN"/>
        </w:rPr>
        <w:t>）</w:t>
      </w:r>
      <w:r>
        <w:rPr>
          <w:rStyle w:val="35"/>
          <w:rFonts w:hint="eastAsia" w:cs="宋体"/>
          <w:b w:val="0"/>
          <w:bCs w:val="0"/>
          <w:color w:val="auto"/>
          <w:szCs w:val="24"/>
          <w:highlight w:val="none"/>
          <w:u w:val="single"/>
          <w:lang w:val="en-US" w:eastAsia="zh-CN"/>
        </w:rPr>
        <w:t xml:space="preserve"> </w:t>
      </w:r>
      <w:r>
        <w:rPr>
          <w:rFonts w:hint="eastAsia" w:cs="宋体"/>
          <w:i w:val="0"/>
          <w:iCs w:val="0"/>
          <w:color w:val="auto"/>
          <w:spacing w:val="6"/>
          <w:szCs w:val="24"/>
          <w:highlight w:val="none"/>
        </w:rPr>
        <w:t>行业 ；承接企业为</w:t>
      </w:r>
      <w:r>
        <w:rPr>
          <w:rFonts w:hint="eastAsia" w:cs="宋体"/>
          <w:i w:val="0"/>
          <w:iCs w:val="0"/>
          <w:color w:val="auto"/>
          <w:spacing w:val="6"/>
          <w:szCs w:val="24"/>
          <w:highlight w:val="none"/>
          <w:u w:val="single"/>
        </w:rPr>
        <w:t xml:space="preserve"> （企业名称） </w:t>
      </w:r>
      <w:r>
        <w:rPr>
          <w:rFonts w:hint="eastAsia" w:cs="宋体"/>
          <w:i w:val="0"/>
          <w:iCs w:val="0"/>
          <w:color w:val="auto"/>
          <w:spacing w:val="6"/>
          <w:szCs w:val="24"/>
          <w:highlight w:val="none"/>
        </w:rPr>
        <w:t>，从业人员</w:t>
      </w:r>
      <w:r>
        <w:rPr>
          <w:rFonts w:hint="eastAsia" w:cs="宋体"/>
          <w:i w:val="0"/>
          <w:iCs w:val="0"/>
          <w:color w:val="auto"/>
          <w:spacing w:val="6"/>
          <w:szCs w:val="24"/>
          <w:highlight w:val="none"/>
          <w:u w:val="single"/>
          <w:lang w:val="en-US" w:eastAsia="zh-CN"/>
        </w:rPr>
        <w:t xml:space="preserve">   </w:t>
      </w:r>
      <w:r>
        <w:rPr>
          <w:rFonts w:hint="eastAsia" w:cs="宋体"/>
          <w:i w:val="0"/>
          <w:iCs w:val="0"/>
          <w:color w:val="auto"/>
          <w:spacing w:val="6"/>
          <w:szCs w:val="24"/>
          <w:highlight w:val="none"/>
        </w:rPr>
        <w:t>人，营业收入为</w:t>
      </w:r>
      <w:r>
        <w:rPr>
          <w:rFonts w:hint="eastAsia" w:cs="宋体"/>
          <w:i w:val="0"/>
          <w:iCs w:val="0"/>
          <w:color w:val="auto"/>
          <w:spacing w:val="6"/>
          <w:szCs w:val="24"/>
          <w:highlight w:val="none"/>
          <w:u w:val="single"/>
          <w:lang w:val="en-US" w:eastAsia="zh-CN"/>
        </w:rPr>
        <w:t xml:space="preserve">     </w:t>
      </w:r>
      <w:r>
        <w:rPr>
          <w:rFonts w:hint="eastAsia" w:cs="宋体"/>
          <w:i w:val="0"/>
          <w:iCs w:val="0"/>
          <w:color w:val="auto"/>
          <w:spacing w:val="6"/>
          <w:szCs w:val="24"/>
          <w:highlight w:val="none"/>
        </w:rPr>
        <w:t>万元，资产总额为</w:t>
      </w:r>
      <w:r>
        <w:rPr>
          <w:rFonts w:hint="eastAsia" w:cs="宋体"/>
          <w:i w:val="0"/>
          <w:iCs w:val="0"/>
          <w:color w:val="auto"/>
          <w:spacing w:val="6"/>
          <w:szCs w:val="24"/>
          <w:highlight w:val="none"/>
          <w:u w:val="single"/>
          <w:lang w:val="en-US" w:eastAsia="zh-CN"/>
        </w:rPr>
        <w:t xml:space="preserve">     </w:t>
      </w:r>
      <w:r>
        <w:rPr>
          <w:rFonts w:hint="eastAsia" w:cs="宋体"/>
          <w:i w:val="0"/>
          <w:iCs w:val="0"/>
          <w:color w:val="auto"/>
          <w:spacing w:val="6"/>
          <w:szCs w:val="24"/>
          <w:highlight w:val="none"/>
        </w:rPr>
        <w:t>万元，属于</w:t>
      </w:r>
      <w:r>
        <w:rPr>
          <w:rFonts w:hint="eastAsia" w:cs="宋体"/>
          <w:i w:val="0"/>
          <w:iCs w:val="0"/>
          <w:color w:val="auto"/>
          <w:spacing w:val="6"/>
          <w:szCs w:val="24"/>
          <w:highlight w:val="none"/>
          <w:u w:val="single"/>
        </w:rPr>
        <w:t xml:space="preserve"> （中型企业、小型企业、微型企业）</w:t>
      </w:r>
      <w:r>
        <w:rPr>
          <w:rFonts w:hint="eastAsia" w:cs="宋体"/>
          <w:i w:val="0"/>
          <w:iCs w:val="0"/>
          <w:color w:val="auto"/>
          <w:spacing w:val="6"/>
          <w:szCs w:val="24"/>
          <w:highlight w:val="none"/>
        </w:rPr>
        <w:t>；</w:t>
      </w:r>
    </w:p>
    <w:p w14:paraId="6B80F955">
      <w:pPr>
        <w:ind w:firstLine="504" w:firstLineChars="200"/>
        <w:rPr>
          <w:rFonts w:cs="宋体"/>
          <w:i w:val="0"/>
          <w:iCs w:val="0"/>
          <w:color w:val="auto"/>
          <w:spacing w:val="6"/>
          <w:szCs w:val="24"/>
          <w:highlight w:val="none"/>
        </w:rPr>
      </w:pPr>
      <w:r>
        <w:rPr>
          <w:rFonts w:hint="eastAsia" w:cs="宋体"/>
          <w:i w:val="0"/>
          <w:iCs w:val="0"/>
          <w:color w:val="auto"/>
          <w:spacing w:val="6"/>
          <w:szCs w:val="24"/>
          <w:highlight w:val="none"/>
        </w:rPr>
        <w:t>……</w:t>
      </w:r>
    </w:p>
    <w:p w14:paraId="0C0FEB9D">
      <w:pPr>
        <w:ind w:firstLine="504" w:firstLineChars="200"/>
        <w:rPr>
          <w:rFonts w:cs="宋体"/>
          <w:i w:val="0"/>
          <w:iCs w:val="0"/>
          <w:color w:val="auto"/>
          <w:spacing w:val="6"/>
          <w:szCs w:val="24"/>
          <w:highlight w:val="none"/>
        </w:rPr>
      </w:pPr>
      <w:r>
        <w:rPr>
          <w:rFonts w:hint="eastAsia" w:cs="宋体"/>
          <w:i w:val="0"/>
          <w:iCs w:val="0"/>
          <w:color w:val="auto"/>
          <w:spacing w:val="6"/>
          <w:szCs w:val="24"/>
          <w:highlight w:val="none"/>
        </w:rPr>
        <w:t>以上企业，不属于大企业的分支机构，不存在控股股东为大企业的情形，也不存在与大企业的负责人为同一人的情形。</w:t>
      </w:r>
    </w:p>
    <w:p w14:paraId="39A352AD">
      <w:pPr>
        <w:ind w:firstLine="504" w:firstLineChars="200"/>
        <w:rPr>
          <w:rFonts w:cs="宋体"/>
          <w:i w:val="0"/>
          <w:iCs w:val="0"/>
          <w:color w:val="auto"/>
          <w:spacing w:val="6"/>
          <w:szCs w:val="24"/>
          <w:highlight w:val="none"/>
        </w:rPr>
      </w:pPr>
      <w:r>
        <w:rPr>
          <w:rFonts w:hint="eastAsia" w:cs="宋体"/>
          <w:i w:val="0"/>
          <w:iCs w:val="0"/>
          <w:color w:val="auto"/>
          <w:spacing w:val="6"/>
          <w:szCs w:val="24"/>
          <w:highlight w:val="none"/>
        </w:rPr>
        <w:t>本企业对上述声明内容的真实性负责。如有虚假，将依法承担相应责任。</w:t>
      </w:r>
    </w:p>
    <w:p w14:paraId="5B4AE894">
      <w:pPr>
        <w:ind w:right="1008" w:firstLine="4788" w:firstLineChars="1900"/>
        <w:rPr>
          <w:rFonts w:cs="宋体"/>
          <w:i w:val="0"/>
          <w:iCs w:val="0"/>
          <w:color w:val="auto"/>
          <w:spacing w:val="6"/>
          <w:szCs w:val="24"/>
          <w:highlight w:val="none"/>
        </w:rPr>
      </w:pPr>
    </w:p>
    <w:p w14:paraId="1ACEB894">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0144D8D2">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1E678BB7">
      <w:pPr>
        <w:ind w:firstLine="504" w:firstLineChars="200"/>
        <w:rPr>
          <w:rFonts w:cs="宋体"/>
          <w:i w:val="0"/>
          <w:iCs w:val="0"/>
          <w:color w:val="auto"/>
          <w:spacing w:val="6"/>
          <w:szCs w:val="24"/>
          <w:highlight w:val="none"/>
        </w:rPr>
      </w:pPr>
    </w:p>
    <w:p w14:paraId="557EB33B">
      <w:pPr>
        <w:spacing w:line="360" w:lineRule="auto"/>
        <w:rPr>
          <w:rFonts w:hint="default" w:cs="宋体"/>
          <w:b/>
          <w:bCs/>
          <w:i w:val="0"/>
          <w:iCs w:val="0"/>
          <w:color w:val="auto"/>
          <w:spacing w:val="6"/>
          <w:sz w:val="21"/>
          <w:szCs w:val="21"/>
          <w:highlight w:val="none"/>
          <w:lang w:val="en-US" w:eastAsia="zh-CN"/>
        </w:rPr>
      </w:pPr>
      <w:r>
        <w:rPr>
          <w:rFonts w:hint="eastAsia" w:cs="宋体"/>
          <w:b/>
          <w:bCs/>
          <w:i w:val="0"/>
          <w:iCs w:val="0"/>
          <w:color w:val="auto"/>
          <w:spacing w:val="6"/>
          <w:sz w:val="21"/>
          <w:szCs w:val="21"/>
          <w:highlight w:val="none"/>
        </w:rPr>
        <w:t>说明：</w:t>
      </w:r>
      <w:r>
        <w:rPr>
          <w:rFonts w:hint="eastAsia" w:cs="宋体"/>
          <w:b/>
          <w:bCs/>
          <w:i w:val="0"/>
          <w:iCs w:val="0"/>
          <w:color w:val="auto"/>
          <w:spacing w:val="6"/>
          <w:sz w:val="21"/>
          <w:szCs w:val="21"/>
          <w:highlight w:val="none"/>
          <w:lang w:val="en-US" w:eastAsia="zh-CN"/>
        </w:rPr>
        <w:t>1.重要提示：供应商应仔细阅读本函附件1关于“中小企业声明函”的填写要求及提交要求，否则，因填写或提交等产生的一切不利后果，须自行承担。</w:t>
      </w:r>
    </w:p>
    <w:p w14:paraId="5E9B093F">
      <w:pPr>
        <w:spacing w:line="360" w:lineRule="auto"/>
        <w:ind w:firstLine="446" w:firstLineChars="200"/>
        <w:rPr>
          <w:rFonts w:hint="eastAsia" w:cs="宋体"/>
          <w:i w:val="0"/>
          <w:iCs w:val="0"/>
          <w:color w:val="auto"/>
          <w:spacing w:val="6"/>
          <w:sz w:val="24"/>
          <w:szCs w:val="24"/>
          <w:highlight w:val="none"/>
        </w:rPr>
      </w:pPr>
      <w:r>
        <w:rPr>
          <w:rFonts w:hint="eastAsia" w:cs="宋体"/>
          <w:b/>
          <w:bCs/>
          <w:i w:val="0"/>
          <w:iCs w:val="0"/>
          <w:color w:val="auto"/>
          <w:spacing w:val="6"/>
          <w:sz w:val="21"/>
          <w:szCs w:val="21"/>
          <w:highlight w:val="none"/>
          <w:lang w:val="en-US" w:eastAsia="zh-CN"/>
        </w:rPr>
        <w:t>2.</w:t>
      </w:r>
      <w:r>
        <w:rPr>
          <w:rFonts w:hint="eastAsia" w:cs="宋体"/>
          <w:i w:val="0"/>
          <w:iCs w:val="0"/>
          <w:color w:val="auto"/>
          <w:spacing w:val="6"/>
          <w:sz w:val="21"/>
          <w:szCs w:val="21"/>
          <w:highlight w:val="none"/>
        </w:rPr>
        <w:t>从业人员、营业收入、资产总额填报上一年度数据，无上一年度数据的新成立企业可不填报。</w:t>
      </w:r>
    </w:p>
    <w:p w14:paraId="280E9434">
      <w:pPr>
        <w:rPr>
          <w:rFonts w:cs="宋体"/>
          <w:i w:val="0"/>
          <w:iCs w:val="0"/>
          <w:color w:val="auto"/>
          <w:spacing w:val="6"/>
          <w:sz w:val="21"/>
          <w:szCs w:val="21"/>
          <w:highlight w:val="none"/>
        </w:rPr>
      </w:pPr>
    </w:p>
    <w:p w14:paraId="4C19990A">
      <w:pPr>
        <w:rPr>
          <w:rFonts w:cs="宋体"/>
          <w:i w:val="0"/>
          <w:iCs w:val="0"/>
          <w:color w:val="auto"/>
          <w:spacing w:val="6"/>
          <w:sz w:val="21"/>
          <w:szCs w:val="21"/>
          <w:highlight w:val="none"/>
        </w:rPr>
      </w:pPr>
    </w:p>
    <w:p w14:paraId="4DBE2A37">
      <w:pPr>
        <w:rPr>
          <w:rFonts w:cs="宋体"/>
          <w:i w:val="0"/>
          <w:iCs w:val="0"/>
          <w:color w:val="auto"/>
          <w:spacing w:val="6"/>
          <w:sz w:val="21"/>
          <w:szCs w:val="21"/>
          <w:highlight w:val="none"/>
        </w:rPr>
      </w:pPr>
    </w:p>
    <w:p w14:paraId="7A1B1970">
      <w:pPr>
        <w:rPr>
          <w:rFonts w:cs="宋体"/>
          <w:i w:val="0"/>
          <w:iCs w:val="0"/>
          <w:color w:val="auto"/>
          <w:spacing w:val="6"/>
          <w:sz w:val="21"/>
          <w:szCs w:val="21"/>
          <w:highlight w:val="none"/>
        </w:rPr>
      </w:pPr>
    </w:p>
    <w:p w14:paraId="5BB8E55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i w:val="0"/>
          <w:iCs w:val="0"/>
          <w:color w:val="auto"/>
          <w:highlight w:val="none"/>
          <w:lang w:val="en-US" w:eastAsia="zh-CN"/>
        </w:rPr>
      </w:pPr>
    </w:p>
    <w:p w14:paraId="56278A73">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i w:val="0"/>
          <w:iCs w:val="0"/>
          <w:color w:val="auto"/>
          <w:highlight w:val="none"/>
          <w:lang w:val="en-US" w:eastAsia="zh-CN"/>
        </w:rPr>
      </w:pPr>
      <w:r>
        <w:rPr>
          <w:rFonts w:hint="eastAsia"/>
          <w:b/>
          <w:bCs/>
          <w:i w:val="0"/>
          <w:iCs w:val="0"/>
          <w:color w:val="auto"/>
          <w:highlight w:val="none"/>
          <w:lang w:val="en-US" w:eastAsia="zh-CN"/>
        </w:rPr>
        <w:t xml:space="preserve">附件1 </w:t>
      </w:r>
    </w:p>
    <w:p w14:paraId="2FD2D3A9">
      <w:pPr>
        <w:keepNext w:val="0"/>
        <w:keepLines w:val="0"/>
        <w:widowControl/>
        <w:suppressLineNumbers w:val="0"/>
        <w:ind w:firstLine="562" w:firstLineChars="200"/>
        <w:jc w:val="left"/>
        <w:rPr>
          <w:rStyle w:val="35"/>
          <w:rFonts w:hint="eastAsia" w:ascii="宋体" w:hAnsi="宋体" w:eastAsia="宋体" w:cs="宋体"/>
          <w:i w:val="0"/>
          <w:iCs w:val="0"/>
          <w:color w:val="auto"/>
          <w:kern w:val="0"/>
          <w:sz w:val="28"/>
          <w:szCs w:val="28"/>
          <w:highlight w:val="none"/>
          <w:lang w:val="en-US" w:eastAsia="zh-CN" w:bidi="ar"/>
        </w:rPr>
      </w:pPr>
    </w:p>
    <w:p w14:paraId="529118AE">
      <w:pPr>
        <w:keepNext w:val="0"/>
        <w:keepLines w:val="0"/>
        <w:widowControl/>
        <w:suppressLineNumbers w:val="0"/>
        <w:ind w:firstLine="482" w:firstLineChars="200"/>
        <w:jc w:val="left"/>
        <w:rPr>
          <w:rStyle w:val="35"/>
          <w:rFonts w:hint="eastAsia" w:ascii="宋体" w:hAnsi="宋体" w:eastAsia="宋体" w:cs="宋体"/>
          <w:i w:val="0"/>
          <w:iCs w:val="0"/>
          <w:color w:val="auto"/>
          <w:kern w:val="0"/>
          <w:sz w:val="28"/>
          <w:szCs w:val="28"/>
          <w:highlight w:val="none"/>
          <w:lang w:val="en-US" w:eastAsia="zh-CN" w:bidi="ar"/>
        </w:rPr>
      </w:pPr>
      <w:r>
        <w:rPr>
          <w:rStyle w:val="35"/>
          <w:rFonts w:hint="eastAsia" w:ascii="宋体" w:hAnsi="宋体" w:eastAsia="宋体" w:cs="宋体"/>
          <w:i w:val="0"/>
          <w:iCs w:val="0"/>
          <w:color w:val="auto"/>
          <w:kern w:val="0"/>
          <w:sz w:val="24"/>
          <w:szCs w:val="24"/>
          <w:highlight w:val="none"/>
          <w:lang w:val="en-US" w:eastAsia="zh-CN" w:bidi="ar"/>
        </w:rPr>
        <w:t>（一）关于</w:t>
      </w:r>
      <w:r>
        <w:rPr>
          <w:rStyle w:val="35"/>
          <w:rFonts w:hint="eastAsia" w:cs="宋体"/>
          <w:i w:val="0"/>
          <w:iCs w:val="0"/>
          <w:color w:val="auto"/>
          <w:kern w:val="0"/>
          <w:sz w:val="24"/>
          <w:szCs w:val="24"/>
          <w:highlight w:val="none"/>
          <w:lang w:val="en-US" w:eastAsia="zh-CN" w:bidi="ar"/>
        </w:rPr>
        <w:t>“</w:t>
      </w:r>
      <w:r>
        <w:rPr>
          <w:rStyle w:val="35"/>
          <w:rFonts w:hint="eastAsia" w:ascii="宋体" w:hAnsi="宋体" w:eastAsia="宋体" w:cs="宋体"/>
          <w:i w:val="0"/>
          <w:iCs w:val="0"/>
          <w:color w:val="auto"/>
          <w:kern w:val="0"/>
          <w:sz w:val="24"/>
          <w:szCs w:val="24"/>
          <w:highlight w:val="none"/>
          <w:lang w:val="en-US" w:eastAsia="zh-CN" w:bidi="ar"/>
        </w:rPr>
        <w:t>中小企业声明函</w:t>
      </w:r>
      <w:r>
        <w:rPr>
          <w:rStyle w:val="35"/>
          <w:rFonts w:hint="eastAsia" w:cs="宋体"/>
          <w:i w:val="0"/>
          <w:iCs w:val="0"/>
          <w:color w:val="auto"/>
          <w:kern w:val="0"/>
          <w:sz w:val="24"/>
          <w:szCs w:val="24"/>
          <w:highlight w:val="none"/>
          <w:lang w:val="en-US" w:eastAsia="zh-CN" w:bidi="ar"/>
        </w:rPr>
        <w:t>”</w:t>
      </w:r>
      <w:r>
        <w:rPr>
          <w:rStyle w:val="35"/>
          <w:rFonts w:hint="eastAsia" w:ascii="宋体" w:hAnsi="宋体" w:eastAsia="宋体" w:cs="宋体"/>
          <w:i w:val="0"/>
          <w:iCs w:val="0"/>
          <w:color w:val="auto"/>
          <w:kern w:val="0"/>
          <w:sz w:val="24"/>
          <w:szCs w:val="24"/>
          <w:highlight w:val="none"/>
          <w:lang w:val="en-US" w:eastAsia="zh-CN" w:bidi="ar"/>
        </w:rPr>
        <w:t>的填写要求</w:t>
      </w:r>
    </w:p>
    <w:p w14:paraId="7AC67A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中小企业声明函</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具体填写要求如下：</w:t>
      </w:r>
    </w:p>
    <w:p w14:paraId="7525E10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1.“单位名称”应填写采购人名称。</w:t>
      </w:r>
    </w:p>
    <w:p w14:paraId="36AB145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44155B3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542F6BC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3E5732A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437FB32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6AAF53D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5.“企业名称”应填写投标（响应）的货物制造商/服务承接商/工程承建商（根据项目属性确定）。</w:t>
      </w:r>
    </w:p>
    <w:p w14:paraId="5F644C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对于分包方式面向中小企业采购的项目，“企业名称”应填写分包部分采购标的对应的货物制造商/服务承接商/工程承建商（根据项目属性确定）。</w:t>
      </w:r>
    </w:p>
    <w:p w14:paraId="10CABB6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50EDC48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6.从业人员、资产总额指标以上年度末数据为依据，营业收入指标以上年度累计数据为依据。无上年度数据的新成立企业可不填报。</w:t>
      </w:r>
    </w:p>
    <w:p w14:paraId="3C9C19C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中小企业声明函</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载明的货物制造商/服务承接商/工程承建商（根据项目属性确定）是否属于采购文件所属行业的中型企业/小型企业/微型企业。</w:t>
      </w:r>
    </w:p>
    <w:p w14:paraId="0AC9F0A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3DBB6695">
      <w:pPr>
        <w:keepNext w:val="0"/>
        <w:keepLines w:val="0"/>
        <w:widowControl/>
        <w:suppressLineNumbers w:val="0"/>
        <w:ind w:firstLine="482" w:firstLineChars="200"/>
        <w:jc w:val="left"/>
        <w:rPr>
          <w:rStyle w:val="35"/>
          <w:rFonts w:hint="eastAsia" w:ascii="宋体" w:hAnsi="宋体" w:eastAsia="宋体" w:cs="宋体"/>
          <w:i w:val="0"/>
          <w:iCs w:val="0"/>
          <w:color w:val="auto"/>
          <w:kern w:val="0"/>
          <w:sz w:val="24"/>
          <w:szCs w:val="24"/>
          <w:highlight w:val="none"/>
          <w:lang w:val="en-US" w:eastAsia="zh-CN" w:bidi="ar"/>
        </w:rPr>
      </w:pPr>
      <w:r>
        <w:rPr>
          <w:rStyle w:val="35"/>
          <w:rFonts w:hint="eastAsia" w:ascii="宋体" w:hAnsi="宋体" w:eastAsia="宋体" w:cs="宋体"/>
          <w:i w:val="0"/>
          <w:iCs w:val="0"/>
          <w:color w:val="auto"/>
          <w:kern w:val="0"/>
          <w:sz w:val="24"/>
          <w:szCs w:val="24"/>
          <w:highlight w:val="none"/>
          <w:lang w:val="en-US" w:eastAsia="zh-CN" w:bidi="ar"/>
        </w:rPr>
        <w:t>（二）关于“中小企业声明函”的提交要求</w:t>
      </w:r>
    </w:p>
    <w:p w14:paraId="67E55B5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1.投标（响应）供应商对</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中小企业声明函</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中小企业声明函</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w:t>
      </w:r>
    </w:p>
    <w:p w14:paraId="0CE0BA6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bidi="ar"/>
        </w:rPr>
      </w:pPr>
      <w:r>
        <w:rPr>
          <w:rFonts w:hint="eastAsia" w:ascii="宋体" w:hAnsi="宋体" w:eastAsia="宋体" w:cs="宋体"/>
          <w:i w:val="0"/>
          <w:iCs w:val="0"/>
          <w:color w:val="auto"/>
          <w:kern w:val="0"/>
          <w:sz w:val="24"/>
          <w:szCs w:val="28"/>
          <w:highlight w:val="none"/>
          <w:lang w:val="en-US" w:eastAsia="zh-CN" w:bidi="ar"/>
        </w:rPr>
        <w:t>2.鼓励供应商在投标（响应）时一并提供对货物制造商、服务承接商、工程承建商相关信息的核实核验情况以及其他佐证材料。</w:t>
      </w:r>
    </w:p>
    <w:p w14:paraId="5BBD5930">
      <w:pPr>
        <w:ind w:firstLine="480" w:firstLineChars="200"/>
        <w:rPr>
          <w:rFonts w:cs="宋体"/>
          <w:i w:val="0"/>
          <w:iCs w:val="0"/>
          <w:color w:val="auto"/>
          <w:spacing w:val="6"/>
          <w:sz w:val="21"/>
          <w:szCs w:val="21"/>
          <w:highlight w:val="none"/>
        </w:rPr>
      </w:pPr>
      <w:r>
        <w:rPr>
          <w:rFonts w:hint="eastAsia" w:ascii="宋体" w:hAnsi="宋体" w:eastAsia="宋体" w:cs="宋体"/>
          <w:i w:val="0"/>
          <w:iCs w:val="0"/>
          <w:color w:val="auto"/>
          <w:kern w:val="0"/>
          <w:sz w:val="24"/>
          <w:szCs w:val="28"/>
          <w:highlight w:val="none"/>
          <w:lang w:val="en-US" w:eastAsia="zh-CN" w:bidi="ar"/>
        </w:rPr>
        <w:t>3.如供应商提供的</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中小企业声明函</w:t>
      </w:r>
      <w:r>
        <w:rPr>
          <w:rFonts w:hint="eastAsia" w:cs="宋体"/>
          <w:i w:val="0"/>
          <w:iCs w:val="0"/>
          <w:color w:val="auto"/>
          <w:kern w:val="0"/>
          <w:sz w:val="24"/>
          <w:szCs w:val="28"/>
          <w:highlight w:val="none"/>
          <w:lang w:val="en-US" w:eastAsia="zh-CN" w:bidi="ar"/>
        </w:rPr>
        <w:t>”</w:t>
      </w:r>
      <w:r>
        <w:rPr>
          <w:rFonts w:hint="eastAsia" w:ascii="宋体" w:hAnsi="宋体" w:eastAsia="宋体" w:cs="宋体"/>
          <w:i w:val="0"/>
          <w:iCs w:val="0"/>
          <w:color w:val="auto"/>
          <w:kern w:val="0"/>
          <w:sz w:val="24"/>
          <w:szCs w:val="28"/>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346BAE09">
      <w:pPr>
        <w:rPr>
          <w:rFonts w:cs="宋体"/>
          <w:i w:val="0"/>
          <w:iCs w:val="0"/>
          <w:color w:val="auto"/>
          <w:spacing w:val="6"/>
          <w:sz w:val="21"/>
          <w:szCs w:val="21"/>
          <w:highlight w:val="none"/>
        </w:rPr>
      </w:pPr>
    </w:p>
    <w:p w14:paraId="66FC25F0">
      <w:pPr>
        <w:rPr>
          <w:rFonts w:cs="宋体"/>
          <w:i w:val="0"/>
          <w:iCs w:val="0"/>
          <w:color w:val="auto"/>
          <w:spacing w:val="6"/>
          <w:sz w:val="21"/>
          <w:szCs w:val="21"/>
          <w:highlight w:val="none"/>
        </w:rPr>
      </w:pPr>
    </w:p>
    <w:p w14:paraId="4A46ADE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i w:val="0"/>
          <w:iCs w:val="0"/>
          <w:color w:val="auto"/>
          <w:highlight w:val="none"/>
          <w:lang w:val="en-US" w:eastAsia="zh-CN"/>
        </w:rPr>
      </w:pPr>
      <w:r>
        <w:rPr>
          <w:rFonts w:hint="eastAsia"/>
          <w:b/>
          <w:bCs/>
          <w:i w:val="0"/>
          <w:iCs w:val="0"/>
          <w:color w:val="auto"/>
          <w:highlight w:val="none"/>
          <w:lang w:val="en-US" w:eastAsia="zh-CN"/>
        </w:rPr>
        <w:t>附件2：</w:t>
      </w:r>
    </w:p>
    <w:p w14:paraId="6E10B20A">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i w:val="0"/>
          <w:iCs w:val="0"/>
          <w:color w:val="auto"/>
          <w:sz w:val="32"/>
          <w:szCs w:val="32"/>
          <w:highlight w:val="none"/>
        </w:rPr>
      </w:pPr>
      <w:r>
        <w:rPr>
          <w:rFonts w:hint="eastAsia" w:ascii="宋体" w:hAnsi="宋体" w:eastAsia="宋体" w:cs="宋体"/>
          <w:b/>
          <w:bCs w:val="0"/>
          <w:i w:val="0"/>
          <w:iCs w:val="0"/>
          <w:color w:val="auto"/>
          <w:sz w:val="32"/>
          <w:szCs w:val="32"/>
          <w:highlight w:val="none"/>
        </w:rPr>
        <w:t>关于印发中小企业划型标准规定的通知</w:t>
      </w:r>
    </w:p>
    <w:p w14:paraId="1984EC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5"/>
          <w:rFonts w:hint="eastAsia" w:ascii="宋体" w:hAnsi="宋体" w:eastAsia="宋体" w:cs="宋体"/>
          <w:b w:val="0"/>
          <w:i w:val="0"/>
          <w:iCs w:val="0"/>
          <w:color w:val="auto"/>
          <w:sz w:val="24"/>
          <w:szCs w:val="24"/>
          <w:highlight w:val="none"/>
        </w:rPr>
      </w:pPr>
      <w:r>
        <w:rPr>
          <w:rStyle w:val="35"/>
          <w:rFonts w:hint="eastAsia" w:ascii="宋体" w:hAnsi="宋体" w:eastAsia="宋体" w:cs="宋体"/>
          <w:b w:val="0"/>
          <w:i w:val="0"/>
          <w:iCs w:val="0"/>
          <w:color w:val="auto"/>
          <w:sz w:val="24"/>
          <w:szCs w:val="24"/>
          <w:highlight w:val="none"/>
        </w:rPr>
        <w:t>工信部联企业〔2011〕300号</w:t>
      </w:r>
    </w:p>
    <w:p w14:paraId="0B1ABA8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5"/>
          <w:rFonts w:hint="eastAsia" w:ascii="宋体" w:hAnsi="宋体" w:eastAsia="宋体" w:cs="宋体"/>
          <w:b w:val="0"/>
          <w:i w:val="0"/>
          <w:iCs w:val="0"/>
          <w:color w:val="auto"/>
          <w:sz w:val="24"/>
          <w:szCs w:val="24"/>
          <w:highlight w:val="none"/>
        </w:rPr>
      </w:pPr>
    </w:p>
    <w:p w14:paraId="78153521">
      <w:pPr>
        <w:keepNext w:val="0"/>
        <w:keepLines w:val="0"/>
        <w:pageBreakBefore w:val="0"/>
        <w:widowControl w:val="0"/>
        <w:kinsoku/>
        <w:wordWrap/>
        <w:overflowPunct/>
        <w:topLinePunct w:val="0"/>
        <w:autoSpaceDE/>
        <w:autoSpaceDN/>
        <w:bidi w:val="0"/>
        <w:adjustRightInd/>
        <w:snapToGrid/>
        <w:spacing w:line="360" w:lineRule="exact"/>
        <w:textAlignment w:val="auto"/>
        <w:rPr>
          <w:rStyle w:val="35"/>
          <w:rFonts w:hint="eastAsia" w:ascii="宋体" w:hAnsi="宋体" w:eastAsia="宋体" w:cs="宋体"/>
          <w:b w:val="0"/>
          <w:i w:val="0"/>
          <w:iCs w:val="0"/>
          <w:color w:val="auto"/>
          <w:sz w:val="24"/>
          <w:szCs w:val="24"/>
          <w:highlight w:val="none"/>
        </w:rPr>
      </w:pPr>
      <w:r>
        <w:rPr>
          <w:rStyle w:val="35"/>
          <w:rFonts w:hint="eastAsia" w:ascii="宋体" w:hAnsi="宋体" w:eastAsia="宋体" w:cs="宋体"/>
          <w:b w:val="0"/>
          <w:i w:val="0"/>
          <w:iCs w:val="0"/>
          <w:color w:val="auto"/>
          <w:sz w:val="24"/>
          <w:szCs w:val="24"/>
          <w:highlight w:val="none"/>
        </w:rPr>
        <w:t>各省、自治区、直辖市人民政府，国务院各部委、各直属机构及有关单位：</w:t>
      </w:r>
    </w:p>
    <w:p w14:paraId="755B66D4">
      <w:pPr>
        <w:keepNext w:val="0"/>
        <w:keepLines w:val="0"/>
        <w:pageBreakBefore w:val="0"/>
        <w:widowControl w:val="0"/>
        <w:kinsoku/>
        <w:wordWrap/>
        <w:overflowPunct/>
        <w:topLinePunct w:val="0"/>
        <w:autoSpaceDE/>
        <w:autoSpaceDN/>
        <w:bidi w:val="0"/>
        <w:adjustRightInd/>
        <w:snapToGrid/>
        <w:spacing w:line="36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2BCCADD1">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工业和信息化部　国家统计局</w:t>
      </w:r>
    </w:p>
    <w:p w14:paraId="490481A7">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国家发展和改革委员会　财政部</w:t>
      </w:r>
    </w:p>
    <w:p w14:paraId="0586E2E7">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二○一一年六月十八日</w:t>
      </w:r>
    </w:p>
    <w:p w14:paraId="4F9D88A2">
      <w:pPr>
        <w:keepNext w:val="0"/>
        <w:keepLines w:val="0"/>
        <w:pageBreakBefore w:val="0"/>
        <w:widowControl w:val="0"/>
        <w:kinsoku/>
        <w:wordWrap/>
        <w:overflowPunct/>
        <w:topLinePunct w:val="0"/>
        <w:autoSpaceDE/>
        <w:autoSpaceDN/>
        <w:bidi w:val="0"/>
        <w:adjustRightInd/>
        <w:snapToGrid/>
        <w:spacing w:line="36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xml:space="preserve"> </w:t>
      </w:r>
    </w:p>
    <w:p w14:paraId="35A37D4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35"/>
          <w:rFonts w:hint="eastAsia" w:ascii="宋体" w:hAnsi="宋体" w:eastAsia="宋体" w:cs="宋体"/>
          <w:b/>
          <w:bCs w:val="0"/>
          <w:i w:val="0"/>
          <w:iCs w:val="0"/>
          <w:color w:val="auto"/>
          <w:sz w:val="28"/>
          <w:szCs w:val="28"/>
          <w:highlight w:val="none"/>
        </w:rPr>
      </w:pPr>
      <w:r>
        <w:rPr>
          <w:rStyle w:val="35"/>
          <w:rFonts w:hint="eastAsia" w:ascii="宋体" w:hAnsi="宋体" w:eastAsia="宋体" w:cs="宋体"/>
          <w:b/>
          <w:bCs w:val="0"/>
          <w:i w:val="0"/>
          <w:iCs w:val="0"/>
          <w:color w:val="auto"/>
          <w:sz w:val="28"/>
          <w:szCs w:val="28"/>
          <w:highlight w:val="none"/>
        </w:rPr>
        <w:t>中小企业划型标准规定</w:t>
      </w:r>
    </w:p>
    <w:p w14:paraId="1B723FC2">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一、根据《中华人民共和国中小企业促进法》和《国务院关于进一步促进中小企业发展的若干意见》(国发〔2009〕36号)，制定本规定。</w:t>
      </w:r>
    </w:p>
    <w:p w14:paraId="6E6B0720">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二、中小企业划分为中型、小型、微型三种类型，具体标准根据企业从业人员、营业收入、资产总额等指标，结合行业特点制定。</w:t>
      </w:r>
    </w:p>
    <w:p w14:paraId="6E31F9F8">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36AEB2A0">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四、各行业划型标准为：</w:t>
      </w:r>
    </w:p>
    <w:p w14:paraId="3D77C24D">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59549748">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611903F5">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035A746">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9A70904">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71074842">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A10C0BE">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C8F7E19">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2CA30A82">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0343BA0A">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E182595">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001E47C2">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0927DFAD">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95B94D2">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CE85D4F">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52C213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6C933EA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五、企业类型的划分以统计部门的统计数据为依据。</w:t>
      </w:r>
    </w:p>
    <w:p w14:paraId="11568454">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六、本规定适用于在中华人民共和国境内依法设立的各类所有制和各种组织形式的企业。个体工商户和本规定以外的行业，参照本规定进行划型。</w:t>
      </w:r>
    </w:p>
    <w:p w14:paraId="2232ED12">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2E91E39D">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八、本规定由工业和信息化部、国家统计局会同有关部门根据《国民经济行业分类》修订情况和企业发展变化情况适时修订。</w:t>
      </w:r>
    </w:p>
    <w:p w14:paraId="3E0692C0">
      <w:pPr>
        <w:keepNext w:val="0"/>
        <w:keepLines w:val="0"/>
        <w:pageBreakBefore w:val="0"/>
        <w:widowControl w:val="0"/>
        <w:kinsoku/>
        <w:wordWrap/>
        <w:overflowPunct/>
        <w:topLinePunct w:val="0"/>
        <w:autoSpaceDE/>
        <w:autoSpaceDN/>
        <w:bidi w:val="0"/>
        <w:adjustRightInd/>
        <w:snapToGrid/>
        <w:spacing w:line="40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九、本规定由工业和信息化部、国家统计局会同有关部门负责解释。</w:t>
      </w:r>
    </w:p>
    <w:p w14:paraId="2E8CD100">
      <w:pPr>
        <w:keepNext w:val="0"/>
        <w:keepLines w:val="0"/>
        <w:pageBreakBefore w:val="0"/>
        <w:widowControl w:val="0"/>
        <w:kinsoku/>
        <w:wordWrap/>
        <w:overflowPunct/>
        <w:topLinePunct w:val="0"/>
        <w:autoSpaceDE/>
        <w:autoSpaceDN/>
        <w:bidi w:val="0"/>
        <w:adjustRightInd/>
        <w:snapToGrid/>
        <w:spacing w:line="400" w:lineRule="exact"/>
        <w:textAlignment w:val="auto"/>
        <w:rPr>
          <w:rFonts w:cs="宋体"/>
          <w:i w:val="0"/>
          <w:iCs w:val="0"/>
          <w:color w:val="auto"/>
          <w:spacing w:val="6"/>
          <w:sz w:val="21"/>
          <w:szCs w:val="21"/>
          <w:highlight w:val="none"/>
        </w:rPr>
      </w:pPr>
      <w:r>
        <w:rPr>
          <w:rStyle w:val="35"/>
          <w:rFonts w:hint="eastAsia" w:ascii="宋体" w:hAnsi="宋体" w:eastAsia="宋体" w:cs="宋体"/>
          <w:b w:val="0"/>
          <w:bCs w:val="0"/>
          <w:i w:val="0"/>
          <w:iCs w:val="0"/>
          <w:color w:val="auto"/>
          <w:sz w:val="24"/>
          <w:szCs w:val="24"/>
          <w:highlight w:val="none"/>
        </w:rPr>
        <w:t>十、本规定自发布之日起执行，原国家经贸委、原国家计委、财政部和国家统计局2003年颁布的《中小企业标准暂行规定》同时废止。</w:t>
      </w:r>
    </w:p>
    <w:p w14:paraId="2C610052">
      <w:pPr>
        <w:rPr>
          <w:rFonts w:cs="宋体"/>
          <w:i w:val="0"/>
          <w:iCs w:val="0"/>
          <w:color w:val="auto"/>
          <w:spacing w:val="6"/>
          <w:sz w:val="21"/>
          <w:szCs w:val="21"/>
          <w:highlight w:val="none"/>
        </w:rPr>
      </w:pPr>
      <w:r>
        <w:rPr>
          <w:rFonts w:cs="宋体"/>
          <w:i w:val="0"/>
          <w:iCs w:val="0"/>
          <w:color w:val="auto"/>
          <w:spacing w:val="6"/>
          <w:sz w:val="21"/>
          <w:szCs w:val="21"/>
          <w:highlight w:val="none"/>
        </w:rPr>
        <w:br w:type="page"/>
      </w:r>
    </w:p>
    <w:p w14:paraId="1248B2D5">
      <w:pPr>
        <w:rPr>
          <w:rFonts w:cs="宋体"/>
          <w:i w:val="0"/>
          <w:iCs w:val="0"/>
          <w:color w:val="auto"/>
          <w:spacing w:val="6"/>
          <w:sz w:val="21"/>
          <w:szCs w:val="21"/>
          <w:highlight w:val="none"/>
        </w:rPr>
      </w:pPr>
      <w:bookmarkStart w:id="520" w:name="_Toc163492940"/>
    </w:p>
    <w:p w14:paraId="09046F0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i w:val="0"/>
          <w:iCs w:val="0"/>
          <w:color w:val="auto"/>
          <w:highlight w:val="none"/>
          <w:lang w:val="en-US" w:eastAsia="zh-CN"/>
        </w:rPr>
      </w:pPr>
      <w:r>
        <w:rPr>
          <w:rFonts w:hint="eastAsia"/>
          <w:b/>
          <w:bCs/>
          <w:i w:val="0"/>
          <w:iCs w:val="0"/>
          <w:color w:val="auto"/>
          <w:highlight w:val="none"/>
          <w:lang w:val="en-US" w:eastAsia="zh-CN"/>
        </w:rPr>
        <w:t>附件3：</w:t>
      </w:r>
    </w:p>
    <w:p w14:paraId="107DB640">
      <w:pPr>
        <w:rPr>
          <w:rFonts w:hint="eastAsia" w:cs="宋体"/>
          <w:i w:val="0"/>
          <w:iCs w:val="0"/>
          <w:color w:val="auto"/>
          <w:spacing w:val="6"/>
          <w:sz w:val="21"/>
          <w:szCs w:val="21"/>
          <w:highlight w:val="none"/>
        </w:rPr>
      </w:pPr>
    </w:p>
    <w:p w14:paraId="6AC05D7E">
      <w:pPr>
        <w:pStyle w:val="16"/>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i w:val="0"/>
          <w:iCs w:val="0"/>
          <w:color w:val="auto"/>
          <w:sz w:val="32"/>
          <w:szCs w:val="32"/>
          <w:highlight w:val="none"/>
        </w:rPr>
      </w:pPr>
      <w:r>
        <w:rPr>
          <w:rFonts w:hint="eastAsia" w:ascii="宋体" w:hAnsi="宋体" w:eastAsia="宋体" w:cs="宋体"/>
          <w:b/>
          <w:bCs w:val="0"/>
          <w:i w:val="0"/>
          <w:iCs w:val="0"/>
          <w:color w:val="auto"/>
          <w:sz w:val="32"/>
          <w:szCs w:val="32"/>
          <w:highlight w:val="none"/>
        </w:rPr>
        <w:t>关于印发《金融业企业划型标准规定》的通知</w:t>
      </w:r>
    </w:p>
    <w:p w14:paraId="24D6CEF7">
      <w:pPr>
        <w:keepNext w:val="0"/>
        <w:keepLines w:val="0"/>
        <w:pageBreakBefore w:val="0"/>
        <w:widowControl w:val="0"/>
        <w:kinsoku/>
        <w:wordWrap/>
        <w:overflowPunct/>
        <w:topLinePunct w:val="0"/>
        <w:autoSpaceDE/>
        <w:autoSpaceDN/>
        <w:bidi w:val="0"/>
        <w:adjustRightInd/>
        <w:snapToGrid/>
        <w:spacing w:before="0" w:beforeLines="50"/>
        <w:jc w:val="center"/>
        <w:textAlignment w:val="auto"/>
        <w:rPr>
          <w:rStyle w:val="35"/>
          <w:rFonts w:hint="eastAsia" w:ascii="宋体" w:hAnsi="宋体" w:eastAsia="宋体" w:cs="宋体"/>
          <w:b w:val="0"/>
          <w:i w:val="0"/>
          <w:iCs w:val="0"/>
          <w:color w:val="auto"/>
          <w:sz w:val="24"/>
          <w:szCs w:val="24"/>
          <w:highlight w:val="none"/>
        </w:rPr>
      </w:pPr>
      <w:r>
        <w:rPr>
          <w:rStyle w:val="35"/>
          <w:rFonts w:hint="eastAsia" w:ascii="宋体" w:hAnsi="宋体" w:eastAsia="宋体" w:cs="宋体"/>
          <w:b w:val="0"/>
          <w:i w:val="0"/>
          <w:iCs w:val="0"/>
          <w:color w:val="auto"/>
          <w:sz w:val="24"/>
          <w:szCs w:val="24"/>
          <w:highlight w:val="none"/>
        </w:rPr>
        <w:t>银发〔2015〕309号</w:t>
      </w:r>
    </w:p>
    <w:p w14:paraId="6BC518C8">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3B66A95D">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05F44DE6">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5"/>
          <w:rFonts w:hint="eastAsia" w:ascii="宋体" w:hAnsi="宋体" w:eastAsia="宋体" w:cs="宋体"/>
          <w:b w:val="0"/>
          <w:bCs w:val="0"/>
          <w:i w:val="0"/>
          <w:iCs w:val="0"/>
          <w:color w:val="auto"/>
          <w:sz w:val="24"/>
          <w:szCs w:val="24"/>
          <w:highlight w:val="none"/>
        </w:rPr>
      </w:pPr>
    </w:p>
    <w:p w14:paraId="4032BC9F">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附件：金融业企业划型标准规定</w:t>
      </w:r>
    </w:p>
    <w:p w14:paraId="4F49E482">
      <w:pPr>
        <w:keepNext w:val="0"/>
        <w:keepLines w:val="0"/>
        <w:pageBreakBefore w:val="0"/>
        <w:widowControl w:val="0"/>
        <w:kinsoku/>
        <w:wordWrap/>
        <w:overflowPunct/>
        <w:topLinePunct w:val="0"/>
        <w:autoSpaceDE/>
        <w:autoSpaceDN/>
        <w:bidi w:val="0"/>
        <w:adjustRightInd/>
        <w:snapToGrid/>
        <w:spacing w:line="460" w:lineRule="exact"/>
        <w:textAlignment w:val="auto"/>
        <w:rPr>
          <w:rStyle w:val="35"/>
          <w:rFonts w:hint="eastAsia" w:ascii="宋体" w:hAnsi="宋体" w:eastAsia="宋体" w:cs="宋体"/>
          <w:b w:val="0"/>
          <w:bCs w:val="0"/>
          <w:i w:val="0"/>
          <w:iCs w:val="0"/>
          <w:color w:val="auto"/>
          <w:sz w:val="24"/>
          <w:szCs w:val="24"/>
          <w:highlight w:val="none"/>
        </w:rPr>
      </w:pPr>
      <w:r>
        <w:rPr>
          <w:rFonts w:hint="eastAsia" w:cs="宋体"/>
          <w:i w:val="0"/>
          <w:iCs w:val="0"/>
          <w:color w:val="auto"/>
          <w:spacing w:val="6"/>
          <w:sz w:val="24"/>
          <w:szCs w:val="24"/>
          <w:highlight w:val="none"/>
        </w:rPr>
        <w:t>                                      </w:t>
      </w:r>
      <w:r>
        <w:rPr>
          <w:rStyle w:val="35"/>
          <w:rFonts w:hint="eastAsia" w:ascii="宋体" w:hAnsi="宋体" w:eastAsia="宋体" w:cs="宋体"/>
          <w:b w:val="0"/>
          <w:bCs w:val="0"/>
          <w:i w:val="0"/>
          <w:iCs w:val="0"/>
          <w:color w:val="auto"/>
          <w:sz w:val="24"/>
          <w:szCs w:val="24"/>
          <w:highlight w:val="none"/>
        </w:rPr>
        <w:t>       </w:t>
      </w:r>
      <w:r>
        <w:rPr>
          <w:rStyle w:val="35"/>
          <w:rFonts w:hint="eastAsia" w:cs="宋体"/>
          <w:b w:val="0"/>
          <w:bCs w:val="0"/>
          <w:i w:val="0"/>
          <w:iCs w:val="0"/>
          <w:color w:val="auto"/>
          <w:sz w:val="24"/>
          <w:szCs w:val="24"/>
          <w:highlight w:val="none"/>
          <w:lang w:val="en-US" w:eastAsia="zh-CN"/>
        </w:rPr>
        <w:t xml:space="preserve">                            </w:t>
      </w:r>
      <w:r>
        <w:rPr>
          <w:rStyle w:val="35"/>
          <w:rFonts w:hint="eastAsia" w:ascii="宋体" w:hAnsi="宋体" w:eastAsia="宋体" w:cs="宋体"/>
          <w:b w:val="0"/>
          <w:bCs w:val="0"/>
          <w:i w:val="0"/>
          <w:iCs w:val="0"/>
          <w:color w:val="auto"/>
          <w:sz w:val="24"/>
          <w:szCs w:val="24"/>
          <w:highlight w:val="none"/>
        </w:rPr>
        <w:t>中国人民银行</w:t>
      </w:r>
    </w:p>
    <w:p w14:paraId="3C1FD2BE">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中国银行业监督管理委员会</w:t>
      </w:r>
    </w:p>
    <w:p w14:paraId="55AA3B63">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中国证券监督管理委员会</w:t>
      </w:r>
    </w:p>
    <w:p w14:paraId="186B5904">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中国保险监督管理委员会</w:t>
      </w:r>
    </w:p>
    <w:p w14:paraId="0C4FD8C9">
      <w:pPr>
        <w:keepNext w:val="0"/>
        <w:keepLines w:val="0"/>
        <w:pageBreakBefore w:val="0"/>
        <w:widowControl w:val="0"/>
        <w:kinsoku/>
        <w:wordWrap/>
        <w:overflowPunct/>
        <w:topLinePunct w:val="0"/>
        <w:autoSpaceDE/>
        <w:autoSpaceDN/>
        <w:bidi w:val="0"/>
        <w:adjustRightInd/>
        <w:snapToGrid/>
        <w:spacing w:line="460" w:lineRule="exact"/>
        <w:ind w:firstLine="2160" w:firstLineChars="900"/>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中华人民共和国国家统计局</w:t>
      </w:r>
    </w:p>
    <w:p w14:paraId="78690901">
      <w:pPr>
        <w:keepNext w:val="0"/>
        <w:keepLines w:val="0"/>
        <w:pageBreakBefore w:val="0"/>
        <w:widowControl w:val="0"/>
        <w:kinsoku/>
        <w:wordWrap/>
        <w:overflowPunct/>
        <w:topLinePunct w:val="0"/>
        <w:autoSpaceDE/>
        <w:autoSpaceDN/>
        <w:bidi w:val="0"/>
        <w:adjustRightInd/>
        <w:snapToGrid/>
        <w:spacing w:line="460" w:lineRule="exact"/>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                                                     </w:t>
      </w:r>
      <w:r>
        <w:rPr>
          <w:rStyle w:val="35"/>
          <w:rFonts w:hint="eastAsia" w:cs="宋体"/>
          <w:b w:val="0"/>
          <w:bCs w:val="0"/>
          <w:i w:val="0"/>
          <w:iCs w:val="0"/>
          <w:color w:val="auto"/>
          <w:sz w:val="24"/>
          <w:szCs w:val="24"/>
          <w:highlight w:val="none"/>
          <w:lang w:val="en-US" w:eastAsia="zh-CN"/>
        </w:rPr>
        <w:t xml:space="preserve">     </w:t>
      </w:r>
      <w:r>
        <w:rPr>
          <w:rStyle w:val="35"/>
          <w:rFonts w:hint="eastAsia" w:ascii="宋体" w:hAnsi="宋体" w:eastAsia="宋体" w:cs="宋体"/>
          <w:b w:val="0"/>
          <w:bCs w:val="0"/>
          <w:i w:val="0"/>
          <w:iCs w:val="0"/>
          <w:color w:val="auto"/>
          <w:sz w:val="24"/>
          <w:szCs w:val="24"/>
          <w:highlight w:val="none"/>
        </w:rPr>
        <w:t> 2015年9月28日</w:t>
      </w:r>
    </w:p>
    <w:p w14:paraId="5F33C147">
      <w:pPr>
        <w:rPr>
          <w:rFonts w:hint="eastAsia" w:cs="宋体"/>
          <w:i w:val="0"/>
          <w:iCs w:val="0"/>
          <w:color w:val="auto"/>
          <w:spacing w:val="6"/>
          <w:sz w:val="21"/>
          <w:szCs w:val="21"/>
          <w:highlight w:val="none"/>
        </w:rPr>
      </w:pPr>
    </w:p>
    <w:p w14:paraId="66C68DE6">
      <w:pPr>
        <w:rPr>
          <w:rFonts w:hint="eastAsia" w:cs="宋体"/>
          <w:i w:val="0"/>
          <w:iCs w:val="0"/>
          <w:color w:val="auto"/>
          <w:spacing w:val="6"/>
          <w:sz w:val="21"/>
          <w:szCs w:val="21"/>
          <w:highlight w:val="none"/>
          <w:lang w:val="en-US" w:eastAsia="zh-CN"/>
        </w:rPr>
      </w:pPr>
    </w:p>
    <w:p w14:paraId="3103CF0A">
      <w:pPr>
        <w:rPr>
          <w:rFonts w:hint="eastAsia" w:cs="宋体"/>
          <w:i w:val="0"/>
          <w:iCs w:val="0"/>
          <w:color w:val="auto"/>
          <w:spacing w:val="6"/>
          <w:sz w:val="21"/>
          <w:szCs w:val="21"/>
          <w:highlight w:val="none"/>
          <w:lang w:val="en-US" w:eastAsia="zh-CN"/>
        </w:rPr>
      </w:pPr>
    </w:p>
    <w:p w14:paraId="068B5183">
      <w:pPr>
        <w:rPr>
          <w:rFonts w:hint="eastAsia" w:cs="宋体"/>
          <w:i w:val="0"/>
          <w:iCs w:val="0"/>
          <w:color w:val="auto"/>
          <w:spacing w:val="6"/>
          <w:sz w:val="21"/>
          <w:szCs w:val="21"/>
          <w:highlight w:val="none"/>
          <w:lang w:val="en-US" w:eastAsia="zh-CN"/>
        </w:rPr>
      </w:pPr>
    </w:p>
    <w:p w14:paraId="39CAF136">
      <w:pPr>
        <w:rPr>
          <w:rFonts w:hint="eastAsia" w:cs="宋体"/>
          <w:i w:val="0"/>
          <w:iCs w:val="0"/>
          <w:color w:val="auto"/>
          <w:spacing w:val="6"/>
          <w:sz w:val="21"/>
          <w:szCs w:val="21"/>
          <w:highlight w:val="none"/>
          <w:lang w:val="en-US" w:eastAsia="zh-CN"/>
        </w:rPr>
      </w:pPr>
    </w:p>
    <w:p w14:paraId="3F3BDCC1">
      <w:pPr>
        <w:rPr>
          <w:rFonts w:hint="eastAsia" w:cs="宋体"/>
          <w:i w:val="0"/>
          <w:iCs w:val="0"/>
          <w:color w:val="auto"/>
          <w:spacing w:val="6"/>
          <w:sz w:val="21"/>
          <w:szCs w:val="21"/>
          <w:highlight w:val="none"/>
          <w:lang w:val="en-US" w:eastAsia="zh-CN"/>
        </w:rPr>
      </w:pPr>
    </w:p>
    <w:p w14:paraId="6864B454">
      <w:pPr>
        <w:rPr>
          <w:rFonts w:hint="eastAsia" w:cs="宋体"/>
          <w:i w:val="0"/>
          <w:iCs w:val="0"/>
          <w:color w:val="auto"/>
          <w:spacing w:val="6"/>
          <w:sz w:val="21"/>
          <w:szCs w:val="21"/>
          <w:highlight w:val="none"/>
          <w:lang w:val="en-US" w:eastAsia="zh-CN"/>
        </w:rPr>
      </w:pPr>
    </w:p>
    <w:p w14:paraId="30774D0D">
      <w:pPr>
        <w:rPr>
          <w:rFonts w:hint="eastAsia" w:cs="宋体"/>
          <w:i w:val="0"/>
          <w:iCs w:val="0"/>
          <w:color w:val="auto"/>
          <w:spacing w:val="6"/>
          <w:sz w:val="21"/>
          <w:szCs w:val="21"/>
          <w:highlight w:val="none"/>
          <w:lang w:val="en-US" w:eastAsia="zh-CN"/>
        </w:rPr>
      </w:pPr>
    </w:p>
    <w:p w14:paraId="58EB1E65">
      <w:pPr>
        <w:rPr>
          <w:rFonts w:hint="eastAsia" w:cs="宋体"/>
          <w:i w:val="0"/>
          <w:iCs w:val="0"/>
          <w:color w:val="auto"/>
          <w:spacing w:val="6"/>
          <w:sz w:val="21"/>
          <w:szCs w:val="21"/>
          <w:highlight w:val="none"/>
        </w:rPr>
      </w:pPr>
      <w:r>
        <w:rPr>
          <w:rFonts w:hint="eastAsia" w:cs="宋体"/>
          <w:i w:val="0"/>
          <w:iCs w:val="0"/>
          <w:color w:val="auto"/>
          <w:spacing w:val="6"/>
          <w:sz w:val="21"/>
          <w:szCs w:val="21"/>
          <w:highlight w:val="none"/>
          <w:lang w:val="en-US" w:eastAsia="zh-CN"/>
        </w:rPr>
        <w:t>附件</w:t>
      </w:r>
      <w:r>
        <w:rPr>
          <w:rFonts w:hint="eastAsia" w:cs="宋体"/>
          <w:i w:val="0"/>
          <w:iCs w:val="0"/>
          <w:color w:val="auto"/>
          <w:spacing w:val="6"/>
          <w:sz w:val="21"/>
          <w:szCs w:val="21"/>
          <w:highlight w:val="none"/>
        </w:rPr>
        <w:t>              </w:t>
      </w:r>
    </w:p>
    <w:p w14:paraId="0E5B3074">
      <w:pPr>
        <w:pStyle w:val="16"/>
        <w:keepNext w:val="0"/>
        <w:keepLines w:val="0"/>
        <w:pageBreakBefore w:val="0"/>
        <w:widowControl w:val="0"/>
        <w:kinsoku/>
        <w:wordWrap/>
        <w:overflowPunct/>
        <w:topLinePunct w:val="0"/>
        <w:autoSpaceDE/>
        <w:autoSpaceDN/>
        <w:bidi w:val="0"/>
        <w:adjustRightInd/>
        <w:snapToGrid/>
        <w:spacing w:before="0" w:beforeLines="50" w:after="0" w:afterLines="50" w:line="240" w:lineRule="auto"/>
        <w:jc w:val="center"/>
        <w:textAlignment w:val="auto"/>
        <w:rPr>
          <w:rFonts w:hint="eastAsia" w:ascii="方正小标宋_GBK" w:hAnsi="方正小标宋_GBK" w:eastAsia="方正小标宋_GBK" w:cs="方正小标宋_GBK"/>
          <w:bCs/>
          <w:i w:val="0"/>
          <w:iCs w:val="0"/>
          <w:color w:val="auto"/>
          <w:sz w:val="32"/>
          <w:szCs w:val="32"/>
          <w:highlight w:val="none"/>
        </w:rPr>
      </w:pPr>
      <w:r>
        <w:rPr>
          <w:rFonts w:hint="eastAsia" w:ascii="宋体" w:hAnsi="宋体" w:eastAsia="宋体" w:cs="宋体"/>
          <w:b/>
          <w:bCs w:val="0"/>
          <w:i w:val="0"/>
          <w:iCs w:val="0"/>
          <w:color w:val="auto"/>
          <w:sz w:val="28"/>
          <w:szCs w:val="28"/>
          <w:highlight w:val="none"/>
        </w:rPr>
        <w:t>金融业企业划型标准规定</w:t>
      </w:r>
    </w:p>
    <w:p w14:paraId="7C4A3396">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0462FA6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二、适用范围。本规定适用于从事《国民经济行业分类》（GB/T4754-2011）中J门类（金融业）活动的企业。</w:t>
      </w:r>
    </w:p>
    <w:p w14:paraId="7A691AF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034F976">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0B689C77">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五、指标标准值。依据指标标准值，将各类金融业企业划分为大、中、小、微四个规模类型，中型企业标准上限及以上的为大型企业。</w:t>
      </w:r>
    </w:p>
    <w:p w14:paraId="36BC839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737D1065">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5231F48B">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0CBEB3E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4EDFCC7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200DC0FC">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556AEB8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5537A29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lang w:eastAsia="zh-CN"/>
        </w:rPr>
      </w:pPr>
      <w:r>
        <w:rPr>
          <w:rStyle w:val="35"/>
          <w:rFonts w:hint="eastAsia" w:ascii="宋体" w:hAnsi="宋体" w:eastAsia="宋体" w:cs="宋体"/>
          <w:b w:val="0"/>
          <w:bCs w:val="0"/>
          <w:i w:val="0"/>
          <w:iCs w:val="0"/>
          <w:color w:val="auto"/>
          <w:sz w:val="24"/>
          <w:szCs w:val="24"/>
          <w:highlight w:val="none"/>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35"/>
          <w:rFonts w:hint="eastAsia" w:cs="宋体"/>
          <w:b w:val="0"/>
          <w:bCs w:val="0"/>
          <w:i w:val="0"/>
          <w:iCs w:val="0"/>
          <w:color w:val="auto"/>
          <w:sz w:val="24"/>
          <w:szCs w:val="24"/>
          <w:highlight w:val="none"/>
          <w:lang w:eastAsia="zh-CN"/>
        </w:rPr>
        <w:t>。</w:t>
      </w:r>
    </w:p>
    <w:p w14:paraId="745E262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35"/>
          <w:rFonts w:hint="eastAsia" w:cs="宋体"/>
          <w:b w:val="0"/>
          <w:bCs w:val="0"/>
          <w:i w:val="0"/>
          <w:iCs w:val="0"/>
          <w:color w:val="auto"/>
          <w:sz w:val="24"/>
          <w:szCs w:val="24"/>
          <w:highlight w:val="none"/>
          <w:lang w:eastAsia="zh-CN"/>
        </w:rPr>
        <w:t>，</w:t>
      </w:r>
      <w:r>
        <w:rPr>
          <w:rStyle w:val="35"/>
          <w:rFonts w:hint="eastAsia" w:ascii="宋体" w:hAnsi="宋体" w:eastAsia="宋体" w:cs="宋体"/>
          <w:b w:val="0"/>
          <w:bCs w:val="0"/>
          <w:i w:val="0"/>
          <w:iCs w:val="0"/>
          <w:color w:val="auto"/>
          <w:sz w:val="24"/>
          <w:szCs w:val="24"/>
          <w:highlight w:val="none"/>
        </w:rPr>
        <w:t>方便政府部门和社会各界查询使用。</w:t>
      </w:r>
    </w:p>
    <w:p w14:paraId="5560111B">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七、标准值的评估和调整。金融业企业划型标准工作组每五年对划型标准值受经济发展与通货膨胀等因素的影响程度进行评估和调整。</w:t>
      </w:r>
    </w:p>
    <w:p w14:paraId="4B4AEF4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lang w:eastAsia="zh-CN"/>
        </w:rPr>
      </w:pPr>
      <w:r>
        <w:rPr>
          <w:rStyle w:val="35"/>
          <w:rFonts w:hint="eastAsia" w:ascii="宋体" w:hAnsi="宋体" w:eastAsia="宋体" w:cs="宋体"/>
          <w:b w:val="0"/>
          <w:bCs w:val="0"/>
          <w:i w:val="0"/>
          <w:i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35"/>
          <w:rFonts w:hint="eastAsia" w:cs="宋体"/>
          <w:b w:val="0"/>
          <w:bCs w:val="0"/>
          <w:i w:val="0"/>
          <w:iCs w:val="0"/>
          <w:color w:val="auto"/>
          <w:sz w:val="24"/>
          <w:szCs w:val="24"/>
          <w:highlight w:val="none"/>
          <w:lang w:eastAsia="zh-CN"/>
        </w:rPr>
        <w:t>。</w:t>
      </w:r>
    </w:p>
    <w:p w14:paraId="5ED81B1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lang w:eastAsia="zh-CN"/>
        </w:rPr>
      </w:pPr>
      <w:r>
        <w:rPr>
          <w:rStyle w:val="35"/>
          <w:rFonts w:hint="eastAsia" w:ascii="宋体" w:hAnsi="宋体" w:eastAsia="宋体" w:cs="宋体"/>
          <w:b w:val="0"/>
          <w:bCs w:val="0"/>
          <w:i w:val="0"/>
          <w:iCs w:val="0"/>
          <w:color w:val="auto"/>
          <w:sz w:val="24"/>
          <w:szCs w:val="24"/>
          <w:highlight w:val="none"/>
        </w:rPr>
        <w:t>九、融资担保公司参照本规定中“除贷款公司、小额贷款公司、典当行以外的其他金融机构”标准划型</w:t>
      </w:r>
      <w:r>
        <w:rPr>
          <w:rStyle w:val="35"/>
          <w:rFonts w:hint="eastAsia" w:cs="宋体"/>
          <w:b w:val="0"/>
          <w:bCs w:val="0"/>
          <w:i w:val="0"/>
          <w:iCs w:val="0"/>
          <w:color w:val="auto"/>
          <w:sz w:val="24"/>
          <w:szCs w:val="24"/>
          <w:highlight w:val="none"/>
          <w:lang w:eastAsia="zh-CN"/>
        </w:rPr>
        <w:t>。</w:t>
      </w:r>
    </w:p>
    <w:p w14:paraId="6B3C92AD">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十、本规定由人民银行会同银监会、证监会、保监会和统计局负责解释。</w:t>
      </w:r>
    </w:p>
    <w:p w14:paraId="26F5980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十一、本规定自发布之日起实施,</w:t>
      </w:r>
    </w:p>
    <w:p w14:paraId="1C5EB81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rPr>
      </w:pPr>
    </w:p>
    <w:p w14:paraId="5BD79D1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5"/>
          <w:rFonts w:hint="eastAsia" w:ascii="宋体" w:hAnsi="宋体" w:eastAsia="宋体" w:cs="宋体"/>
          <w:b w:val="0"/>
          <w:bCs w:val="0"/>
          <w:i w:val="0"/>
          <w:iCs w:val="0"/>
          <w:color w:val="auto"/>
          <w:sz w:val="24"/>
          <w:szCs w:val="24"/>
          <w:highlight w:val="none"/>
        </w:rPr>
      </w:pPr>
      <w:r>
        <w:rPr>
          <w:rStyle w:val="35"/>
          <w:rFonts w:hint="eastAsia" w:ascii="宋体" w:hAnsi="宋体" w:eastAsia="宋体" w:cs="宋体"/>
          <w:b w:val="0"/>
          <w:bCs w:val="0"/>
          <w:i w:val="0"/>
          <w:iCs w:val="0"/>
          <w:color w:val="auto"/>
          <w:sz w:val="24"/>
          <w:szCs w:val="24"/>
          <w:highlight w:val="none"/>
        </w:rPr>
        <w:t>附:金融业企业划型标准</w:t>
      </w:r>
    </w:p>
    <w:p w14:paraId="2A225327">
      <w:pPr>
        <w:rPr>
          <w:rFonts w:cs="宋体"/>
          <w:i w:val="0"/>
          <w:iCs w:val="0"/>
          <w:color w:val="auto"/>
          <w:spacing w:val="6"/>
          <w:sz w:val="21"/>
          <w:szCs w:val="21"/>
          <w:highlight w:val="none"/>
        </w:rPr>
      </w:pPr>
    </w:p>
    <w:p w14:paraId="30DE7947">
      <w:pPr>
        <w:rPr>
          <w:rFonts w:hint="eastAsia" w:cs="宋体"/>
          <w:i w:val="0"/>
          <w:iCs w:val="0"/>
          <w:color w:val="auto"/>
          <w:spacing w:val="6"/>
          <w:sz w:val="24"/>
          <w:szCs w:val="24"/>
          <w:highlight w:val="none"/>
          <w:lang w:val="en-US" w:eastAsia="zh-CN"/>
        </w:rPr>
      </w:pPr>
    </w:p>
    <w:p w14:paraId="3BCF3796">
      <w:pPr>
        <w:rPr>
          <w:rFonts w:hint="eastAsia" w:cs="宋体"/>
          <w:i w:val="0"/>
          <w:iCs w:val="0"/>
          <w:color w:val="auto"/>
          <w:spacing w:val="6"/>
          <w:sz w:val="24"/>
          <w:szCs w:val="24"/>
          <w:highlight w:val="none"/>
          <w:lang w:val="en-US" w:eastAsia="zh-CN"/>
        </w:rPr>
      </w:pPr>
    </w:p>
    <w:p w14:paraId="78D841A2">
      <w:pPr>
        <w:rPr>
          <w:rFonts w:hint="eastAsia" w:cs="宋体"/>
          <w:i w:val="0"/>
          <w:iCs w:val="0"/>
          <w:color w:val="auto"/>
          <w:spacing w:val="6"/>
          <w:sz w:val="24"/>
          <w:szCs w:val="24"/>
          <w:highlight w:val="none"/>
          <w:lang w:val="en-US" w:eastAsia="zh-CN"/>
        </w:rPr>
      </w:pPr>
    </w:p>
    <w:p w14:paraId="268BC663">
      <w:pPr>
        <w:rPr>
          <w:rFonts w:hint="eastAsia" w:cs="宋体"/>
          <w:i w:val="0"/>
          <w:iCs w:val="0"/>
          <w:color w:val="auto"/>
          <w:spacing w:val="6"/>
          <w:sz w:val="24"/>
          <w:szCs w:val="24"/>
          <w:highlight w:val="none"/>
          <w:lang w:val="en-US" w:eastAsia="zh-CN"/>
        </w:rPr>
      </w:pPr>
    </w:p>
    <w:p w14:paraId="1EA31805">
      <w:pPr>
        <w:rPr>
          <w:rFonts w:hint="eastAsia" w:cs="宋体"/>
          <w:i w:val="0"/>
          <w:iCs w:val="0"/>
          <w:color w:val="auto"/>
          <w:spacing w:val="6"/>
          <w:sz w:val="24"/>
          <w:szCs w:val="24"/>
          <w:highlight w:val="none"/>
          <w:lang w:val="en-US" w:eastAsia="zh-CN"/>
        </w:rPr>
      </w:pPr>
    </w:p>
    <w:p w14:paraId="4A921E90">
      <w:pPr>
        <w:rPr>
          <w:rFonts w:hint="eastAsia" w:cs="宋体"/>
          <w:i w:val="0"/>
          <w:iCs w:val="0"/>
          <w:color w:val="auto"/>
          <w:spacing w:val="6"/>
          <w:sz w:val="24"/>
          <w:szCs w:val="24"/>
          <w:highlight w:val="none"/>
          <w:lang w:val="en-US" w:eastAsia="zh-CN"/>
        </w:rPr>
      </w:pPr>
    </w:p>
    <w:p w14:paraId="5235ACE8">
      <w:pPr>
        <w:rPr>
          <w:rFonts w:hint="eastAsia" w:cs="宋体"/>
          <w:i w:val="0"/>
          <w:iCs w:val="0"/>
          <w:color w:val="auto"/>
          <w:spacing w:val="6"/>
          <w:sz w:val="24"/>
          <w:szCs w:val="24"/>
          <w:highlight w:val="none"/>
          <w:lang w:val="en-US" w:eastAsia="zh-CN"/>
        </w:rPr>
      </w:pPr>
      <w:r>
        <w:rPr>
          <w:rFonts w:hint="eastAsia" w:cs="宋体"/>
          <w:i w:val="0"/>
          <w:iCs w:val="0"/>
          <w:color w:val="auto"/>
          <w:spacing w:val="6"/>
          <w:sz w:val="24"/>
          <w:szCs w:val="24"/>
          <w:highlight w:val="none"/>
          <w:lang w:val="en-US" w:eastAsia="zh-CN"/>
        </w:rPr>
        <w:t>附</w:t>
      </w:r>
    </w:p>
    <w:p w14:paraId="2C7DD164">
      <w:pPr>
        <w:pStyle w:val="16"/>
        <w:keepNext w:val="0"/>
        <w:keepLines w:val="0"/>
        <w:pageBreakBefore w:val="0"/>
        <w:widowControl w:val="0"/>
        <w:kinsoku/>
        <w:wordWrap/>
        <w:overflowPunct/>
        <w:topLinePunct w:val="0"/>
        <w:autoSpaceDE/>
        <w:autoSpaceDN/>
        <w:bidi w:val="0"/>
        <w:adjustRightInd/>
        <w:snapToGrid/>
        <w:spacing w:before="0" w:beforeLines="50" w:after="0" w:afterLines="50" w:line="240" w:lineRule="auto"/>
        <w:jc w:val="center"/>
        <w:textAlignment w:val="auto"/>
        <w:rPr>
          <w:rFonts w:hint="eastAsia" w:ascii="方正小标宋_GBK" w:hAnsi="方正小标宋_GBK" w:eastAsia="方正小标宋_GBK" w:cs="方正小标宋_GBK"/>
          <w:bCs/>
          <w:i w:val="0"/>
          <w:iCs w:val="0"/>
          <w:color w:val="auto"/>
          <w:sz w:val="32"/>
          <w:szCs w:val="32"/>
          <w:highlight w:val="none"/>
        </w:rPr>
      </w:pPr>
      <w:r>
        <w:rPr>
          <w:rFonts w:hint="eastAsia" w:ascii="宋体" w:hAnsi="宋体" w:eastAsia="宋体" w:cs="宋体"/>
          <w:b/>
          <w:bCs w:val="0"/>
          <w:i w:val="0"/>
          <w:iCs w:val="0"/>
          <w:color w:val="auto"/>
          <w:sz w:val="28"/>
          <w:szCs w:val="28"/>
          <w:highlight w:val="none"/>
        </w:rPr>
        <w:t>金融业企业划型标准</w:t>
      </w:r>
    </w:p>
    <w:tbl>
      <w:tblPr>
        <w:tblStyle w:val="33"/>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9"/>
        <w:gridCol w:w="1168"/>
        <w:gridCol w:w="1817"/>
        <w:gridCol w:w="1143"/>
        <w:gridCol w:w="3251"/>
      </w:tblGrid>
      <w:tr w14:paraId="7AD54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Align w:val="center"/>
          </w:tcPr>
          <w:p w14:paraId="35CC5654">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行业</w:t>
            </w:r>
          </w:p>
        </w:tc>
        <w:tc>
          <w:tcPr>
            <w:tcW w:w="1817" w:type="dxa"/>
            <w:vAlign w:val="center"/>
          </w:tcPr>
          <w:p w14:paraId="60398326">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类别</w:t>
            </w:r>
          </w:p>
        </w:tc>
        <w:tc>
          <w:tcPr>
            <w:tcW w:w="1143" w:type="dxa"/>
            <w:vAlign w:val="center"/>
          </w:tcPr>
          <w:p w14:paraId="39636D4F">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类型</w:t>
            </w:r>
          </w:p>
        </w:tc>
        <w:tc>
          <w:tcPr>
            <w:tcW w:w="3251" w:type="dxa"/>
            <w:vAlign w:val="center"/>
          </w:tcPr>
          <w:p w14:paraId="062D6952">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资产总额</w:t>
            </w:r>
          </w:p>
        </w:tc>
      </w:tr>
      <w:tr w14:paraId="4A009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322801B2">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货币金融服务</w:t>
            </w:r>
          </w:p>
        </w:tc>
        <w:tc>
          <w:tcPr>
            <w:tcW w:w="1168" w:type="dxa"/>
            <w:vMerge w:val="restart"/>
            <w:vAlign w:val="center"/>
          </w:tcPr>
          <w:p w14:paraId="4E9E521D">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货币银行服务</w:t>
            </w:r>
          </w:p>
        </w:tc>
        <w:tc>
          <w:tcPr>
            <w:tcW w:w="1817" w:type="dxa"/>
            <w:vMerge w:val="restart"/>
            <w:vAlign w:val="center"/>
          </w:tcPr>
          <w:p w14:paraId="1CA8B52A">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银行业存款类金融机构</w:t>
            </w:r>
          </w:p>
        </w:tc>
        <w:tc>
          <w:tcPr>
            <w:tcW w:w="1143" w:type="dxa"/>
            <w:vAlign w:val="center"/>
          </w:tcPr>
          <w:p w14:paraId="2C1232D1">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vAlign w:val="center"/>
          </w:tcPr>
          <w:p w14:paraId="037F4309">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5000亿元（含）至40000亿元</w:t>
            </w:r>
          </w:p>
        </w:tc>
      </w:tr>
      <w:tr w14:paraId="2ACF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B9DD8E3">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3A4450BD">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47663EA8">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vAlign w:val="center"/>
          </w:tcPr>
          <w:p w14:paraId="21EEC975">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66583C40">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50亿元（含）至5000亿元</w:t>
            </w:r>
          </w:p>
        </w:tc>
      </w:tr>
      <w:tr w14:paraId="2C5CC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D8A1082">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48E191DB">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651919A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vAlign w:val="center"/>
          </w:tcPr>
          <w:p w14:paraId="747367C7">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vAlign w:val="center"/>
          </w:tcPr>
          <w:p w14:paraId="2DE87BAC">
            <w:pPr>
              <w:spacing w:line="240" w:lineRule="auto"/>
              <w:jc w:val="center"/>
              <w:rPr>
                <w:rFonts w:hint="eastAsia" w:ascii="宋体" w:hAnsi="宋体" w:eastAsia="宋体" w:cs="宋体"/>
                <w:i w:val="0"/>
                <w:iCs w:val="0"/>
                <w:color w:val="auto"/>
                <w:spacing w:val="6"/>
                <w:sz w:val="21"/>
                <w:szCs w:val="21"/>
                <w:highlight w:val="none"/>
                <w:vertAlign w:val="baseline"/>
                <w:lang w:val="en-US"/>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33957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F810A0C">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restart"/>
            <w:vAlign w:val="center"/>
          </w:tcPr>
          <w:p w14:paraId="762E5801">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非货币银行服务</w:t>
            </w:r>
          </w:p>
        </w:tc>
        <w:tc>
          <w:tcPr>
            <w:tcW w:w="1817" w:type="dxa"/>
            <w:vMerge w:val="restart"/>
            <w:vAlign w:val="center"/>
          </w:tcPr>
          <w:p w14:paraId="15E4750B">
            <w:pPr>
              <w:spacing w:line="240" w:lineRule="auto"/>
              <w:jc w:val="both"/>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lang w:val="en-US" w:eastAsia="zh-CN"/>
              </w:rPr>
              <w:t>银行业非存款类金融机构</w:t>
            </w:r>
          </w:p>
        </w:tc>
        <w:tc>
          <w:tcPr>
            <w:tcW w:w="1143" w:type="dxa"/>
            <w:shd w:val="clear" w:color="auto" w:fill="auto"/>
            <w:vAlign w:val="center"/>
          </w:tcPr>
          <w:p w14:paraId="225A4F2D">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4E1A4284">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200亿元（含）至1000亿元</w:t>
            </w:r>
          </w:p>
        </w:tc>
      </w:tr>
      <w:tr w14:paraId="7B744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E1A6E4C">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4D50AC9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31E2F9F7">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1645F3BD">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29EE1C43">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50亿元（含）至200亿元</w:t>
            </w:r>
          </w:p>
        </w:tc>
      </w:tr>
      <w:tr w14:paraId="136E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F15DAF5">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3DAA4292">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30406A8D">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11B27E37">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vAlign w:val="center"/>
          </w:tcPr>
          <w:p w14:paraId="54339DBA">
            <w:pPr>
              <w:spacing w:line="240" w:lineRule="auto"/>
              <w:jc w:val="center"/>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24CA6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84C99D1">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65CCC3B8">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restart"/>
            <w:vAlign w:val="center"/>
          </w:tcPr>
          <w:p w14:paraId="27FE0995">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贷款公司、小额贷款公司及典当行</w:t>
            </w:r>
          </w:p>
        </w:tc>
        <w:tc>
          <w:tcPr>
            <w:tcW w:w="1143" w:type="dxa"/>
            <w:shd w:val="clear" w:color="auto" w:fill="auto"/>
            <w:vAlign w:val="center"/>
          </w:tcPr>
          <w:p w14:paraId="7F7CD7F2">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4903E9A2">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200亿元（含）至1000亿元</w:t>
            </w:r>
          </w:p>
        </w:tc>
      </w:tr>
      <w:tr w14:paraId="4D7A7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4D30921">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170DE0E7">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519CAC1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5888795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07A62F11">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50亿元（含）至200亿元</w:t>
            </w:r>
          </w:p>
        </w:tc>
      </w:tr>
      <w:tr w14:paraId="1CBF0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EE26E3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6B6B188C">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4BEE9187">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7A38BAF3">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370313E9">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23D47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717BF8DA">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资本市场服务</w:t>
            </w:r>
          </w:p>
        </w:tc>
        <w:tc>
          <w:tcPr>
            <w:tcW w:w="1817" w:type="dxa"/>
            <w:vMerge w:val="restart"/>
            <w:vAlign w:val="center"/>
          </w:tcPr>
          <w:p w14:paraId="37B07E65">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证券业金融机构</w:t>
            </w:r>
          </w:p>
        </w:tc>
        <w:tc>
          <w:tcPr>
            <w:tcW w:w="1143" w:type="dxa"/>
            <w:shd w:val="clear" w:color="auto" w:fill="auto"/>
            <w:vAlign w:val="center"/>
          </w:tcPr>
          <w:p w14:paraId="38F383A9">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140D57BF">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100亿元（含）至1000亿元</w:t>
            </w:r>
          </w:p>
        </w:tc>
      </w:tr>
      <w:tr w14:paraId="4F778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338F138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710AF8D">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2D08D168">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6A76EF53">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10亿元（含）至100亿元</w:t>
            </w:r>
          </w:p>
        </w:tc>
      </w:tr>
      <w:tr w14:paraId="6774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15756808">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10C54C1B">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0B1699B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7AB4DA8D">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10亿元以下</w:t>
            </w:r>
          </w:p>
        </w:tc>
      </w:tr>
      <w:tr w14:paraId="1411C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173945E7">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保险业</w:t>
            </w:r>
          </w:p>
        </w:tc>
        <w:tc>
          <w:tcPr>
            <w:tcW w:w="1817" w:type="dxa"/>
            <w:vMerge w:val="restart"/>
            <w:vAlign w:val="center"/>
          </w:tcPr>
          <w:p w14:paraId="0E04A019">
            <w:pPr>
              <w:spacing w:line="240" w:lineRule="auto"/>
              <w:jc w:val="both"/>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lang w:val="en-US" w:eastAsia="zh-CN"/>
              </w:rPr>
              <w:t>保险业金融机构</w:t>
            </w:r>
          </w:p>
        </w:tc>
        <w:tc>
          <w:tcPr>
            <w:tcW w:w="1143" w:type="dxa"/>
            <w:shd w:val="clear" w:color="auto" w:fill="auto"/>
            <w:vAlign w:val="center"/>
          </w:tcPr>
          <w:p w14:paraId="50A4B504">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4A40F9F7">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400亿元（含）至5000亿元</w:t>
            </w:r>
          </w:p>
        </w:tc>
      </w:tr>
      <w:tr w14:paraId="6149E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2752DD2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20650581">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7DA47220">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4CF1E870">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20亿元（含）至400亿元</w:t>
            </w:r>
          </w:p>
        </w:tc>
      </w:tr>
      <w:tr w14:paraId="1118F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345E254B">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0CB8A67C">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00124DB1">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7E08BD65">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20亿元以下</w:t>
            </w:r>
          </w:p>
        </w:tc>
      </w:tr>
      <w:tr w14:paraId="11894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4BA27800">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其他金融业</w:t>
            </w:r>
          </w:p>
        </w:tc>
        <w:tc>
          <w:tcPr>
            <w:tcW w:w="1168" w:type="dxa"/>
            <w:vMerge w:val="restart"/>
            <w:vAlign w:val="center"/>
          </w:tcPr>
          <w:p w14:paraId="25AB3C45">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金融信托与管理服务</w:t>
            </w:r>
          </w:p>
        </w:tc>
        <w:tc>
          <w:tcPr>
            <w:tcW w:w="1817" w:type="dxa"/>
            <w:vMerge w:val="restart"/>
            <w:vAlign w:val="center"/>
          </w:tcPr>
          <w:p w14:paraId="24D39D44">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信托公司</w:t>
            </w:r>
          </w:p>
        </w:tc>
        <w:tc>
          <w:tcPr>
            <w:tcW w:w="1143" w:type="dxa"/>
            <w:shd w:val="clear" w:color="auto" w:fill="auto"/>
            <w:vAlign w:val="center"/>
          </w:tcPr>
          <w:p w14:paraId="7C6C6E8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0DC8470E">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400亿元（含）至1000亿元</w:t>
            </w:r>
          </w:p>
        </w:tc>
      </w:tr>
      <w:tr w14:paraId="12F01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550CC0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709ACEC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30A487A4">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202F8C61">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740F8662">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20亿元（含）至400亿元</w:t>
            </w:r>
          </w:p>
        </w:tc>
      </w:tr>
      <w:tr w14:paraId="28890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E0E28BA">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0D2A5CC3">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83D7754">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41B38C27">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47116DA2">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20亿元以下</w:t>
            </w:r>
          </w:p>
        </w:tc>
      </w:tr>
      <w:tr w14:paraId="5E27B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CF0360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restart"/>
            <w:vAlign w:val="center"/>
          </w:tcPr>
          <w:p w14:paraId="5BDF5E20">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控股公司服务</w:t>
            </w:r>
          </w:p>
        </w:tc>
        <w:tc>
          <w:tcPr>
            <w:tcW w:w="1817" w:type="dxa"/>
            <w:vMerge w:val="restart"/>
            <w:vAlign w:val="center"/>
          </w:tcPr>
          <w:p w14:paraId="6059FDE4">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金融控股公司</w:t>
            </w:r>
          </w:p>
        </w:tc>
        <w:tc>
          <w:tcPr>
            <w:tcW w:w="1143" w:type="dxa"/>
            <w:shd w:val="clear" w:color="auto" w:fill="auto"/>
            <w:vAlign w:val="center"/>
          </w:tcPr>
          <w:p w14:paraId="15159C83">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0009A974">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5000亿元（含）至40000亿元</w:t>
            </w:r>
          </w:p>
        </w:tc>
      </w:tr>
      <w:tr w14:paraId="7C76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5EBD09A">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5660200D">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33EE5D95">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04A57C30">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7AF1D1A5">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50亿元（含）至5000亿元</w:t>
            </w:r>
          </w:p>
        </w:tc>
      </w:tr>
      <w:tr w14:paraId="185A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D24603C">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2669CB42">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594AEAC8">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3A3B59F3">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0BA1A034">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765AA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7DD4E1C0">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restart"/>
            <w:vAlign w:val="center"/>
          </w:tcPr>
          <w:p w14:paraId="01FF6FD3">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其他未包括的金融业</w:t>
            </w:r>
          </w:p>
        </w:tc>
        <w:tc>
          <w:tcPr>
            <w:tcW w:w="1817" w:type="dxa"/>
            <w:vMerge w:val="restart"/>
            <w:vAlign w:val="center"/>
          </w:tcPr>
          <w:p w14:paraId="179AF2B1">
            <w:pPr>
              <w:spacing w:line="240" w:lineRule="auto"/>
              <w:jc w:val="both"/>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rPr>
              <w:t>除贷款公司、小额贷款公司、典当行以外的其他金融机构</w:t>
            </w:r>
          </w:p>
        </w:tc>
        <w:tc>
          <w:tcPr>
            <w:tcW w:w="1143" w:type="dxa"/>
            <w:shd w:val="clear" w:color="auto" w:fill="auto"/>
            <w:vAlign w:val="center"/>
          </w:tcPr>
          <w:p w14:paraId="5CF1FF44">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2D5F331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200亿元（含）至1000亿元</w:t>
            </w:r>
          </w:p>
        </w:tc>
      </w:tr>
      <w:tr w14:paraId="0DAF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6874F9F6">
            <w:pPr>
              <w:spacing w:line="240" w:lineRule="auto"/>
              <w:rPr>
                <w:rFonts w:hint="eastAsia" w:ascii="宋体" w:hAnsi="宋体" w:eastAsia="宋体" w:cs="宋体"/>
                <w:i w:val="0"/>
                <w:iCs w:val="0"/>
                <w:color w:val="auto"/>
                <w:spacing w:val="6"/>
                <w:sz w:val="21"/>
                <w:szCs w:val="21"/>
                <w:highlight w:val="none"/>
                <w:vertAlign w:val="baseline"/>
              </w:rPr>
            </w:pPr>
          </w:p>
        </w:tc>
        <w:tc>
          <w:tcPr>
            <w:tcW w:w="1168" w:type="dxa"/>
            <w:vMerge w:val="continue"/>
          </w:tcPr>
          <w:p w14:paraId="4B0F7E4C">
            <w:pPr>
              <w:spacing w:line="240" w:lineRule="auto"/>
              <w:rPr>
                <w:rFonts w:hint="eastAsia" w:ascii="宋体" w:hAnsi="宋体" w:eastAsia="宋体" w:cs="宋体"/>
                <w:i w:val="0"/>
                <w:iCs w:val="0"/>
                <w:color w:val="auto"/>
                <w:spacing w:val="6"/>
                <w:sz w:val="21"/>
                <w:szCs w:val="21"/>
                <w:highlight w:val="none"/>
                <w:vertAlign w:val="baseline"/>
              </w:rPr>
            </w:pPr>
          </w:p>
        </w:tc>
        <w:tc>
          <w:tcPr>
            <w:tcW w:w="1817" w:type="dxa"/>
            <w:vMerge w:val="continue"/>
          </w:tcPr>
          <w:p w14:paraId="49CB95E6">
            <w:pPr>
              <w:spacing w:line="240" w:lineRule="auto"/>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71B02803">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43819D99">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50亿元（含）至200亿元</w:t>
            </w:r>
          </w:p>
        </w:tc>
      </w:tr>
      <w:tr w14:paraId="16E7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3B6E86F4">
            <w:pPr>
              <w:spacing w:line="240" w:lineRule="auto"/>
              <w:rPr>
                <w:rFonts w:hint="eastAsia" w:ascii="宋体" w:hAnsi="宋体" w:eastAsia="宋体" w:cs="宋体"/>
                <w:i w:val="0"/>
                <w:iCs w:val="0"/>
                <w:color w:val="auto"/>
                <w:spacing w:val="6"/>
                <w:sz w:val="21"/>
                <w:szCs w:val="21"/>
                <w:highlight w:val="none"/>
                <w:vertAlign w:val="baseline"/>
              </w:rPr>
            </w:pPr>
          </w:p>
        </w:tc>
        <w:tc>
          <w:tcPr>
            <w:tcW w:w="1168" w:type="dxa"/>
            <w:vMerge w:val="continue"/>
          </w:tcPr>
          <w:p w14:paraId="7484B083">
            <w:pPr>
              <w:spacing w:line="240" w:lineRule="auto"/>
              <w:rPr>
                <w:rFonts w:hint="eastAsia" w:ascii="宋体" w:hAnsi="宋体" w:eastAsia="宋体" w:cs="宋体"/>
                <w:i w:val="0"/>
                <w:iCs w:val="0"/>
                <w:color w:val="auto"/>
                <w:spacing w:val="6"/>
                <w:sz w:val="21"/>
                <w:szCs w:val="21"/>
                <w:highlight w:val="none"/>
                <w:vertAlign w:val="baseline"/>
              </w:rPr>
            </w:pPr>
          </w:p>
        </w:tc>
        <w:tc>
          <w:tcPr>
            <w:tcW w:w="1817" w:type="dxa"/>
            <w:vMerge w:val="continue"/>
          </w:tcPr>
          <w:p w14:paraId="4DDB2CEB">
            <w:pPr>
              <w:spacing w:line="240" w:lineRule="auto"/>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07937A85">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54932A42">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bl>
    <w:p w14:paraId="452B9107">
      <w:pPr>
        <w:rPr>
          <w:rFonts w:cs="宋体"/>
          <w:i w:val="0"/>
          <w:iCs w:val="0"/>
          <w:color w:val="auto"/>
          <w:spacing w:val="6"/>
          <w:sz w:val="21"/>
          <w:szCs w:val="21"/>
          <w:highlight w:val="none"/>
        </w:rPr>
      </w:pPr>
      <w:r>
        <w:rPr>
          <w:rFonts w:cs="宋体"/>
          <w:i w:val="0"/>
          <w:iCs w:val="0"/>
          <w:color w:val="auto"/>
          <w:spacing w:val="6"/>
          <w:sz w:val="21"/>
          <w:szCs w:val="21"/>
          <w:highlight w:val="none"/>
        </w:rPr>
        <w:br w:type="page"/>
      </w:r>
    </w:p>
    <w:bookmarkEnd w:id="520"/>
    <w:p w14:paraId="24379409">
      <w:pPr>
        <w:pStyle w:val="16"/>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小标宋_GBK" w:hAnsi="方正小标宋_GBK" w:eastAsia="方正小标宋_GBK" w:cs="方正小标宋_GBK"/>
          <w:bCs/>
          <w:i w:val="0"/>
          <w:iCs w:val="0"/>
          <w:color w:val="auto"/>
          <w:sz w:val="36"/>
          <w:szCs w:val="36"/>
          <w:highlight w:val="none"/>
          <w:lang w:val="en-US" w:eastAsia="zh-CN"/>
        </w:rPr>
      </w:pPr>
    </w:p>
    <w:p w14:paraId="2C0C2142">
      <w:pPr>
        <w:pStyle w:val="6"/>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i w:val="0"/>
          <w:iCs w:val="0"/>
          <w:color w:val="auto"/>
          <w:kern w:val="2"/>
          <w:sz w:val="24"/>
          <w:szCs w:val="24"/>
          <w:highlight w:val="none"/>
          <w:lang w:val="en-US" w:eastAsia="zh-CN" w:bidi="ar-SA"/>
        </w:rPr>
      </w:pPr>
      <w:bookmarkStart w:id="521" w:name="_Toc23416"/>
      <w:r>
        <w:rPr>
          <w:rFonts w:hint="eastAsia" w:ascii="宋体" w:hAnsi="宋体" w:eastAsia="宋体" w:cstheme="minorBidi"/>
          <w:b/>
          <w:bCs/>
          <w:i w:val="0"/>
          <w:iCs w:val="0"/>
          <w:color w:val="auto"/>
          <w:kern w:val="2"/>
          <w:sz w:val="24"/>
          <w:szCs w:val="24"/>
          <w:highlight w:val="none"/>
          <w:lang w:val="en-US" w:eastAsia="zh-CN" w:bidi="ar-SA"/>
        </w:rPr>
        <w:t>（三）监狱企业证明文件</w:t>
      </w:r>
      <w:r>
        <w:rPr>
          <w:rFonts w:hint="eastAsia" w:ascii="宋体" w:hAnsi="宋体" w:eastAsia="宋体" w:cstheme="minorBidi"/>
          <w:b w:val="0"/>
          <w:bCs w:val="0"/>
          <w:i w:val="0"/>
          <w:iCs w:val="0"/>
          <w:color w:val="auto"/>
          <w:kern w:val="2"/>
          <w:sz w:val="24"/>
          <w:szCs w:val="24"/>
          <w:highlight w:val="none"/>
          <w:lang w:val="en-US" w:eastAsia="zh-CN" w:bidi="ar-SA"/>
        </w:rPr>
        <w:t>【</w:t>
      </w:r>
      <w:r>
        <w:rPr>
          <w:rFonts w:hint="eastAsia" w:cstheme="minorBidi"/>
          <w:b w:val="0"/>
          <w:bCs w:val="0"/>
          <w:i w:val="0"/>
          <w:iCs w:val="0"/>
          <w:color w:val="auto"/>
          <w:kern w:val="2"/>
          <w:sz w:val="24"/>
          <w:szCs w:val="24"/>
          <w:highlight w:val="none"/>
          <w:lang w:val="en-US" w:eastAsia="zh-CN" w:bidi="ar-SA"/>
        </w:rPr>
        <w:t>不适用可不提供</w:t>
      </w:r>
      <w:r>
        <w:rPr>
          <w:rFonts w:hint="eastAsia" w:ascii="宋体" w:hAnsi="宋体" w:eastAsia="宋体" w:cstheme="minorBidi"/>
          <w:b w:val="0"/>
          <w:bCs w:val="0"/>
          <w:i w:val="0"/>
          <w:iCs w:val="0"/>
          <w:color w:val="auto"/>
          <w:kern w:val="2"/>
          <w:sz w:val="24"/>
          <w:szCs w:val="24"/>
          <w:highlight w:val="none"/>
          <w:lang w:val="en-US" w:eastAsia="zh-CN" w:bidi="ar-SA"/>
        </w:rPr>
        <w:t>】</w:t>
      </w:r>
      <w:bookmarkEnd w:id="521"/>
    </w:p>
    <w:p w14:paraId="7D18AEBF">
      <w:pPr>
        <w:rPr>
          <w:rFonts w:cs="仿宋_GB2312"/>
          <w:b/>
          <w:i w:val="0"/>
          <w:iCs w:val="0"/>
          <w:color w:val="auto"/>
          <w:sz w:val="28"/>
          <w:szCs w:val="28"/>
          <w:highlight w:val="none"/>
        </w:rPr>
      </w:pPr>
    </w:p>
    <w:p w14:paraId="50F06713">
      <w:pPr>
        <w:adjustRightInd w:val="0"/>
        <w:snapToGrid w:val="0"/>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i w:val="0"/>
          <w:iCs w:val="0"/>
          <w:color w:val="auto"/>
          <w:sz w:val="24"/>
          <w:szCs w:val="24"/>
          <w:highlight w:val="none"/>
          <w:lang w:val="en-US" w:eastAsia="zh-CN"/>
        </w:rPr>
        <w:t>如下</w:t>
      </w:r>
      <w:r>
        <w:rPr>
          <w:rFonts w:hint="eastAsia" w:ascii="宋体" w:hAnsi="宋体" w:eastAsia="宋体" w:cs="宋体"/>
          <w:i w:val="0"/>
          <w:iCs w:val="0"/>
          <w:color w:val="auto"/>
          <w:sz w:val="24"/>
          <w:szCs w:val="24"/>
          <w:highlight w:val="none"/>
        </w:rPr>
        <w:t>】。</w:t>
      </w:r>
    </w:p>
    <w:p w14:paraId="7B8FE2F9">
      <w:pPr>
        <w:pStyle w:val="16"/>
        <w:spacing w:line="360" w:lineRule="auto"/>
        <w:jc w:val="center"/>
        <w:rPr>
          <w:rFonts w:hint="eastAsia" w:ascii="宋体" w:hAnsi="宋体" w:eastAsia="宋体" w:cs="宋体"/>
          <w:b/>
          <w:bCs w:val="0"/>
          <w:i w:val="0"/>
          <w:iCs w:val="0"/>
          <w:color w:val="auto"/>
          <w:sz w:val="32"/>
          <w:szCs w:val="32"/>
          <w:highlight w:val="none"/>
        </w:rPr>
      </w:pPr>
    </w:p>
    <w:p w14:paraId="32B605CA">
      <w:pPr>
        <w:pStyle w:val="16"/>
        <w:spacing w:line="360" w:lineRule="auto"/>
        <w:jc w:val="center"/>
        <w:rPr>
          <w:rFonts w:hint="eastAsia" w:ascii="宋体" w:hAnsi="宋体" w:eastAsia="宋体" w:cs="宋体"/>
          <w:b/>
          <w:bCs w:val="0"/>
          <w:i w:val="0"/>
          <w:iCs w:val="0"/>
          <w:color w:val="auto"/>
          <w:sz w:val="32"/>
          <w:szCs w:val="32"/>
          <w:highlight w:val="none"/>
        </w:rPr>
      </w:pPr>
      <w:r>
        <w:rPr>
          <w:rFonts w:hint="eastAsia" w:ascii="宋体" w:hAnsi="宋体" w:eastAsia="宋体" w:cs="宋体"/>
          <w:b/>
          <w:bCs w:val="0"/>
          <w:i w:val="0"/>
          <w:iCs w:val="0"/>
          <w:color w:val="auto"/>
          <w:sz w:val="32"/>
          <w:szCs w:val="32"/>
          <w:highlight w:val="none"/>
        </w:rPr>
        <w:t>监狱企业证明函</w:t>
      </w:r>
    </w:p>
    <w:p w14:paraId="78A34C1D">
      <w:pPr>
        <w:spacing w:line="360" w:lineRule="auto"/>
        <w:rPr>
          <w:rFonts w:hint="eastAsia" w:ascii="仿宋_GB2312" w:hAnsi="仿宋_GB2312" w:eastAsia="仿宋_GB2312" w:cs="仿宋_GB2312"/>
          <w:i w:val="0"/>
          <w:iCs w:val="0"/>
          <w:color w:val="auto"/>
          <w:sz w:val="32"/>
          <w:szCs w:val="32"/>
          <w:highlight w:val="none"/>
        </w:rPr>
      </w:pPr>
    </w:p>
    <w:p w14:paraId="2136E224">
      <w:pPr>
        <w:ind w:firstLine="504" w:firstLineChars="200"/>
        <w:rPr>
          <w:rFonts w:hint="eastAsia" w:cs="宋体"/>
          <w:i w:val="0"/>
          <w:iCs w:val="0"/>
          <w:color w:val="auto"/>
          <w:spacing w:val="6"/>
          <w:szCs w:val="24"/>
          <w:highlight w:val="none"/>
        </w:rPr>
      </w:pPr>
      <w:r>
        <w:rPr>
          <w:rFonts w:hint="eastAsia" w:cs="宋体"/>
          <w:i w:val="0"/>
          <w:iCs w:val="0"/>
          <w:color w:val="auto"/>
          <w:spacing w:val="6"/>
          <w:szCs w:val="24"/>
          <w:highlight w:val="none"/>
        </w:rPr>
        <w:t>本公司郑重声明，根据财政部、司法部《关于政府采购支持监狱企业发展有关问题的通知》（财库【2014】68号）的规定，本公司为监狱企业。</w:t>
      </w:r>
    </w:p>
    <w:p w14:paraId="4AC3C297">
      <w:pPr>
        <w:spacing w:line="360" w:lineRule="auto"/>
        <w:rPr>
          <w:rFonts w:hint="eastAsia" w:ascii="宋体" w:hAnsi="宋体" w:eastAsia="宋体" w:cs="宋体"/>
          <w:i w:val="0"/>
          <w:iCs w:val="0"/>
          <w:color w:val="auto"/>
          <w:sz w:val="24"/>
          <w:szCs w:val="24"/>
          <w:highlight w:val="none"/>
        </w:rPr>
      </w:pPr>
    </w:p>
    <w:p w14:paraId="09DBCB52">
      <w:pPr>
        <w:ind w:firstLine="4440" w:firstLineChars="1850"/>
        <w:rPr>
          <w:rFonts w:hint="eastAsia" w:ascii="宋体" w:hAnsi="宋体" w:eastAsia="宋体" w:cs="宋体"/>
          <w:i w:val="0"/>
          <w:iCs w:val="0"/>
          <w:color w:val="auto"/>
          <w:sz w:val="24"/>
          <w:szCs w:val="24"/>
          <w:highlight w:val="none"/>
        </w:rPr>
      </w:pPr>
    </w:p>
    <w:p w14:paraId="404C9A5C">
      <w:pPr>
        <w:ind w:firstLine="4440" w:firstLineChars="1850"/>
        <w:rPr>
          <w:rFonts w:hint="eastAsia" w:ascii="宋体" w:hAnsi="宋体" w:eastAsia="宋体" w:cs="宋体"/>
          <w:i w:val="0"/>
          <w:iCs w:val="0"/>
          <w:color w:val="auto"/>
          <w:sz w:val="24"/>
          <w:szCs w:val="24"/>
          <w:highlight w:val="none"/>
        </w:rPr>
      </w:pPr>
    </w:p>
    <w:p w14:paraId="22233D54">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0C8BB3E7">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192CF9BC">
      <w:pPr>
        <w:spacing w:line="360" w:lineRule="auto"/>
        <w:ind w:firstLine="240" w:firstLineChars="100"/>
        <w:rPr>
          <w:rFonts w:hint="eastAsia" w:ascii="宋体" w:hAnsi="宋体" w:eastAsia="宋体" w:cs="宋体"/>
          <w:i w:val="0"/>
          <w:iCs w:val="0"/>
          <w:color w:val="auto"/>
          <w:sz w:val="24"/>
          <w:szCs w:val="24"/>
          <w:highlight w:val="none"/>
        </w:rPr>
      </w:pPr>
    </w:p>
    <w:p w14:paraId="16CFAD64">
      <w:pPr>
        <w:spacing w:line="360" w:lineRule="auto"/>
        <w:ind w:firstLine="240" w:firstLineChars="100"/>
        <w:rPr>
          <w:rFonts w:hint="eastAsia" w:ascii="宋体" w:hAnsi="宋体" w:eastAsia="宋体" w:cs="宋体"/>
          <w:i w:val="0"/>
          <w:iCs w:val="0"/>
          <w:color w:val="auto"/>
          <w:sz w:val="24"/>
          <w:szCs w:val="24"/>
          <w:highlight w:val="none"/>
        </w:rPr>
      </w:pPr>
    </w:p>
    <w:p w14:paraId="48D7CF8F">
      <w:pPr>
        <w:spacing w:line="360" w:lineRule="auto"/>
        <w:ind w:firstLine="3360" w:firstLineChars="1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省级以上监狱管理局、戒毒管理局</w:t>
      </w:r>
    </w:p>
    <w:p w14:paraId="68421675">
      <w:pPr>
        <w:ind w:firstLine="3360" w:firstLineChars="1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（含新疆生产建设兵团）（盖章）：  </w:t>
      </w:r>
    </w:p>
    <w:p w14:paraId="4E0D3C9D">
      <w:pPr>
        <w:ind w:firstLine="4320" w:firstLineChars="18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日期：</w:t>
      </w:r>
      <w:r>
        <w:rPr>
          <w:rFonts w:hint="eastAsia" w:ascii="宋体" w:hAnsi="宋体" w:eastAsia="宋体" w:cs="宋体"/>
          <w:i w:val="0"/>
          <w:iCs w:val="0"/>
          <w:color w:val="auto"/>
          <w:spacing w:val="6"/>
          <w:sz w:val="24"/>
          <w:szCs w:val="24"/>
          <w:highlight w:val="none"/>
          <w:lang w:val="en-US" w:eastAsia="zh-CN"/>
        </w:rPr>
        <w:t xml:space="preserve">   年  月  日</w:t>
      </w:r>
    </w:p>
    <w:p w14:paraId="24AB4A69">
      <w:pPr>
        <w:spacing w:line="360" w:lineRule="auto"/>
        <w:ind w:firstLine="240" w:firstLineChars="100"/>
        <w:rPr>
          <w:rFonts w:hint="eastAsia" w:ascii="宋体" w:hAnsi="宋体" w:eastAsia="宋体" w:cs="宋体"/>
          <w:i w:val="0"/>
          <w:iCs w:val="0"/>
          <w:color w:val="auto"/>
          <w:sz w:val="24"/>
          <w:szCs w:val="24"/>
          <w:highlight w:val="none"/>
        </w:rPr>
      </w:pPr>
    </w:p>
    <w:p w14:paraId="0C345536">
      <w:pPr>
        <w:spacing w:line="360" w:lineRule="auto"/>
        <w:ind w:firstLine="4000" w:firstLineChars="1250"/>
        <w:rPr>
          <w:rFonts w:hint="eastAsia" w:ascii="仿宋_GB2312" w:hAnsi="仿宋_GB2312" w:eastAsia="仿宋_GB2312" w:cs="仿宋_GB2312"/>
          <w:i w:val="0"/>
          <w:iCs w:val="0"/>
          <w:color w:val="auto"/>
          <w:sz w:val="32"/>
          <w:szCs w:val="32"/>
          <w:highlight w:val="none"/>
        </w:rPr>
      </w:pPr>
    </w:p>
    <w:p w14:paraId="71EE2137">
      <w:pPr>
        <w:spacing w:line="360" w:lineRule="auto"/>
        <w:rPr>
          <w:rFonts w:hint="eastAsia" w:ascii="仿宋_GB2312" w:hAnsi="仿宋_GB2312" w:eastAsia="仿宋_GB2312" w:cs="仿宋_GB2312"/>
          <w:i w:val="0"/>
          <w:iCs w:val="0"/>
          <w:color w:val="auto"/>
          <w:sz w:val="32"/>
          <w:szCs w:val="32"/>
          <w:highlight w:val="none"/>
        </w:rPr>
      </w:pPr>
    </w:p>
    <w:p w14:paraId="221481FA">
      <w:pPr>
        <w:widowControl/>
        <w:spacing w:before="100" w:beforeAutospacing="1" w:after="100" w:afterAutospacing="1"/>
        <w:rPr>
          <w:rFonts w:ascii="Arial" w:hAnsi="Arial" w:cs="Arial"/>
          <w:i w:val="0"/>
          <w:iCs w:val="0"/>
          <w:color w:val="auto"/>
          <w:sz w:val="21"/>
          <w:szCs w:val="21"/>
          <w:highlight w:val="none"/>
        </w:rPr>
      </w:pPr>
    </w:p>
    <w:p w14:paraId="21983259">
      <w:pPr>
        <w:widowControl/>
        <w:spacing w:before="100" w:beforeAutospacing="1" w:after="100" w:afterAutospacing="1"/>
        <w:rPr>
          <w:rFonts w:ascii="Arial" w:hAnsi="Arial" w:cs="Arial"/>
          <w:i w:val="0"/>
          <w:iCs w:val="0"/>
          <w:color w:val="auto"/>
          <w:sz w:val="21"/>
          <w:szCs w:val="21"/>
          <w:highlight w:val="none"/>
        </w:rPr>
      </w:pPr>
    </w:p>
    <w:p w14:paraId="6AD259B9">
      <w:pPr>
        <w:widowControl/>
        <w:spacing w:before="100" w:beforeAutospacing="1" w:after="100" w:afterAutospacing="1"/>
        <w:rPr>
          <w:rFonts w:ascii="Arial" w:hAnsi="Arial" w:cs="Arial"/>
          <w:i w:val="0"/>
          <w:iCs w:val="0"/>
          <w:color w:val="auto"/>
          <w:sz w:val="21"/>
          <w:szCs w:val="21"/>
          <w:highlight w:val="none"/>
        </w:rPr>
      </w:pPr>
    </w:p>
    <w:p w14:paraId="31FB6BA8">
      <w:pPr>
        <w:pStyle w:val="6"/>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i w:val="0"/>
          <w:iCs w:val="0"/>
          <w:color w:val="auto"/>
          <w:kern w:val="2"/>
          <w:sz w:val="24"/>
          <w:szCs w:val="24"/>
          <w:highlight w:val="none"/>
          <w:lang w:val="en-US" w:eastAsia="zh-CN" w:bidi="ar-SA"/>
        </w:rPr>
      </w:pPr>
      <w:bookmarkStart w:id="522" w:name="_Toc163492941"/>
    </w:p>
    <w:p w14:paraId="66127536">
      <w:pPr>
        <w:pStyle w:val="6"/>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i w:val="0"/>
          <w:iCs w:val="0"/>
          <w:color w:val="auto"/>
          <w:kern w:val="2"/>
          <w:sz w:val="24"/>
          <w:szCs w:val="24"/>
          <w:highlight w:val="none"/>
          <w:lang w:val="en-US" w:eastAsia="zh-CN" w:bidi="ar-SA"/>
        </w:rPr>
      </w:pPr>
      <w:bookmarkStart w:id="523" w:name="_Toc15561"/>
      <w:r>
        <w:rPr>
          <w:rFonts w:hint="eastAsia" w:ascii="宋体" w:hAnsi="宋体" w:eastAsia="宋体" w:cstheme="minorBidi"/>
          <w:b/>
          <w:bCs/>
          <w:i w:val="0"/>
          <w:iCs w:val="0"/>
          <w:color w:val="auto"/>
          <w:kern w:val="2"/>
          <w:sz w:val="24"/>
          <w:szCs w:val="24"/>
          <w:highlight w:val="none"/>
          <w:lang w:val="en-US" w:eastAsia="zh-CN" w:bidi="ar-SA"/>
        </w:rPr>
        <w:t>（四）残疾人福利性单位声明函</w:t>
      </w:r>
      <w:r>
        <w:rPr>
          <w:rFonts w:hint="eastAsia" w:ascii="宋体" w:hAnsi="宋体" w:eastAsia="宋体" w:cstheme="minorBidi"/>
          <w:b w:val="0"/>
          <w:bCs w:val="0"/>
          <w:i w:val="0"/>
          <w:iCs w:val="0"/>
          <w:color w:val="auto"/>
          <w:kern w:val="2"/>
          <w:sz w:val="24"/>
          <w:szCs w:val="24"/>
          <w:highlight w:val="none"/>
          <w:lang w:val="en-US" w:eastAsia="zh-CN" w:bidi="ar-SA"/>
        </w:rPr>
        <w:t>【</w:t>
      </w:r>
      <w:r>
        <w:rPr>
          <w:rFonts w:hint="eastAsia" w:cstheme="minorBidi"/>
          <w:b w:val="0"/>
          <w:bCs w:val="0"/>
          <w:i w:val="0"/>
          <w:iCs w:val="0"/>
          <w:color w:val="auto"/>
          <w:kern w:val="2"/>
          <w:sz w:val="24"/>
          <w:szCs w:val="24"/>
          <w:highlight w:val="none"/>
          <w:lang w:val="en-US" w:eastAsia="zh-CN" w:bidi="ar-SA"/>
        </w:rPr>
        <w:t>不适用可不提供</w:t>
      </w:r>
      <w:r>
        <w:rPr>
          <w:rFonts w:hint="eastAsia" w:ascii="宋体" w:hAnsi="宋体" w:eastAsia="宋体" w:cstheme="minorBidi"/>
          <w:b w:val="0"/>
          <w:bCs w:val="0"/>
          <w:i w:val="0"/>
          <w:iCs w:val="0"/>
          <w:color w:val="auto"/>
          <w:kern w:val="2"/>
          <w:sz w:val="24"/>
          <w:szCs w:val="24"/>
          <w:highlight w:val="none"/>
          <w:lang w:val="en-US" w:eastAsia="zh-CN" w:bidi="ar-SA"/>
        </w:rPr>
        <w:t>】</w:t>
      </w:r>
      <w:bookmarkEnd w:id="522"/>
      <w:bookmarkEnd w:id="523"/>
    </w:p>
    <w:p w14:paraId="19A7B6C3">
      <w:pPr>
        <w:pStyle w:val="45"/>
        <w:numPr>
          <w:ilvl w:val="0"/>
          <w:numId w:val="0"/>
        </w:numPr>
        <w:ind w:left="420" w:leftChars="0" w:hanging="420" w:firstLineChars="0"/>
        <w:jc w:val="center"/>
        <w:rPr>
          <w:rFonts w:hint="eastAsia"/>
          <w:b/>
          <w:bCs/>
          <w:i w:val="0"/>
          <w:iCs w:val="0"/>
          <w:color w:val="auto"/>
          <w:sz w:val="32"/>
          <w:szCs w:val="32"/>
          <w:highlight w:val="none"/>
        </w:rPr>
      </w:pPr>
    </w:p>
    <w:p w14:paraId="52EAB70D">
      <w:pPr>
        <w:pStyle w:val="45"/>
        <w:numPr>
          <w:ilvl w:val="0"/>
          <w:numId w:val="0"/>
        </w:numPr>
        <w:ind w:left="420" w:leftChars="0" w:hanging="420" w:firstLineChars="0"/>
        <w:jc w:val="center"/>
        <w:rPr>
          <w:b/>
          <w:bCs/>
          <w:i w:val="0"/>
          <w:iCs w:val="0"/>
          <w:color w:val="auto"/>
          <w:sz w:val="32"/>
          <w:szCs w:val="32"/>
          <w:highlight w:val="none"/>
        </w:rPr>
      </w:pPr>
      <w:r>
        <w:rPr>
          <w:rFonts w:hint="eastAsia"/>
          <w:b/>
          <w:bCs/>
          <w:i w:val="0"/>
          <w:iCs w:val="0"/>
          <w:color w:val="auto"/>
          <w:sz w:val="32"/>
          <w:szCs w:val="32"/>
          <w:highlight w:val="none"/>
        </w:rPr>
        <w:t>残疾人福利性单位声明函</w:t>
      </w:r>
    </w:p>
    <w:p w14:paraId="4F3F1AC3">
      <w:pPr>
        <w:wordWrap w:val="0"/>
        <w:ind w:firstLine="480" w:firstLineChars="200"/>
        <w:rPr>
          <w:rFonts w:hint="eastAsia"/>
          <w:i w:val="0"/>
          <w:iCs w:val="0"/>
          <w:color w:val="auto"/>
          <w:szCs w:val="24"/>
          <w:highlight w:val="none"/>
        </w:rPr>
      </w:pPr>
    </w:p>
    <w:p w14:paraId="2D8126D9">
      <w:pPr>
        <w:wordWrap w:val="0"/>
        <w:ind w:firstLine="480" w:firstLineChars="20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w:t>
      </w:r>
      <w:r>
        <w:rPr>
          <w:rFonts w:hint="eastAsia"/>
          <w:i w:val="0"/>
          <w:iCs w:val="0"/>
          <w:color w:val="auto"/>
          <w:szCs w:val="24"/>
          <w:highlight w:val="none"/>
          <w:lang w:val="en-US" w:eastAsia="zh-CN"/>
        </w:rPr>
        <w:t>服务</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w:t>
      </w:r>
      <w:r>
        <w:rPr>
          <w:rFonts w:hint="eastAsia"/>
          <w:b/>
          <w:i w:val="0"/>
          <w:iCs w:val="0"/>
          <w:color w:val="auto"/>
          <w:szCs w:val="24"/>
          <w:highlight w:val="none"/>
          <w:lang w:val="en-US" w:eastAsia="zh-CN"/>
        </w:rPr>
        <w:t>承接</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2CF54269">
      <w:pPr>
        <w:wordWrap w:val="0"/>
        <w:ind w:firstLine="480" w:firstLineChars="20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w:t>
      </w:r>
      <w:r>
        <w:rPr>
          <w:rFonts w:hint="eastAsia"/>
          <w:i w:val="0"/>
          <w:iCs w:val="0"/>
          <w:color w:val="auto"/>
          <w:szCs w:val="24"/>
          <w:highlight w:val="none"/>
          <w:lang w:val="en-US" w:eastAsia="zh-CN"/>
        </w:rPr>
        <w:t>承接单位</w:t>
      </w:r>
      <w:r>
        <w:rPr>
          <w:rFonts w:hint="eastAsia"/>
          <w:i w:val="0"/>
          <w:iCs w:val="0"/>
          <w:color w:val="auto"/>
          <w:szCs w:val="24"/>
          <w:highlight w:val="none"/>
        </w:rPr>
        <w:t xml:space="preserve">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1B3BB32D">
      <w:pPr>
        <w:wordWrap w:val="0"/>
        <w:ind w:firstLine="480" w:firstLineChars="20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w:t>
      </w:r>
      <w:r>
        <w:rPr>
          <w:rFonts w:hint="eastAsia"/>
          <w:i w:val="0"/>
          <w:iCs w:val="0"/>
          <w:color w:val="auto"/>
          <w:szCs w:val="24"/>
          <w:highlight w:val="none"/>
          <w:lang w:val="en-US" w:eastAsia="zh-CN"/>
        </w:rPr>
        <w:t>承接单位</w:t>
      </w:r>
      <w:r>
        <w:rPr>
          <w:rFonts w:hint="eastAsia"/>
          <w:i w:val="0"/>
          <w:iCs w:val="0"/>
          <w:color w:val="auto"/>
          <w:szCs w:val="24"/>
          <w:highlight w:val="none"/>
        </w:rPr>
        <w:t xml:space="preserve">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5A9D1106">
      <w:pPr>
        <w:wordWrap w:val="0"/>
        <w:ind w:firstLine="480" w:firstLineChars="200"/>
        <w:rPr>
          <w:i w:val="0"/>
          <w:iCs w:val="0"/>
          <w:color w:val="auto"/>
          <w:szCs w:val="24"/>
          <w:highlight w:val="none"/>
        </w:rPr>
      </w:pPr>
      <w:r>
        <w:rPr>
          <w:rFonts w:hint="eastAsia"/>
          <w:i w:val="0"/>
          <w:iCs w:val="0"/>
          <w:color w:val="auto"/>
          <w:szCs w:val="24"/>
          <w:highlight w:val="none"/>
        </w:rPr>
        <w:t>……</w:t>
      </w:r>
    </w:p>
    <w:p w14:paraId="0ADC4317">
      <w:pPr>
        <w:wordWrap w:val="0"/>
        <w:ind w:firstLine="480" w:firstLineChars="20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77DA2527">
      <w:pPr>
        <w:wordWrap w:val="0"/>
        <w:ind w:left="1087" w:leftChars="200" w:hanging="607" w:hangingChars="253"/>
        <w:rPr>
          <w:i w:val="0"/>
          <w:iCs w:val="0"/>
          <w:color w:val="auto"/>
          <w:szCs w:val="24"/>
          <w:highlight w:val="none"/>
        </w:rPr>
      </w:pPr>
      <w:r>
        <w:rPr>
          <w:rFonts w:hint="eastAsia"/>
          <w:i w:val="0"/>
          <w:iCs w:val="0"/>
          <w:color w:val="auto"/>
          <w:szCs w:val="24"/>
          <w:highlight w:val="none"/>
        </w:rPr>
        <w:t>本企业对上述声明内容的真实性负责。如有虚假，将依法承担相应责任。</w:t>
      </w:r>
    </w:p>
    <w:p w14:paraId="5B67C160">
      <w:pPr>
        <w:wordWrap w:val="0"/>
        <w:ind w:left="1091" w:hanging="1091" w:hangingChars="453"/>
        <w:rPr>
          <w:b/>
          <w:bCs/>
          <w:i w:val="0"/>
          <w:iCs w:val="0"/>
          <w:color w:val="auto"/>
          <w:szCs w:val="24"/>
          <w:highlight w:val="none"/>
        </w:rPr>
      </w:pPr>
    </w:p>
    <w:p w14:paraId="5114DF9C">
      <w:pPr>
        <w:wordWrap w:val="0"/>
        <w:ind w:left="1091" w:hanging="1091" w:hangingChars="453"/>
        <w:rPr>
          <w:bCs/>
          <w:i w:val="0"/>
          <w:iCs w:val="0"/>
          <w:color w:val="auto"/>
          <w:szCs w:val="24"/>
          <w:highlight w:val="none"/>
        </w:rPr>
      </w:pPr>
      <w:r>
        <w:rPr>
          <w:rFonts w:hint="eastAsia"/>
          <w:b/>
          <w:bCs/>
          <w:i w:val="0"/>
          <w:iCs w:val="0"/>
          <w:color w:val="auto"/>
          <w:szCs w:val="24"/>
          <w:highlight w:val="none"/>
        </w:rPr>
        <w:t>说明：</w:t>
      </w:r>
      <w:r>
        <w:rPr>
          <w:rFonts w:hint="eastAsia"/>
          <w:bCs/>
          <w:i w:val="0"/>
          <w:iCs w:val="0"/>
          <w:color w:val="auto"/>
          <w:szCs w:val="24"/>
          <w:highlight w:val="none"/>
        </w:rPr>
        <w:t>1、</w:t>
      </w:r>
      <w:r>
        <w:rPr>
          <w:rFonts w:hint="eastAsia"/>
          <w:bCs/>
          <w:i w:val="0"/>
          <w:iCs w:val="0"/>
          <w:color w:val="auto"/>
          <w:szCs w:val="24"/>
          <w:highlight w:val="none"/>
          <w:lang w:val="en-US" w:eastAsia="zh-CN"/>
        </w:rPr>
        <w:t>服务</w:t>
      </w:r>
      <w:r>
        <w:rPr>
          <w:rFonts w:hint="eastAsia"/>
          <w:bCs/>
          <w:i w:val="0"/>
          <w:iCs w:val="0"/>
          <w:color w:val="auto"/>
          <w:szCs w:val="21"/>
          <w:highlight w:val="none"/>
          <w:lang w:val="zh-CN"/>
        </w:rPr>
        <w:t>应当全部由符合政策要求的残疾人福利性单位</w:t>
      </w:r>
      <w:r>
        <w:rPr>
          <w:rFonts w:hint="eastAsia"/>
          <w:bCs/>
          <w:i w:val="0"/>
          <w:iCs w:val="0"/>
          <w:color w:val="auto"/>
          <w:szCs w:val="21"/>
          <w:highlight w:val="none"/>
          <w:lang w:val="en-US" w:eastAsia="zh-CN"/>
        </w:rPr>
        <w:t>承接</w:t>
      </w:r>
      <w:r>
        <w:rPr>
          <w:rFonts w:hint="eastAsia"/>
          <w:bCs/>
          <w:i w:val="0"/>
          <w:iCs w:val="0"/>
          <w:color w:val="auto"/>
          <w:szCs w:val="21"/>
          <w:highlight w:val="none"/>
          <w:lang w:val="zh-CN"/>
        </w:rPr>
        <w:t>且使用该残疾人福利性单位商号或注册商标（与代理商或</w:t>
      </w:r>
      <w:r>
        <w:rPr>
          <w:rFonts w:hint="eastAsia"/>
          <w:bCs/>
          <w:i w:val="0"/>
          <w:iCs w:val="0"/>
          <w:color w:val="auto"/>
          <w:szCs w:val="21"/>
          <w:highlight w:val="none"/>
          <w:lang w:val="en-US" w:eastAsia="zh-CN"/>
        </w:rPr>
        <w:t>供应商</w:t>
      </w:r>
      <w:r>
        <w:rPr>
          <w:rFonts w:hint="eastAsia"/>
          <w:bCs/>
          <w:i w:val="0"/>
          <w:iCs w:val="0"/>
          <w:color w:val="auto"/>
          <w:szCs w:val="21"/>
          <w:highlight w:val="none"/>
          <w:lang w:val="zh-CN"/>
        </w:rPr>
        <w:t>无关）；应当严格按上述格式及内容进行填写（应当明确每个</w:t>
      </w:r>
      <w:r>
        <w:rPr>
          <w:rFonts w:hint="eastAsia"/>
          <w:bCs/>
          <w:i w:val="0"/>
          <w:iCs w:val="0"/>
          <w:color w:val="auto"/>
          <w:szCs w:val="21"/>
          <w:highlight w:val="none"/>
          <w:lang w:val="en-US" w:eastAsia="zh-CN"/>
        </w:rPr>
        <w:t>包</w:t>
      </w:r>
      <w:r>
        <w:rPr>
          <w:rFonts w:hint="eastAsia"/>
          <w:bCs/>
          <w:i w:val="0"/>
          <w:iCs w:val="0"/>
          <w:color w:val="auto"/>
          <w:szCs w:val="21"/>
          <w:highlight w:val="none"/>
          <w:lang w:val="zh-CN"/>
        </w:rPr>
        <w:t>的的</w:t>
      </w:r>
      <w:r>
        <w:rPr>
          <w:rFonts w:hint="eastAsia"/>
          <w:bCs/>
          <w:i w:val="0"/>
          <w:iCs w:val="0"/>
          <w:color w:val="auto"/>
          <w:szCs w:val="21"/>
          <w:highlight w:val="none"/>
          <w:lang w:val="en-US" w:eastAsia="zh-CN"/>
        </w:rPr>
        <w:t>承接</w:t>
      </w:r>
      <w:r>
        <w:rPr>
          <w:rFonts w:hint="eastAsia"/>
          <w:bCs/>
          <w:i w:val="0"/>
          <w:iCs w:val="0"/>
          <w:color w:val="auto"/>
          <w:szCs w:val="21"/>
          <w:highlight w:val="none"/>
          <w:lang w:val="zh-CN"/>
        </w:rPr>
        <w:t>企业类型及相关数据），否则导致的后果由</w:t>
      </w:r>
      <w:r>
        <w:rPr>
          <w:rFonts w:hint="eastAsia"/>
          <w:bCs/>
          <w:i w:val="0"/>
          <w:iCs w:val="0"/>
          <w:color w:val="auto"/>
          <w:szCs w:val="21"/>
          <w:highlight w:val="none"/>
          <w:lang w:val="en-US" w:eastAsia="zh-CN"/>
        </w:rPr>
        <w:t>供应商</w:t>
      </w:r>
      <w:r>
        <w:rPr>
          <w:rFonts w:hint="eastAsia"/>
          <w:bCs/>
          <w:i w:val="0"/>
          <w:iCs w:val="0"/>
          <w:color w:val="auto"/>
          <w:szCs w:val="21"/>
          <w:highlight w:val="none"/>
          <w:lang w:val="zh-CN"/>
        </w:rPr>
        <w:t>自行承担；</w:t>
      </w:r>
    </w:p>
    <w:p w14:paraId="1B7604F0">
      <w:pPr>
        <w:wordWrap w:val="0"/>
        <w:ind w:left="1087" w:hanging="1087" w:hangingChars="453"/>
        <w:rPr>
          <w:rFonts w:cs="Courier New"/>
          <w:i w:val="0"/>
          <w:iCs w:val="0"/>
          <w:color w:val="auto"/>
          <w:szCs w:val="21"/>
          <w:highlight w:val="none"/>
        </w:rPr>
      </w:pPr>
      <w:r>
        <w:rPr>
          <w:rFonts w:hint="eastAsia"/>
          <w:bCs/>
          <w:i w:val="0"/>
          <w:iCs w:val="0"/>
          <w:color w:val="auto"/>
          <w:szCs w:val="21"/>
          <w:highlight w:val="none"/>
          <w:lang w:val="zh-CN"/>
        </w:rPr>
        <w:t xml:space="preserve">      2、</w:t>
      </w:r>
      <w:r>
        <w:rPr>
          <w:rFonts w:hint="eastAsia" w:cs="Courier New"/>
          <w:i w:val="0"/>
          <w:iCs w:val="0"/>
          <w:color w:val="auto"/>
          <w:szCs w:val="21"/>
          <w:highlight w:val="none"/>
        </w:rPr>
        <w:t>以联合体形式参加的，应</w:t>
      </w:r>
      <w:r>
        <w:rPr>
          <w:rFonts w:hint="eastAsia"/>
          <w:bCs/>
          <w:i w:val="0"/>
          <w:iCs w:val="0"/>
          <w:color w:val="auto"/>
          <w:szCs w:val="21"/>
          <w:highlight w:val="none"/>
          <w:lang w:val="zh-CN"/>
        </w:rPr>
        <w:t>当</w:t>
      </w:r>
      <w:r>
        <w:rPr>
          <w:rFonts w:hint="eastAsia" w:cs="Courier New"/>
          <w:i w:val="0"/>
          <w:iCs w:val="0"/>
          <w:color w:val="auto"/>
          <w:szCs w:val="21"/>
          <w:highlight w:val="none"/>
        </w:rPr>
        <w:t>由联合体各方盖章。</w:t>
      </w:r>
    </w:p>
    <w:p w14:paraId="0841EC4B">
      <w:pPr>
        <w:wordWrap w:val="0"/>
        <w:spacing w:before="100" w:beforeAutospacing="1" w:after="100" w:afterAutospacing="1"/>
        <w:ind w:firstLine="3316" w:firstLineChars="1382"/>
        <w:rPr>
          <w:bCs/>
          <w:i w:val="0"/>
          <w:iCs w:val="0"/>
          <w:color w:val="auto"/>
          <w:szCs w:val="21"/>
          <w:highlight w:val="none"/>
          <w:lang w:val="zh-CN"/>
        </w:rPr>
      </w:pPr>
      <w:r>
        <w:rPr>
          <w:rFonts w:hint="eastAsia"/>
          <w:bCs/>
          <w:i w:val="0"/>
          <w:iCs w:val="0"/>
          <w:color w:val="auto"/>
          <w:szCs w:val="21"/>
          <w:highlight w:val="none"/>
          <w:lang w:val="en-US" w:eastAsia="zh-CN"/>
        </w:rPr>
        <w:t>供应商</w:t>
      </w:r>
      <w:r>
        <w:rPr>
          <w:rFonts w:hint="eastAsia" w:ascii="宋体" w:hAnsi="宋体" w:eastAsia="宋体"/>
          <w:bCs/>
          <w:i w:val="0"/>
          <w:iCs w:val="0"/>
          <w:color w:val="auto"/>
          <w:szCs w:val="21"/>
          <w:highlight w:val="none"/>
          <w:lang w:val="en-US" w:eastAsia="zh-CN"/>
        </w:rPr>
        <w:t>名称</w:t>
      </w:r>
      <w:r>
        <w:rPr>
          <w:rFonts w:hint="eastAsia"/>
          <w:bCs/>
          <w:i w:val="0"/>
          <w:iCs w:val="0"/>
          <w:color w:val="auto"/>
          <w:szCs w:val="21"/>
          <w:highlight w:val="none"/>
          <w:lang w:val="en-US" w:eastAsia="zh-CN"/>
        </w:rPr>
        <w:t>（公章）</w:t>
      </w:r>
      <w:r>
        <w:rPr>
          <w:rFonts w:hint="eastAsia"/>
          <w:bCs/>
          <w:i w:val="0"/>
          <w:iCs w:val="0"/>
          <w:color w:val="auto"/>
          <w:szCs w:val="21"/>
          <w:highlight w:val="none"/>
          <w:lang w:val="zh-CN"/>
        </w:rPr>
        <w:t>：</w:t>
      </w:r>
      <w:r>
        <w:rPr>
          <w:rFonts w:hint="eastAsia"/>
          <w:bCs/>
          <w:i w:val="0"/>
          <w:iCs w:val="0"/>
          <w:color w:val="auto"/>
          <w:szCs w:val="21"/>
          <w:highlight w:val="none"/>
          <w:u w:val="single"/>
          <w:lang w:val="zh-CN"/>
        </w:rPr>
        <w:t xml:space="preserve">              </w:t>
      </w:r>
    </w:p>
    <w:p w14:paraId="572750B9">
      <w:pPr>
        <w:wordWrap w:val="0"/>
        <w:spacing w:before="100" w:beforeAutospacing="1" w:after="100" w:afterAutospacing="1"/>
        <w:ind w:firstLine="3316" w:firstLineChars="1382"/>
        <w:rPr>
          <w:i w:val="0"/>
          <w:iCs w:val="0"/>
          <w:color w:val="auto"/>
          <w:highlight w:val="none"/>
        </w:rPr>
      </w:pPr>
      <w:r>
        <w:rPr>
          <w:rFonts w:hint="eastAsia"/>
          <w:i w:val="0"/>
          <w:iCs w:val="0"/>
          <w:color w:val="auto"/>
          <w:szCs w:val="24"/>
          <w:highlight w:val="none"/>
        </w:rPr>
        <w:t>日</w:t>
      </w:r>
      <w:r>
        <w:rPr>
          <w:i w:val="0"/>
          <w:iCs w:val="0"/>
          <w:color w:val="auto"/>
          <w:szCs w:val="24"/>
          <w:highlight w:val="none"/>
        </w:rPr>
        <w:t xml:space="preserve">  </w:t>
      </w:r>
      <w:r>
        <w:rPr>
          <w:rFonts w:hint="eastAsia"/>
          <w:i w:val="0"/>
          <w:iCs w:val="0"/>
          <w:color w:val="auto"/>
          <w:szCs w:val="24"/>
          <w:highlight w:val="none"/>
        </w:rPr>
        <w:t>期：</w:t>
      </w:r>
      <w:r>
        <w:rPr>
          <w:bCs/>
          <w:i w:val="0"/>
          <w:iCs w:val="0"/>
          <w:color w:val="auto"/>
          <w:szCs w:val="24"/>
          <w:highlight w:val="none"/>
          <w:u w:val="single"/>
        </w:rPr>
        <w:t xml:space="preserve">                         </w:t>
      </w:r>
    </w:p>
    <w:p w14:paraId="721D611B">
      <w:pPr>
        <w:ind w:left="4620" w:firstLine="281" w:firstLineChars="100"/>
        <w:rPr>
          <w:rFonts w:cs="仿宋_GB2312"/>
          <w:b/>
          <w:i w:val="0"/>
          <w:iCs w:val="0"/>
          <w:color w:val="auto"/>
          <w:sz w:val="28"/>
          <w:szCs w:val="28"/>
          <w:highlight w:val="none"/>
        </w:rPr>
      </w:pPr>
    </w:p>
    <w:p w14:paraId="2E7DDED0">
      <w:pPr>
        <w:rPr>
          <w:i w:val="0"/>
          <w:iCs w:val="0"/>
          <w:color w:val="auto"/>
          <w:highlight w:val="none"/>
        </w:rPr>
      </w:pPr>
      <w:r>
        <w:rPr>
          <w:i w:val="0"/>
          <w:iCs w:val="0"/>
          <w:color w:val="auto"/>
          <w:highlight w:val="none"/>
        </w:rPr>
        <w:br w:type="page"/>
      </w:r>
    </w:p>
    <w:p w14:paraId="6168BD88">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stheme="majorBidi"/>
          <w:b/>
          <w:bCs/>
          <w:i w:val="0"/>
          <w:iCs w:val="0"/>
          <w:color w:val="auto"/>
          <w:kern w:val="2"/>
          <w:sz w:val="28"/>
          <w:szCs w:val="28"/>
          <w:highlight w:val="none"/>
          <w:lang w:val="en-US" w:eastAsia="zh-CN" w:bidi="ar-SA"/>
        </w:rPr>
      </w:pPr>
      <w:bookmarkStart w:id="524" w:name="_Toc25754"/>
      <w:r>
        <w:rPr>
          <w:rFonts w:hint="eastAsia" w:cstheme="majorBidi"/>
          <w:b/>
          <w:bCs/>
          <w:i w:val="0"/>
          <w:iCs w:val="0"/>
          <w:color w:val="auto"/>
          <w:kern w:val="2"/>
          <w:sz w:val="28"/>
          <w:szCs w:val="28"/>
          <w:highlight w:val="none"/>
          <w:lang w:val="en-US" w:eastAsia="zh-CN" w:bidi="ar-SA"/>
        </w:rPr>
        <w:t>五、不参与围标串标承诺书</w:t>
      </w:r>
      <w:bookmarkEnd w:id="524"/>
    </w:p>
    <w:p w14:paraId="035D3C64">
      <w:pPr>
        <w:pStyle w:val="5"/>
        <w:keepNext/>
        <w:keepLines/>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p>
    <w:p w14:paraId="620A848E">
      <w:pPr>
        <w:spacing w:line="560" w:lineRule="exact"/>
        <w:jc w:val="center"/>
        <w:rPr>
          <w:rFonts w:hint="eastAsia" w:ascii="宋体" w:hAnsi="宋体" w:eastAsia="宋体" w:cs="宋体"/>
          <w:i w:val="0"/>
          <w:iCs w:val="0"/>
          <w:color w:val="auto"/>
          <w:kern w:val="0"/>
          <w:sz w:val="24"/>
          <w:szCs w:val="24"/>
          <w:highlight w:val="none"/>
        </w:rPr>
      </w:pPr>
      <w:r>
        <w:rPr>
          <w:rFonts w:hint="eastAsia" w:ascii="宋体" w:hAnsi="宋体" w:eastAsia="宋体" w:cs="宋体"/>
          <w:b/>
          <w:bCs/>
          <w:i w:val="0"/>
          <w:iCs w:val="0"/>
          <w:color w:val="auto"/>
          <w:kern w:val="0"/>
          <w:sz w:val="24"/>
          <w:szCs w:val="24"/>
          <w:highlight w:val="none"/>
        </w:rPr>
        <w:t>不参与围标串标承诺书</w:t>
      </w:r>
    </w:p>
    <w:p w14:paraId="2A499E15">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为诚实、客观、有序地参与</w:t>
      </w:r>
      <w:r>
        <w:rPr>
          <w:rFonts w:hint="eastAsia" w:ascii="宋体" w:hAnsi="宋体" w:eastAsia="宋体" w:cs="宋体"/>
          <w:i/>
          <w:iCs/>
          <w:color w:val="auto"/>
          <w:kern w:val="0"/>
          <w:sz w:val="24"/>
          <w:szCs w:val="24"/>
          <w:highlight w:val="none"/>
          <w:u w:val="single"/>
        </w:rPr>
        <w:t xml:space="preserve">                     </w:t>
      </w:r>
      <w:r>
        <w:rPr>
          <w:rFonts w:hint="eastAsia" w:ascii="宋体" w:hAnsi="宋体" w:eastAsia="宋体" w:cs="宋体"/>
          <w:i w:val="0"/>
          <w:iCs w:val="0"/>
          <w:color w:val="auto"/>
          <w:kern w:val="0"/>
          <w:sz w:val="24"/>
          <w:szCs w:val="24"/>
          <w:highlight w:val="none"/>
        </w:rPr>
        <w:t>项目采购活动，愿就以下内容作出承诺：</w:t>
      </w:r>
    </w:p>
    <w:p w14:paraId="32F6E106">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一、严格遵守国家法律法规和行业规范，诚实守信，公平竞争，不参与任何形式的围标、串标行为，不与其他投标供应商存在控股、管理及其他关联关系。</w:t>
      </w:r>
    </w:p>
    <w:p w14:paraId="46347ABE">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二、依法参加采购活动，不与其他供应商互相串通投标；不使用具有串标嫌疑、关联关系的公司参与投标（包括但不限于工商登记邮箱、电话号码、高管人员一致等）；不与采购人或者招标代理机构串通投标；不向采购人或者评标委员会成员行贿以牟取中标。不排挤其他供应商的公平竞争，不损害采购人的合法权益，不损害国家利益、社会公共利益或者他人的合法权益。</w:t>
      </w:r>
    </w:p>
    <w:p w14:paraId="0D6BA85D">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三、若在招标投标过程中发现其他投标人或相关方有围标、串标等违法行为，及时告知采购人或代理机构，积极配合调查。</w:t>
      </w:r>
    </w:p>
    <w:p w14:paraId="299E09AB">
      <w:pPr>
        <w:spacing w:line="560" w:lineRule="exact"/>
        <w:ind w:firstLine="480" w:firstLineChars="200"/>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四、愿接受社会各界监督。如有违反上述承诺行为，自愿放弃中标资格，限制以后投标，记入不良信用档案，没收本次投</w:t>
      </w:r>
      <w:r>
        <w:rPr>
          <w:rFonts w:hint="eastAsia" w:cs="宋体"/>
          <w:i w:val="0"/>
          <w:iCs w:val="0"/>
          <w:color w:val="auto"/>
          <w:kern w:val="0"/>
          <w:sz w:val="24"/>
          <w:szCs w:val="24"/>
          <w:highlight w:val="none"/>
          <w:lang w:eastAsia="zh-CN"/>
        </w:rPr>
        <w:t>磋商保证金</w:t>
      </w:r>
      <w:r>
        <w:rPr>
          <w:rFonts w:hint="eastAsia" w:ascii="宋体" w:hAnsi="宋体" w:eastAsia="宋体" w:cs="宋体"/>
          <w:i w:val="0"/>
          <w:iCs w:val="0"/>
          <w:color w:val="auto"/>
          <w:kern w:val="0"/>
          <w:sz w:val="24"/>
          <w:szCs w:val="24"/>
          <w:highlight w:val="none"/>
        </w:rPr>
        <w:t>。同意采购人或代理机构有权将线索移交有关部门，并愿意承担由此引起的其他法律责任。</w:t>
      </w:r>
    </w:p>
    <w:p w14:paraId="3E6464F4">
      <w:pPr>
        <w:spacing w:line="560" w:lineRule="exact"/>
        <w:rPr>
          <w:rFonts w:hint="eastAsia" w:ascii="宋体" w:hAnsi="宋体" w:eastAsia="宋体" w:cs="宋体"/>
          <w:i w:val="0"/>
          <w:iCs w:val="0"/>
          <w:color w:val="auto"/>
          <w:kern w:val="0"/>
          <w:sz w:val="24"/>
          <w:szCs w:val="24"/>
          <w:highlight w:val="none"/>
        </w:rPr>
      </w:pPr>
    </w:p>
    <w:p w14:paraId="718D11ED">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供应商：                             （公章）</w:t>
      </w:r>
    </w:p>
    <w:p w14:paraId="38AF2F0D">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法定代表人或委托代理人：             （签字）</w:t>
      </w:r>
    </w:p>
    <w:p w14:paraId="2CE354BE">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 xml:space="preserve">                                    年   月   日</w:t>
      </w:r>
    </w:p>
    <w:p w14:paraId="74C30BF3">
      <w:pPr>
        <w:widowControl/>
        <w:spacing w:line="560" w:lineRule="exact"/>
        <w:ind w:firstLine="630"/>
        <w:jc w:val="left"/>
        <w:rPr>
          <w:rFonts w:hint="eastAsia" w:ascii="宋体" w:hAnsi="宋体" w:eastAsia="宋体" w:cs="宋体"/>
          <w:i w:val="0"/>
          <w:iCs w:val="0"/>
          <w:color w:val="auto"/>
          <w:kern w:val="0"/>
          <w:sz w:val="24"/>
          <w:szCs w:val="24"/>
          <w:highlight w:val="none"/>
        </w:rPr>
      </w:pPr>
    </w:p>
    <w:p w14:paraId="17A62EC9">
      <w:pPr>
        <w:pStyle w:val="12"/>
        <w:rPr>
          <w:rFonts w:hint="eastAsia"/>
          <w:i w:val="0"/>
          <w:iCs w:val="0"/>
          <w:color w:val="auto"/>
          <w:highlight w:val="none"/>
          <w:lang w:val="en-US" w:eastAsia="zh-CN"/>
        </w:rPr>
      </w:pPr>
    </w:p>
    <w:p w14:paraId="6FFD6171">
      <w:pPr>
        <w:pStyle w:val="12"/>
        <w:rPr>
          <w:rFonts w:hint="eastAsia"/>
          <w:i w:val="0"/>
          <w:iCs w:val="0"/>
          <w:color w:val="auto"/>
          <w:highlight w:val="none"/>
          <w:lang w:val="en-US" w:eastAsia="zh-CN"/>
        </w:rPr>
      </w:pPr>
    </w:p>
    <w:p w14:paraId="1AEB7F87">
      <w:pPr>
        <w:pStyle w:val="12"/>
        <w:rPr>
          <w:rFonts w:hint="eastAsia"/>
          <w:i w:val="0"/>
          <w:iCs w:val="0"/>
          <w:color w:val="auto"/>
          <w:highlight w:val="none"/>
          <w:lang w:val="en-US" w:eastAsia="zh-CN"/>
        </w:rPr>
      </w:pPr>
    </w:p>
    <w:p w14:paraId="456E642F">
      <w:pPr>
        <w:pStyle w:val="12"/>
        <w:rPr>
          <w:rFonts w:hint="eastAsia"/>
          <w:i w:val="0"/>
          <w:iCs w:val="0"/>
          <w:color w:val="auto"/>
          <w:highlight w:val="none"/>
          <w:lang w:val="en-US" w:eastAsia="zh-CN"/>
        </w:rPr>
      </w:pPr>
    </w:p>
    <w:p w14:paraId="33184101">
      <w:pPr>
        <w:pStyle w:val="5"/>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stheme="majorBidi"/>
          <w:b/>
          <w:bCs/>
          <w:i w:val="0"/>
          <w:iCs w:val="0"/>
          <w:color w:val="auto"/>
          <w:kern w:val="2"/>
          <w:sz w:val="28"/>
          <w:szCs w:val="28"/>
          <w:highlight w:val="none"/>
          <w:lang w:val="zh-CN" w:eastAsia="zh-CN" w:bidi="ar-SA"/>
        </w:rPr>
      </w:pPr>
      <w:bookmarkStart w:id="525" w:name="_Toc19980"/>
      <w:r>
        <w:rPr>
          <w:rFonts w:hint="eastAsia" w:cstheme="majorBidi"/>
          <w:b/>
          <w:bCs/>
          <w:i w:val="0"/>
          <w:iCs w:val="0"/>
          <w:color w:val="auto"/>
          <w:kern w:val="2"/>
          <w:sz w:val="28"/>
          <w:szCs w:val="28"/>
          <w:highlight w:val="none"/>
          <w:lang w:val="en-US" w:eastAsia="zh-CN" w:bidi="ar-SA"/>
        </w:rPr>
        <w:t>六</w:t>
      </w:r>
      <w:r>
        <w:rPr>
          <w:rFonts w:hint="eastAsia" w:eastAsia="宋体" w:asciiTheme="majorHAnsi" w:hAnsiTheme="majorHAnsi" w:cstheme="majorBidi"/>
          <w:b/>
          <w:bCs/>
          <w:i w:val="0"/>
          <w:iCs w:val="0"/>
          <w:color w:val="auto"/>
          <w:kern w:val="2"/>
          <w:sz w:val="28"/>
          <w:szCs w:val="28"/>
          <w:highlight w:val="none"/>
          <w:lang w:val="en-US" w:eastAsia="zh-CN" w:bidi="ar-SA"/>
        </w:rPr>
        <w:t>、</w:t>
      </w:r>
      <w:r>
        <w:rPr>
          <w:rFonts w:hint="eastAsia" w:eastAsia="宋体" w:asciiTheme="majorHAnsi" w:hAnsiTheme="majorHAnsi" w:cstheme="majorBidi"/>
          <w:b/>
          <w:bCs/>
          <w:i w:val="0"/>
          <w:iCs w:val="0"/>
          <w:color w:val="auto"/>
          <w:kern w:val="2"/>
          <w:sz w:val="28"/>
          <w:szCs w:val="28"/>
          <w:highlight w:val="none"/>
          <w:lang w:val="zh-CN" w:eastAsia="zh-CN" w:bidi="ar-SA"/>
        </w:rPr>
        <w:t>其他资格证明文件</w:t>
      </w:r>
      <w:bookmarkEnd w:id="525"/>
    </w:p>
    <w:p w14:paraId="77C9E35F">
      <w:pPr>
        <w:pStyle w:val="41"/>
        <w:rPr>
          <w:rFonts w:hint="default" w:eastAsia="宋体"/>
          <w:i w:val="0"/>
          <w:iCs w:val="0"/>
          <w:color w:val="auto"/>
          <w:highlight w:val="none"/>
          <w:lang w:val="en-US" w:eastAsia="zh-CN"/>
        </w:rPr>
      </w:pPr>
      <w:r>
        <w:rPr>
          <w:rFonts w:hint="eastAsia" w:cs="Courier New"/>
          <w:i w:val="0"/>
          <w:iCs w:val="0"/>
          <w:color w:val="auto"/>
          <w:szCs w:val="24"/>
          <w:highlight w:val="none"/>
          <w:lang w:val="en-US" w:eastAsia="zh-CN"/>
        </w:rPr>
        <w:t>供应商</w:t>
      </w:r>
      <w:r>
        <w:rPr>
          <w:rFonts w:hint="eastAsia" w:cs="Courier New"/>
          <w:i w:val="0"/>
          <w:iCs w:val="0"/>
          <w:color w:val="auto"/>
          <w:szCs w:val="24"/>
          <w:highlight w:val="none"/>
        </w:rPr>
        <w:t>认为需提供的其它相关资格证明材料</w:t>
      </w:r>
      <w:r>
        <w:rPr>
          <w:rFonts w:hint="eastAsia" w:cs="Courier New"/>
          <w:i w:val="0"/>
          <w:iCs w:val="0"/>
          <w:color w:val="auto"/>
          <w:szCs w:val="24"/>
          <w:highlight w:val="none"/>
          <w:lang w:eastAsia="zh-CN"/>
        </w:rPr>
        <w:t>，</w:t>
      </w:r>
      <w:r>
        <w:rPr>
          <w:rFonts w:hint="eastAsia" w:cs="Courier New"/>
          <w:i w:val="0"/>
          <w:iCs w:val="0"/>
          <w:color w:val="auto"/>
          <w:szCs w:val="24"/>
          <w:highlight w:val="none"/>
          <w:lang w:val="en-US" w:eastAsia="zh-CN"/>
        </w:rPr>
        <w:t>如公告中</w:t>
      </w:r>
      <w:r>
        <w:rPr>
          <w:rFonts w:hint="eastAsia" w:cs="Courier New"/>
          <w:i w:val="0"/>
          <w:iCs w:val="0"/>
          <w:color w:val="auto"/>
          <w:szCs w:val="24"/>
          <w:highlight w:val="none"/>
          <w:lang w:eastAsia="zh-CN"/>
        </w:rPr>
        <w:t>本项目的特定资格要求</w:t>
      </w:r>
      <w:r>
        <w:rPr>
          <w:rFonts w:hint="eastAsia" w:cs="Courier New"/>
          <w:i w:val="0"/>
          <w:iCs w:val="0"/>
          <w:color w:val="auto"/>
          <w:szCs w:val="24"/>
          <w:highlight w:val="none"/>
          <w:lang w:val="en-US" w:eastAsia="zh-CN"/>
        </w:rPr>
        <w:t>相关证明</w:t>
      </w:r>
      <w:r>
        <w:rPr>
          <w:rFonts w:hint="eastAsia" w:cs="Courier New"/>
          <w:i w:val="0"/>
          <w:iCs w:val="0"/>
          <w:color w:val="auto"/>
          <w:szCs w:val="24"/>
          <w:highlight w:val="none"/>
          <w:lang w:eastAsia="zh-CN"/>
        </w:rPr>
        <w:t>。</w:t>
      </w:r>
    </w:p>
    <w:p w14:paraId="680A7B5F">
      <w:pPr>
        <w:pStyle w:val="41"/>
        <w:rPr>
          <w:rFonts w:hint="eastAsia"/>
          <w:i w:val="0"/>
          <w:iCs w:val="0"/>
          <w:color w:val="auto"/>
          <w:highlight w:val="none"/>
        </w:rPr>
      </w:pPr>
    </w:p>
    <w:p w14:paraId="453936AC">
      <w:pPr>
        <w:pStyle w:val="41"/>
        <w:rPr>
          <w:rFonts w:hint="eastAsia"/>
          <w:i w:val="0"/>
          <w:iCs w:val="0"/>
          <w:color w:val="auto"/>
          <w:highlight w:val="none"/>
        </w:rPr>
      </w:pPr>
    </w:p>
    <w:p w14:paraId="671994FA">
      <w:pPr>
        <w:pStyle w:val="41"/>
        <w:rPr>
          <w:rFonts w:hint="eastAsia"/>
          <w:i w:val="0"/>
          <w:iCs w:val="0"/>
          <w:color w:val="auto"/>
          <w:highlight w:val="none"/>
        </w:rPr>
      </w:pPr>
    </w:p>
    <w:p w14:paraId="43872059">
      <w:pPr>
        <w:pStyle w:val="41"/>
        <w:rPr>
          <w:rFonts w:hint="eastAsia"/>
          <w:i w:val="0"/>
          <w:iCs w:val="0"/>
          <w:color w:val="auto"/>
          <w:highlight w:val="none"/>
        </w:rPr>
      </w:pPr>
    </w:p>
    <w:p w14:paraId="13EF145F">
      <w:pPr>
        <w:pStyle w:val="41"/>
        <w:rPr>
          <w:rFonts w:hint="eastAsia"/>
          <w:i w:val="0"/>
          <w:iCs w:val="0"/>
          <w:color w:val="auto"/>
          <w:highlight w:val="none"/>
        </w:rPr>
      </w:pPr>
    </w:p>
    <w:p w14:paraId="5DD1A527">
      <w:pPr>
        <w:pStyle w:val="41"/>
        <w:rPr>
          <w:rFonts w:hint="eastAsia"/>
          <w:i w:val="0"/>
          <w:iCs w:val="0"/>
          <w:color w:val="auto"/>
          <w:highlight w:val="none"/>
        </w:rPr>
      </w:pPr>
    </w:p>
    <w:p w14:paraId="045D4071">
      <w:pPr>
        <w:pStyle w:val="41"/>
        <w:rPr>
          <w:rFonts w:hint="eastAsia"/>
          <w:i w:val="0"/>
          <w:iCs w:val="0"/>
          <w:color w:val="auto"/>
          <w:highlight w:val="none"/>
        </w:rPr>
      </w:pPr>
    </w:p>
    <w:p w14:paraId="6EF3043A">
      <w:pPr>
        <w:pStyle w:val="41"/>
        <w:rPr>
          <w:rFonts w:hint="eastAsia"/>
          <w:i w:val="0"/>
          <w:iCs w:val="0"/>
          <w:color w:val="auto"/>
          <w:highlight w:val="none"/>
        </w:rPr>
      </w:pPr>
    </w:p>
    <w:p w14:paraId="1B27FB1A">
      <w:pPr>
        <w:pStyle w:val="41"/>
        <w:rPr>
          <w:rFonts w:hint="eastAsia"/>
          <w:i w:val="0"/>
          <w:iCs w:val="0"/>
          <w:color w:val="auto"/>
          <w:highlight w:val="none"/>
        </w:rPr>
      </w:pPr>
    </w:p>
    <w:p w14:paraId="5B68AF5B">
      <w:pPr>
        <w:pStyle w:val="41"/>
        <w:rPr>
          <w:rFonts w:hint="eastAsia"/>
          <w:i w:val="0"/>
          <w:iCs w:val="0"/>
          <w:color w:val="auto"/>
          <w:highlight w:val="none"/>
        </w:rPr>
      </w:pPr>
    </w:p>
    <w:p w14:paraId="2DD3061E">
      <w:pPr>
        <w:pStyle w:val="41"/>
        <w:rPr>
          <w:rFonts w:hint="eastAsia"/>
          <w:i w:val="0"/>
          <w:iCs w:val="0"/>
          <w:color w:val="auto"/>
          <w:highlight w:val="none"/>
        </w:rPr>
      </w:pPr>
    </w:p>
    <w:p w14:paraId="24E0F5D6">
      <w:pPr>
        <w:pStyle w:val="41"/>
        <w:rPr>
          <w:rFonts w:hint="eastAsia"/>
          <w:i w:val="0"/>
          <w:iCs w:val="0"/>
          <w:color w:val="auto"/>
          <w:highlight w:val="none"/>
        </w:rPr>
      </w:pPr>
    </w:p>
    <w:p w14:paraId="3CA5B2EA">
      <w:pPr>
        <w:pStyle w:val="41"/>
        <w:rPr>
          <w:rFonts w:hint="eastAsia"/>
          <w:i w:val="0"/>
          <w:iCs w:val="0"/>
          <w:color w:val="auto"/>
          <w:highlight w:val="none"/>
        </w:rPr>
      </w:pPr>
    </w:p>
    <w:p w14:paraId="1A09258B">
      <w:pPr>
        <w:pStyle w:val="41"/>
        <w:rPr>
          <w:rFonts w:hint="eastAsia"/>
          <w:i w:val="0"/>
          <w:iCs w:val="0"/>
          <w:color w:val="auto"/>
          <w:highlight w:val="none"/>
        </w:rPr>
      </w:pPr>
    </w:p>
    <w:p w14:paraId="68982619">
      <w:pPr>
        <w:pStyle w:val="41"/>
        <w:rPr>
          <w:rFonts w:hint="eastAsia"/>
          <w:i w:val="0"/>
          <w:iCs w:val="0"/>
          <w:color w:val="auto"/>
          <w:highlight w:val="none"/>
        </w:rPr>
      </w:pPr>
    </w:p>
    <w:p w14:paraId="2493EC7E">
      <w:pPr>
        <w:pStyle w:val="41"/>
        <w:rPr>
          <w:rFonts w:hint="eastAsia"/>
          <w:i w:val="0"/>
          <w:iCs w:val="0"/>
          <w:color w:val="auto"/>
          <w:highlight w:val="none"/>
        </w:rPr>
      </w:pPr>
    </w:p>
    <w:p w14:paraId="304DEC83">
      <w:pPr>
        <w:pStyle w:val="41"/>
        <w:rPr>
          <w:rFonts w:hint="eastAsia"/>
          <w:i w:val="0"/>
          <w:iCs w:val="0"/>
          <w:color w:val="auto"/>
          <w:highlight w:val="none"/>
        </w:rPr>
      </w:pPr>
    </w:p>
    <w:p w14:paraId="276B39F5">
      <w:pPr>
        <w:pStyle w:val="41"/>
        <w:rPr>
          <w:rFonts w:hint="eastAsia"/>
          <w:i w:val="0"/>
          <w:iCs w:val="0"/>
          <w:color w:val="auto"/>
          <w:highlight w:val="none"/>
        </w:rPr>
      </w:pPr>
    </w:p>
    <w:p w14:paraId="7480142F">
      <w:pPr>
        <w:pStyle w:val="41"/>
        <w:rPr>
          <w:rFonts w:hint="eastAsia"/>
          <w:i w:val="0"/>
          <w:iCs w:val="0"/>
          <w:color w:val="auto"/>
          <w:highlight w:val="none"/>
        </w:rPr>
      </w:pPr>
    </w:p>
    <w:p w14:paraId="70A7EC82">
      <w:pPr>
        <w:pStyle w:val="41"/>
        <w:rPr>
          <w:rFonts w:hint="eastAsia"/>
          <w:i w:val="0"/>
          <w:iCs w:val="0"/>
          <w:color w:val="auto"/>
          <w:highlight w:val="none"/>
        </w:rPr>
      </w:pPr>
    </w:p>
    <w:p w14:paraId="3BE98917">
      <w:pPr>
        <w:pStyle w:val="41"/>
        <w:rPr>
          <w:rFonts w:hint="eastAsia"/>
          <w:i w:val="0"/>
          <w:iCs w:val="0"/>
          <w:color w:val="auto"/>
          <w:highlight w:val="none"/>
        </w:rPr>
      </w:pPr>
    </w:p>
    <w:p w14:paraId="6574D1B7">
      <w:pPr>
        <w:pStyle w:val="41"/>
        <w:rPr>
          <w:rFonts w:hint="eastAsia"/>
          <w:i w:val="0"/>
          <w:iCs w:val="0"/>
          <w:color w:val="auto"/>
          <w:highlight w:val="none"/>
        </w:rPr>
      </w:pPr>
    </w:p>
    <w:p w14:paraId="181742A6">
      <w:pPr>
        <w:pStyle w:val="41"/>
        <w:rPr>
          <w:rFonts w:hint="eastAsia"/>
          <w:i w:val="0"/>
          <w:iCs w:val="0"/>
          <w:color w:val="auto"/>
          <w:highlight w:val="none"/>
        </w:rPr>
      </w:pPr>
    </w:p>
    <w:p w14:paraId="2F7C7A6E">
      <w:pPr>
        <w:pStyle w:val="41"/>
        <w:rPr>
          <w:rFonts w:hint="eastAsia"/>
          <w:i w:val="0"/>
          <w:iCs w:val="0"/>
          <w:color w:val="auto"/>
          <w:highlight w:val="none"/>
        </w:rPr>
      </w:pPr>
    </w:p>
    <w:p w14:paraId="4B8DDF8F">
      <w:pPr>
        <w:pStyle w:val="41"/>
        <w:rPr>
          <w:rFonts w:hint="eastAsia"/>
          <w:i w:val="0"/>
          <w:iCs w:val="0"/>
          <w:color w:val="auto"/>
          <w:highlight w:val="none"/>
        </w:rPr>
      </w:pPr>
    </w:p>
    <w:p w14:paraId="7B2F1A82">
      <w:pPr>
        <w:pStyle w:val="41"/>
        <w:rPr>
          <w:rFonts w:hint="eastAsia"/>
          <w:i w:val="0"/>
          <w:iCs w:val="0"/>
          <w:color w:val="auto"/>
          <w:highlight w:val="none"/>
        </w:rPr>
      </w:pPr>
    </w:p>
    <w:p w14:paraId="2FB4A42D">
      <w:pPr>
        <w:pStyle w:val="67"/>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i w:val="0"/>
          <w:iCs w:val="0"/>
          <w:color w:val="auto"/>
          <w:highlight w:val="none"/>
          <w:lang w:val="en-US" w:eastAsia="zh-CN"/>
        </w:rPr>
      </w:pPr>
    </w:p>
    <w:p w14:paraId="6C3920F8">
      <w:pPr>
        <w:ind w:firstLine="480" w:firstLineChars="200"/>
        <w:rPr>
          <w:rFonts w:cs="仿宋_GB2312"/>
          <w:i w:val="0"/>
          <w:iCs w:val="0"/>
          <w:color w:val="auto"/>
          <w:szCs w:val="24"/>
          <w:highlight w:val="none"/>
          <w:lang w:val="zh-CN"/>
        </w:rPr>
      </w:pPr>
      <w:r>
        <w:rPr>
          <w:rFonts w:hint="eastAsia" w:cs="仿宋_GB2312"/>
          <w:i w:val="0"/>
          <w:iCs w:val="0"/>
          <w:color w:val="auto"/>
          <w:szCs w:val="24"/>
          <w:highlight w:val="none"/>
          <w:lang w:val="zh-CN"/>
        </w:rPr>
        <w:t>封面：</w:t>
      </w:r>
    </w:p>
    <w:p w14:paraId="382E5926">
      <w:pPr>
        <w:autoSpaceDE w:val="0"/>
        <w:autoSpaceDN w:val="0"/>
        <w:adjustRightInd w:val="0"/>
        <w:rPr>
          <w:i w:val="0"/>
          <w:iCs w:val="0"/>
          <w:color w:val="auto"/>
          <w:sz w:val="21"/>
          <w:szCs w:val="24"/>
          <w:highlight w:val="none"/>
        </w:rPr>
      </w:pPr>
    </w:p>
    <w:p w14:paraId="731A60CE">
      <w:pPr>
        <w:autoSpaceDE w:val="0"/>
        <w:autoSpaceDN w:val="0"/>
        <w:adjustRightInd w:val="0"/>
        <w:rPr>
          <w:i w:val="0"/>
          <w:iCs w:val="0"/>
          <w:color w:val="auto"/>
          <w:sz w:val="21"/>
          <w:szCs w:val="24"/>
          <w:highlight w:val="none"/>
        </w:rPr>
      </w:pPr>
    </w:p>
    <w:p w14:paraId="05D49386">
      <w:pPr>
        <w:autoSpaceDE w:val="0"/>
        <w:autoSpaceDN w:val="0"/>
        <w:adjustRightInd w:val="0"/>
        <w:jc w:val="center"/>
        <w:rPr>
          <w:i w:val="0"/>
          <w:iCs w:val="0"/>
          <w:color w:val="auto"/>
          <w:sz w:val="21"/>
          <w:szCs w:val="24"/>
          <w:highlight w:val="none"/>
        </w:rPr>
      </w:pPr>
    </w:p>
    <w:p w14:paraId="5C75D4B0">
      <w:pPr>
        <w:pStyle w:val="5"/>
        <w:bidi w:val="0"/>
        <w:jc w:val="center"/>
        <w:rPr>
          <w:color w:val="auto"/>
          <w:sz w:val="84"/>
          <w:szCs w:val="84"/>
          <w:highlight w:val="none"/>
        </w:rPr>
      </w:pPr>
      <w:bookmarkStart w:id="526" w:name="_Toc25204"/>
      <w:r>
        <w:rPr>
          <w:rFonts w:hint="eastAsia"/>
          <w:color w:val="auto"/>
          <w:sz w:val="84"/>
          <w:szCs w:val="84"/>
          <w:highlight w:val="none"/>
          <w:lang w:val="en-US" w:eastAsia="zh-CN"/>
        </w:rPr>
        <w:t>响 应</w:t>
      </w:r>
      <w:r>
        <w:rPr>
          <w:rFonts w:hint="eastAsia"/>
          <w:color w:val="auto"/>
          <w:sz w:val="84"/>
          <w:szCs w:val="84"/>
          <w:highlight w:val="none"/>
        </w:rPr>
        <w:t xml:space="preserve"> 文 件</w:t>
      </w:r>
      <w:bookmarkEnd w:id="526"/>
    </w:p>
    <w:p w14:paraId="781A253E">
      <w:pPr>
        <w:pStyle w:val="4"/>
        <w:bidi w:val="0"/>
        <w:jc w:val="center"/>
        <w:rPr>
          <w:rFonts w:hint="eastAsia"/>
          <w:color w:val="auto"/>
          <w:sz w:val="56"/>
          <w:szCs w:val="56"/>
          <w:highlight w:val="none"/>
          <w:lang w:val="en-US" w:eastAsia="zh-CN"/>
        </w:rPr>
      </w:pPr>
      <w:bookmarkStart w:id="527" w:name="_Toc6323"/>
      <w:r>
        <w:rPr>
          <w:rFonts w:hint="eastAsia"/>
          <w:color w:val="auto"/>
          <w:sz w:val="56"/>
          <w:szCs w:val="56"/>
          <w:highlight w:val="none"/>
          <w:lang w:val="en-US" w:eastAsia="zh-CN"/>
        </w:rPr>
        <w:t>报价文件</w:t>
      </w:r>
      <w:bookmarkEnd w:id="527"/>
    </w:p>
    <w:p w14:paraId="507D2F9D">
      <w:pPr>
        <w:autoSpaceDE w:val="0"/>
        <w:autoSpaceDN w:val="0"/>
        <w:adjustRightInd w:val="0"/>
        <w:jc w:val="center"/>
        <w:rPr>
          <w:rFonts w:hint="eastAsia" w:eastAsia="宋体"/>
          <w:i w:val="0"/>
          <w:iCs w:val="0"/>
          <w:color w:val="auto"/>
          <w:sz w:val="36"/>
          <w:szCs w:val="36"/>
          <w:highlight w:val="none"/>
          <w:lang w:eastAsia="zh-CN"/>
        </w:rPr>
      </w:pPr>
      <w:r>
        <w:rPr>
          <w:rFonts w:hint="eastAsia"/>
          <w:i w:val="0"/>
          <w:iCs w:val="0"/>
          <w:color w:val="auto"/>
          <w:sz w:val="36"/>
          <w:szCs w:val="36"/>
          <w:highlight w:val="none"/>
          <w:lang w:val="en-US" w:eastAsia="zh-CN"/>
        </w:rPr>
        <w:t>（第XX包</w:t>
      </w:r>
      <w:r>
        <w:rPr>
          <w:rFonts w:hint="eastAsia"/>
          <w:i w:val="0"/>
          <w:iCs w:val="0"/>
          <w:color w:val="auto"/>
          <w:sz w:val="36"/>
          <w:szCs w:val="36"/>
          <w:highlight w:val="none"/>
          <w:lang w:eastAsia="zh-CN"/>
        </w:rPr>
        <w:t>）【</w:t>
      </w:r>
      <w:r>
        <w:rPr>
          <w:rFonts w:hint="eastAsia"/>
          <w:i w:val="0"/>
          <w:iCs w:val="0"/>
          <w:color w:val="auto"/>
          <w:sz w:val="36"/>
          <w:szCs w:val="36"/>
          <w:highlight w:val="none"/>
          <w:lang w:val="en-US" w:eastAsia="zh-CN"/>
        </w:rPr>
        <w:t>如不分包，请删去本行</w:t>
      </w:r>
      <w:r>
        <w:rPr>
          <w:rFonts w:hint="eastAsia"/>
          <w:i w:val="0"/>
          <w:iCs w:val="0"/>
          <w:color w:val="auto"/>
          <w:sz w:val="36"/>
          <w:szCs w:val="36"/>
          <w:highlight w:val="none"/>
          <w:lang w:eastAsia="zh-CN"/>
        </w:rPr>
        <w:t>】</w:t>
      </w:r>
    </w:p>
    <w:p w14:paraId="51AE96B7">
      <w:pPr>
        <w:pStyle w:val="4"/>
        <w:rPr>
          <w:i w:val="0"/>
          <w:iCs w:val="0"/>
          <w:color w:val="auto"/>
          <w:sz w:val="21"/>
          <w:szCs w:val="21"/>
          <w:highlight w:val="none"/>
        </w:rPr>
      </w:pPr>
    </w:p>
    <w:p w14:paraId="1B47BAE7">
      <w:pPr>
        <w:rPr>
          <w:i w:val="0"/>
          <w:iCs w:val="0"/>
          <w:color w:val="auto"/>
          <w:sz w:val="21"/>
          <w:szCs w:val="21"/>
          <w:highlight w:val="none"/>
        </w:rPr>
      </w:pPr>
    </w:p>
    <w:p w14:paraId="2753DE04">
      <w:pPr>
        <w:rPr>
          <w:i w:val="0"/>
          <w:iCs w:val="0"/>
          <w:color w:val="auto"/>
          <w:highlight w:val="none"/>
        </w:rPr>
      </w:pPr>
    </w:p>
    <w:p w14:paraId="0581C2BD">
      <w:pPr>
        <w:autoSpaceDE w:val="0"/>
        <w:autoSpaceDN w:val="0"/>
        <w:adjustRightInd w:val="0"/>
        <w:rPr>
          <w:i w:val="0"/>
          <w:iCs w:val="0"/>
          <w:color w:val="auto"/>
          <w:sz w:val="21"/>
          <w:szCs w:val="21"/>
          <w:highlight w:val="none"/>
        </w:rPr>
      </w:pPr>
    </w:p>
    <w:p w14:paraId="3707FB6E">
      <w:pPr>
        <w:ind w:left="420" w:leftChars="175"/>
        <w:rPr>
          <w:rFonts w:hint="eastAsia" w:ascii="宋体" w:hAnsi="宋体" w:eastAsia="宋体" w:cs="宋体"/>
          <w:i w:val="0"/>
          <w:iCs w:val="0"/>
          <w:color w:val="auto"/>
          <w:sz w:val="36"/>
          <w:szCs w:val="36"/>
          <w:highlight w:val="none"/>
        </w:rPr>
      </w:pPr>
      <w:r>
        <w:rPr>
          <w:rFonts w:hint="eastAsia" w:ascii="宋体" w:hAnsi="宋体" w:eastAsia="宋体" w:cs="宋体"/>
          <w:i w:val="0"/>
          <w:iCs w:val="0"/>
          <w:color w:val="auto"/>
          <w:sz w:val="36"/>
          <w:szCs w:val="36"/>
          <w:highlight w:val="none"/>
        </w:rPr>
        <w:t>项目编号</w:t>
      </w:r>
      <w:r>
        <w:rPr>
          <w:rFonts w:hint="eastAsia" w:ascii="宋体" w:hAnsi="宋体" w:eastAsia="宋体" w:cs="宋体"/>
          <w:i w:val="0"/>
          <w:iCs w:val="0"/>
          <w:color w:val="auto"/>
          <w:sz w:val="36"/>
          <w:szCs w:val="36"/>
          <w:highlight w:val="none"/>
          <w:lang w:val="en-US" w:eastAsia="zh-CN"/>
        </w:rPr>
        <w:t>/包号</w:t>
      </w:r>
      <w:r>
        <w:rPr>
          <w:rFonts w:hint="eastAsia" w:ascii="宋体" w:hAnsi="宋体" w:eastAsia="宋体" w:cs="宋体"/>
          <w:i w:val="0"/>
          <w:iCs w:val="0"/>
          <w:color w:val="auto"/>
          <w:sz w:val="36"/>
          <w:szCs w:val="36"/>
          <w:highlight w:val="none"/>
        </w:rPr>
        <w:t>：</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42C0CD7A">
      <w:pPr>
        <w:ind w:left="420" w:leftChars="175"/>
        <w:rPr>
          <w:rFonts w:hint="eastAsia" w:ascii="宋体" w:hAnsi="宋体" w:eastAsia="宋体" w:cs="宋体"/>
          <w:i w:val="0"/>
          <w:iCs w:val="0"/>
          <w:color w:val="auto"/>
          <w:sz w:val="36"/>
          <w:szCs w:val="36"/>
          <w:highlight w:val="none"/>
        </w:rPr>
      </w:pPr>
      <w:r>
        <w:rPr>
          <w:rFonts w:hint="eastAsia" w:ascii="宋体" w:hAnsi="宋体" w:eastAsia="宋体" w:cs="宋体"/>
          <w:i w:val="0"/>
          <w:iCs w:val="0"/>
          <w:color w:val="auto"/>
          <w:sz w:val="36"/>
          <w:szCs w:val="36"/>
          <w:highlight w:val="none"/>
        </w:rPr>
        <w:t>项目名称：</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29417731">
      <w:pPr>
        <w:ind w:left="420" w:leftChars="175"/>
        <w:rPr>
          <w:rFonts w:hint="eastAsia" w:ascii="宋体" w:hAnsi="宋体" w:eastAsia="宋体" w:cs="宋体"/>
          <w:i w:val="0"/>
          <w:iCs w:val="0"/>
          <w:color w:val="auto"/>
          <w:sz w:val="36"/>
          <w:szCs w:val="36"/>
          <w:highlight w:val="none"/>
        </w:rPr>
      </w:pPr>
      <w:r>
        <w:rPr>
          <w:rFonts w:hint="eastAsia" w:cs="宋体"/>
          <w:i w:val="0"/>
          <w:iCs w:val="0"/>
          <w:color w:val="auto"/>
          <w:sz w:val="36"/>
          <w:szCs w:val="36"/>
          <w:highlight w:val="none"/>
          <w:lang w:val="en-US" w:eastAsia="zh-CN"/>
        </w:rPr>
        <w:t>供 应 商</w:t>
      </w:r>
      <w:r>
        <w:rPr>
          <w:rFonts w:hint="eastAsia" w:ascii="宋体" w:hAnsi="宋体" w:eastAsia="宋体" w:cs="宋体"/>
          <w:i w:val="0"/>
          <w:iCs w:val="0"/>
          <w:color w:val="auto"/>
          <w:sz w:val="36"/>
          <w:szCs w:val="36"/>
          <w:highlight w:val="none"/>
        </w:rPr>
        <w:t>：</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06909597">
      <w:pPr>
        <w:ind w:left="840" w:firstLine="420"/>
        <w:rPr>
          <w:b/>
          <w:bCs/>
          <w:i w:val="0"/>
          <w:iCs w:val="0"/>
          <w:color w:val="auto"/>
          <w:sz w:val="28"/>
          <w:szCs w:val="28"/>
          <w:highlight w:val="none"/>
        </w:rPr>
      </w:pPr>
    </w:p>
    <w:p w14:paraId="76D6809E">
      <w:pPr>
        <w:ind w:left="840" w:firstLine="420"/>
        <w:rPr>
          <w:b/>
          <w:bCs/>
          <w:i w:val="0"/>
          <w:iCs w:val="0"/>
          <w:color w:val="auto"/>
          <w:sz w:val="28"/>
          <w:szCs w:val="28"/>
          <w:highlight w:val="none"/>
        </w:rPr>
      </w:pPr>
    </w:p>
    <w:p w14:paraId="243BE84E">
      <w:pPr>
        <w:jc w:val="center"/>
        <w:rPr>
          <w:rFonts w:ascii="黑体" w:hAnsi="黑体" w:eastAsia="黑体"/>
          <w:i w:val="0"/>
          <w:iCs w:val="0"/>
          <w:color w:val="auto"/>
          <w:sz w:val="32"/>
          <w:szCs w:val="32"/>
          <w:highlight w:val="none"/>
        </w:rPr>
      </w:pPr>
      <w:r>
        <w:rPr>
          <w:rFonts w:hint="eastAsia" w:ascii="宋体" w:hAnsi="宋体" w:eastAsia="宋体" w:cs="宋体"/>
          <w:i w:val="0"/>
          <w:iCs w:val="0"/>
          <w:color w:val="auto"/>
          <w:sz w:val="32"/>
          <w:szCs w:val="32"/>
          <w:highlight w:val="none"/>
        </w:rPr>
        <w:t>年   月    日</w:t>
      </w:r>
    </w:p>
    <w:p w14:paraId="35B20AE9">
      <w:pPr>
        <w:rPr>
          <w:i w:val="0"/>
          <w:iCs w:val="0"/>
          <w:color w:val="auto"/>
          <w:highlight w:val="none"/>
          <w:lang w:val="zh-CN"/>
        </w:rPr>
      </w:pPr>
      <w:r>
        <w:rPr>
          <w:i w:val="0"/>
          <w:iCs w:val="0"/>
          <w:color w:val="auto"/>
          <w:highlight w:val="none"/>
          <w:lang w:val="zh-CN"/>
        </w:rPr>
        <w:br w:type="page"/>
      </w:r>
    </w:p>
    <w:p w14:paraId="447F0E61">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i w:val="0"/>
          <w:iCs w:val="0"/>
          <w:color w:val="auto"/>
          <w:kern w:val="2"/>
          <w:sz w:val="32"/>
          <w:szCs w:val="32"/>
          <w:highlight w:val="none"/>
          <w:lang w:val="en-US" w:eastAsia="zh-CN" w:bidi="ar-SA"/>
        </w:rPr>
      </w:pPr>
    </w:p>
    <w:p w14:paraId="20CF3756">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i w:val="0"/>
          <w:iCs w:val="0"/>
          <w:color w:val="auto"/>
          <w:kern w:val="2"/>
          <w:sz w:val="32"/>
          <w:szCs w:val="32"/>
          <w:highlight w:val="none"/>
          <w:lang w:val="en-US" w:eastAsia="zh-CN" w:bidi="ar-SA"/>
        </w:rPr>
      </w:pPr>
      <w:bookmarkStart w:id="528" w:name="_Toc10882"/>
      <w:r>
        <w:rPr>
          <w:rFonts w:hint="eastAsia" w:cstheme="majorBidi"/>
          <w:b/>
          <w:bCs/>
          <w:i w:val="0"/>
          <w:iCs w:val="0"/>
          <w:color w:val="auto"/>
          <w:kern w:val="2"/>
          <w:sz w:val="32"/>
          <w:szCs w:val="32"/>
          <w:highlight w:val="none"/>
          <w:lang w:val="en-US" w:eastAsia="zh-CN" w:bidi="ar-SA"/>
        </w:rPr>
        <w:t>一、报价一览表</w:t>
      </w:r>
      <w:bookmarkEnd w:id="528"/>
    </w:p>
    <w:p w14:paraId="241FA595">
      <w:pPr>
        <w:spacing w:line="300" w:lineRule="auto"/>
        <w:rPr>
          <w:rFonts w:cs="仿宋_GB2312"/>
          <w:i w:val="0"/>
          <w:iCs w:val="0"/>
          <w:color w:val="auto"/>
          <w:szCs w:val="24"/>
          <w:highlight w:val="none"/>
        </w:rPr>
      </w:pPr>
    </w:p>
    <w:p w14:paraId="10EFF48D">
      <w:pPr>
        <w:rPr>
          <w:b w:val="0"/>
          <w:bCs/>
          <w:i w:val="0"/>
          <w:iCs w:val="0"/>
          <w:color w:val="auto"/>
          <w:szCs w:val="21"/>
          <w:highlight w:val="none"/>
          <w:lang w:val="zh-CN"/>
        </w:rPr>
      </w:pPr>
      <w:r>
        <w:rPr>
          <w:rFonts w:hint="eastAsia"/>
          <w:b w:val="0"/>
          <w:bCs/>
          <w:i w:val="0"/>
          <w:iCs w:val="0"/>
          <w:color w:val="auto"/>
          <w:szCs w:val="21"/>
          <w:highlight w:val="none"/>
          <w:lang w:val="zh-CN"/>
        </w:rPr>
        <w:t>项目名称：</w:t>
      </w:r>
      <w:r>
        <w:rPr>
          <w:rFonts w:hint="eastAsia"/>
          <w:b w:val="0"/>
          <w:bCs/>
          <w:i w:val="0"/>
          <w:iCs w:val="0"/>
          <w:color w:val="auto"/>
          <w:szCs w:val="21"/>
          <w:highlight w:val="none"/>
          <w:u w:val="single"/>
          <w:lang w:val="zh-CN"/>
        </w:rPr>
        <w:t xml:space="preserve">                     </w:t>
      </w:r>
    </w:p>
    <w:p w14:paraId="6E3677A6">
      <w:pPr>
        <w:rPr>
          <w:b w:val="0"/>
          <w:bCs/>
          <w:i w:val="0"/>
          <w:iCs w:val="0"/>
          <w:color w:val="auto"/>
          <w:szCs w:val="21"/>
          <w:highlight w:val="none"/>
          <w:u w:val="single"/>
          <w:lang w:val="zh-CN"/>
        </w:rPr>
      </w:pPr>
      <w:r>
        <w:rPr>
          <w:rFonts w:hint="eastAsia"/>
          <w:b w:val="0"/>
          <w:bCs/>
          <w:i w:val="0"/>
          <w:iCs w:val="0"/>
          <w:color w:val="auto"/>
          <w:szCs w:val="21"/>
          <w:highlight w:val="none"/>
          <w:lang w:val="zh-CN"/>
        </w:rPr>
        <w:t>项目编号</w:t>
      </w:r>
      <w:r>
        <w:rPr>
          <w:rFonts w:hint="eastAsia"/>
          <w:b w:val="0"/>
          <w:bCs/>
          <w:i w:val="0"/>
          <w:iCs w:val="0"/>
          <w:color w:val="auto"/>
          <w:szCs w:val="21"/>
          <w:highlight w:val="none"/>
          <w:lang w:val="en-US" w:eastAsia="zh-CN"/>
        </w:rPr>
        <w:t>/</w:t>
      </w:r>
      <w:r>
        <w:rPr>
          <w:rFonts w:hint="eastAsia"/>
          <w:b w:val="0"/>
          <w:bCs/>
          <w:i w:val="0"/>
          <w:iCs w:val="0"/>
          <w:color w:val="auto"/>
          <w:szCs w:val="21"/>
          <w:highlight w:val="none"/>
          <w:lang w:val="zh-CN"/>
        </w:rPr>
        <w:t>包号：</w:t>
      </w:r>
      <w:r>
        <w:rPr>
          <w:rFonts w:hint="eastAsia"/>
          <w:b w:val="0"/>
          <w:bCs/>
          <w:i w:val="0"/>
          <w:iCs w:val="0"/>
          <w:color w:val="auto"/>
          <w:szCs w:val="21"/>
          <w:highlight w:val="none"/>
          <w:u w:val="single"/>
          <w:lang w:val="zh-CN"/>
        </w:rPr>
        <w:t xml:space="preserve">                </w:t>
      </w:r>
    </w:p>
    <w:tbl>
      <w:tblPr>
        <w:tblStyle w:val="32"/>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37F3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03" w:type="dxa"/>
            <w:vAlign w:val="center"/>
          </w:tcPr>
          <w:p w14:paraId="0016AE0B">
            <w:pPr>
              <w:widowControl/>
              <w:autoSpaceDE w:val="0"/>
              <w:autoSpaceDN w:val="0"/>
              <w:jc w:val="center"/>
              <w:textAlignment w:val="bottom"/>
              <w:rPr>
                <w:i w:val="0"/>
                <w:iCs w:val="0"/>
                <w:color w:val="auto"/>
                <w:szCs w:val="21"/>
                <w:highlight w:val="none"/>
              </w:rPr>
            </w:pPr>
            <w:r>
              <w:rPr>
                <w:rFonts w:hint="eastAsia"/>
                <w:i w:val="0"/>
                <w:iCs w:val="0"/>
                <w:color w:val="auto"/>
                <w:szCs w:val="21"/>
                <w:highlight w:val="none"/>
              </w:rPr>
              <w:t>序号</w:t>
            </w:r>
          </w:p>
        </w:tc>
        <w:tc>
          <w:tcPr>
            <w:tcW w:w="2352" w:type="dxa"/>
            <w:vAlign w:val="center"/>
          </w:tcPr>
          <w:p w14:paraId="7E7CF957">
            <w:pPr>
              <w:tabs>
                <w:tab w:val="left" w:pos="1337"/>
              </w:tabs>
              <w:spacing w:line="360" w:lineRule="auto"/>
              <w:jc w:val="center"/>
              <w:rPr>
                <w:i w:val="0"/>
                <w:iCs w:val="0"/>
                <w:color w:val="auto"/>
                <w:szCs w:val="21"/>
                <w:highlight w:val="none"/>
              </w:rPr>
            </w:pPr>
            <w:r>
              <w:rPr>
                <w:rFonts w:hint="eastAsia" w:ascii="仿宋" w:hAnsi="仿宋" w:eastAsia="仿宋" w:cs="仿宋"/>
                <w:bCs/>
                <w:sz w:val="24"/>
                <w:szCs w:val="22"/>
                <w:highlight w:val="none"/>
                <w:u w:val="none" w:color="auto"/>
              </w:rPr>
              <w:t>投 标 报 价</w:t>
            </w:r>
          </w:p>
        </w:tc>
        <w:tc>
          <w:tcPr>
            <w:tcW w:w="2161" w:type="dxa"/>
            <w:vAlign w:val="center"/>
          </w:tcPr>
          <w:p w14:paraId="4F523D4E">
            <w:pPr>
              <w:widowControl/>
              <w:autoSpaceDE w:val="0"/>
              <w:autoSpaceDN w:val="0"/>
              <w:ind w:left="851" w:hanging="851"/>
              <w:jc w:val="center"/>
              <w:textAlignment w:val="bottom"/>
              <w:rPr>
                <w:i w:val="0"/>
                <w:iCs w:val="0"/>
                <w:color w:val="auto"/>
                <w:szCs w:val="21"/>
                <w:highlight w:val="none"/>
              </w:rPr>
            </w:pPr>
            <w:r>
              <w:rPr>
                <w:rFonts w:hint="eastAsia"/>
                <w:i w:val="0"/>
                <w:iCs w:val="0"/>
                <w:color w:val="auto"/>
                <w:szCs w:val="21"/>
                <w:highlight w:val="none"/>
                <w:lang w:val="en-US" w:eastAsia="zh-CN"/>
              </w:rPr>
              <w:t>服务</w:t>
            </w:r>
            <w:r>
              <w:rPr>
                <w:rFonts w:hint="eastAsia"/>
                <w:i w:val="0"/>
                <w:iCs w:val="0"/>
                <w:color w:val="auto"/>
                <w:szCs w:val="21"/>
                <w:highlight w:val="none"/>
              </w:rPr>
              <w:t>期限</w:t>
            </w:r>
          </w:p>
        </w:tc>
        <w:tc>
          <w:tcPr>
            <w:tcW w:w="2611" w:type="dxa"/>
            <w:vAlign w:val="center"/>
          </w:tcPr>
          <w:p w14:paraId="4655980B">
            <w:pPr>
              <w:widowControl/>
              <w:autoSpaceDE w:val="0"/>
              <w:autoSpaceDN w:val="0"/>
              <w:jc w:val="center"/>
              <w:textAlignment w:val="bottom"/>
              <w:rPr>
                <w:i w:val="0"/>
                <w:iCs w:val="0"/>
                <w:color w:val="auto"/>
                <w:szCs w:val="21"/>
                <w:highlight w:val="none"/>
              </w:rPr>
            </w:pPr>
            <w:r>
              <w:rPr>
                <w:rFonts w:hint="eastAsia"/>
                <w:i w:val="0"/>
                <w:iCs w:val="0"/>
                <w:color w:val="auto"/>
                <w:szCs w:val="21"/>
                <w:highlight w:val="none"/>
              </w:rPr>
              <w:t>备注（如有）</w:t>
            </w:r>
          </w:p>
        </w:tc>
      </w:tr>
      <w:tr w14:paraId="4CAD8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441DB28E">
            <w:pPr>
              <w:jc w:val="center"/>
              <w:rPr>
                <w:rFonts w:hint="eastAsia" w:eastAsia="宋体"/>
                <w:i w:val="0"/>
                <w:iCs w:val="0"/>
                <w:color w:val="auto"/>
                <w:sz w:val="28"/>
                <w:highlight w:val="none"/>
                <w:lang w:val="en-US" w:eastAsia="zh-CN"/>
              </w:rPr>
            </w:pPr>
            <w:r>
              <w:rPr>
                <w:rFonts w:hint="eastAsia"/>
                <w:i w:val="0"/>
                <w:iCs w:val="0"/>
                <w:color w:val="auto"/>
                <w:sz w:val="28"/>
                <w:highlight w:val="none"/>
                <w:lang w:val="en-US" w:eastAsia="zh-CN"/>
              </w:rPr>
              <w:t>1</w:t>
            </w:r>
          </w:p>
        </w:tc>
        <w:tc>
          <w:tcPr>
            <w:tcW w:w="2352" w:type="dxa"/>
            <w:vAlign w:val="center"/>
          </w:tcPr>
          <w:p w14:paraId="318E9671">
            <w:pPr>
              <w:widowControl/>
              <w:autoSpaceDE w:val="0"/>
              <w:autoSpaceDN w:val="0"/>
              <w:spacing w:line="240" w:lineRule="auto"/>
              <w:ind w:left="851" w:hanging="851"/>
              <w:jc w:val="left"/>
              <w:textAlignment w:val="bottom"/>
              <w:rPr>
                <w:rFonts w:hint="eastAsia"/>
                <w:i w:val="0"/>
                <w:iCs w:val="0"/>
                <w:color w:val="auto"/>
                <w:szCs w:val="21"/>
                <w:highlight w:val="none"/>
                <w:lang w:val="en-US" w:eastAsia="zh-CN"/>
              </w:rPr>
            </w:pPr>
            <w:r>
              <w:rPr>
                <w:rFonts w:hint="eastAsia"/>
                <w:i w:val="0"/>
                <w:iCs w:val="0"/>
                <w:color w:val="auto"/>
                <w:szCs w:val="21"/>
                <w:highlight w:val="none"/>
                <w:lang w:val="en-US" w:eastAsia="zh-CN"/>
              </w:rPr>
              <w:t>小写：</w:t>
            </w:r>
          </w:p>
          <w:p w14:paraId="01997923">
            <w:pPr>
              <w:jc w:val="left"/>
              <w:rPr>
                <w:i w:val="0"/>
                <w:iCs w:val="0"/>
                <w:color w:val="auto"/>
                <w:sz w:val="28"/>
                <w:highlight w:val="none"/>
              </w:rPr>
            </w:pPr>
            <w:r>
              <w:rPr>
                <w:rFonts w:hint="eastAsia"/>
                <w:i w:val="0"/>
                <w:iCs w:val="0"/>
                <w:color w:val="auto"/>
                <w:szCs w:val="21"/>
                <w:highlight w:val="none"/>
                <w:lang w:val="en-US" w:eastAsia="zh-CN"/>
              </w:rPr>
              <w:t>大写：</w:t>
            </w:r>
          </w:p>
        </w:tc>
        <w:tc>
          <w:tcPr>
            <w:tcW w:w="2161" w:type="dxa"/>
            <w:vAlign w:val="center"/>
          </w:tcPr>
          <w:p w14:paraId="1D8FF61B">
            <w:pPr>
              <w:jc w:val="center"/>
              <w:rPr>
                <w:i w:val="0"/>
                <w:iCs w:val="0"/>
                <w:color w:val="auto"/>
                <w:sz w:val="28"/>
                <w:highlight w:val="none"/>
              </w:rPr>
            </w:pPr>
          </w:p>
        </w:tc>
        <w:tc>
          <w:tcPr>
            <w:tcW w:w="2611" w:type="dxa"/>
            <w:vAlign w:val="center"/>
          </w:tcPr>
          <w:p w14:paraId="5059136A">
            <w:pPr>
              <w:jc w:val="center"/>
              <w:rPr>
                <w:i w:val="0"/>
                <w:iCs w:val="0"/>
                <w:color w:val="auto"/>
                <w:sz w:val="28"/>
                <w:highlight w:val="none"/>
              </w:rPr>
            </w:pPr>
          </w:p>
        </w:tc>
      </w:tr>
    </w:tbl>
    <w:p w14:paraId="6ED34E15">
      <w:pPr>
        <w:spacing w:line="300" w:lineRule="auto"/>
        <w:rPr>
          <w:rFonts w:ascii="Arial" w:hAnsi="Arial" w:cs="Arial"/>
          <w:i w:val="0"/>
          <w:iCs w:val="0"/>
          <w:color w:val="auto"/>
          <w:szCs w:val="21"/>
          <w:highlight w:val="none"/>
          <w:u w:val="single"/>
        </w:rPr>
      </w:pPr>
    </w:p>
    <w:p w14:paraId="530DAAB6">
      <w:pPr>
        <w:ind w:right="1008" w:firstLine="4284" w:firstLineChars="1700"/>
        <w:rPr>
          <w:rFonts w:hint="eastAsia" w:cs="宋体"/>
          <w:i w:val="0"/>
          <w:iCs w:val="0"/>
          <w:color w:val="auto"/>
          <w:spacing w:val="6"/>
          <w:szCs w:val="24"/>
          <w:highlight w:val="none"/>
          <w:lang w:val="en-US" w:eastAsia="zh-CN"/>
        </w:rPr>
      </w:pPr>
    </w:p>
    <w:p w14:paraId="444327EB">
      <w:pPr>
        <w:ind w:right="1008" w:firstLine="4284" w:firstLineChars="1700"/>
        <w:rPr>
          <w:rFonts w:hint="eastAsia" w:cs="宋体"/>
          <w:i w:val="0"/>
          <w:iCs w:val="0"/>
          <w:color w:val="auto"/>
          <w:spacing w:val="6"/>
          <w:szCs w:val="24"/>
          <w:highlight w:val="none"/>
          <w:lang w:val="en-US" w:eastAsia="zh-CN"/>
        </w:rPr>
      </w:pPr>
    </w:p>
    <w:p w14:paraId="5CD61796">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2A166447">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123DB2D3">
      <w:pPr>
        <w:pStyle w:val="12"/>
        <w:rPr>
          <w:rFonts w:cs="Arial"/>
          <w:i w:val="0"/>
          <w:iCs w:val="0"/>
          <w:color w:val="auto"/>
          <w:szCs w:val="24"/>
          <w:highlight w:val="none"/>
        </w:rPr>
      </w:pPr>
    </w:p>
    <w:p w14:paraId="01A6C5F3">
      <w:pPr>
        <w:spacing w:line="360" w:lineRule="auto"/>
        <w:rPr>
          <w:rFonts w:hint="eastAsia" w:ascii="宋体" w:hAnsi="宋体" w:eastAsia="宋体" w:cs="宋体"/>
          <w:b/>
          <w:i w:val="0"/>
          <w:iCs w:val="0"/>
          <w:color w:val="auto"/>
          <w:sz w:val="21"/>
          <w:szCs w:val="21"/>
          <w:highlight w:val="none"/>
          <w:lang w:eastAsia="zh-CN"/>
        </w:rPr>
      </w:pPr>
      <w:r>
        <w:rPr>
          <w:rFonts w:hint="eastAsia" w:ascii="宋体" w:hAnsi="宋体" w:eastAsia="宋体" w:cs="宋体"/>
          <w:b/>
          <w:i w:val="0"/>
          <w:iCs w:val="0"/>
          <w:color w:val="auto"/>
          <w:sz w:val="21"/>
          <w:szCs w:val="21"/>
          <w:highlight w:val="none"/>
          <w:lang w:eastAsia="zh-CN"/>
        </w:rPr>
        <w:t>注：</w:t>
      </w:r>
    </w:p>
    <w:p w14:paraId="546E266C">
      <w:pPr>
        <w:pStyle w:val="12"/>
        <w:ind w:firstLine="420" w:firstLineChars="20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1.表中磋商报价即为分项报价表中的报价合计。</w:t>
      </w:r>
    </w:p>
    <w:p w14:paraId="5C794569">
      <w:pPr>
        <w:pStyle w:val="12"/>
        <w:ind w:firstLine="420" w:firstLineChars="20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2.特殊事项在备注中注明。</w:t>
      </w:r>
    </w:p>
    <w:p w14:paraId="1D1004F6">
      <w:pPr>
        <w:pStyle w:val="12"/>
        <w:ind w:firstLine="420" w:firstLineChars="20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3.表中大写与小写不一致的，以大写为准。</w:t>
      </w:r>
    </w:p>
    <w:p w14:paraId="79947304">
      <w:pPr>
        <w:pStyle w:val="12"/>
        <w:ind w:firstLine="400" w:firstLineChars="200"/>
        <w:rPr>
          <w:rFonts w:hint="default" w:eastAsia="宋体"/>
          <w:highlight w:val="none"/>
          <w:lang w:val="en-US" w:eastAsia="zh-CN"/>
        </w:rPr>
        <w:sectPr>
          <w:pgSz w:w="11905" w:h="16840"/>
          <w:pgMar w:top="1440" w:right="1797" w:bottom="1440" w:left="1797" w:header="851" w:footer="850" w:gutter="0"/>
          <w:pgBorders>
            <w:top w:val="none" w:sz="0" w:space="0"/>
            <w:left w:val="none" w:sz="0" w:space="0"/>
            <w:bottom w:val="none" w:sz="0" w:space="0"/>
            <w:right w:val="none" w:sz="0" w:space="0"/>
          </w:pgBorders>
          <w:pgNumType w:fmt="decimal"/>
          <w:cols w:space="720" w:num="1"/>
        </w:sectPr>
      </w:pPr>
    </w:p>
    <w:p w14:paraId="102D6756">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i w:val="0"/>
          <w:iCs w:val="0"/>
          <w:color w:val="auto"/>
          <w:kern w:val="2"/>
          <w:sz w:val="32"/>
          <w:szCs w:val="32"/>
          <w:highlight w:val="none"/>
          <w:lang w:val="en-US" w:eastAsia="zh-CN" w:bidi="ar-SA"/>
        </w:rPr>
      </w:pPr>
      <w:bookmarkStart w:id="529" w:name="_Toc27300"/>
      <w:r>
        <w:rPr>
          <w:rFonts w:hint="eastAsia" w:cstheme="majorBidi"/>
          <w:b/>
          <w:bCs/>
          <w:i w:val="0"/>
          <w:iCs w:val="0"/>
          <w:color w:val="auto"/>
          <w:kern w:val="2"/>
          <w:sz w:val="32"/>
          <w:szCs w:val="32"/>
          <w:highlight w:val="none"/>
          <w:lang w:val="en-US" w:eastAsia="zh-CN" w:bidi="ar-SA"/>
        </w:rPr>
        <w:t>二、分项报价表</w:t>
      </w:r>
      <w:bookmarkEnd w:id="529"/>
    </w:p>
    <w:p w14:paraId="54C0CA97">
      <w:pPr>
        <w:rPr>
          <w:b w:val="0"/>
          <w:bCs/>
          <w:i w:val="0"/>
          <w:iCs w:val="0"/>
          <w:color w:val="auto"/>
          <w:szCs w:val="21"/>
          <w:highlight w:val="none"/>
          <w:lang w:val="zh-CN"/>
        </w:rPr>
      </w:pPr>
      <w:r>
        <w:rPr>
          <w:rFonts w:hint="eastAsia"/>
          <w:b w:val="0"/>
          <w:bCs/>
          <w:i w:val="0"/>
          <w:iCs w:val="0"/>
          <w:color w:val="auto"/>
          <w:szCs w:val="21"/>
          <w:highlight w:val="none"/>
          <w:lang w:val="zh-CN"/>
        </w:rPr>
        <w:t>项目名称：</w:t>
      </w:r>
      <w:r>
        <w:rPr>
          <w:rFonts w:hint="eastAsia"/>
          <w:b w:val="0"/>
          <w:bCs/>
          <w:i w:val="0"/>
          <w:iCs w:val="0"/>
          <w:color w:val="auto"/>
          <w:szCs w:val="21"/>
          <w:highlight w:val="none"/>
          <w:u w:val="single"/>
          <w:lang w:val="zh-CN"/>
        </w:rPr>
        <w:t xml:space="preserve">                  </w:t>
      </w:r>
      <w:r>
        <w:rPr>
          <w:rFonts w:hint="eastAsia"/>
          <w:b w:val="0"/>
          <w:bCs/>
          <w:i w:val="0"/>
          <w:iCs w:val="0"/>
          <w:color w:val="auto"/>
          <w:szCs w:val="21"/>
          <w:highlight w:val="none"/>
          <w:u w:val="single"/>
          <w:lang w:val="en-US" w:eastAsia="zh-CN"/>
        </w:rPr>
        <w:t xml:space="preserve">     </w:t>
      </w:r>
      <w:r>
        <w:rPr>
          <w:rFonts w:hint="eastAsia"/>
          <w:b w:val="0"/>
          <w:bCs/>
          <w:i w:val="0"/>
          <w:iCs w:val="0"/>
          <w:color w:val="auto"/>
          <w:szCs w:val="21"/>
          <w:highlight w:val="none"/>
          <w:u w:val="single"/>
          <w:lang w:val="zh-CN"/>
        </w:rPr>
        <w:t xml:space="preserve">   </w:t>
      </w:r>
    </w:p>
    <w:tbl>
      <w:tblPr>
        <w:tblStyle w:val="32"/>
        <w:tblpPr w:leftFromText="180" w:rightFromText="180" w:vertAnchor="text" w:horzAnchor="page" w:tblpX="1726" w:tblpY="1191"/>
        <w:tblOverlap w:val="never"/>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720"/>
        <w:gridCol w:w="1065"/>
        <w:gridCol w:w="1065"/>
        <w:gridCol w:w="1066"/>
        <w:gridCol w:w="947"/>
      </w:tblGrid>
      <w:tr w14:paraId="3FB6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7AD645AA">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序号</w:t>
            </w:r>
          </w:p>
        </w:tc>
        <w:tc>
          <w:tcPr>
            <w:tcW w:w="3720" w:type="dxa"/>
            <w:vAlign w:val="center"/>
          </w:tcPr>
          <w:p w14:paraId="19C93FC7">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名称</w:t>
            </w:r>
          </w:p>
        </w:tc>
        <w:tc>
          <w:tcPr>
            <w:tcW w:w="1065" w:type="dxa"/>
            <w:vAlign w:val="center"/>
          </w:tcPr>
          <w:p w14:paraId="7353E8D0">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数量</w:t>
            </w:r>
          </w:p>
        </w:tc>
        <w:tc>
          <w:tcPr>
            <w:tcW w:w="1065" w:type="dxa"/>
            <w:vAlign w:val="center"/>
          </w:tcPr>
          <w:p w14:paraId="035090E1">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单价（元）</w:t>
            </w:r>
          </w:p>
        </w:tc>
        <w:tc>
          <w:tcPr>
            <w:tcW w:w="1066" w:type="dxa"/>
            <w:vAlign w:val="center"/>
          </w:tcPr>
          <w:p w14:paraId="26204EDF">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总价</w:t>
            </w:r>
          </w:p>
        </w:tc>
        <w:tc>
          <w:tcPr>
            <w:tcW w:w="947" w:type="dxa"/>
            <w:vAlign w:val="center"/>
          </w:tcPr>
          <w:p w14:paraId="2299787C">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备注</w:t>
            </w:r>
          </w:p>
        </w:tc>
      </w:tr>
      <w:tr w14:paraId="15B83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7903A281">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1</w:t>
            </w:r>
          </w:p>
        </w:tc>
        <w:tc>
          <w:tcPr>
            <w:tcW w:w="3720" w:type="dxa"/>
            <w:vAlign w:val="center"/>
          </w:tcPr>
          <w:p w14:paraId="0B480F42">
            <w:pPr>
              <w:adjustRightInd w:val="0"/>
              <w:snapToGrid w:val="0"/>
              <w:spacing w:line="240" w:lineRule="auto"/>
              <w:jc w:val="center"/>
              <w:rPr>
                <w:i w:val="0"/>
                <w:iCs w:val="0"/>
                <w:color w:val="auto"/>
                <w:szCs w:val="21"/>
                <w:highlight w:val="none"/>
              </w:rPr>
            </w:pPr>
          </w:p>
        </w:tc>
        <w:tc>
          <w:tcPr>
            <w:tcW w:w="1065" w:type="dxa"/>
            <w:vAlign w:val="center"/>
          </w:tcPr>
          <w:p w14:paraId="40067A70">
            <w:pPr>
              <w:adjustRightInd w:val="0"/>
              <w:snapToGrid w:val="0"/>
              <w:spacing w:line="240" w:lineRule="auto"/>
              <w:jc w:val="center"/>
              <w:rPr>
                <w:i w:val="0"/>
                <w:iCs w:val="0"/>
                <w:color w:val="auto"/>
                <w:szCs w:val="21"/>
                <w:highlight w:val="none"/>
              </w:rPr>
            </w:pPr>
          </w:p>
        </w:tc>
        <w:tc>
          <w:tcPr>
            <w:tcW w:w="1065" w:type="dxa"/>
            <w:vAlign w:val="center"/>
          </w:tcPr>
          <w:p w14:paraId="27060FCA">
            <w:pPr>
              <w:adjustRightInd w:val="0"/>
              <w:snapToGrid w:val="0"/>
              <w:spacing w:line="240" w:lineRule="auto"/>
              <w:jc w:val="center"/>
              <w:rPr>
                <w:i w:val="0"/>
                <w:iCs w:val="0"/>
                <w:color w:val="auto"/>
                <w:szCs w:val="21"/>
                <w:highlight w:val="none"/>
              </w:rPr>
            </w:pPr>
          </w:p>
        </w:tc>
        <w:tc>
          <w:tcPr>
            <w:tcW w:w="1066" w:type="dxa"/>
            <w:vAlign w:val="center"/>
          </w:tcPr>
          <w:p w14:paraId="058A34AA">
            <w:pPr>
              <w:adjustRightInd w:val="0"/>
              <w:snapToGrid w:val="0"/>
              <w:spacing w:line="240" w:lineRule="auto"/>
              <w:jc w:val="center"/>
              <w:rPr>
                <w:i w:val="0"/>
                <w:iCs w:val="0"/>
                <w:color w:val="auto"/>
                <w:szCs w:val="21"/>
                <w:highlight w:val="none"/>
              </w:rPr>
            </w:pPr>
          </w:p>
        </w:tc>
        <w:tc>
          <w:tcPr>
            <w:tcW w:w="947" w:type="dxa"/>
            <w:vAlign w:val="center"/>
          </w:tcPr>
          <w:p w14:paraId="67E0B4B0">
            <w:pPr>
              <w:adjustRightInd w:val="0"/>
              <w:snapToGrid w:val="0"/>
              <w:spacing w:line="240" w:lineRule="auto"/>
              <w:jc w:val="center"/>
              <w:rPr>
                <w:i w:val="0"/>
                <w:iCs w:val="0"/>
                <w:color w:val="auto"/>
                <w:szCs w:val="21"/>
                <w:highlight w:val="none"/>
              </w:rPr>
            </w:pPr>
          </w:p>
        </w:tc>
      </w:tr>
      <w:tr w14:paraId="173A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7B556595">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2</w:t>
            </w:r>
          </w:p>
        </w:tc>
        <w:tc>
          <w:tcPr>
            <w:tcW w:w="3720" w:type="dxa"/>
            <w:vAlign w:val="center"/>
          </w:tcPr>
          <w:p w14:paraId="3F5DC859">
            <w:pPr>
              <w:adjustRightInd w:val="0"/>
              <w:snapToGrid w:val="0"/>
              <w:spacing w:line="240" w:lineRule="auto"/>
              <w:jc w:val="center"/>
              <w:rPr>
                <w:i w:val="0"/>
                <w:iCs w:val="0"/>
                <w:color w:val="auto"/>
                <w:szCs w:val="21"/>
                <w:highlight w:val="none"/>
              </w:rPr>
            </w:pPr>
          </w:p>
        </w:tc>
        <w:tc>
          <w:tcPr>
            <w:tcW w:w="1065" w:type="dxa"/>
            <w:vAlign w:val="center"/>
          </w:tcPr>
          <w:p w14:paraId="5F939237">
            <w:pPr>
              <w:adjustRightInd w:val="0"/>
              <w:snapToGrid w:val="0"/>
              <w:spacing w:line="240" w:lineRule="auto"/>
              <w:jc w:val="center"/>
              <w:rPr>
                <w:i w:val="0"/>
                <w:iCs w:val="0"/>
                <w:color w:val="auto"/>
                <w:szCs w:val="21"/>
                <w:highlight w:val="none"/>
              </w:rPr>
            </w:pPr>
          </w:p>
        </w:tc>
        <w:tc>
          <w:tcPr>
            <w:tcW w:w="1065" w:type="dxa"/>
            <w:vAlign w:val="center"/>
          </w:tcPr>
          <w:p w14:paraId="7952CB54">
            <w:pPr>
              <w:adjustRightInd w:val="0"/>
              <w:snapToGrid w:val="0"/>
              <w:spacing w:line="240" w:lineRule="auto"/>
              <w:jc w:val="center"/>
              <w:rPr>
                <w:i w:val="0"/>
                <w:iCs w:val="0"/>
                <w:color w:val="auto"/>
                <w:szCs w:val="21"/>
                <w:highlight w:val="none"/>
              </w:rPr>
            </w:pPr>
          </w:p>
        </w:tc>
        <w:tc>
          <w:tcPr>
            <w:tcW w:w="1066" w:type="dxa"/>
            <w:vAlign w:val="center"/>
          </w:tcPr>
          <w:p w14:paraId="0A6F7EC3">
            <w:pPr>
              <w:adjustRightInd w:val="0"/>
              <w:snapToGrid w:val="0"/>
              <w:spacing w:line="240" w:lineRule="auto"/>
              <w:jc w:val="center"/>
              <w:rPr>
                <w:i w:val="0"/>
                <w:iCs w:val="0"/>
                <w:color w:val="auto"/>
                <w:szCs w:val="21"/>
                <w:highlight w:val="none"/>
              </w:rPr>
            </w:pPr>
          </w:p>
        </w:tc>
        <w:tc>
          <w:tcPr>
            <w:tcW w:w="947" w:type="dxa"/>
            <w:vAlign w:val="center"/>
          </w:tcPr>
          <w:p w14:paraId="618B5714">
            <w:pPr>
              <w:adjustRightInd w:val="0"/>
              <w:snapToGrid w:val="0"/>
              <w:spacing w:line="240" w:lineRule="auto"/>
              <w:jc w:val="center"/>
              <w:rPr>
                <w:i w:val="0"/>
                <w:iCs w:val="0"/>
                <w:color w:val="auto"/>
                <w:szCs w:val="21"/>
                <w:highlight w:val="none"/>
              </w:rPr>
            </w:pPr>
          </w:p>
        </w:tc>
      </w:tr>
      <w:tr w14:paraId="46D52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575428D4">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3</w:t>
            </w:r>
          </w:p>
        </w:tc>
        <w:tc>
          <w:tcPr>
            <w:tcW w:w="3720" w:type="dxa"/>
            <w:vAlign w:val="center"/>
          </w:tcPr>
          <w:p w14:paraId="1C4FDBC5">
            <w:pPr>
              <w:adjustRightInd w:val="0"/>
              <w:snapToGrid w:val="0"/>
              <w:spacing w:line="240" w:lineRule="auto"/>
              <w:jc w:val="center"/>
              <w:rPr>
                <w:i w:val="0"/>
                <w:iCs w:val="0"/>
                <w:color w:val="auto"/>
                <w:szCs w:val="21"/>
                <w:highlight w:val="none"/>
              </w:rPr>
            </w:pPr>
          </w:p>
        </w:tc>
        <w:tc>
          <w:tcPr>
            <w:tcW w:w="1065" w:type="dxa"/>
            <w:vAlign w:val="center"/>
          </w:tcPr>
          <w:p w14:paraId="049C6929">
            <w:pPr>
              <w:adjustRightInd w:val="0"/>
              <w:snapToGrid w:val="0"/>
              <w:spacing w:line="240" w:lineRule="auto"/>
              <w:jc w:val="center"/>
              <w:rPr>
                <w:i w:val="0"/>
                <w:iCs w:val="0"/>
                <w:color w:val="auto"/>
                <w:szCs w:val="21"/>
                <w:highlight w:val="none"/>
              </w:rPr>
            </w:pPr>
          </w:p>
        </w:tc>
        <w:tc>
          <w:tcPr>
            <w:tcW w:w="1065" w:type="dxa"/>
            <w:vAlign w:val="center"/>
          </w:tcPr>
          <w:p w14:paraId="36C1783A">
            <w:pPr>
              <w:adjustRightInd w:val="0"/>
              <w:snapToGrid w:val="0"/>
              <w:spacing w:line="240" w:lineRule="auto"/>
              <w:jc w:val="center"/>
              <w:rPr>
                <w:i w:val="0"/>
                <w:iCs w:val="0"/>
                <w:color w:val="auto"/>
                <w:szCs w:val="21"/>
                <w:highlight w:val="none"/>
              </w:rPr>
            </w:pPr>
          </w:p>
        </w:tc>
        <w:tc>
          <w:tcPr>
            <w:tcW w:w="1066" w:type="dxa"/>
            <w:vAlign w:val="center"/>
          </w:tcPr>
          <w:p w14:paraId="4D73DF23">
            <w:pPr>
              <w:adjustRightInd w:val="0"/>
              <w:snapToGrid w:val="0"/>
              <w:spacing w:line="240" w:lineRule="auto"/>
              <w:jc w:val="center"/>
              <w:rPr>
                <w:i w:val="0"/>
                <w:iCs w:val="0"/>
                <w:color w:val="auto"/>
                <w:szCs w:val="21"/>
                <w:highlight w:val="none"/>
              </w:rPr>
            </w:pPr>
          </w:p>
        </w:tc>
        <w:tc>
          <w:tcPr>
            <w:tcW w:w="947" w:type="dxa"/>
            <w:vAlign w:val="center"/>
          </w:tcPr>
          <w:p w14:paraId="12486146">
            <w:pPr>
              <w:adjustRightInd w:val="0"/>
              <w:snapToGrid w:val="0"/>
              <w:spacing w:line="240" w:lineRule="auto"/>
              <w:jc w:val="center"/>
              <w:rPr>
                <w:i w:val="0"/>
                <w:iCs w:val="0"/>
                <w:color w:val="auto"/>
                <w:szCs w:val="21"/>
                <w:highlight w:val="none"/>
              </w:rPr>
            </w:pPr>
          </w:p>
        </w:tc>
      </w:tr>
      <w:tr w14:paraId="7C1A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495DBEF4">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4</w:t>
            </w:r>
          </w:p>
        </w:tc>
        <w:tc>
          <w:tcPr>
            <w:tcW w:w="3720" w:type="dxa"/>
            <w:vAlign w:val="center"/>
          </w:tcPr>
          <w:p w14:paraId="31F90A64">
            <w:pPr>
              <w:adjustRightInd w:val="0"/>
              <w:snapToGrid w:val="0"/>
              <w:spacing w:line="240" w:lineRule="auto"/>
              <w:jc w:val="center"/>
              <w:rPr>
                <w:i w:val="0"/>
                <w:iCs w:val="0"/>
                <w:color w:val="auto"/>
                <w:szCs w:val="21"/>
                <w:highlight w:val="none"/>
              </w:rPr>
            </w:pPr>
          </w:p>
        </w:tc>
        <w:tc>
          <w:tcPr>
            <w:tcW w:w="1065" w:type="dxa"/>
            <w:vAlign w:val="center"/>
          </w:tcPr>
          <w:p w14:paraId="33F22229">
            <w:pPr>
              <w:adjustRightInd w:val="0"/>
              <w:snapToGrid w:val="0"/>
              <w:spacing w:line="240" w:lineRule="auto"/>
              <w:jc w:val="center"/>
              <w:rPr>
                <w:i w:val="0"/>
                <w:iCs w:val="0"/>
                <w:color w:val="auto"/>
                <w:szCs w:val="21"/>
                <w:highlight w:val="none"/>
              </w:rPr>
            </w:pPr>
          </w:p>
        </w:tc>
        <w:tc>
          <w:tcPr>
            <w:tcW w:w="1065" w:type="dxa"/>
            <w:vAlign w:val="center"/>
          </w:tcPr>
          <w:p w14:paraId="3D5A198F">
            <w:pPr>
              <w:adjustRightInd w:val="0"/>
              <w:snapToGrid w:val="0"/>
              <w:spacing w:line="240" w:lineRule="auto"/>
              <w:jc w:val="center"/>
              <w:rPr>
                <w:i w:val="0"/>
                <w:iCs w:val="0"/>
                <w:color w:val="auto"/>
                <w:szCs w:val="21"/>
                <w:highlight w:val="none"/>
              </w:rPr>
            </w:pPr>
          </w:p>
        </w:tc>
        <w:tc>
          <w:tcPr>
            <w:tcW w:w="1066" w:type="dxa"/>
            <w:vAlign w:val="center"/>
          </w:tcPr>
          <w:p w14:paraId="6F612B31">
            <w:pPr>
              <w:adjustRightInd w:val="0"/>
              <w:snapToGrid w:val="0"/>
              <w:spacing w:line="240" w:lineRule="auto"/>
              <w:jc w:val="center"/>
              <w:rPr>
                <w:i w:val="0"/>
                <w:iCs w:val="0"/>
                <w:color w:val="auto"/>
                <w:szCs w:val="21"/>
                <w:highlight w:val="none"/>
              </w:rPr>
            </w:pPr>
          </w:p>
        </w:tc>
        <w:tc>
          <w:tcPr>
            <w:tcW w:w="947" w:type="dxa"/>
            <w:vAlign w:val="center"/>
          </w:tcPr>
          <w:p w14:paraId="1B507F0B">
            <w:pPr>
              <w:adjustRightInd w:val="0"/>
              <w:snapToGrid w:val="0"/>
              <w:spacing w:line="240" w:lineRule="auto"/>
              <w:jc w:val="center"/>
              <w:rPr>
                <w:i w:val="0"/>
                <w:iCs w:val="0"/>
                <w:color w:val="auto"/>
                <w:szCs w:val="21"/>
                <w:highlight w:val="none"/>
              </w:rPr>
            </w:pPr>
          </w:p>
        </w:tc>
      </w:tr>
      <w:tr w14:paraId="5FDCC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5CBC500E">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5</w:t>
            </w:r>
          </w:p>
        </w:tc>
        <w:tc>
          <w:tcPr>
            <w:tcW w:w="3720" w:type="dxa"/>
            <w:vAlign w:val="center"/>
          </w:tcPr>
          <w:p w14:paraId="02862C05">
            <w:pPr>
              <w:adjustRightInd w:val="0"/>
              <w:snapToGrid w:val="0"/>
              <w:spacing w:line="240" w:lineRule="auto"/>
              <w:jc w:val="center"/>
              <w:rPr>
                <w:i w:val="0"/>
                <w:iCs w:val="0"/>
                <w:color w:val="auto"/>
                <w:szCs w:val="21"/>
                <w:highlight w:val="none"/>
              </w:rPr>
            </w:pPr>
          </w:p>
        </w:tc>
        <w:tc>
          <w:tcPr>
            <w:tcW w:w="1065" w:type="dxa"/>
            <w:vAlign w:val="center"/>
          </w:tcPr>
          <w:p w14:paraId="151D9B09">
            <w:pPr>
              <w:adjustRightInd w:val="0"/>
              <w:snapToGrid w:val="0"/>
              <w:spacing w:line="240" w:lineRule="auto"/>
              <w:jc w:val="center"/>
              <w:rPr>
                <w:i w:val="0"/>
                <w:iCs w:val="0"/>
                <w:color w:val="auto"/>
                <w:szCs w:val="21"/>
                <w:highlight w:val="none"/>
              </w:rPr>
            </w:pPr>
          </w:p>
        </w:tc>
        <w:tc>
          <w:tcPr>
            <w:tcW w:w="1065" w:type="dxa"/>
            <w:vAlign w:val="center"/>
          </w:tcPr>
          <w:p w14:paraId="135908FE">
            <w:pPr>
              <w:adjustRightInd w:val="0"/>
              <w:snapToGrid w:val="0"/>
              <w:spacing w:line="240" w:lineRule="auto"/>
              <w:jc w:val="center"/>
              <w:rPr>
                <w:i w:val="0"/>
                <w:iCs w:val="0"/>
                <w:color w:val="auto"/>
                <w:szCs w:val="21"/>
                <w:highlight w:val="none"/>
              </w:rPr>
            </w:pPr>
          </w:p>
        </w:tc>
        <w:tc>
          <w:tcPr>
            <w:tcW w:w="1066" w:type="dxa"/>
            <w:vAlign w:val="center"/>
          </w:tcPr>
          <w:p w14:paraId="29A7158B">
            <w:pPr>
              <w:adjustRightInd w:val="0"/>
              <w:snapToGrid w:val="0"/>
              <w:spacing w:line="240" w:lineRule="auto"/>
              <w:jc w:val="center"/>
              <w:rPr>
                <w:i w:val="0"/>
                <w:iCs w:val="0"/>
                <w:color w:val="auto"/>
                <w:szCs w:val="21"/>
                <w:highlight w:val="none"/>
              </w:rPr>
            </w:pPr>
          </w:p>
        </w:tc>
        <w:tc>
          <w:tcPr>
            <w:tcW w:w="947" w:type="dxa"/>
            <w:vAlign w:val="center"/>
          </w:tcPr>
          <w:p w14:paraId="1A41A970">
            <w:pPr>
              <w:adjustRightInd w:val="0"/>
              <w:snapToGrid w:val="0"/>
              <w:spacing w:line="240" w:lineRule="auto"/>
              <w:jc w:val="center"/>
              <w:rPr>
                <w:i w:val="0"/>
                <w:iCs w:val="0"/>
                <w:color w:val="auto"/>
                <w:szCs w:val="21"/>
                <w:highlight w:val="none"/>
              </w:rPr>
            </w:pPr>
          </w:p>
        </w:tc>
      </w:tr>
      <w:tr w14:paraId="114F4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77747617">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6</w:t>
            </w:r>
          </w:p>
        </w:tc>
        <w:tc>
          <w:tcPr>
            <w:tcW w:w="3720" w:type="dxa"/>
            <w:vAlign w:val="center"/>
          </w:tcPr>
          <w:p w14:paraId="73F73A3B">
            <w:pPr>
              <w:adjustRightInd w:val="0"/>
              <w:snapToGrid w:val="0"/>
              <w:spacing w:line="240" w:lineRule="auto"/>
              <w:jc w:val="center"/>
              <w:rPr>
                <w:i w:val="0"/>
                <w:iCs w:val="0"/>
                <w:color w:val="auto"/>
                <w:szCs w:val="21"/>
                <w:highlight w:val="none"/>
              </w:rPr>
            </w:pPr>
          </w:p>
        </w:tc>
        <w:tc>
          <w:tcPr>
            <w:tcW w:w="1065" w:type="dxa"/>
            <w:vAlign w:val="center"/>
          </w:tcPr>
          <w:p w14:paraId="5F8CA9D3">
            <w:pPr>
              <w:adjustRightInd w:val="0"/>
              <w:snapToGrid w:val="0"/>
              <w:spacing w:line="240" w:lineRule="auto"/>
              <w:jc w:val="center"/>
              <w:rPr>
                <w:i w:val="0"/>
                <w:iCs w:val="0"/>
                <w:color w:val="auto"/>
                <w:szCs w:val="21"/>
                <w:highlight w:val="none"/>
              </w:rPr>
            </w:pPr>
          </w:p>
        </w:tc>
        <w:tc>
          <w:tcPr>
            <w:tcW w:w="1065" w:type="dxa"/>
            <w:vAlign w:val="center"/>
          </w:tcPr>
          <w:p w14:paraId="35EBED88">
            <w:pPr>
              <w:adjustRightInd w:val="0"/>
              <w:snapToGrid w:val="0"/>
              <w:spacing w:line="240" w:lineRule="auto"/>
              <w:jc w:val="center"/>
              <w:rPr>
                <w:i w:val="0"/>
                <w:iCs w:val="0"/>
                <w:color w:val="auto"/>
                <w:szCs w:val="21"/>
                <w:highlight w:val="none"/>
              </w:rPr>
            </w:pPr>
          </w:p>
        </w:tc>
        <w:tc>
          <w:tcPr>
            <w:tcW w:w="1066" w:type="dxa"/>
            <w:vAlign w:val="center"/>
          </w:tcPr>
          <w:p w14:paraId="17292063">
            <w:pPr>
              <w:adjustRightInd w:val="0"/>
              <w:snapToGrid w:val="0"/>
              <w:spacing w:line="240" w:lineRule="auto"/>
              <w:jc w:val="center"/>
              <w:rPr>
                <w:i w:val="0"/>
                <w:iCs w:val="0"/>
                <w:color w:val="auto"/>
                <w:szCs w:val="21"/>
                <w:highlight w:val="none"/>
              </w:rPr>
            </w:pPr>
          </w:p>
        </w:tc>
        <w:tc>
          <w:tcPr>
            <w:tcW w:w="947" w:type="dxa"/>
            <w:vAlign w:val="center"/>
          </w:tcPr>
          <w:p w14:paraId="573A4BB9">
            <w:pPr>
              <w:adjustRightInd w:val="0"/>
              <w:snapToGrid w:val="0"/>
              <w:spacing w:line="240" w:lineRule="auto"/>
              <w:jc w:val="center"/>
              <w:rPr>
                <w:i w:val="0"/>
                <w:iCs w:val="0"/>
                <w:color w:val="auto"/>
                <w:szCs w:val="21"/>
                <w:highlight w:val="none"/>
              </w:rPr>
            </w:pPr>
          </w:p>
        </w:tc>
      </w:tr>
      <w:tr w14:paraId="79341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3A72E563">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7</w:t>
            </w:r>
          </w:p>
        </w:tc>
        <w:tc>
          <w:tcPr>
            <w:tcW w:w="3720" w:type="dxa"/>
            <w:vAlign w:val="center"/>
          </w:tcPr>
          <w:p w14:paraId="09C17B51">
            <w:pPr>
              <w:adjustRightInd w:val="0"/>
              <w:snapToGrid w:val="0"/>
              <w:spacing w:line="240" w:lineRule="auto"/>
              <w:jc w:val="center"/>
              <w:rPr>
                <w:i w:val="0"/>
                <w:iCs w:val="0"/>
                <w:color w:val="auto"/>
                <w:szCs w:val="21"/>
                <w:highlight w:val="none"/>
              </w:rPr>
            </w:pPr>
          </w:p>
        </w:tc>
        <w:tc>
          <w:tcPr>
            <w:tcW w:w="1065" w:type="dxa"/>
            <w:vAlign w:val="center"/>
          </w:tcPr>
          <w:p w14:paraId="0E304E79">
            <w:pPr>
              <w:adjustRightInd w:val="0"/>
              <w:snapToGrid w:val="0"/>
              <w:spacing w:line="240" w:lineRule="auto"/>
              <w:jc w:val="center"/>
              <w:rPr>
                <w:i w:val="0"/>
                <w:iCs w:val="0"/>
                <w:color w:val="auto"/>
                <w:szCs w:val="21"/>
                <w:highlight w:val="none"/>
              </w:rPr>
            </w:pPr>
          </w:p>
        </w:tc>
        <w:tc>
          <w:tcPr>
            <w:tcW w:w="1065" w:type="dxa"/>
            <w:vAlign w:val="center"/>
          </w:tcPr>
          <w:p w14:paraId="0210E398">
            <w:pPr>
              <w:adjustRightInd w:val="0"/>
              <w:snapToGrid w:val="0"/>
              <w:spacing w:line="240" w:lineRule="auto"/>
              <w:jc w:val="center"/>
              <w:rPr>
                <w:i w:val="0"/>
                <w:iCs w:val="0"/>
                <w:color w:val="auto"/>
                <w:szCs w:val="21"/>
                <w:highlight w:val="none"/>
              </w:rPr>
            </w:pPr>
          </w:p>
        </w:tc>
        <w:tc>
          <w:tcPr>
            <w:tcW w:w="1066" w:type="dxa"/>
            <w:vAlign w:val="center"/>
          </w:tcPr>
          <w:p w14:paraId="4CF977F8">
            <w:pPr>
              <w:adjustRightInd w:val="0"/>
              <w:snapToGrid w:val="0"/>
              <w:spacing w:line="240" w:lineRule="auto"/>
              <w:jc w:val="center"/>
              <w:rPr>
                <w:i w:val="0"/>
                <w:iCs w:val="0"/>
                <w:color w:val="auto"/>
                <w:szCs w:val="21"/>
                <w:highlight w:val="none"/>
              </w:rPr>
            </w:pPr>
          </w:p>
        </w:tc>
        <w:tc>
          <w:tcPr>
            <w:tcW w:w="947" w:type="dxa"/>
            <w:vAlign w:val="center"/>
          </w:tcPr>
          <w:p w14:paraId="5B517533">
            <w:pPr>
              <w:adjustRightInd w:val="0"/>
              <w:snapToGrid w:val="0"/>
              <w:spacing w:line="240" w:lineRule="auto"/>
              <w:jc w:val="center"/>
              <w:rPr>
                <w:i w:val="0"/>
                <w:iCs w:val="0"/>
                <w:color w:val="auto"/>
                <w:szCs w:val="21"/>
                <w:highlight w:val="none"/>
              </w:rPr>
            </w:pPr>
          </w:p>
        </w:tc>
      </w:tr>
      <w:tr w14:paraId="099D2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5F767D8D">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8</w:t>
            </w:r>
          </w:p>
        </w:tc>
        <w:tc>
          <w:tcPr>
            <w:tcW w:w="3720" w:type="dxa"/>
            <w:vAlign w:val="center"/>
          </w:tcPr>
          <w:p w14:paraId="33B1DF03">
            <w:pPr>
              <w:adjustRightInd w:val="0"/>
              <w:snapToGrid w:val="0"/>
              <w:spacing w:line="240" w:lineRule="auto"/>
              <w:jc w:val="center"/>
              <w:rPr>
                <w:i w:val="0"/>
                <w:iCs w:val="0"/>
                <w:color w:val="auto"/>
                <w:szCs w:val="21"/>
                <w:highlight w:val="none"/>
              </w:rPr>
            </w:pPr>
          </w:p>
        </w:tc>
        <w:tc>
          <w:tcPr>
            <w:tcW w:w="1065" w:type="dxa"/>
            <w:vAlign w:val="center"/>
          </w:tcPr>
          <w:p w14:paraId="58DC349F">
            <w:pPr>
              <w:adjustRightInd w:val="0"/>
              <w:snapToGrid w:val="0"/>
              <w:spacing w:line="240" w:lineRule="auto"/>
              <w:jc w:val="center"/>
              <w:rPr>
                <w:i w:val="0"/>
                <w:iCs w:val="0"/>
                <w:color w:val="auto"/>
                <w:szCs w:val="21"/>
                <w:highlight w:val="none"/>
              </w:rPr>
            </w:pPr>
          </w:p>
        </w:tc>
        <w:tc>
          <w:tcPr>
            <w:tcW w:w="1065" w:type="dxa"/>
            <w:vAlign w:val="center"/>
          </w:tcPr>
          <w:p w14:paraId="1B36A6E3">
            <w:pPr>
              <w:adjustRightInd w:val="0"/>
              <w:snapToGrid w:val="0"/>
              <w:spacing w:line="240" w:lineRule="auto"/>
              <w:jc w:val="center"/>
              <w:rPr>
                <w:i w:val="0"/>
                <w:iCs w:val="0"/>
                <w:color w:val="auto"/>
                <w:szCs w:val="21"/>
                <w:highlight w:val="none"/>
              </w:rPr>
            </w:pPr>
          </w:p>
        </w:tc>
        <w:tc>
          <w:tcPr>
            <w:tcW w:w="1066" w:type="dxa"/>
            <w:vAlign w:val="center"/>
          </w:tcPr>
          <w:p w14:paraId="44856CC5">
            <w:pPr>
              <w:adjustRightInd w:val="0"/>
              <w:snapToGrid w:val="0"/>
              <w:spacing w:line="240" w:lineRule="auto"/>
              <w:jc w:val="center"/>
              <w:rPr>
                <w:i w:val="0"/>
                <w:iCs w:val="0"/>
                <w:color w:val="auto"/>
                <w:szCs w:val="21"/>
                <w:highlight w:val="none"/>
              </w:rPr>
            </w:pPr>
          </w:p>
        </w:tc>
        <w:tc>
          <w:tcPr>
            <w:tcW w:w="947" w:type="dxa"/>
            <w:vAlign w:val="center"/>
          </w:tcPr>
          <w:p w14:paraId="4E0D6419">
            <w:pPr>
              <w:adjustRightInd w:val="0"/>
              <w:snapToGrid w:val="0"/>
              <w:spacing w:line="240" w:lineRule="auto"/>
              <w:jc w:val="center"/>
              <w:rPr>
                <w:i w:val="0"/>
                <w:iCs w:val="0"/>
                <w:color w:val="auto"/>
                <w:szCs w:val="21"/>
                <w:highlight w:val="none"/>
              </w:rPr>
            </w:pPr>
          </w:p>
        </w:tc>
      </w:tr>
      <w:tr w14:paraId="380E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shd w:val="clear" w:color="auto" w:fill="auto"/>
            <w:vAlign w:val="center"/>
          </w:tcPr>
          <w:p w14:paraId="5D0420CB">
            <w:pPr>
              <w:adjustRightInd w:val="0"/>
              <w:snapToGrid w:val="0"/>
              <w:spacing w:line="240" w:lineRule="auto"/>
              <w:jc w:val="center"/>
              <w:rPr>
                <w:rFonts w:ascii="宋体" w:hAnsi="宋体" w:eastAsia="宋体" w:cstheme="minorBidi"/>
                <w:i w:val="0"/>
                <w:iCs w:val="0"/>
                <w:color w:val="auto"/>
                <w:kern w:val="2"/>
                <w:sz w:val="24"/>
                <w:szCs w:val="21"/>
                <w:highlight w:val="none"/>
                <w:lang w:val="en-US" w:eastAsia="zh-CN" w:bidi="ar-SA"/>
              </w:rPr>
            </w:pPr>
            <w:r>
              <w:rPr>
                <w:rFonts w:hint="eastAsia"/>
                <w:i w:val="0"/>
                <w:iCs w:val="0"/>
                <w:color w:val="auto"/>
                <w:szCs w:val="21"/>
                <w:highlight w:val="none"/>
              </w:rPr>
              <w:t>……</w:t>
            </w:r>
          </w:p>
        </w:tc>
        <w:tc>
          <w:tcPr>
            <w:tcW w:w="3720" w:type="dxa"/>
            <w:shd w:val="clear" w:color="auto" w:fill="auto"/>
            <w:vAlign w:val="center"/>
          </w:tcPr>
          <w:p w14:paraId="29FF791A">
            <w:pPr>
              <w:adjustRightInd w:val="0"/>
              <w:snapToGrid w:val="0"/>
              <w:spacing w:line="240" w:lineRule="auto"/>
              <w:jc w:val="center"/>
              <w:rPr>
                <w:rFonts w:ascii="宋体" w:hAnsi="宋体" w:eastAsia="宋体" w:cstheme="minorBidi"/>
                <w:i w:val="0"/>
                <w:iCs w:val="0"/>
                <w:color w:val="auto"/>
                <w:kern w:val="2"/>
                <w:sz w:val="24"/>
                <w:szCs w:val="21"/>
                <w:highlight w:val="none"/>
                <w:lang w:val="en-US" w:eastAsia="zh-CN" w:bidi="ar-SA"/>
              </w:rPr>
            </w:pPr>
            <w:r>
              <w:rPr>
                <w:rFonts w:hint="eastAsia"/>
                <w:i w:val="0"/>
                <w:iCs w:val="0"/>
                <w:color w:val="auto"/>
                <w:szCs w:val="21"/>
                <w:highlight w:val="none"/>
              </w:rPr>
              <w:t>……</w:t>
            </w:r>
          </w:p>
        </w:tc>
        <w:tc>
          <w:tcPr>
            <w:tcW w:w="1065" w:type="dxa"/>
            <w:vAlign w:val="center"/>
          </w:tcPr>
          <w:p w14:paraId="3A1790F9">
            <w:pPr>
              <w:adjustRightInd w:val="0"/>
              <w:snapToGrid w:val="0"/>
              <w:spacing w:line="240" w:lineRule="auto"/>
              <w:jc w:val="center"/>
              <w:rPr>
                <w:i w:val="0"/>
                <w:iCs w:val="0"/>
                <w:color w:val="auto"/>
                <w:szCs w:val="21"/>
                <w:highlight w:val="none"/>
              </w:rPr>
            </w:pPr>
          </w:p>
        </w:tc>
        <w:tc>
          <w:tcPr>
            <w:tcW w:w="1065" w:type="dxa"/>
            <w:vAlign w:val="center"/>
          </w:tcPr>
          <w:p w14:paraId="474C3A94">
            <w:pPr>
              <w:adjustRightInd w:val="0"/>
              <w:snapToGrid w:val="0"/>
              <w:spacing w:line="240" w:lineRule="auto"/>
              <w:jc w:val="center"/>
              <w:rPr>
                <w:i w:val="0"/>
                <w:iCs w:val="0"/>
                <w:color w:val="auto"/>
                <w:szCs w:val="21"/>
                <w:highlight w:val="none"/>
              </w:rPr>
            </w:pPr>
          </w:p>
        </w:tc>
        <w:tc>
          <w:tcPr>
            <w:tcW w:w="1066" w:type="dxa"/>
            <w:vAlign w:val="center"/>
          </w:tcPr>
          <w:p w14:paraId="12CD6E3C">
            <w:pPr>
              <w:adjustRightInd w:val="0"/>
              <w:snapToGrid w:val="0"/>
              <w:spacing w:line="240" w:lineRule="auto"/>
              <w:jc w:val="center"/>
              <w:rPr>
                <w:i w:val="0"/>
                <w:iCs w:val="0"/>
                <w:color w:val="auto"/>
                <w:szCs w:val="21"/>
                <w:highlight w:val="none"/>
              </w:rPr>
            </w:pPr>
          </w:p>
        </w:tc>
        <w:tc>
          <w:tcPr>
            <w:tcW w:w="947" w:type="dxa"/>
            <w:vAlign w:val="center"/>
          </w:tcPr>
          <w:p w14:paraId="582FFA15">
            <w:pPr>
              <w:adjustRightInd w:val="0"/>
              <w:snapToGrid w:val="0"/>
              <w:spacing w:line="240" w:lineRule="auto"/>
              <w:jc w:val="center"/>
              <w:rPr>
                <w:i w:val="0"/>
                <w:iCs w:val="0"/>
                <w:color w:val="auto"/>
                <w:szCs w:val="21"/>
                <w:highlight w:val="none"/>
              </w:rPr>
            </w:pPr>
          </w:p>
        </w:tc>
      </w:tr>
      <w:tr w14:paraId="261F5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3D9E45E2">
            <w:pPr>
              <w:adjustRightInd w:val="0"/>
              <w:snapToGrid w:val="0"/>
              <w:spacing w:line="240" w:lineRule="auto"/>
              <w:jc w:val="center"/>
              <w:rPr>
                <w:i w:val="0"/>
                <w:iCs w:val="0"/>
                <w:color w:val="auto"/>
                <w:szCs w:val="21"/>
                <w:highlight w:val="none"/>
              </w:rPr>
            </w:pPr>
          </w:p>
        </w:tc>
        <w:tc>
          <w:tcPr>
            <w:tcW w:w="3720" w:type="dxa"/>
            <w:vAlign w:val="center"/>
          </w:tcPr>
          <w:p w14:paraId="3A3AD2BC">
            <w:pPr>
              <w:adjustRightInd w:val="0"/>
              <w:snapToGrid w:val="0"/>
              <w:spacing w:line="240" w:lineRule="auto"/>
              <w:jc w:val="center"/>
              <w:rPr>
                <w:i w:val="0"/>
                <w:iCs w:val="0"/>
                <w:color w:val="auto"/>
                <w:szCs w:val="21"/>
                <w:highlight w:val="none"/>
              </w:rPr>
            </w:pPr>
            <w:r>
              <w:rPr>
                <w:rFonts w:hint="eastAsia" w:asciiTheme="minorEastAsia" w:hAnsiTheme="minorEastAsia" w:eastAsiaTheme="minorEastAsia"/>
                <w:i w:val="0"/>
                <w:iCs w:val="0"/>
                <w:color w:val="auto"/>
                <w:highlight w:val="none"/>
              </w:rPr>
              <w:t>其他费用</w:t>
            </w:r>
          </w:p>
        </w:tc>
        <w:tc>
          <w:tcPr>
            <w:tcW w:w="1065" w:type="dxa"/>
            <w:vAlign w:val="center"/>
          </w:tcPr>
          <w:p w14:paraId="6A8185EA">
            <w:pPr>
              <w:adjustRightInd w:val="0"/>
              <w:snapToGrid w:val="0"/>
              <w:spacing w:line="240" w:lineRule="auto"/>
              <w:jc w:val="center"/>
              <w:rPr>
                <w:i w:val="0"/>
                <w:iCs w:val="0"/>
                <w:color w:val="auto"/>
                <w:szCs w:val="21"/>
                <w:highlight w:val="none"/>
              </w:rPr>
            </w:pPr>
          </w:p>
        </w:tc>
        <w:tc>
          <w:tcPr>
            <w:tcW w:w="1065" w:type="dxa"/>
            <w:vAlign w:val="center"/>
          </w:tcPr>
          <w:p w14:paraId="2B46FA46">
            <w:pPr>
              <w:adjustRightInd w:val="0"/>
              <w:snapToGrid w:val="0"/>
              <w:spacing w:line="240" w:lineRule="auto"/>
              <w:jc w:val="center"/>
              <w:rPr>
                <w:i w:val="0"/>
                <w:iCs w:val="0"/>
                <w:color w:val="auto"/>
                <w:szCs w:val="21"/>
                <w:highlight w:val="none"/>
              </w:rPr>
            </w:pPr>
          </w:p>
        </w:tc>
        <w:tc>
          <w:tcPr>
            <w:tcW w:w="1066" w:type="dxa"/>
            <w:vAlign w:val="center"/>
          </w:tcPr>
          <w:p w14:paraId="7DD34863">
            <w:pPr>
              <w:adjustRightInd w:val="0"/>
              <w:snapToGrid w:val="0"/>
              <w:spacing w:line="240" w:lineRule="auto"/>
              <w:jc w:val="center"/>
              <w:rPr>
                <w:i w:val="0"/>
                <w:iCs w:val="0"/>
                <w:color w:val="auto"/>
                <w:szCs w:val="21"/>
                <w:highlight w:val="none"/>
              </w:rPr>
            </w:pPr>
          </w:p>
        </w:tc>
        <w:tc>
          <w:tcPr>
            <w:tcW w:w="947" w:type="dxa"/>
            <w:vAlign w:val="center"/>
          </w:tcPr>
          <w:p w14:paraId="6CC7618D">
            <w:pPr>
              <w:adjustRightInd w:val="0"/>
              <w:snapToGrid w:val="0"/>
              <w:spacing w:line="240" w:lineRule="auto"/>
              <w:jc w:val="center"/>
              <w:rPr>
                <w:i w:val="0"/>
                <w:iCs w:val="0"/>
                <w:color w:val="auto"/>
                <w:szCs w:val="21"/>
                <w:highlight w:val="none"/>
              </w:rPr>
            </w:pPr>
          </w:p>
        </w:tc>
      </w:tr>
      <w:tr w14:paraId="69522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24D3F8CA">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w:t>
            </w:r>
          </w:p>
        </w:tc>
        <w:tc>
          <w:tcPr>
            <w:tcW w:w="3720" w:type="dxa"/>
            <w:vAlign w:val="center"/>
          </w:tcPr>
          <w:p w14:paraId="5623F750">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w:t>
            </w:r>
          </w:p>
        </w:tc>
        <w:tc>
          <w:tcPr>
            <w:tcW w:w="1065" w:type="dxa"/>
            <w:vAlign w:val="center"/>
          </w:tcPr>
          <w:p w14:paraId="7FC147AA">
            <w:pPr>
              <w:adjustRightInd w:val="0"/>
              <w:snapToGrid w:val="0"/>
              <w:spacing w:line="240" w:lineRule="auto"/>
              <w:jc w:val="center"/>
              <w:rPr>
                <w:i w:val="0"/>
                <w:iCs w:val="0"/>
                <w:color w:val="auto"/>
                <w:szCs w:val="21"/>
                <w:highlight w:val="none"/>
              </w:rPr>
            </w:pPr>
          </w:p>
        </w:tc>
        <w:tc>
          <w:tcPr>
            <w:tcW w:w="1065" w:type="dxa"/>
            <w:vAlign w:val="center"/>
          </w:tcPr>
          <w:p w14:paraId="2938069A">
            <w:pPr>
              <w:adjustRightInd w:val="0"/>
              <w:snapToGrid w:val="0"/>
              <w:spacing w:line="240" w:lineRule="auto"/>
              <w:jc w:val="center"/>
              <w:rPr>
                <w:i w:val="0"/>
                <w:iCs w:val="0"/>
                <w:color w:val="auto"/>
                <w:szCs w:val="21"/>
                <w:highlight w:val="none"/>
              </w:rPr>
            </w:pPr>
          </w:p>
        </w:tc>
        <w:tc>
          <w:tcPr>
            <w:tcW w:w="1066" w:type="dxa"/>
            <w:vAlign w:val="center"/>
          </w:tcPr>
          <w:p w14:paraId="61CB4BB8">
            <w:pPr>
              <w:adjustRightInd w:val="0"/>
              <w:snapToGrid w:val="0"/>
              <w:spacing w:line="240" w:lineRule="auto"/>
              <w:jc w:val="center"/>
              <w:rPr>
                <w:i w:val="0"/>
                <w:iCs w:val="0"/>
                <w:color w:val="auto"/>
                <w:szCs w:val="21"/>
                <w:highlight w:val="none"/>
              </w:rPr>
            </w:pPr>
          </w:p>
        </w:tc>
        <w:tc>
          <w:tcPr>
            <w:tcW w:w="947" w:type="dxa"/>
            <w:vAlign w:val="center"/>
          </w:tcPr>
          <w:p w14:paraId="760C7701">
            <w:pPr>
              <w:adjustRightInd w:val="0"/>
              <w:snapToGrid w:val="0"/>
              <w:spacing w:line="240" w:lineRule="auto"/>
              <w:jc w:val="center"/>
              <w:rPr>
                <w:i w:val="0"/>
                <w:iCs w:val="0"/>
                <w:color w:val="auto"/>
                <w:szCs w:val="21"/>
                <w:highlight w:val="none"/>
              </w:rPr>
            </w:pPr>
          </w:p>
        </w:tc>
      </w:tr>
      <w:tr w14:paraId="4256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15" w:type="dxa"/>
            <w:gridSpan w:val="4"/>
            <w:vAlign w:val="center"/>
          </w:tcPr>
          <w:p w14:paraId="0A3D18E4">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报价合计（元）</w:t>
            </w:r>
          </w:p>
        </w:tc>
        <w:tc>
          <w:tcPr>
            <w:tcW w:w="2013" w:type="dxa"/>
            <w:gridSpan w:val="2"/>
            <w:vAlign w:val="center"/>
          </w:tcPr>
          <w:p w14:paraId="2F8C5621">
            <w:pPr>
              <w:adjustRightInd w:val="0"/>
              <w:snapToGrid w:val="0"/>
              <w:spacing w:line="240" w:lineRule="auto"/>
              <w:jc w:val="center"/>
              <w:rPr>
                <w:i w:val="0"/>
                <w:iCs w:val="0"/>
                <w:color w:val="auto"/>
                <w:szCs w:val="21"/>
                <w:highlight w:val="none"/>
              </w:rPr>
            </w:pPr>
          </w:p>
        </w:tc>
      </w:tr>
    </w:tbl>
    <w:p w14:paraId="0AE851E3">
      <w:pPr>
        <w:rPr>
          <w:rFonts w:hint="eastAsia"/>
          <w:b w:val="0"/>
          <w:bCs/>
          <w:i w:val="0"/>
          <w:iCs w:val="0"/>
          <w:color w:val="auto"/>
          <w:szCs w:val="21"/>
          <w:highlight w:val="none"/>
          <w:u w:val="single"/>
          <w:lang w:val="zh-CN"/>
        </w:rPr>
      </w:pPr>
      <w:r>
        <w:rPr>
          <w:rFonts w:hint="eastAsia"/>
          <w:b w:val="0"/>
          <w:bCs/>
          <w:i w:val="0"/>
          <w:iCs w:val="0"/>
          <w:color w:val="auto"/>
          <w:szCs w:val="21"/>
          <w:highlight w:val="none"/>
          <w:lang w:val="zh-CN"/>
        </w:rPr>
        <w:t>项目编号</w:t>
      </w:r>
      <w:r>
        <w:rPr>
          <w:rFonts w:hint="eastAsia"/>
          <w:b w:val="0"/>
          <w:bCs/>
          <w:i w:val="0"/>
          <w:iCs w:val="0"/>
          <w:color w:val="auto"/>
          <w:szCs w:val="21"/>
          <w:highlight w:val="none"/>
          <w:lang w:val="en-US" w:eastAsia="zh-CN"/>
        </w:rPr>
        <w:t>/</w:t>
      </w:r>
      <w:r>
        <w:rPr>
          <w:rFonts w:hint="eastAsia"/>
          <w:b w:val="0"/>
          <w:bCs/>
          <w:i w:val="0"/>
          <w:iCs w:val="0"/>
          <w:color w:val="auto"/>
          <w:szCs w:val="21"/>
          <w:highlight w:val="none"/>
          <w:lang w:val="zh-CN"/>
        </w:rPr>
        <w:t>包号：</w:t>
      </w:r>
      <w:r>
        <w:rPr>
          <w:rFonts w:hint="eastAsia"/>
          <w:b w:val="0"/>
          <w:bCs/>
          <w:i w:val="0"/>
          <w:iCs w:val="0"/>
          <w:color w:val="auto"/>
          <w:szCs w:val="21"/>
          <w:highlight w:val="none"/>
          <w:u w:val="single"/>
          <w:lang w:val="zh-CN"/>
        </w:rPr>
        <w:t xml:space="preserve">                     </w:t>
      </w:r>
    </w:p>
    <w:p w14:paraId="06FDCCDB">
      <w:pPr>
        <w:pStyle w:val="12"/>
        <w:rPr>
          <w:rFonts w:hint="eastAsia"/>
          <w:b w:val="0"/>
          <w:bCs/>
          <w:i w:val="0"/>
          <w:iCs w:val="0"/>
          <w:color w:val="auto"/>
          <w:szCs w:val="21"/>
          <w:highlight w:val="none"/>
          <w:u w:val="single"/>
          <w:lang w:val="zh-CN"/>
        </w:rPr>
      </w:pPr>
    </w:p>
    <w:p w14:paraId="3E542861">
      <w:pPr>
        <w:spacing w:line="300" w:lineRule="auto"/>
        <w:rPr>
          <w:rFonts w:ascii="Arial" w:hAnsi="Arial" w:cs="Arial"/>
          <w:i w:val="0"/>
          <w:iCs w:val="0"/>
          <w:color w:val="auto"/>
          <w:szCs w:val="21"/>
          <w:highlight w:val="none"/>
        </w:rPr>
      </w:pPr>
    </w:p>
    <w:p w14:paraId="1215C309">
      <w:pPr>
        <w:ind w:right="1008" w:firstLine="4284" w:firstLineChars="1700"/>
        <w:rPr>
          <w:rFonts w:hint="eastAsia" w:cs="宋体"/>
          <w:i w:val="0"/>
          <w:iCs w:val="0"/>
          <w:color w:val="auto"/>
          <w:spacing w:val="6"/>
          <w:szCs w:val="24"/>
          <w:highlight w:val="none"/>
          <w:lang w:val="en-US" w:eastAsia="zh-CN"/>
        </w:rPr>
      </w:pPr>
    </w:p>
    <w:p w14:paraId="5370C78E">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1DB54D2A">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1B3EDC9B">
      <w:pPr>
        <w:spacing w:line="300" w:lineRule="auto"/>
        <w:rPr>
          <w:rFonts w:ascii="Arial" w:hAnsi="Arial" w:cs="Arial"/>
          <w:i w:val="0"/>
          <w:iCs w:val="0"/>
          <w:color w:val="auto"/>
          <w:szCs w:val="21"/>
          <w:highlight w:val="none"/>
        </w:rPr>
      </w:pPr>
    </w:p>
    <w:p w14:paraId="65D3553F">
      <w:pPr>
        <w:spacing w:line="360" w:lineRule="auto"/>
        <w:rPr>
          <w:rFonts w:hint="eastAsia" w:ascii="宋体" w:hAnsi="宋体" w:eastAsia="宋体" w:cs="宋体"/>
          <w:b/>
          <w:i w:val="0"/>
          <w:iCs w:val="0"/>
          <w:color w:val="auto"/>
          <w:sz w:val="21"/>
          <w:szCs w:val="21"/>
          <w:highlight w:val="none"/>
          <w:lang w:eastAsia="zh-CN"/>
        </w:rPr>
      </w:pPr>
      <w:r>
        <w:rPr>
          <w:rFonts w:hint="eastAsia" w:ascii="宋体" w:hAnsi="宋体" w:eastAsia="宋体" w:cs="宋体"/>
          <w:b/>
          <w:i w:val="0"/>
          <w:iCs w:val="0"/>
          <w:color w:val="auto"/>
          <w:sz w:val="21"/>
          <w:szCs w:val="21"/>
          <w:highlight w:val="none"/>
          <w:lang w:eastAsia="zh-CN"/>
        </w:rPr>
        <w:t>注：</w:t>
      </w:r>
    </w:p>
    <w:p w14:paraId="12CEFAE5">
      <w:pPr>
        <w:spacing w:line="360" w:lineRule="auto"/>
        <w:ind w:firstLine="435"/>
        <w:rPr>
          <w:rFonts w:hint="default"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w:t>
      </w:r>
      <w:r>
        <w:rPr>
          <w:rFonts w:hint="default" w:ascii="宋体" w:hAnsi="宋体" w:eastAsia="宋体" w:cs="宋体"/>
          <w:i w:val="0"/>
          <w:iCs w:val="0"/>
          <w:color w:val="auto"/>
          <w:sz w:val="21"/>
          <w:szCs w:val="21"/>
          <w:highlight w:val="none"/>
          <w:lang w:val="en-US" w:eastAsia="zh-CN"/>
        </w:rPr>
        <w:t>按照本表填写的各项目的报价合计填写到</w:t>
      </w:r>
      <w:r>
        <w:rPr>
          <w:rFonts w:hint="eastAsia" w:ascii="宋体" w:hAnsi="宋体" w:eastAsia="宋体" w:cs="宋体"/>
          <w:i w:val="0"/>
          <w:iCs w:val="0"/>
          <w:color w:val="auto"/>
          <w:sz w:val="21"/>
          <w:szCs w:val="21"/>
          <w:highlight w:val="none"/>
          <w:lang w:val="en-US" w:eastAsia="zh-CN"/>
        </w:rPr>
        <w:t>“</w:t>
      </w:r>
      <w:r>
        <w:rPr>
          <w:rFonts w:hint="eastAsia" w:cs="宋体"/>
          <w:i w:val="0"/>
          <w:iCs w:val="0"/>
          <w:color w:val="auto"/>
          <w:sz w:val="21"/>
          <w:szCs w:val="21"/>
          <w:highlight w:val="none"/>
          <w:lang w:val="en-US" w:eastAsia="zh-CN"/>
        </w:rPr>
        <w:t>报价</w:t>
      </w:r>
      <w:r>
        <w:rPr>
          <w:rFonts w:hint="eastAsia" w:ascii="宋体" w:hAnsi="宋体" w:eastAsia="宋体" w:cs="宋体"/>
          <w:i w:val="0"/>
          <w:iCs w:val="0"/>
          <w:color w:val="auto"/>
          <w:sz w:val="21"/>
          <w:szCs w:val="21"/>
          <w:highlight w:val="none"/>
          <w:lang w:val="en-US" w:eastAsia="zh-CN"/>
        </w:rPr>
        <w:t>一览表”</w:t>
      </w:r>
      <w:r>
        <w:rPr>
          <w:rFonts w:hint="default" w:ascii="宋体" w:hAnsi="宋体" w:eastAsia="宋体" w:cs="宋体"/>
          <w:i w:val="0"/>
          <w:iCs w:val="0"/>
          <w:color w:val="auto"/>
          <w:sz w:val="21"/>
          <w:szCs w:val="21"/>
          <w:highlight w:val="none"/>
          <w:lang w:val="en-US" w:eastAsia="zh-CN"/>
        </w:rPr>
        <w:t>中对应的</w:t>
      </w:r>
      <w:r>
        <w:rPr>
          <w:rFonts w:hint="eastAsia" w:cs="宋体"/>
          <w:i w:val="0"/>
          <w:iCs w:val="0"/>
          <w:color w:val="auto"/>
          <w:sz w:val="21"/>
          <w:szCs w:val="21"/>
          <w:highlight w:val="none"/>
          <w:lang w:val="en-US" w:eastAsia="zh-CN"/>
        </w:rPr>
        <w:t>“磋商报价”</w:t>
      </w:r>
      <w:r>
        <w:rPr>
          <w:rFonts w:hint="default" w:ascii="宋体" w:hAnsi="宋体" w:eastAsia="宋体" w:cs="宋体"/>
          <w:i w:val="0"/>
          <w:iCs w:val="0"/>
          <w:color w:val="auto"/>
          <w:sz w:val="21"/>
          <w:szCs w:val="21"/>
          <w:highlight w:val="none"/>
          <w:lang w:val="en-US" w:eastAsia="zh-CN"/>
        </w:rPr>
        <w:t>栏中。</w:t>
      </w:r>
    </w:p>
    <w:p w14:paraId="6E874C8A">
      <w:pPr>
        <w:spacing w:line="360" w:lineRule="auto"/>
        <w:ind w:firstLine="435"/>
        <w:rPr>
          <w:rFonts w:hint="eastAsia" w:ascii="宋体" w:hAnsi="宋体" w:eastAsia="宋体" w:cs="宋体"/>
          <w:i w:val="0"/>
          <w:iCs w:val="0"/>
          <w:color w:val="auto"/>
          <w:sz w:val="21"/>
          <w:szCs w:val="21"/>
          <w:highlight w:val="none"/>
        </w:rPr>
      </w:pPr>
      <w:r>
        <w:rPr>
          <w:rFonts w:hint="eastAsia" w:cs="宋体"/>
          <w:i w:val="0"/>
          <w:iCs w:val="0"/>
          <w:color w:val="auto"/>
          <w:sz w:val="21"/>
          <w:szCs w:val="21"/>
          <w:highlight w:val="none"/>
          <w:lang w:val="en-US" w:eastAsia="zh-CN"/>
        </w:rPr>
        <w:t>2</w:t>
      </w:r>
      <w:r>
        <w:rPr>
          <w:rFonts w:hint="eastAsia" w:ascii="宋体" w:hAnsi="宋体" w:eastAsia="宋体" w:cs="宋体"/>
          <w:i w:val="0"/>
          <w:iCs w:val="0"/>
          <w:color w:val="auto"/>
          <w:sz w:val="21"/>
          <w:szCs w:val="21"/>
          <w:highlight w:val="none"/>
        </w:rPr>
        <w:t>.所列服务为对应本项目需求的全部服务内容。如有漏项或缺项，</w:t>
      </w:r>
      <w:r>
        <w:rPr>
          <w:rFonts w:hint="eastAsia" w:cs="宋体"/>
          <w:i w:val="0"/>
          <w:iCs w:val="0"/>
          <w:color w:val="auto"/>
          <w:sz w:val="21"/>
          <w:szCs w:val="21"/>
          <w:highlight w:val="none"/>
          <w:lang w:val="en-US" w:eastAsia="zh-CN"/>
        </w:rPr>
        <w:t>供应商</w:t>
      </w:r>
      <w:r>
        <w:rPr>
          <w:rFonts w:hint="eastAsia" w:ascii="宋体" w:hAnsi="宋体" w:eastAsia="宋体" w:cs="宋体"/>
          <w:i w:val="0"/>
          <w:iCs w:val="0"/>
          <w:color w:val="auto"/>
          <w:sz w:val="21"/>
          <w:szCs w:val="21"/>
          <w:highlight w:val="none"/>
        </w:rPr>
        <w:t>承担全部责任。</w:t>
      </w:r>
    </w:p>
    <w:p w14:paraId="104CF47A">
      <w:pPr>
        <w:pStyle w:val="67"/>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i w:val="0"/>
          <w:iCs w:val="0"/>
          <w:color w:val="auto"/>
          <w:highlight w:val="none"/>
          <w:lang w:val="en-US" w:eastAsia="zh-CN"/>
        </w:rPr>
      </w:pPr>
    </w:p>
    <w:p w14:paraId="310F86D5">
      <w:pPr>
        <w:pStyle w:val="67"/>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i w:val="0"/>
          <w:iCs w:val="0"/>
          <w:color w:val="auto"/>
          <w:highlight w:val="none"/>
          <w:lang w:val="en-US" w:eastAsia="zh-CN"/>
        </w:rPr>
      </w:pPr>
    </w:p>
    <w:p w14:paraId="737388C0">
      <w:pPr>
        <w:pStyle w:val="67"/>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i w:val="0"/>
          <w:iCs w:val="0"/>
          <w:color w:val="auto"/>
          <w:highlight w:val="none"/>
          <w:lang w:val="en-US" w:eastAsia="zh-CN"/>
        </w:rPr>
      </w:pPr>
    </w:p>
    <w:p w14:paraId="59E6F39D">
      <w:pPr>
        <w:ind w:firstLine="480" w:firstLineChars="200"/>
        <w:rPr>
          <w:rFonts w:cs="仿宋_GB2312"/>
          <w:i w:val="0"/>
          <w:iCs w:val="0"/>
          <w:color w:val="auto"/>
          <w:szCs w:val="24"/>
          <w:highlight w:val="none"/>
          <w:lang w:val="zh-CN"/>
        </w:rPr>
      </w:pPr>
      <w:r>
        <w:rPr>
          <w:rFonts w:hint="eastAsia" w:cs="仿宋_GB2312"/>
          <w:i w:val="0"/>
          <w:iCs w:val="0"/>
          <w:color w:val="auto"/>
          <w:szCs w:val="24"/>
          <w:highlight w:val="none"/>
          <w:lang w:val="zh-CN"/>
        </w:rPr>
        <w:t>封面：</w:t>
      </w:r>
    </w:p>
    <w:p w14:paraId="1608ED84">
      <w:pPr>
        <w:autoSpaceDE w:val="0"/>
        <w:autoSpaceDN w:val="0"/>
        <w:adjustRightInd w:val="0"/>
        <w:rPr>
          <w:i w:val="0"/>
          <w:iCs w:val="0"/>
          <w:color w:val="auto"/>
          <w:sz w:val="21"/>
          <w:szCs w:val="24"/>
          <w:highlight w:val="none"/>
        </w:rPr>
      </w:pPr>
    </w:p>
    <w:p w14:paraId="52549619">
      <w:pPr>
        <w:autoSpaceDE w:val="0"/>
        <w:autoSpaceDN w:val="0"/>
        <w:adjustRightInd w:val="0"/>
        <w:rPr>
          <w:i w:val="0"/>
          <w:iCs w:val="0"/>
          <w:color w:val="auto"/>
          <w:sz w:val="21"/>
          <w:szCs w:val="24"/>
          <w:highlight w:val="none"/>
        </w:rPr>
      </w:pPr>
    </w:p>
    <w:p w14:paraId="707CB2C6">
      <w:pPr>
        <w:autoSpaceDE w:val="0"/>
        <w:autoSpaceDN w:val="0"/>
        <w:adjustRightInd w:val="0"/>
        <w:jc w:val="center"/>
        <w:rPr>
          <w:i w:val="0"/>
          <w:iCs w:val="0"/>
          <w:color w:val="auto"/>
          <w:sz w:val="21"/>
          <w:szCs w:val="24"/>
          <w:highlight w:val="none"/>
        </w:rPr>
      </w:pPr>
    </w:p>
    <w:p w14:paraId="39A885C9">
      <w:pPr>
        <w:pStyle w:val="4"/>
        <w:bidi w:val="0"/>
        <w:jc w:val="center"/>
        <w:rPr>
          <w:color w:val="auto"/>
          <w:sz w:val="84"/>
          <w:szCs w:val="84"/>
          <w:highlight w:val="none"/>
        </w:rPr>
      </w:pPr>
      <w:bookmarkStart w:id="530" w:name="_Toc20481"/>
      <w:r>
        <w:rPr>
          <w:rFonts w:hint="eastAsia"/>
          <w:color w:val="auto"/>
          <w:sz w:val="84"/>
          <w:szCs w:val="84"/>
          <w:highlight w:val="none"/>
          <w:lang w:val="en-US" w:eastAsia="zh-CN"/>
        </w:rPr>
        <w:t>响 应</w:t>
      </w:r>
      <w:r>
        <w:rPr>
          <w:rFonts w:hint="eastAsia"/>
          <w:color w:val="auto"/>
          <w:sz w:val="84"/>
          <w:szCs w:val="84"/>
          <w:highlight w:val="none"/>
        </w:rPr>
        <w:t xml:space="preserve"> 文 件</w:t>
      </w:r>
      <w:bookmarkEnd w:id="530"/>
    </w:p>
    <w:p w14:paraId="7B73C93C">
      <w:pPr>
        <w:pStyle w:val="4"/>
        <w:bidi w:val="0"/>
        <w:jc w:val="center"/>
        <w:rPr>
          <w:rFonts w:hint="eastAsia"/>
          <w:color w:val="auto"/>
          <w:sz w:val="56"/>
          <w:szCs w:val="56"/>
          <w:highlight w:val="none"/>
          <w:lang w:val="en-US" w:eastAsia="zh-CN"/>
        </w:rPr>
      </w:pPr>
      <w:bookmarkStart w:id="531" w:name="_Toc23374"/>
      <w:r>
        <w:rPr>
          <w:rFonts w:hint="eastAsia"/>
          <w:color w:val="auto"/>
          <w:sz w:val="56"/>
          <w:szCs w:val="56"/>
          <w:highlight w:val="none"/>
          <w:lang w:val="en-US" w:eastAsia="zh-CN"/>
        </w:rPr>
        <w:t>商务技术文件</w:t>
      </w:r>
      <w:bookmarkEnd w:id="531"/>
    </w:p>
    <w:p w14:paraId="7B4E1662">
      <w:pPr>
        <w:autoSpaceDE w:val="0"/>
        <w:autoSpaceDN w:val="0"/>
        <w:adjustRightInd w:val="0"/>
        <w:jc w:val="center"/>
        <w:rPr>
          <w:rFonts w:hint="eastAsia" w:eastAsia="宋体"/>
          <w:i w:val="0"/>
          <w:iCs w:val="0"/>
          <w:color w:val="auto"/>
          <w:sz w:val="36"/>
          <w:szCs w:val="36"/>
          <w:highlight w:val="none"/>
          <w:lang w:eastAsia="zh-CN"/>
        </w:rPr>
      </w:pPr>
      <w:r>
        <w:rPr>
          <w:rFonts w:hint="eastAsia"/>
          <w:i w:val="0"/>
          <w:iCs w:val="0"/>
          <w:color w:val="auto"/>
          <w:sz w:val="36"/>
          <w:szCs w:val="36"/>
          <w:highlight w:val="none"/>
          <w:lang w:val="en-US" w:eastAsia="zh-CN"/>
        </w:rPr>
        <w:t>（第XX包</w:t>
      </w:r>
      <w:r>
        <w:rPr>
          <w:rFonts w:hint="eastAsia"/>
          <w:i w:val="0"/>
          <w:iCs w:val="0"/>
          <w:color w:val="auto"/>
          <w:sz w:val="36"/>
          <w:szCs w:val="36"/>
          <w:highlight w:val="none"/>
          <w:lang w:eastAsia="zh-CN"/>
        </w:rPr>
        <w:t>）【</w:t>
      </w:r>
      <w:r>
        <w:rPr>
          <w:rFonts w:hint="eastAsia"/>
          <w:i w:val="0"/>
          <w:iCs w:val="0"/>
          <w:color w:val="auto"/>
          <w:sz w:val="36"/>
          <w:szCs w:val="36"/>
          <w:highlight w:val="none"/>
          <w:lang w:val="en-US" w:eastAsia="zh-CN"/>
        </w:rPr>
        <w:t>如不分包，请删去本行</w:t>
      </w:r>
      <w:r>
        <w:rPr>
          <w:rFonts w:hint="eastAsia"/>
          <w:i w:val="0"/>
          <w:iCs w:val="0"/>
          <w:color w:val="auto"/>
          <w:sz w:val="36"/>
          <w:szCs w:val="36"/>
          <w:highlight w:val="none"/>
          <w:lang w:eastAsia="zh-CN"/>
        </w:rPr>
        <w:t>】</w:t>
      </w:r>
    </w:p>
    <w:p w14:paraId="65E75388">
      <w:pPr>
        <w:pStyle w:val="4"/>
        <w:rPr>
          <w:i w:val="0"/>
          <w:iCs w:val="0"/>
          <w:color w:val="auto"/>
          <w:sz w:val="21"/>
          <w:szCs w:val="21"/>
          <w:highlight w:val="none"/>
        </w:rPr>
      </w:pPr>
    </w:p>
    <w:p w14:paraId="468292C4">
      <w:pPr>
        <w:rPr>
          <w:i w:val="0"/>
          <w:iCs w:val="0"/>
          <w:color w:val="auto"/>
          <w:sz w:val="21"/>
          <w:szCs w:val="21"/>
          <w:highlight w:val="none"/>
        </w:rPr>
      </w:pPr>
    </w:p>
    <w:p w14:paraId="5ED53CDE">
      <w:pPr>
        <w:rPr>
          <w:i w:val="0"/>
          <w:iCs w:val="0"/>
          <w:color w:val="auto"/>
          <w:highlight w:val="none"/>
        </w:rPr>
      </w:pPr>
    </w:p>
    <w:p w14:paraId="261A98BD">
      <w:pPr>
        <w:autoSpaceDE w:val="0"/>
        <w:autoSpaceDN w:val="0"/>
        <w:adjustRightInd w:val="0"/>
        <w:rPr>
          <w:i w:val="0"/>
          <w:iCs w:val="0"/>
          <w:color w:val="auto"/>
          <w:sz w:val="21"/>
          <w:szCs w:val="21"/>
          <w:highlight w:val="none"/>
        </w:rPr>
      </w:pPr>
    </w:p>
    <w:p w14:paraId="7F1B3B73">
      <w:pPr>
        <w:autoSpaceDE w:val="0"/>
        <w:autoSpaceDN w:val="0"/>
        <w:adjustRightInd w:val="0"/>
        <w:rPr>
          <w:i w:val="0"/>
          <w:iCs w:val="0"/>
          <w:color w:val="auto"/>
          <w:sz w:val="21"/>
          <w:szCs w:val="21"/>
          <w:highlight w:val="none"/>
        </w:rPr>
      </w:pPr>
    </w:p>
    <w:p w14:paraId="4E314F55">
      <w:pPr>
        <w:ind w:left="420" w:leftChars="175"/>
        <w:rPr>
          <w:rFonts w:hint="eastAsia" w:ascii="宋体" w:hAnsi="宋体" w:eastAsia="宋体" w:cs="宋体"/>
          <w:i w:val="0"/>
          <w:iCs w:val="0"/>
          <w:color w:val="auto"/>
          <w:sz w:val="36"/>
          <w:szCs w:val="36"/>
          <w:highlight w:val="none"/>
        </w:rPr>
      </w:pPr>
      <w:r>
        <w:rPr>
          <w:rFonts w:hint="eastAsia" w:ascii="宋体" w:hAnsi="宋体" w:eastAsia="宋体" w:cs="宋体"/>
          <w:i w:val="0"/>
          <w:iCs w:val="0"/>
          <w:color w:val="auto"/>
          <w:sz w:val="36"/>
          <w:szCs w:val="36"/>
          <w:highlight w:val="none"/>
        </w:rPr>
        <w:t>项目编号</w:t>
      </w:r>
      <w:r>
        <w:rPr>
          <w:rFonts w:hint="eastAsia" w:ascii="宋体" w:hAnsi="宋体" w:eastAsia="宋体" w:cs="宋体"/>
          <w:i w:val="0"/>
          <w:iCs w:val="0"/>
          <w:color w:val="auto"/>
          <w:sz w:val="36"/>
          <w:szCs w:val="36"/>
          <w:highlight w:val="none"/>
          <w:lang w:val="en-US" w:eastAsia="zh-CN"/>
        </w:rPr>
        <w:t>/包号</w:t>
      </w:r>
      <w:r>
        <w:rPr>
          <w:rFonts w:hint="eastAsia" w:ascii="宋体" w:hAnsi="宋体" w:eastAsia="宋体" w:cs="宋体"/>
          <w:i w:val="0"/>
          <w:iCs w:val="0"/>
          <w:color w:val="auto"/>
          <w:sz w:val="36"/>
          <w:szCs w:val="36"/>
          <w:highlight w:val="none"/>
        </w:rPr>
        <w:t>：</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00896020">
      <w:pPr>
        <w:ind w:left="420" w:leftChars="175"/>
        <w:rPr>
          <w:rFonts w:hint="eastAsia" w:ascii="宋体" w:hAnsi="宋体" w:eastAsia="宋体" w:cs="宋体"/>
          <w:i w:val="0"/>
          <w:iCs w:val="0"/>
          <w:color w:val="auto"/>
          <w:sz w:val="36"/>
          <w:szCs w:val="36"/>
          <w:highlight w:val="none"/>
        </w:rPr>
      </w:pPr>
      <w:r>
        <w:rPr>
          <w:rFonts w:hint="eastAsia" w:ascii="宋体" w:hAnsi="宋体" w:eastAsia="宋体" w:cs="宋体"/>
          <w:i w:val="0"/>
          <w:iCs w:val="0"/>
          <w:color w:val="auto"/>
          <w:sz w:val="36"/>
          <w:szCs w:val="36"/>
          <w:highlight w:val="none"/>
        </w:rPr>
        <w:t>项目名称：</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537E119B">
      <w:pPr>
        <w:ind w:left="420" w:leftChars="175"/>
        <w:rPr>
          <w:rFonts w:hint="eastAsia" w:ascii="宋体" w:hAnsi="宋体" w:eastAsia="宋体" w:cs="宋体"/>
          <w:i w:val="0"/>
          <w:iCs w:val="0"/>
          <w:color w:val="auto"/>
          <w:sz w:val="36"/>
          <w:szCs w:val="36"/>
          <w:highlight w:val="none"/>
        </w:rPr>
      </w:pPr>
      <w:r>
        <w:rPr>
          <w:rFonts w:hint="eastAsia" w:cs="宋体"/>
          <w:i w:val="0"/>
          <w:iCs w:val="0"/>
          <w:color w:val="auto"/>
          <w:sz w:val="36"/>
          <w:szCs w:val="36"/>
          <w:highlight w:val="none"/>
          <w:lang w:val="en-US" w:eastAsia="zh-CN"/>
        </w:rPr>
        <w:t>供 应 商</w:t>
      </w:r>
      <w:r>
        <w:rPr>
          <w:rFonts w:hint="eastAsia" w:ascii="宋体" w:hAnsi="宋体" w:eastAsia="宋体" w:cs="宋体"/>
          <w:i w:val="0"/>
          <w:iCs w:val="0"/>
          <w:color w:val="auto"/>
          <w:sz w:val="36"/>
          <w:szCs w:val="36"/>
          <w:highlight w:val="none"/>
        </w:rPr>
        <w:t>：</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0830AD08">
      <w:pPr>
        <w:jc w:val="center"/>
        <w:rPr>
          <w:rFonts w:ascii="黑体" w:hAnsi="黑体" w:eastAsia="黑体"/>
          <w:i w:val="0"/>
          <w:iCs w:val="0"/>
          <w:color w:val="auto"/>
          <w:sz w:val="32"/>
          <w:szCs w:val="32"/>
          <w:highlight w:val="none"/>
        </w:rPr>
      </w:pPr>
    </w:p>
    <w:p w14:paraId="2AA64C4E">
      <w:pPr>
        <w:jc w:val="center"/>
        <w:rPr>
          <w:rFonts w:ascii="黑体" w:hAnsi="黑体" w:eastAsia="黑体"/>
          <w:i w:val="0"/>
          <w:iCs w:val="0"/>
          <w:color w:val="auto"/>
          <w:sz w:val="32"/>
          <w:szCs w:val="32"/>
          <w:highlight w:val="none"/>
        </w:rPr>
      </w:pPr>
    </w:p>
    <w:p w14:paraId="38E4ED2E">
      <w:pPr>
        <w:rPr>
          <w:i w:val="0"/>
          <w:iCs w:val="0"/>
          <w:color w:val="auto"/>
          <w:highlight w:val="none"/>
          <w:lang w:val="zh-CN"/>
        </w:rPr>
      </w:pPr>
      <w:r>
        <w:rPr>
          <w:i w:val="0"/>
          <w:iCs w:val="0"/>
          <w:color w:val="auto"/>
          <w:highlight w:val="none"/>
          <w:lang w:val="zh-CN"/>
        </w:rPr>
        <w:br w:type="page"/>
      </w:r>
    </w:p>
    <w:p w14:paraId="161B8F8A">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532" w:name="_Toc140132831"/>
      <w:bookmarkStart w:id="533" w:name="_Toc3577"/>
      <w:bookmarkStart w:id="534" w:name="_Toc109899489"/>
      <w:bookmarkStart w:id="535" w:name="_Toc109900327"/>
      <w:bookmarkStart w:id="536" w:name="_Toc16679"/>
      <w:bookmarkStart w:id="537" w:name="_Toc109899908"/>
      <w:bookmarkStart w:id="538" w:name="_Toc25402"/>
      <w:bookmarkStart w:id="539" w:name="_Toc155185921"/>
      <w:r>
        <w:rPr>
          <w:rFonts w:hint="eastAsia" w:eastAsia="宋体" w:asciiTheme="majorHAnsi" w:hAnsiTheme="majorHAnsi" w:cstheme="majorBidi"/>
          <w:b/>
          <w:bCs/>
          <w:i w:val="0"/>
          <w:iCs w:val="0"/>
          <w:color w:val="auto"/>
          <w:kern w:val="2"/>
          <w:sz w:val="32"/>
          <w:szCs w:val="32"/>
          <w:highlight w:val="none"/>
          <w:lang w:val="en-US" w:eastAsia="zh-CN" w:bidi="ar-SA"/>
        </w:rPr>
        <w:t>一、</w:t>
      </w:r>
      <w:r>
        <w:rPr>
          <w:rFonts w:hint="eastAsia" w:cstheme="majorBidi"/>
          <w:b/>
          <w:bCs/>
          <w:i w:val="0"/>
          <w:iCs w:val="0"/>
          <w:color w:val="auto"/>
          <w:kern w:val="2"/>
          <w:sz w:val="32"/>
          <w:szCs w:val="32"/>
          <w:highlight w:val="none"/>
          <w:lang w:val="en-US" w:eastAsia="zh-CN" w:bidi="ar-SA"/>
        </w:rPr>
        <w:t>响应</w:t>
      </w:r>
      <w:r>
        <w:rPr>
          <w:rFonts w:hint="eastAsia" w:eastAsia="宋体" w:asciiTheme="majorHAnsi" w:hAnsiTheme="majorHAnsi" w:cstheme="majorBidi"/>
          <w:b/>
          <w:bCs/>
          <w:i w:val="0"/>
          <w:iCs w:val="0"/>
          <w:color w:val="auto"/>
          <w:kern w:val="2"/>
          <w:sz w:val="32"/>
          <w:szCs w:val="32"/>
          <w:highlight w:val="none"/>
          <w:lang w:val="en-US" w:eastAsia="zh-CN" w:bidi="ar-SA"/>
        </w:rPr>
        <w:t>函</w:t>
      </w:r>
      <w:bookmarkEnd w:id="532"/>
      <w:bookmarkEnd w:id="533"/>
      <w:bookmarkEnd w:id="534"/>
      <w:bookmarkEnd w:id="535"/>
      <w:bookmarkEnd w:id="536"/>
      <w:bookmarkEnd w:id="537"/>
      <w:bookmarkEnd w:id="538"/>
      <w:bookmarkEnd w:id="539"/>
    </w:p>
    <w:p w14:paraId="4C9E7DCD">
      <w:pPr>
        <w:rPr>
          <w:i w:val="0"/>
          <w:iCs w:val="0"/>
          <w:color w:val="auto"/>
          <w:highlight w:val="none"/>
        </w:rPr>
      </w:pPr>
      <w:r>
        <w:rPr>
          <w:rFonts w:hint="eastAsia"/>
          <w:i w:val="0"/>
          <w:iCs w:val="0"/>
          <w:color w:val="auto"/>
          <w:highlight w:val="none"/>
        </w:rPr>
        <w:t>致：（采购人）</w:t>
      </w:r>
    </w:p>
    <w:p w14:paraId="3221248E">
      <w:pPr>
        <w:ind w:firstLine="480" w:firstLineChars="200"/>
        <w:rPr>
          <w:rFonts w:cs="仿宋_GB2312"/>
          <w:b/>
          <w:bCs/>
          <w:i w:val="0"/>
          <w:iCs w:val="0"/>
          <w:color w:val="auto"/>
          <w:szCs w:val="24"/>
          <w:highlight w:val="none"/>
        </w:rPr>
      </w:pPr>
      <w:r>
        <w:rPr>
          <w:rFonts w:hint="eastAsia" w:cs="仿宋_GB2312"/>
          <w:i w:val="0"/>
          <w:iCs w:val="0"/>
          <w:color w:val="auto"/>
          <w:szCs w:val="24"/>
          <w:highlight w:val="none"/>
        </w:rPr>
        <w:t>根据贵方</w:t>
      </w:r>
      <w:r>
        <w:rPr>
          <w:rFonts w:hint="eastAsia" w:cs="仿宋_GB2312"/>
          <w:i w:val="0"/>
          <w:iCs w:val="0"/>
          <w:color w:val="auto"/>
          <w:szCs w:val="24"/>
          <w:highlight w:val="none"/>
          <w:u w:val="single"/>
        </w:rPr>
        <w:t>（项目名称）（项目编号</w:t>
      </w:r>
      <w:r>
        <w:rPr>
          <w:rFonts w:hint="eastAsia" w:cs="仿宋_GB2312"/>
          <w:i w:val="0"/>
          <w:iCs w:val="0"/>
          <w:color w:val="auto"/>
          <w:szCs w:val="24"/>
          <w:highlight w:val="none"/>
          <w:u w:val="single"/>
          <w:lang w:val="en-US" w:eastAsia="zh-CN"/>
        </w:rPr>
        <w:t>/包号</w:t>
      </w:r>
      <w:r>
        <w:rPr>
          <w:rFonts w:hint="eastAsia" w:cs="仿宋_GB2312"/>
          <w:i w:val="0"/>
          <w:iCs w:val="0"/>
          <w:color w:val="auto"/>
          <w:szCs w:val="24"/>
          <w:highlight w:val="none"/>
          <w:u w:val="single"/>
        </w:rPr>
        <w:t>）</w:t>
      </w:r>
      <w:r>
        <w:rPr>
          <w:rFonts w:hint="eastAsia" w:cs="仿宋_GB2312"/>
          <w:i w:val="0"/>
          <w:iCs w:val="0"/>
          <w:color w:val="auto"/>
          <w:szCs w:val="24"/>
          <w:highlight w:val="none"/>
          <w:lang w:val="en-US" w:eastAsia="zh-CN"/>
        </w:rPr>
        <w:t>项目</w:t>
      </w:r>
      <w:r>
        <w:rPr>
          <w:rFonts w:hint="eastAsia" w:cs="仿宋_GB2312"/>
          <w:i w:val="0"/>
          <w:iCs w:val="0"/>
          <w:color w:val="auto"/>
          <w:szCs w:val="24"/>
          <w:highlight w:val="none"/>
        </w:rPr>
        <w:t>的</w:t>
      </w:r>
      <w:r>
        <w:rPr>
          <w:rFonts w:hint="eastAsia" w:cs="仿宋_GB2312"/>
          <w:i w:val="0"/>
          <w:iCs w:val="0"/>
          <w:color w:val="auto"/>
          <w:szCs w:val="24"/>
          <w:highlight w:val="none"/>
          <w:lang w:val="en-US" w:eastAsia="zh-CN"/>
        </w:rPr>
        <w:t>竞争性磋商公告</w:t>
      </w:r>
      <w:r>
        <w:rPr>
          <w:rFonts w:hint="eastAsia" w:cs="仿宋_GB2312"/>
          <w:i w:val="0"/>
          <w:iCs w:val="0"/>
          <w:color w:val="auto"/>
          <w:szCs w:val="24"/>
          <w:highlight w:val="none"/>
        </w:rPr>
        <w:t>，签字代表</w:t>
      </w:r>
      <w:r>
        <w:rPr>
          <w:rFonts w:hint="eastAsia" w:cs="仿宋_GB2312"/>
          <w:i w:val="0"/>
          <w:iCs w:val="0"/>
          <w:color w:val="auto"/>
          <w:szCs w:val="24"/>
          <w:highlight w:val="none"/>
          <w:u w:val="single"/>
        </w:rPr>
        <w:t>（姓名、职务）</w:t>
      </w:r>
      <w:r>
        <w:rPr>
          <w:rFonts w:hint="eastAsia" w:cs="仿宋_GB2312"/>
          <w:i w:val="0"/>
          <w:iCs w:val="0"/>
          <w:color w:val="auto"/>
          <w:szCs w:val="24"/>
          <w:highlight w:val="none"/>
        </w:rPr>
        <w:t>经正式授权并代表</w:t>
      </w:r>
      <w:r>
        <w:rPr>
          <w:rFonts w:hint="eastAsia" w:cs="仿宋_GB2312"/>
          <w:i w:val="0"/>
          <w:iCs w:val="0"/>
          <w:color w:val="auto"/>
          <w:szCs w:val="24"/>
          <w:highlight w:val="none"/>
          <w:lang w:val="en-US" w:eastAsia="zh-CN"/>
        </w:rPr>
        <w:t>供应商</w:t>
      </w:r>
      <w:r>
        <w:rPr>
          <w:rFonts w:hint="eastAsia" w:cs="仿宋_GB2312"/>
          <w:i w:val="0"/>
          <w:iCs w:val="0"/>
          <w:color w:val="auto"/>
          <w:szCs w:val="24"/>
          <w:highlight w:val="none"/>
          <w:u w:val="single"/>
        </w:rPr>
        <w:t>（</w:t>
      </w:r>
      <w:r>
        <w:rPr>
          <w:rFonts w:hint="eastAsia" w:cs="仿宋_GB2312"/>
          <w:i w:val="0"/>
          <w:iCs w:val="0"/>
          <w:color w:val="auto"/>
          <w:szCs w:val="24"/>
          <w:highlight w:val="none"/>
          <w:u w:val="single"/>
          <w:lang w:val="en-US" w:eastAsia="zh-CN"/>
        </w:rPr>
        <w:t>供应商</w:t>
      </w:r>
      <w:r>
        <w:rPr>
          <w:rFonts w:hint="eastAsia" w:cs="仿宋_GB2312"/>
          <w:i w:val="0"/>
          <w:iCs w:val="0"/>
          <w:color w:val="auto"/>
          <w:szCs w:val="24"/>
          <w:highlight w:val="none"/>
          <w:u w:val="single"/>
        </w:rPr>
        <w:t>名称、地址）</w:t>
      </w:r>
      <w:r>
        <w:rPr>
          <w:rFonts w:hint="eastAsia" w:cs="仿宋_GB2312"/>
          <w:i w:val="0"/>
          <w:iCs w:val="0"/>
          <w:color w:val="auto"/>
          <w:szCs w:val="24"/>
          <w:highlight w:val="none"/>
        </w:rPr>
        <w:t>提交下述文件</w:t>
      </w:r>
      <w:r>
        <w:rPr>
          <w:rFonts w:hint="eastAsia" w:cs="仿宋_GB2312"/>
          <w:b/>
          <w:bCs/>
          <w:i w:val="0"/>
          <w:iCs w:val="0"/>
          <w:color w:val="auto"/>
          <w:szCs w:val="24"/>
          <w:highlight w:val="none"/>
        </w:rPr>
        <w:t>：</w:t>
      </w:r>
    </w:p>
    <w:p w14:paraId="65FA88F8">
      <w:pPr>
        <w:spacing w:line="324" w:lineRule="auto"/>
        <w:ind w:firstLine="480" w:firstLineChars="200"/>
        <w:rPr>
          <w:rFonts w:hint="eastAsia" w:cs="Arial"/>
          <w:i w:val="0"/>
          <w:iCs w:val="0"/>
          <w:color w:val="auto"/>
          <w:szCs w:val="24"/>
          <w:highlight w:val="none"/>
          <w:lang w:val="en-US" w:eastAsia="zh-CN"/>
        </w:rPr>
      </w:pPr>
      <w:r>
        <w:rPr>
          <w:rFonts w:hint="eastAsia" w:cs="Arial"/>
          <w:i w:val="0"/>
          <w:iCs w:val="0"/>
          <w:color w:val="auto"/>
          <w:szCs w:val="24"/>
          <w:highlight w:val="none"/>
          <w:lang w:val="en-US" w:eastAsia="zh-CN"/>
        </w:rPr>
        <w:t>1.资格证明文件；</w:t>
      </w:r>
    </w:p>
    <w:p w14:paraId="3E3834BA">
      <w:pPr>
        <w:spacing w:line="324" w:lineRule="auto"/>
        <w:ind w:firstLine="480" w:firstLineChars="200"/>
        <w:rPr>
          <w:rFonts w:hint="eastAsia" w:cs="Arial"/>
          <w:i w:val="0"/>
          <w:iCs w:val="0"/>
          <w:color w:val="auto"/>
          <w:szCs w:val="24"/>
          <w:highlight w:val="none"/>
          <w:lang w:val="en-US" w:eastAsia="zh-CN"/>
        </w:rPr>
      </w:pPr>
      <w:r>
        <w:rPr>
          <w:rFonts w:hint="eastAsia" w:cs="Arial"/>
          <w:i w:val="0"/>
          <w:iCs w:val="0"/>
          <w:color w:val="auto"/>
          <w:szCs w:val="24"/>
          <w:highlight w:val="none"/>
          <w:lang w:val="en-US" w:eastAsia="zh-CN"/>
        </w:rPr>
        <w:t>2.报价文件；</w:t>
      </w:r>
    </w:p>
    <w:p w14:paraId="2F633022">
      <w:pPr>
        <w:numPr>
          <w:ilvl w:val="0"/>
          <w:numId w:val="0"/>
        </w:numPr>
        <w:spacing w:line="324" w:lineRule="auto"/>
        <w:ind w:firstLine="480" w:firstLineChars="200"/>
        <w:jc w:val="both"/>
        <w:rPr>
          <w:rFonts w:cs="Arial"/>
          <w:i w:val="0"/>
          <w:iCs w:val="0"/>
          <w:color w:val="auto"/>
          <w:szCs w:val="24"/>
          <w:highlight w:val="none"/>
        </w:rPr>
      </w:pPr>
      <w:r>
        <w:rPr>
          <w:rFonts w:hint="eastAsia" w:cs="Arial"/>
          <w:i w:val="0"/>
          <w:iCs w:val="0"/>
          <w:color w:val="auto"/>
          <w:szCs w:val="24"/>
          <w:highlight w:val="none"/>
          <w:lang w:val="en-US" w:eastAsia="zh-CN"/>
        </w:rPr>
        <w:t>3.商务技术文件</w:t>
      </w:r>
      <w:r>
        <w:rPr>
          <w:rFonts w:cs="Arial"/>
          <w:i w:val="0"/>
          <w:iCs w:val="0"/>
          <w:color w:val="auto"/>
          <w:szCs w:val="24"/>
          <w:highlight w:val="none"/>
        </w:rPr>
        <w:t>。</w:t>
      </w:r>
    </w:p>
    <w:p w14:paraId="4F69A5C9">
      <w:pPr>
        <w:spacing w:line="324" w:lineRule="auto"/>
        <w:ind w:firstLine="480" w:firstLineChars="200"/>
        <w:rPr>
          <w:rFonts w:cs="Arial"/>
          <w:i w:val="0"/>
          <w:iCs w:val="0"/>
          <w:color w:val="auto"/>
          <w:szCs w:val="24"/>
          <w:highlight w:val="none"/>
        </w:rPr>
      </w:pPr>
      <w:r>
        <w:rPr>
          <w:rFonts w:cs="Arial"/>
          <w:i w:val="0"/>
          <w:iCs w:val="0"/>
          <w:color w:val="auto"/>
          <w:szCs w:val="24"/>
          <w:highlight w:val="none"/>
        </w:rPr>
        <w:t>根据此函，签字代表宣布同意如下：</w:t>
      </w:r>
    </w:p>
    <w:p w14:paraId="0E908926">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1.</w:t>
      </w:r>
      <w:r>
        <w:rPr>
          <w:rFonts w:cs="Arial"/>
          <w:i w:val="0"/>
          <w:iCs w:val="0"/>
          <w:color w:val="auto"/>
          <w:szCs w:val="24"/>
          <w:highlight w:val="none"/>
        </w:rPr>
        <w:t>所附</w:t>
      </w:r>
      <w:r>
        <w:rPr>
          <w:rFonts w:hint="eastAsia" w:cs="Arial"/>
          <w:i w:val="0"/>
          <w:iCs w:val="0"/>
          <w:color w:val="auto"/>
          <w:szCs w:val="24"/>
          <w:highlight w:val="none"/>
          <w:lang w:val="en-US" w:eastAsia="zh-CN"/>
        </w:rPr>
        <w:t>报价一览</w:t>
      </w:r>
      <w:r>
        <w:rPr>
          <w:rFonts w:cs="Arial"/>
          <w:i w:val="0"/>
          <w:iCs w:val="0"/>
          <w:color w:val="auto"/>
          <w:szCs w:val="24"/>
          <w:highlight w:val="none"/>
        </w:rPr>
        <w:t>表中规定的应提交和交付的服务和</w:t>
      </w:r>
      <w:r>
        <w:rPr>
          <w:rFonts w:hint="eastAsia"/>
          <w:i w:val="0"/>
          <w:iCs w:val="0"/>
          <w:color w:val="auto"/>
          <w:szCs w:val="24"/>
          <w:highlight w:val="none"/>
          <w:lang w:val="en-US" w:eastAsia="zh-CN"/>
        </w:rPr>
        <w:t>包含的</w:t>
      </w:r>
      <w:r>
        <w:rPr>
          <w:rFonts w:hint="eastAsia" w:cs="Arial"/>
          <w:i w:val="0"/>
          <w:iCs w:val="0"/>
          <w:color w:val="auto"/>
          <w:szCs w:val="24"/>
          <w:highlight w:val="none"/>
        </w:rPr>
        <w:t>货物（如有）</w:t>
      </w:r>
      <w:r>
        <w:rPr>
          <w:rFonts w:cs="Arial"/>
          <w:i w:val="0"/>
          <w:iCs w:val="0"/>
          <w:color w:val="auto"/>
          <w:szCs w:val="24"/>
          <w:highlight w:val="none"/>
        </w:rPr>
        <w:t>的</w:t>
      </w:r>
      <w:r>
        <w:rPr>
          <w:rFonts w:hint="eastAsia" w:cs="Arial"/>
          <w:i w:val="0"/>
          <w:iCs w:val="0"/>
          <w:color w:val="auto"/>
          <w:szCs w:val="24"/>
          <w:highlight w:val="none"/>
        </w:rPr>
        <w:t>报价</w:t>
      </w:r>
      <w:r>
        <w:rPr>
          <w:rFonts w:cs="Arial"/>
          <w:i w:val="0"/>
          <w:iCs w:val="0"/>
          <w:color w:val="auto"/>
          <w:szCs w:val="24"/>
          <w:highlight w:val="none"/>
        </w:rPr>
        <w:t>为</w:t>
      </w:r>
      <w:r>
        <w:rPr>
          <w:rFonts w:hint="eastAsia" w:cs="Arial"/>
          <w:i w:val="0"/>
          <w:iCs w:val="0"/>
          <w:color w:val="auto"/>
          <w:szCs w:val="24"/>
          <w:highlight w:val="none"/>
        </w:rPr>
        <w:t xml:space="preserve"> </w:t>
      </w:r>
      <w:r>
        <w:rPr>
          <w:rFonts w:hint="eastAsia" w:cs="Arial"/>
          <w:i w:val="0"/>
          <w:iCs w:val="0"/>
          <w:color w:val="auto"/>
          <w:szCs w:val="24"/>
          <w:highlight w:val="none"/>
          <w:u w:val="single"/>
        </w:rPr>
        <w:t xml:space="preserve">                  </w:t>
      </w:r>
      <w:r>
        <w:rPr>
          <w:rFonts w:cs="Arial"/>
          <w:i w:val="0"/>
          <w:iCs w:val="0"/>
          <w:color w:val="auto"/>
          <w:szCs w:val="24"/>
          <w:highlight w:val="none"/>
        </w:rPr>
        <w:t>。</w:t>
      </w:r>
    </w:p>
    <w:p w14:paraId="02F6F8F5">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2.</w:t>
      </w:r>
      <w:r>
        <w:rPr>
          <w:rFonts w:hint="eastAsia" w:cs="Arial"/>
          <w:i w:val="0"/>
          <w:iCs w:val="0"/>
          <w:color w:val="auto"/>
          <w:szCs w:val="24"/>
          <w:highlight w:val="none"/>
        </w:rPr>
        <w:t>我方</w:t>
      </w:r>
      <w:r>
        <w:rPr>
          <w:rFonts w:cs="Arial"/>
          <w:i w:val="0"/>
          <w:iCs w:val="0"/>
          <w:color w:val="auto"/>
          <w:szCs w:val="24"/>
          <w:highlight w:val="none"/>
        </w:rPr>
        <w:t>将按</w:t>
      </w:r>
      <w:r>
        <w:rPr>
          <w:rFonts w:hint="eastAsia" w:cs="仿宋_GB2312"/>
          <w:i w:val="0"/>
          <w:iCs w:val="0"/>
          <w:color w:val="auto"/>
          <w:szCs w:val="24"/>
          <w:highlight w:val="none"/>
          <w:lang w:val="en-US" w:eastAsia="zh-CN"/>
        </w:rPr>
        <w:t>竞争性磋商</w:t>
      </w:r>
      <w:r>
        <w:rPr>
          <w:rFonts w:cs="Arial"/>
          <w:i w:val="0"/>
          <w:iCs w:val="0"/>
          <w:color w:val="auto"/>
          <w:szCs w:val="24"/>
          <w:highlight w:val="none"/>
        </w:rPr>
        <w:t>文件的规定履行合同责任和义务。</w:t>
      </w:r>
    </w:p>
    <w:p w14:paraId="1ACAD740">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3.</w:t>
      </w:r>
      <w:r>
        <w:rPr>
          <w:rFonts w:hint="eastAsia" w:cs="Arial"/>
          <w:i w:val="0"/>
          <w:iCs w:val="0"/>
          <w:color w:val="auto"/>
          <w:szCs w:val="24"/>
          <w:highlight w:val="none"/>
        </w:rPr>
        <w:t>我方</w:t>
      </w:r>
      <w:r>
        <w:rPr>
          <w:rFonts w:cs="Arial"/>
          <w:i w:val="0"/>
          <w:iCs w:val="0"/>
          <w:color w:val="auto"/>
          <w:szCs w:val="24"/>
          <w:highlight w:val="none"/>
        </w:rPr>
        <w:t>已详细审查全部</w:t>
      </w:r>
      <w:r>
        <w:rPr>
          <w:rFonts w:hint="eastAsia" w:cs="仿宋_GB2312"/>
          <w:i w:val="0"/>
          <w:iCs w:val="0"/>
          <w:color w:val="auto"/>
          <w:szCs w:val="24"/>
          <w:highlight w:val="none"/>
          <w:lang w:val="en-US" w:eastAsia="zh-CN"/>
        </w:rPr>
        <w:t>竞争性磋商</w:t>
      </w:r>
      <w:r>
        <w:rPr>
          <w:rFonts w:cs="Arial"/>
          <w:i w:val="0"/>
          <w:iCs w:val="0"/>
          <w:color w:val="auto"/>
          <w:szCs w:val="24"/>
          <w:highlight w:val="none"/>
        </w:rPr>
        <w:t>文件，包括第</w:t>
      </w:r>
      <w:r>
        <w:rPr>
          <w:rFonts w:cs="Arial"/>
          <w:i w:val="0"/>
          <w:iCs w:val="0"/>
          <w:color w:val="auto"/>
          <w:szCs w:val="24"/>
          <w:highlight w:val="none"/>
          <w:u w:val="single"/>
        </w:rPr>
        <w:t>（编号、补遗书）（如果有的话）</w:t>
      </w:r>
      <w:r>
        <w:rPr>
          <w:rFonts w:cs="Arial"/>
          <w:i w:val="0"/>
          <w:iCs w:val="0"/>
          <w:color w:val="auto"/>
          <w:szCs w:val="24"/>
          <w:highlight w:val="none"/>
        </w:rPr>
        <w:t>。我</w:t>
      </w:r>
      <w:r>
        <w:rPr>
          <w:rFonts w:hint="eastAsia" w:cs="Arial"/>
          <w:i w:val="0"/>
          <w:iCs w:val="0"/>
          <w:color w:val="auto"/>
          <w:szCs w:val="24"/>
          <w:highlight w:val="none"/>
        </w:rPr>
        <w:t>方</w:t>
      </w:r>
      <w:r>
        <w:rPr>
          <w:rFonts w:cs="Arial"/>
          <w:i w:val="0"/>
          <w:iCs w:val="0"/>
          <w:color w:val="auto"/>
          <w:szCs w:val="24"/>
          <w:highlight w:val="none"/>
        </w:rPr>
        <w:t>完全理解并同意放弃对这方面有不明及误解的权力。</w:t>
      </w:r>
    </w:p>
    <w:p w14:paraId="161F3106">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4.</w:t>
      </w:r>
      <w:r>
        <w:rPr>
          <w:rFonts w:hint="eastAsia" w:cs="Arial"/>
          <w:i w:val="0"/>
          <w:iCs w:val="0"/>
          <w:color w:val="auto"/>
          <w:szCs w:val="24"/>
          <w:highlight w:val="none"/>
        </w:rPr>
        <w:t>响应有效期为自提交响应文件的截止之日起</w:t>
      </w:r>
      <w:r>
        <w:rPr>
          <w:rFonts w:hint="eastAsia" w:cs="Arial"/>
          <w:i w:val="0"/>
          <w:iCs w:val="0"/>
          <w:color w:val="auto"/>
          <w:szCs w:val="24"/>
          <w:highlight w:val="none"/>
          <w:u w:val="single"/>
        </w:rPr>
        <w:t xml:space="preserve"> （由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填写）</w:t>
      </w:r>
      <w:r>
        <w:rPr>
          <w:rFonts w:cs="Arial"/>
          <w:i w:val="0"/>
          <w:iCs w:val="0"/>
          <w:color w:val="auto"/>
          <w:szCs w:val="24"/>
          <w:highlight w:val="none"/>
        </w:rPr>
        <w:t>个日历天。</w:t>
      </w:r>
    </w:p>
    <w:p w14:paraId="0A5D4704">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5.</w:t>
      </w:r>
      <w:r>
        <w:rPr>
          <w:rFonts w:hint="eastAsia" w:cs="Arial"/>
          <w:i w:val="0"/>
          <w:iCs w:val="0"/>
          <w:color w:val="auto"/>
          <w:szCs w:val="24"/>
          <w:highlight w:val="none"/>
        </w:rPr>
        <w:t>我方</w:t>
      </w:r>
      <w:r>
        <w:rPr>
          <w:rFonts w:cs="Arial"/>
          <w:i w:val="0"/>
          <w:iCs w:val="0"/>
          <w:color w:val="auto"/>
          <w:szCs w:val="24"/>
          <w:highlight w:val="none"/>
        </w:rPr>
        <w:t>同意提供按照贵方</w:t>
      </w:r>
      <w:r>
        <w:rPr>
          <w:rFonts w:hint="eastAsia" w:cs="Arial"/>
          <w:i w:val="0"/>
          <w:iCs w:val="0"/>
          <w:color w:val="auto"/>
          <w:szCs w:val="24"/>
          <w:highlight w:val="none"/>
          <w:lang w:val="en-US" w:eastAsia="zh-CN"/>
        </w:rPr>
        <w:t>竞争性磋商</w:t>
      </w:r>
      <w:r>
        <w:rPr>
          <w:rFonts w:hint="eastAsia" w:cs="Arial"/>
          <w:i w:val="0"/>
          <w:iCs w:val="0"/>
          <w:color w:val="auto"/>
          <w:szCs w:val="24"/>
          <w:highlight w:val="none"/>
        </w:rPr>
        <w:t>文件</w:t>
      </w:r>
      <w:r>
        <w:rPr>
          <w:rFonts w:cs="Arial"/>
          <w:i w:val="0"/>
          <w:iCs w:val="0"/>
          <w:color w:val="auto"/>
          <w:szCs w:val="24"/>
          <w:highlight w:val="none"/>
        </w:rPr>
        <w:t>要求的与其</w:t>
      </w:r>
      <w:r>
        <w:rPr>
          <w:rFonts w:hint="eastAsia" w:cs="Arial"/>
          <w:i w:val="0"/>
          <w:iCs w:val="0"/>
          <w:color w:val="auto"/>
          <w:szCs w:val="24"/>
          <w:highlight w:val="none"/>
          <w:lang w:val="en-US" w:eastAsia="zh-CN"/>
        </w:rPr>
        <w:t>磋商响应</w:t>
      </w:r>
      <w:r>
        <w:rPr>
          <w:rFonts w:cs="Arial"/>
          <w:i w:val="0"/>
          <w:iCs w:val="0"/>
          <w:color w:val="auto"/>
          <w:szCs w:val="24"/>
          <w:highlight w:val="none"/>
        </w:rPr>
        <w:t>有关的一切数据或资料，</w:t>
      </w:r>
      <w:r>
        <w:rPr>
          <w:rFonts w:hint="eastAsia" w:cs="Arial"/>
          <w:i w:val="0"/>
          <w:iCs w:val="0"/>
          <w:color w:val="auto"/>
          <w:szCs w:val="24"/>
          <w:highlight w:val="none"/>
        </w:rPr>
        <w:t>采用综合评分法时，我方</w:t>
      </w:r>
      <w:r>
        <w:rPr>
          <w:rFonts w:cs="Arial"/>
          <w:i w:val="0"/>
          <w:iCs w:val="0"/>
          <w:color w:val="auto"/>
          <w:szCs w:val="24"/>
          <w:highlight w:val="none"/>
        </w:rPr>
        <w:t>完全理解贵方不一定接受最低价的</w:t>
      </w:r>
      <w:r>
        <w:rPr>
          <w:rFonts w:hint="eastAsia" w:cs="Arial"/>
          <w:i w:val="0"/>
          <w:iCs w:val="0"/>
          <w:color w:val="auto"/>
          <w:szCs w:val="24"/>
          <w:highlight w:val="none"/>
          <w:lang w:val="en-US" w:eastAsia="zh-CN"/>
        </w:rPr>
        <w:t>响应</w:t>
      </w:r>
      <w:r>
        <w:rPr>
          <w:rFonts w:cs="Arial"/>
          <w:i w:val="0"/>
          <w:iCs w:val="0"/>
          <w:color w:val="auto"/>
          <w:szCs w:val="24"/>
          <w:highlight w:val="none"/>
        </w:rPr>
        <w:t>。</w:t>
      </w:r>
    </w:p>
    <w:p w14:paraId="73E57738">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6.</w:t>
      </w:r>
      <w:r>
        <w:rPr>
          <w:rFonts w:hint="eastAsia" w:cs="Arial"/>
          <w:i w:val="0"/>
          <w:iCs w:val="0"/>
          <w:color w:val="auto"/>
          <w:szCs w:val="24"/>
          <w:highlight w:val="none"/>
        </w:rPr>
        <w:t>本项目如由</w:t>
      </w:r>
      <w:r>
        <w:rPr>
          <w:rFonts w:hint="eastAsia" w:cs="Arial"/>
          <w:i w:val="0"/>
          <w:iCs w:val="0"/>
          <w:color w:val="auto"/>
          <w:szCs w:val="24"/>
          <w:highlight w:val="none"/>
          <w:lang w:val="en-US" w:eastAsia="zh-CN"/>
        </w:rPr>
        <w:t>成交</w:t>
      </w:r>
      <w:r>
        <w:rPr>
          <w:rFonts w:hint="eastAsia" w:cs="Arial"/>
          <w:i w:val="0"/>
          <w:iCs w:val="0"/>
          <w:color w:val="auto"/>
          <w:szCs w:val="24"/>
          <w:highlight w:val="none"/>
        </w:rPr>
        <w:t>人支付采购代理服务费，我方同意按</w:t>
      </w:r>
      <w:r>
        <w:rPr>
          <w:rFonts w:hint="eastAsia" w:cs="Arial"/>
          <w:i w:val="0"/>
          <w:iCs w:val="0"/>
          <w:color w:val="auto"/>
          <w:szCs w:val="24"/>
          <w:highlight w:val="none"/>
          <w:lang w:val="en-US" w:eastAsia="zh-CN"/>
        </w:rPr>
        <w:t>供应商</w:t>
      </w:r>
      <w:r>
        <w:rPr>
          <w:rFonts w:hint="eastAsia" w:cs="Arial"/>
          <w:i w:val="0"/>
          <w:iCs w:val="0"/>
          <w:color w:val="auto"/>
          <w:szCs w:val="24"/>
          <w:highlight w:val="none"/>
        </w:rPr>
        <w:t>须知前附表中规定向采购代理机构支付采购代理服务费。</w:t>
      </w:r>
    </w:p>
    <w:p w14:paraId="6E385FFA">
      <w:pPr>
        <w:numPr>
          <w:ilvl w:val="0"/>
          <w:numId w:val="0"/>
        </w:numPr>
        <w:snapToGrid w:val="0"/>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7.</w:t>
      </w:r>
      <w:r>
        <w:rPr>
          <w:rFonts w:hint="eastAsia" w:cs="Arial"/>
          <w:i w:val="0"/>
          <w:iCs w:val="0"/>
          <w:color w:val="auto"/>
          <w:szCs w:val="24"/>
          <w:highlight w:val="none"/>
        </w:rPr>
        <w:t>重要声明：</w:t>
      </w:r>
    </w:p>
    <w:p w14:paraId="7A7C941D">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1）与我方单位负责人为同一人的其他单位名称：</w:t>
      </w:r>
    </w:p>
    <w:p w14:paraId="37918306">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无；</w:t>
      </w:r>
      <w:r>
        <w:rPr>
          <w:rFonts w:hint="eastAsia"/>
          <w:i w:val="0"/>
          <w:iCs w:val="0"/>
          <w:color w:val="auto"/>
          <w:szCs w:val="24"/>
          <w:highlight w:val="none"/>
          <w:lang w:eastAsia="zh-CN"/>
        </w:rPr>
        <w:t>□</w:t>
      </w:r>
      <w:r>
        <w:rPr>
          <w:rFonts w:hint="eastAsia"/>
          <w:i w:val="0"/>
          <w:iCs w:val="0"/>
          <w:color w:val="auto"/>
          <w:szCs w:val="24"/>
          <w:highlight w:val="none"/>
        </w:rPr>
        <w:t>有，具体单位名称为：</w:t>
      </w:r>
      <w:r>
        <w:rPr>
          <w:rFonts w:hint="eastAsia" w:cs="Arial"/>
          <w:i w:val="0"/>
          <w:iCs w:val="0"/>
          <w:color w:val="auto"/>
          <w:szCs w:val="24"/>
          <w:highlight w:val="none"/>
          <w:u w:val="single"/>
        </w:rPr>
        <w:t>（由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如实填写）</w:t>
      </w:r>
      <w:r>
        <w:rPr>
          <w:rFonts w:hint="eastAsia"/>
          <w:i w:val="0"/>
          <w:iCs w:val="0"/>
          <w:color w:val="auto"/>
          <w:szCs w:val="24"/>
          <w:highlight w:val="none"/>
        </w:rPr>
        <w:t>。</w:t>
      </w:r>
    </w:p>
    <w:p w14:paraId="74569C55">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2）与我方存在控股、管理关系的其他单位的名称：</w:t>
      </w:r>
    </w:p>
    <w:p w14:paraId="12A32ECD">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 xml:space="preserve">无；□有，具体单位名称为： </w:t>
      </w:r>
      <w:r>
        <w:rPr>
          <w:rFonts w:hint="eastAsia" w:cs="Arial"/>
          <w:i w:val="0"/>
          <w:iCs w:val="0"/>
          <w:color w:val="auto"/>
          <w:szCs w:val="24"/>
          <w:highlight w:val="none"/>
          <w:u w:val="single"/>
        </w:rPr>
        <w:t>（由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如实填写）</w:t>
      </w:r>
      <w:r>
        <w:rPr>
          <w:rFonts w:hint="eastAsia"/>
          <w:i w:val="0"/>
          <w:iCs w:val="0"/>
          <w:color w:val="auto"/>
          <w:szCs w:val="24"/>
          <w:highlight w:val="none"/>
        </w:rPr>
        <w:t>。</w:t>
      </w:r>
    </w:p>
    <w:p w14:paraId="17036DCB">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3）参与本项目采购活动前，是否为本项目前期准备提供过整体设计、规范编制或者项目管理、监理、检测等服务：</w:t>
      </w:r>
    </w:p>
    <w:p w14:paraId="4F7161C9">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 xml:space="preserve">无；□有，已提供的具体服务内容为： </w:t>
      </w:r>
      <w:r>
        <w:rPr>
          <w:rFonts w:hint="eastAsia" w:cs="Arial"/>
          <w:i w:val="0"/>
          <w:iCs w:val="0"/>
          <w:color w:val="auto"/>
          <w:szCs w:val="24"/>
          <w:highlight w:val="none"/>
          <w:u w:val="single"/>
        </w:rPr>
        <w:t>（由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如实填写）</w:t>
      </w:r>
      <w:r>
        <w:rPr>
          <w:rFonts w:hint="eastAsia"/>
          <w:i w:val="0"/>
          <w:iCs w:val="0"/>
          <w:color w:val="auto"/>
          <w:szCs w:val="24"/>
          <w:highlight w:val="none"/>
        </w:rPr>
        <w:t>。</w:t>
      </w:r>
    </w:p>
    <w:p w14:paraId="4BC3B7DE">
      <w:pPr>
        <w:spacing w:line="324" w:lineRule="auto"/>
        <w:ind w:firstLine="480" w:firstLineChars="200"/>
        <w:rPr>
          <w:i w:val="0"/>
          <w:iCs w:val="0"/>
          <w:color w:val="auto"/>
          <w:szCs w:val="24"/>
          <w:highlight w:val="none"/>
        </w:rPr>
      </w:pPr>
      <w:r>
        <w:rPr>
          <w:rFonts w:hint="eastAsia"/>
          <w:i w:val="0"/>
          <w:iCs w:val="0"/>
          <w:color w:val="auto"/>
          <w:szCs w:val="24"/>
          <w:highlight w:val="none"/>
        </w:rPr>
        <w:t>（备注：以上</w:t>
      </w:r>
      <w:r>
        <w:rPr>
          <w:i w:val="0"/>
          <w:iCs w:val="0"/>
          <w:color w:val="auto"/>
          <w:szCs w:val="24"/>
          <w:highlight w:val="none"/>
        </w:rPr>
        <w:t>3</w:t>
      </w:r>
      <w:r>
        <w:rPr>
          <w:rFonts w:hint="eastAsia"/>
          <w:i w:val="0"/>
          <w:iCs w:val="0"/>
          <w:color w:val="auto"/>
          <w:szCs w:val="24"/>
          <w:highlight w:val="none"/>
        </w:rPr>
        <w:t>项声明，必须如实选择，选中项用</w:t>
      </w:r>
      <w:r>
        <w:rPr>
          <w:rFonts w:hint="eastAsia"/>
          <w:i w:val="0"/>
          <w:iCs w:val="0"/>
          <w:color w:val="auto"/>
          <w:szCs w:val="24"/>
          <w:highlight w:val="none"/>
          <w:lang w:eastAsia="zh-CN"/>
        </w:rPr>
        <w:t>☑</w:t>
      </w:r>
      <w:r>
        <w:rPr>
          <w:rFonts w:hint="eastAsia"/>
          <w:i w:val="0"/>
          <w:iCs w:val="0"/>
          <w:color w:val="auto"/>
          <w:szCs w:val="24"/>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39FB4D88">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4）我方在本</w:t>
      </w:r>
      <w:r>
        <w:rPr>
          <w:rFonts w:hint="eastAsia"/>
          <w:i w:val="0"/>
          <w:iCs w:val="0"/>
          <w:color w:val="auto"/>
          <w:szCs w:val="24"/>
          <w:highlight w:val="none"/>
          <w:lang w:val="en-US" w:eastAsia="zh-CN"/>
        </w:rPr>
        <w:t>响应</w:t>
      </w:r>
      <w:r>
        <w:rPr>
          <w:rFonts w:hint="eastAsia"/>
          <w:i w:val="0"/>
          <w:iCs w:val="0"/>
          <w:color w:val="auto"/>
          <w:szCs w:val="24"/>
          <w:highlight w:val="none"/>
        </w:rPr>
        <w:t>文件中所提供的全部资料均真实有效，我方承诺对其真实性负责并承担相应后果。</w:t>
      </w:r>
    </w:p>
    <w:p w14:paraId="66BD2669">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5）我方承诺本《</w:t>
      </w:r>
      <w:r>
        <w:rPr>
          <w:rFonts w:hint="eastAsia"/>
          <w:i w:val="0"/>
          <w:iCs w:val="0"/>
          <w:color w:val="auto"/>
          <w:szCs w:val="24"/>
          <w:highlight w:val="none"/>
          <w:lang w:val="en-US" w:eastAsia="zh-CN"/>
        </w:rPr>
        <w:t>响应</w:t>
      </w:r>
      <w:r>
        <w:rPr>
          <w:rFonts w:hint="eastAsia"/>
          <w:i w:val="0"/>
          <w:iCs w:val="0"/>
          <w:color w:val="auto"/>
          <w:szCs w:val="24"/>
          <w:highlight w:val="none"/>
        </w:rPr>
        <w:t>函》的签章对本</w:t>
      </w:r>
      <w:r>
        <w:rPr>
          <w:rFonts w:hint="eastAsia"/>
          <w:i w:val="0"/>
          <w:iCs w:val="0"/>
          <w:color w:val="auto"/>
          <w:szCs w:val="24"/>
          <w:highlight w:val="none"/>
          <w:lang w:val="en-US" w:eastAsia="zh-CN"/>
        </w:rPr>
        <w:t>响应</w:t>
      </w:r>
      <w:r>
        <w:rPr>
          <w:rFonts w:hint="eastAsia"/>
          <w:i w:val="0"/>
          <w:iCs w:val="0"/>
          <w:color w:val="auto"/>
          <w:szCs w:val="24"/>
          <w:highlight w:val="none"/>
        </w:rPr>
        <w:t>文件全部内容具有约束力并承担法律责任。</w:t>
      </w:r>
    </w:p>
    <w:p w14:paraId="69B33D81">
      <w:pPr>
        <w:spacing w:line="300" w:lineRule="auto"/>
        <w:rPr>
          <w:rFonts w:cs="Arial"/>
          <w:i w:val="0"/>
          <w:iCs w:val="0"/>
          <w:color w:val="auto"/>
          <w:szCs w:val="24"/>
          <w:highlight w:val="none"/>
        </w:rPr>
      </w:pPr>
    </w:p>
    <w:p w14:paraId="38DEF31B">
      <w:pPr>
        <w:spacing w:line="300" w:lineRule="auto"/>
        <w:rPr>
          <w:rFonts w:cs="Arial"/>
          <w:i w:val="0"/>
          <w:iCs w:val="0"/>
          <w:color w:val="auto"/>
          <w:szCs w:val="24"/>
          <w:highlight w:val="none"/>
        </w:rPr>
      </w:pPr>
    </w:p>
    <w:p w14:paraId="46ADC740">
      <w:pPr>
        <w:spacing w:line="300" w:lineRule="auto"/>
        <w:rPr>
          <w:rFonts w:cs="Arial"/>
          <w:i w:val="0"/>
          <w:iCs w:val="0"/>
          <w:color w:val="auto"/>
          <w:szCs w:val="24"/>
          <w:highlight w:val="none"/>
        </w:rPr>
      </w:pPr>
    </w:p>
    <w:p w14:paraId="30FDD195">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lang w:val="en-US" w:eastAsia="zh-CN"/>
        </w:rPr>
        <w:t>供应商名称</w:t>
      </w:r>
      <w:r>
        <w:rPr>
          <w:rFonts w:hint="eastAsia" w:cs="宋体"/>
          <w:i w:val="0"/>
          <w:iCs w:val="0"/>
          <w:color w:val="auto"/>
          <w:highlight w:val="none"/>
        </w:rPr>
        <w:t>（公章）：</w:t>
      </w:r>
    </w:p>
    <w:p w14:paraId="69179394">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rPr>
        <w:t>通  讯  地  址：</w:t>
      </w:r>
    </w:p>
    <w:p w14:paraId="70208DB0">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rPr>
        <w:t xml:space="preserve">传       </w:t>
      </w:r>
      <w:r>
        <w:rPr>
          <w:rFonts w:cs="宋体"/>
          <w:i w:val="0"/>
          <w:iCs w:val="0"/>
          <w:color w:val="auto"/>
          <w:highlight w:val="none"/>
        </w:rPr>
        <w:t xml:space="preserve">   </w:t>
      </w:r>
      <w:r>
        <w:rPr>
          <w:rFonts w:hint="eastAsia" w:cs="宋体"/>
          <w:i w:val="0"/>
          <w:iCs w:val="0"/>
          <w:color w:val="auto"/>
          <w:highlight w:val="none"/>
        </w:rPr>
        <w:t>真：</w:t>
      </w:r>
    </w:p>
    <w:p w14:paraId="370A491E">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rPr>
        <w:t>电          话：</w:t>
      </w:r>
    </w:p>
    <w:p w14:paraId="6FA71EBC">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rPr>
        <w:t xml:space="preserve">授 </w:t>
      </w:r>
      <w:r>
        <w:rPr>
          <w:rFonts w:cs="宋体"/>
          <w:i w:val="0"/>
          <w:iCs w:val="0"/>
          <w:color w:val="auto"/>
          <w:highlight w:val="none"/>
        </w:rPr>
        <w:t xml:space="preserve"> </w:t>
      </w:r>
      <w:r>
        <w:rPr>
          <w:rFonts w:hint="eastAsia" w:cs="宋体"/>
          <w:i w:val="0"/>
          <w:iCs w:val="0"/>
          <w:color w:val="auto"/>
          <w:highlight w:val="none"/>
        </w:rPr>
        <w:t xml:space="preserve">权 </w:t>
      </w:r>
      <w:r>
        <w:rPr>
          <w:rFonts w:cs="宋体"/>
          <w:i w:val="0"/>
          <w:iCs w:val="0"/>
          <w:color w:val="auto"/>
          <w:highlight w:val="none"/>
        </w:rPr>
        <w:t xml:space="preserve"> </w:t>
      </w:r>
      <w:r>
        <w:rPr>
          <w:rFonts w:hint="eastAsia" w:cs="宋体"/>
          <w:i w:val="0"/>
          <w:iCs w:val="0"/>
          <w:color w:val="auto"/>
          <w:highlight w:val="none"/>
        </w:rPr>
        <w:t xml:space="preserve">代 </w:t>
      </w:r>
      <w:r>
        <w:rPr>
          <w:rFonts w:cs="宋体"/>
          <w:i w:val="0"/>
          <w:iCs w:val="0"/>
          <w:color w:val="auto"/>
          <w:highlight w:val="none"/>
        </w:rPr>
        <w:t xml:space="preserve"> </w:t>
      </w:r>
      <w:r>
        <w:rPr>
          <w:rFonts w:hint="eastAsia" w:cs="宋体"/>
          <w:i w:val="0"/>
          <w:iCs w:val="0"/>
          <w:color w:val="auto"/>
          <w:highlight w:val="none"/>
        </w:rPr>
        <w:t>表：</w:t>
      </w:r>
    </w:p>
    <w:p w14:paraId="740D6B1B">
      <w:pPr>
        <w:ind w:firstLine="480" w:firstLineChars="200"/>
        <w:rPr>
          <w:rFonts w:cs="Arial"/>
          <w:i w:val="0"/>
          <w:iCs w:val="0"/>
          <w:color w:val="auto"/>
          <w:szCs w:val="24"/>
          <w:highlight w:val="none"/>
        </w:rPr>
      </w:pPr>
      <w:r>
        <w:rPr>
          <w:rFonts w:hint="eastAsia" w:cs="宋体"/>
          <w:i w:val="0"/>
          <w:iCs w:val="0"/>
          <w:color w:val="auto"/>
          <w:highlight w:val="none"/>
        </w:rPr>
        <w:t xml:space="preserve">日    </w:t>
      </w:r>
      <w:r>
        <w:rPr>
          <w:rFonts w:cs="宋体"/>
          <w:i w:val="0"/>
          <w:iCs w:val="0"/>
          <w:color w:val="auto"/>
          <w:highlight w:val="none"/>
        </w:rPr>
        <w:t xml:space="preserve">  </w:t>
      </w:r>
      <w:r>
        <w:rPr>
          <w:rFonts w:hint="eastAsia" w:cs="宋体"/>
          <w:i w:val="0"/>
          <w:iCs w:val="0"/>
          <w:color w:val="auto"/>
          <w:highlight w:val="none"/>
        </w:rPr>
        <w:t xml:space="preserve">    期：</w:t>
      </w:r>
    </w:p>
    <w:p w14:paraId="2B128334">
      <w:pPr>
        <w:rPr>
          <w:rFonts w:cs="Arial"/>
          <w:i w:val="0"/>
          <w:iCs w:val="0"/>
          <w:color w:val="auto"/>
          <w:szCs w:val="24"/>
          <w:highlight w:val="none"/>
          <w:u w:val="single"/>
        </w:rPr>
      </w:pPr>
    </w:p>
    <w:p w14:paraId="5874E14C">
      <w:pPr>
        <w:rPr>
          <w:rFonts w:cs="Arial"/>
          <w:i w:val="0"/>
          <w:iCs w:val="0"/>
          <w:color w:val="auto"/>
          <w:szCs w:val="24"/>
          <w:highlight w:val="none"/>
          <w:u w:val="single"/>
        </w:rPr>
      </w:pPr>
      <w:r>
        <w:rPr>
          <w:rFonts w:cs="Arial"/>
          <w:i w:val="0"/>
          <w:iCs w:val="0"/>
          <w:color w:val="auto"/>
          <w:szCs w:val="24"/>
          <w:highlight w:val="none"/>
          <w:u w:val="single"/>
        </w:rPr>
        <w:br w:type="page"/>
      </w:r>
    </w:p>
    <w:p w14:paraId="5381021B">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540" w:name="_Toc155185924"/>
      <w:bookmarkStart w:id="541" w:name="_Toc2702"/>
      <w:r>
        <w:rPr>
          <w:rFonts w:hint="eastAsia" w:cstheme="majorBidi"/>
          <w:b/>
          <w:bCs/>
          <w:i w:val="0"/>
          <w:iCs w:val="0"/>
          <w:color w:val="auto"/>
          <w:kern w:val="2"/>
          <w:sz w:val="32"/>
          <w:szCs w:val="32"/>
          <w:highlight w:val="none"/>
          <w:lang w:val="en-US" w:eastAsia="zh-CN" w:bidi="ar-SA"/>
        </w:rPr>
        <w:t>二</w:t>
      </w:r>
      <w:r>
        <w:rPr>
          <w:rFonts w:hint="eastAsia" w:eastAsia="宋体" w:asciiTheme="majorHAnsi" w:hAnsiTheme="majorHAnsi" w:cstheme="majorBidi"/>
          <w:b/>
          <w:bCs/>
          <w:i w:val="0"/>
          <w:iCs w:val="0"/>
          <w:color w:val="auto"/>
          <w:kern w:val="2"/>
          <w:sz w:val="32"/>
          <w:szCs w:val="32"/>
          <w:highlight w:val="none"/>
          <w:lang w:val="en-US" w:eastAsia="zh-CN" w:bidi="ar-SA"/>
        </w:rPr>
        <w:t>、法定代表人（单位负责人）身份证明</w:t>
      </w:r>
      <w:bookmarkEnd w:id="540"/>
      <w:bookmarkEnd w:id="541"/>
    </w:p>
    <w:p w14:paraId="5000386B">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致：（采购人或采购代理机构） </w:t>
      </w:r>
    </w:p>
    <w:p w14:paraId="6399A3BD">
      <w:pPr>
        <w:spacing w:line="480" w:lineRule="auto"/>
        <w:ind w:firstLine="960" w:firstLineChars="4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兹证明， </w:t>
      </w:r>
    </w:p>
    <w:p w14:paraId="241909DD">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姓名：____性别：____年龄：____职务：____ </w:t>
      </w:r>
    </w:p>
    <w:p w14:paraId="475EA09D">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系 </w:t>
      </w:r>
      <w:r>
        <w:rPr>
          <w:rFonts w:hint="eastAsia" w:cs="仿宋_GB2312"/>
          <w:i w:val="0"/>
          <w:iCs w:val="0"/>
          <w:color w:val="auto"/>
          <w:szCs w:val="24"/>
          <w:highlight w:val="none"/>
          <w:u w:val="single"/>
          <w:lang w:val="en-US" w:eastAsia="zh-CN"/>
        </w:rPr>
        <w:t xml:space="preserve">            </w:t>
      </w:r>
      <w:r>
        <w:rPr>
          <w:rFonts w:hint="eastAsia" w:cs="仿宋_GB2312"/>
          <w:i w:val="0"/>
          <w:iCs w:val="0"/>
          <w:color w:val="auto"/>
          <w:szCs w:val="24"/>
          <w:highlight w:val="none"/>
          <w:lang w:val="en-US" w:eastAsia="zh-CN"/>
        </w:rPr>
        <w:t xml:space="preserve">（供应商名称）的法定代表人（单位负责人）。 </w:t>
      </w:r>
    </w:p>
    <w:p w14:paraId="5C17EB90">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附：法定代表人（单位负责人）身份证、护照等身份证明文件电子件： </w:t>
      </w:r>
    </w:p>
    <w:p w14:paraId="3A210084">
      <w:pPr>
        <w:spacing w:line="480" w:lineRule="auto"/>
        <w:ind w:firstLine="480" w:firstLineChars="200"/>
        <w:rPr>
          <w:rFonts w:cs="仿宋_GB2312"/>
          <w:i w:val="0"/>
          <w:iCs w:val="0"/>
          <w:color w:val="auto"/>
          <w:szCs w:val="24"/>
          <w:highlight w:val="none"/>
        </w:rPr>
      </w:pPr>
    </w:p>
    <w:p w14:paraId="18B700C9">
      <w:pPr>
        <w:rPr>
          <w:rFonts w:cs="Arial"/>
          <w:i w:val="0"/>
          <w:iCs w:val="0"/>
          <w:color w:val="auto"/>
          <w:sz w:val="21"/>
          <w:szCs w:val="21"/>
          <w:highlight w:val="none"/>
        </w:rPr>
      </w:pPr>
    </w:p>
    <w:tbl>
      <w:tblPr>
        <w:tblStyle w:val="32"/>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3A1CF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77A3E3D7">
            <w:pPr>
              <w:rPr>
                <w:rFonts w:cs="Arial"/>
                <w:i w:val="0"/>
                <w:iCs w:val="0"/>
                <w:color w:val="auto"/>
                <w:highlight w:val="none"/>
              </w:rPr>
            </w:pPr>
          </w:p>
        </w:tc>
      </w:tr>
    </w:tbl>
    <w:p w14:paraId="370F0118">
      <w:pPr>
        <w:ind w:firstLine="840" w:firstLineChars="350"/>
        <w:jc w:val="center"/>
        <w:rPr>
          <w:rFonts w:cs="Arial"/>
          <w:i w:val="0"/>
          <w:iCs w:val="0"/>
          <w:color w:val="auto"/>
          <w:highlight w:val="none"/>
        </w:rPr>
      </w:pPr>
    </w:p>
    <w:p w14:paraId="4CE93E41">
      <w:pPr>
        <w:keepNext w:val="0"/>
        <w:keepLines w:val="0"/>
        <w:widowControl/>
        <w:suppressLineNumbers w:val="0"/>
        <w:jc w:val="left"/>
        <w:rPr>
          <w:i w:val="0"/>
          <w:iCs w:val="0"/>
          <w:color w:val="auto"/>
          <w:highlight w:val="none"/>
        </w:rPr>
      </w:pPr>
      <w:r>
        <w:rPr>
          <w:rFonts w:hint="eastAsia" w:cs="宋体"/>
          <w:i w:val="0"/>
          <w:iCs w:val="0"/>
          <w:color w:val="auto"/>
          <w:kern w:val="0"/>
          <w:sz w:val="24"/>
          <w:szCs w:val="24"/>
          <w:highlight w:val="none"/>
          <w:lang w:val="en-US" w:eastAsia="zh-CN" w:bidi="ar"/>
        </w:rPr>
        <w:t>供应商</w:t>
      </w:r>
      <w:r>
        <w:rPr>
          <w:rFonts w:hint="eastAsia" w:ascii="宋体" w:hAnsi="宋体" w:eastAsia="宋体" w:cs="宋体"/>
          <w:i w:val="0"/>
          <w:iCs w:val="0"/>
          <w:color w:val="auto"/>
          <w:kern w:val="0"/>
          <w:sz w:val="24"/>
          <w:szCs w:val="24"/>
          <w:highlight w:val="none"/>
          <w:lang w:val="en-US" w:eastAsia="zh-CN" w:bidi="ar"/>
        </w:rPr>
        <w:t>名称（加盖公章）：</w:t>
      </w:r>
      <w:r>
        <w:rPr>
          <w:rFonts w:ascii="DejaVuSans" w:hAnsi="DejaVuSans" w:eastAsia="DejaVuSans" w:cs="DejaVuSans"/>
          <w:i w:val="0"/>
          <w:iCs w:val="0"/>
          <w:color w:val="auto"/>
          <w:kern w:val="0"/>
          <w:sz w:val="24"/>
          <w:szCs w:val="24"/>
          <w:highlight w:val="none"/>
          <w:lang w:val="en-US" w:eastAsia="zh-CN" w:bidi="ar"/>
        </w:rPr>
        <w:t xml:space="preserve">________________ </w:t>
      </w:r>
    </w:p>
    <w:p w14:paraId="3A2D510E">
      <w:pPr>
        <w:keepNext w:val="0"/>
        <w:keepLines w:val="0"/>
        <w:widowControl/>
        <w:suppressLineNumbers w:val="0"/>
        <w:jc w:val="left"/>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法定代表人（单位负责人）（签字或签章）：</w:t>
      </w:r>
      <w:r>
        <w:rPr>
          <w:rFonts w:hint="default" w:ascii="DejaVuSans" w:hAnsi="DejaVuSans" w:eastAsia="DejaVuSans" w:cs="DejaVuSans"/>
          <w:i w:val="0"/>
          <w:iCs w:val="0"/>
          <w:color w:val="auto"/>
          <w:kern w:val="0"/>
          <w:sz w:val="24"/>
          <w:szCs w:val="24"/>
          <w:highlight w:val="none"/>
          <w:lang w:val="en-US" w:eastAsia="zh-CN" w:bidi="ar"/>
        </w:rPr>
        <w:t xml:space="preserve">_______ </w:t>
      </w:r>
    </w:p>
    <w:p w14:paraId="6CB2105C">
      <w:pPr>
        <w:keepNext w:val="0"/>
        <w:keepLines w:val="0"/>
        <w:widowControl/>
        <w:suppressLineNumbers w:val="0"/>
        <w:jc w:val="left"/>
        <w:rPr>
          <w:rFonts w:hint="eastAsia" w:ascii="宋体" w:hAnsi="宋体" w:eastAsia="宋体" w:cs="宋体"/>
          <w:i w:val="0"/>
          <w:iCs w:val="0"/>
          <w:color w:val="auto"/>
          <w:kern w:val="0"/>
          <w:sz w:val="24"/>
          <w:szCs w:val="24"/>
          <w:highlight w:val="none"/>
          <w:lang w:val="en-US" w:eastAsia="zh-CN" w:bidi="ar"/>
        </w:rPr>
      </w:pPr>
    </w:p>
    <w:p w14:paraId="5509EFD3">
      <w:pPr>
        <w:keepNext w:val="0"/>
        <w:keepLines w:val="0"/>
        <w:widowControl/>
        <w:suppressLineNumbers w:val="0"/>
        <w:jc w:val="left"/>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日期：</w:t>
      </w:r>
      <w:r>
        <w:rPr>
          <w:rFonts w:hint="default" w:ascii="DejaVuSans" w:hAnsi="DejaVuSans" w:eastAsia="DejaVuSans" w:cs="DejaVuSans"/>
          <w:i w:val="0"/>
          <w:iCs w:val="0"/>
          <w:color w:val="auto"/>
          <w:kern w:val="0"/>
          <w:sz w:val="24"/>
          <w:szCs w:val="24"/>
          <w:highlight w:val="none"/>
          <w:lang w:val="en-US" w:eastAsia="zh-CN" w:bidi="ar"/>
        </w:rPr>
        <w:t>_____</w:t>
      </w:r>
      <w:r>
        <w:rPr>
          <w:rFonts w:hint="eastAsia" w:ascii="宋体" w:hAnsi="宋体" w:eastAsia="宋体" w:cs="宋体"/>
          <w:i w:val="0"/>
          <w:iCs w:val="0"/>
          <w:color w:val="auto"/>
          <w:kern w:val="0"/>
          <w:sz w:val="24"/>
          <w:szCs w:val="24"/>
          <w:highlight w:val="none"/>
          <w:lang w:val="en-US" w:eastAsia="zh-CN" w:bidi="ar"/>
        </w:rPr>
        <w:t>年</w:t>
      </w:r>
      <w:r>
        <w:rPr>
          <w:rFonts w:hint="default" w:ascii="DejaVuSans" w:hAnsi="DejaVuSans" w:eastAsia="DejaVuSans" w:cs="DejaVuSans"/>
          <w:i w:val="0"/>
          <w:iCs w:val="0"/>
          <w:color w:val="auto"/>
          <w:kern w:val="0"/>
          <w:sz w:val="24"/>
          <w:szCs w:val="24"/>
          <w:highlight w:val="none"/>
          <w:lang w:val="en-US" w:eastAsia="zh-CN" w:bidi="ar"/>
        </w:rPr>
        <w:t>______</w:t>
      </w:r>
      <w:r>
        <w:rPr>
          <w:rFonts w:hint="eastAsia" w:ascii="宋体" w:hAnsi="宋体" w:eastAsia="宋体" w:cs="宋体"/>
          <w:i w:val="0"/>
          <w:iCs w:val="0"/>
          <w:color w:val="auto"/>
          <w:kern w:val="0"/>
          <w:sz w:val="24"/>
          <w:szCs w:val="24"/>
          <w:highlight w:val="none"/>
          <w:lang w:val="en-US" w:eastAsia="zh-CN" w:bidi="ar"/>
        </w:rPr>
        <w:t>月</w:t>
      </w:r>
      <w:r>
        <w:rPr>
          <w:rFonts w:hint="default" w:ascii="DejaVuSans" w:hAnsi="DejaVuSans" w:eastAsia="DejaVuSans" w:cs="DejaVuSans"/>
          <w:i w:val="0"/>
          <w:iCs w:val="0"/>
          <w:color w:val="auto"/>
          <w:kern w:val="0"/>
          <w:sz w:val="24"/>
          <w:szCs w:val="24"/>
          <w:highlight w:val="none"/>
          <w:lang w:val="en-US" w:eastAsia="zh-CN" w:bidi="ar"/>
        </w:rPr>
        <w:t>______</w:t>
      </w:r>
      <w:r>
        <w:rPr>
          <w:rFonts w:hint="eastAsia" w:ascii="宋体" w:hAnsi="宋体" w:eastAsia="宋体" w:cs="宋体"/>
          <w:i w:val="0"/>
          <w:iCs w:val="0"/>
          <w:color w:val="auto"/>
          <w:kern w:val="0"/>
          <w:sz w:val="24"/>
          <w:szCs w:val="24"/>
          <w:highlight w:val="none"/>
          <w:lang w:val="en-US" w:eastAsia="zh-CN" w:bidi="ar"/>
        </w:rPr>
        <w:t>日</w:t>
      </w:r>
    </w:p>
    <w:p w14:paraId="654CD640">
      <w:pPr>
        <w:rPr>
          <w:b/>
          <w:i w:val="0"/>
          <w:iCs w:val="0"/>
          <w:color w:val="auto"/>
          <w:sz w:val="28"/>
          <w:szCs w:val="28"/>
          <w:highlight w:val="none"/>
        </w:rPr>
      </w:pPr>
    </w:p>
    <w:p w14:paraId="7AC99E7A">
      <w:pPr>
        <w:rPr>
          <w:b/>
          <w:i w:val="0"/>
          <w:iCs w:val="0"/>
          <w:color w:val="auto"/>
          <w:sz w:val="28"/>
          <w:szCs w:val="28"/>
          <w:highlight w:val="none"/>
        </w:rPr>
      </w:pPr>
      <w:r>
        <w:rPr>
          <w:b/>
          <w:i w:val="0"/>
          <w:iCs w:val="0"/>
          <w:color w:val="auto"/>
          <w:sz w:val="28"/>
          <w:szCs w:val="28"/>
          <w:highlight w:val="none"/>
        </w:rPr>
        <w:br w:type="page"/>
      </w:r>
    </w:p>
    <w:p w14:paraId="2EABAED8">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542" w:name="_Toc18159"/>
      <w:bookmarkStart w:id="543" w:name="_Toc155185925"/>
      <w:r>
        <w:rPr>
          <w:rFonts w:hint="eastAsia" w:cstheme="majorBidi"/>
          <w:b/>
          <w:bCs/>
          <w:i w:val="0"/>
          <w:iCs w:val="0"/>
          <w:color w:val="auto"/>
          <w:kern w:val="2"/>
          <w:sz w:val="32"/>
          <w:szCs w:val="32"/>
          <w:highlight w:val="none"/>
          <w:lang w:val="en-US" w:eastAsia="zh-CN" w:bidi="ar-SA"/>
        </w:rPr>
        <w:t>三</w:t>
      </w:r>
      <w:r>
        <w:rPr>
          <w:rFonts w:hint="eastAsia" w:eastAsia="宋体" w:asciiTheme="majorHAnsi" w:hAnsiTheme="majorHAnsi" w:cstheme="majorBidi"/>
          <w:b/>
          <w:bCs/>
          <w:i w:val="0"/>
          <w:iCs w:val="0"/>
          <w:color w:val="auto"/>
          <w:kern w:val="2"/>
          <w:sz w:val="32"/>
          <w:szCs w:val="32"/>
          <w:highlight w:val="none"/>
          <w:lang w:val="en-US" w:eastAsia="zh-CN" w:bidi="ar-SA"/>
        </w:rPr>
        <w:t>、授权委托书</w:t>
      </w:r>
      <w:bookmarkEnd w:id="542"/>
      <w:bookmarkEnd w:id="543"/>
    </w:p>
    <w:p w14:paraId="00E94C9B">
      <w:pPr>
        <w:ind w:firstLine="480" w:firstLineChars="200"/>
        <w:rPr>
          <w:rFonts w:cs="仿宋_GB2312"/>
          <w:i w:val="0"/>
          <w:iCs w:val="0"/>
          <w:color w:val="auto"/>
          <w:szCs w:val="24"/>
          <w:highlight w:val="none"/>
        </w:rPr>
      </w:pPr>
      <w:r>
        <w:rPr>
          <w:rFonts w:hint="eastAsia" w:cs="仿宋_GB2312"/>
          <w:i w:val="0"/>
          <w:iCs w:val="0"/>
          <w:color w:val="auto"/>
          <w:szCs w:val="24"/>
          <w:highlight w:val="none"/>
        </w:rPr>
        <w:t>本人</w:t>
      </w:r>
      <w:r>
        <w:rPr>
          <w:rFonts w:cs="仿宋_GB2312"/>
          <w:i w:val="0"/>
          <w:iCs w:val="0"/>
          <w:color w:val="auto"/>
          <w:szCs w:val="24"/>
          <w:highlight w:val="none"/>
          <w:u w:val="single"/>
        </w:rPr>
        <w:t xml:space="preserve">     </w:t>
      </w:r>
      <w:r>
        <w:rPr>
          <w:rFonts w:hint="eastAsia" w:cs="仿宋_GB2312"/>
          <w:i w:val="0"/>
          <w:iCs w:val="0"/>
          <w:color w:val="auto"/>
          <w:szCs w:val="24"/>
          <w:highlight w:val="none"/>
          <w:u w:val="none"/>
        </w:rPr>
        <w:t>（姓名）</w:t>
      </w:r>
      <w:r>
        <w:rPr>
          <w:rFonts w:hint="eastAsia" w:cs="仿宋_GB2312"/>
          <w:i w:val="0"/>
          <w:iCs w:val="0"/>
          <w:color w:val="auto"/>
          <w:szCs w:val="24"/>
          <w:highlight w:val="none"/>
        </w:rPr>
        <w:t>系</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u w:val="single"/>
          <w:lang w:val="en-US" w:eastAsia="zh-CN"/>
        </w:rPr>
        <w:t xml:space="preserve">     </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u w:val="none"/>
        </w:rPr>
        <w:t>（</w:t>
      </w:r>
      <w:r>
        <w:rPr>
          <w:rFonts w:hint="eastAsia" w:cs="仿宋_GB2312"/>
          <w:i w:val="0"/>
          <w:iCs w:val="0"/>
          <w:color w:val="auto"/>
          <w:szCs w:val="24"/>
          <w:highlight w:val="none"/>
          <w:u w:val="none"/>
          <w:lang w:val="en-US" w:eastAsia="zh-CN"/>
        </w:rPr>
        <w:t>供应商</w:t>
      </w:r>
      <w:r>
        <w:rPr>
          <w:rFonts w:hint="eastAsia" w:cs="仿宋_GB2312"/>
          <w:i w:val="0"/>
          <w:iCs w:val="0"/>
          <w:color w:val="auto"/>
          <w:szCs w:val="24"/>
          <w:highlight w:val="none"/>
          <w:u w:val="none"/>
        </w:rPr>
        <w:t>名称）</w:t>
      </w:r>
      <w:r>
        <w:rPr>
          <w:rFonts w:hint="eastAsia" w:cs="仿宋_GB2312"/>
          <w:i w:val="0"/>
          <w:iCs w:val="0"/>
          <w:color w:val="auto"/>
          <w:szCs w:val="24"/>
          <w:highlight w:val="none"/>
        </w:rPr>
        <w:t>的法定代表人</w:t>
      </w:r>
      <w:r>
        <w:rPr>
          <w:rFonts w:hint="eastAsia"/>
          <w:i w:val="0"/>
          <w:iCs w:val="0"/>
          <w:color w:val="auto"/>
          <w:highlight w:val="none"/>
        </w:rPr>
        <w:t>（</w:t>
      </w:r>
      <w:r>
        <w:rPr>
          <w:rFonts w:hint="eastAsia"/>
          <w:i w:val="0"/>
          <w:iCs w:val="0"/>
          <w:color w:val="auto"/>
          <w:highlight w:val="none"/>
          <w:lang w:val="en-US" w:eastAsia="zh-CN"/>
        </w:rPr>
        <w:t>单位</w:t>
      </w:r>
      <w:r>
        <w:rPr>
          <w:rFonts w:hint="eastAsia"/>
          <w:i w:val="0"/>
          <w:iCs w:val="0"/>
          <w:color w:val="auto"/>
          <w:highlight w:val="none"/>
        </w:rPr>
        <w:t>负责人）</w:t>
      </w:r>
      <w:r>
        <w:rPr>
          <w:rFonts w:hint="eastAsia" w:cs="仿宋_GB2312"/>
          <w:i w:val="0"/>
          <w:iCs w:val="0"/>
          <w:color w:val="auto"/>
          <w:szCs w:val="24"/>
          <w:highlight w:val="none"/>
        </w:rPr>
        <w:t>，现委托</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rPr>
        <w:t>（姓名）为我方代理人。代理人根据授权，以我方名义签署、澄清</w:t>
      </w:r>
      <w:r>
        <w:rPr>
          <w:rFonts w:hint="eastAsia" w:cs="仿宋_GB2312"/>
          <w:i w:val="0"/>
          <w:iCs w:val="0"/>
          <w:color w:val="auto"/>
          <w:szCs w:val="24"/>
          <w:highlight w:val="none"/>
          <w:lang w:val="en-US" w:eastAsia="zh-CN"/>
        </w:rPr>
        <w:t>确认</w:t>
      </w:r>
      <w:r>
        <w:rPr>
          <w:rFonts w:hint="eastAsia" w:cs="仿宋_GB2312"/>
          <w:i w:val="0"/>
          <w:iCs w:val="0"/>
          <w:color w:val="auto"/>
          <w:szCs w:val="24"/>
          <w:highlight w:val="none"/>
        </w:rPr>
        <w:t>、说明、补正、递交、撤回、修改</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u w:val="single"/>
          <w:lang w:val="en-US" w:eastAsia="zh-CN"/>
        </w:rPr>
        <w:t xml:space="preserve">      </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rPr>
        <w:t>（项目名称）</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rPr>
        <w:t>文件、签订合同和处理有关事宜，其法律后果由我方承担。</w:t>
      </w:r>
    </w:p>
    <w:p w14:paraId="69CD80F9">
      <w:pPr>
        <w:ind w:firstLine="480" w:firstLineChars="200"/>
        <w:rPr>
          <w:rFonts w:hint="eastAsia" w:cs="仿宋_GB2312"/>
          <w:i w:val="0"/>
          <w:iCs w:val="0"/>
          <w:color w:val="auto"/>
          <w:szCs w:val="24"/>
          <w:highlight w:val="none"/>
        </w:rPr>
      </w:pPr>
      <w:r>
        <w:rPr>
          <w:rFonts w:hint="eastAsia" w:cs="仿宋_GB2312"/>
          <w:i w:val="0"/>
          <w:iCs w:val="0"/>
          <w:color w:val="auto"/>
          <w:szCs w:val="24"/>
          <w:highlight w:val="none"/>
        </w:rPr>
        <w:t>委托期限：</w:t>
      </w:r>
      <w:r>
        <w:rPr>
          <w:rFonts w:hint="eastAsia" w:cs="仿宋_GB2312"/>
          <w:i w:val="0"/>
          <w:iCs w:val="0"/>
          <w:color w:val="auto"/>
          <w:szCs w:val="24"/>
          <w:highlight w:val="none"/>
          <w:lang w:val="en-US" w:eastAsia="zh-CN"/>
        </w:rPr>
        <w:t>自本授权委托书签署之日起至响应文件有效期届满之日止。</w:t>
      </w:r>
    </w:p>
    <w:p w14:paraId="4441C912">
      <w:pPr>
        <w:ind w:firstLine="480" w:firstLineChars="200"/>
        <w:rPr>
          <w:rFonts w:cs="仿宋_GB2312"/>
          <w:i w:val="0"/>
          <w:iCs w:val="0"/>
          <w:color w:val="auto"/>
          <w:szCs w:val="24"/>
          <w:highlight w:val="none"/>
        </w:rPr>
      </w:pPr>
      <w:r>
        <w:rPr>
          <w:rFonts w:hint="eastAsia" w:cs="仿宋_GB2312"/>
          <w:i w:val="0"/>
          <w:iCs w:val="0"/>
          <w:color w:val="auto"/>
          <w:szCs w:val="24"/>
          <w:highlight w:val="none"/>
        </w:rPr>
        <w:t>代理人无转委托权。</w:t>
      </w:r>
    </w:p>
    <w:p w14:paraId="7A64AABA">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i w:val="0"/>
          <w:iCs w:val="0"/>
          <w:color w:val="auto"/>
          <w:szCs w:val="24"/>
          <w:highlight w:val="none"/>
        </w:rPr>
      </w:pPr>
    </w:p>
    <w:p w14:paraId="5E737C31">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cs="宋体"/>
          <w:i w:val="0"/>
          <w:iCs w:val="0"/>
          <w:color w:val="auto"/>
          <w:kern w:val="0"/>
          <w:sz w:val="24"/>
          <w:szCs w:val="24"/>
          <w:highlight w:val="none"/>
          <w:lang w:val="en-US" w:eastAsia="zh-CN" w:bidi="ar"/>
        </w:rPr>
        <w:t>供应商</w:t>
      </w:r>
      <w:r>
        <w:rPr>
          <w:rFonts w:hint="eastAsia" w:ascii="宋体" w:hAnsi="宋体" w:eastAsia="宋体" w:cs="宋体"/>
          <w:i w:val="0"/>
          <w:iCs w:val="0"/>
          <w:color w:val="auto"/>
          <w:kern w:val="0"/>
          <w:sz w:val="24"/>
          <w:szCs w:val="24"/>
          <w:highlight w:val="none"/>
          <w:lang w:val="en-US" w:eastAsia="zh-CN" w:bidi="ar"/>
        </w:rPr>
        <w:t>名称（加盖公章）：</w:t>
      </w:r>
      <w:r>
        <w:rPr>
          <w:rFonts w:ascii="DejaVuSans" w:hAnsi="DejaVuSans" w:eastAsia="DejaVuSans" w:cs="DejaVuSans"/>
          <w:i w:val="0"/>
          <w:iCs w:val="0"/>
          <w:color w:val="auto"/>
          <w:kern w:val="0"/>
          <w:sz w:val="24"/>
          <w:szCs w:val="24"/>
          <w:highlight w:val="none"/>
          <w:lang w:val="en-US" w:eastAsia="zh-CN" w:bidi="ar"/>
        </w:rPr>
        <w:t xml:space="preserve">________________ </w:t>
      </w:r>
    </w:p>
    <w:p w14:paraId="59A493BA">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法定代表人（单位负责人）（签字或签章）：</w:t>
      </w:r>
      <w:r>
        <w:rPr>
          <w:rFonts w:hint="default" w:ascii="DejaVuSans" w:hAnsi="DejaVuSans" w:eastAsia="DejaVuSans" w:cs="DejaVuSans"/>
          <w:i w:val="0"/>
          <w:iCs w:val="0"/>
          <w:color w:val="auto"/>
          <w:kern w:val="0"/>
          <w:sz w:val="24"/>
          <w:szCs w:val="24"/>
          <w:highlight w:val="none"/>
          <w:lang w:val="en-US" w:eastAsia="zh-CN" w:bidi="ar"/>
        </w:rPr>
        <w:t xml:space="preserve">________________ </w:t>
      </w:r>
    </w:p>
    <w:p w14:paraId="0816B75F">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i w:val="0"/>
          <w:iCs w:val="0"/>
          <w:color w:val="auto"/>
          <w:highlight w:val="none"/>
          <w:u w:val="single"/>
          <w:lang w:val="en-US"/>
        </w:rPr>
      </w:pPr>
      <w:r>
        <w:rPr>
          <w:rFonts w:hint="eastAsia" w:ascii="宋体" w:hAnsi="宋体" w:eastAsia="宋体" w:cs="宋体"/>
          <w:i w:val="0"/>
          <w:iCs w:val="0"/>
          <w:color w:val="auto"/>
          <w:kern w:val="0"/>
          <w:sz w:val="24"/>
          <w:szCs w:val="24"/>
          <w:highlight w:val="none"/>
          <w:lang w:val="en-US" w:eastAsia="zh-CN" w:bidi="ar"/>
        </w:rPr>
        <w:t>委托代理人（签字或签章）：</w:t>
      </w:r>
      <w:r>
        <w:rPr>
          <w:rFonts w:hint="default" w:ascii="DejaVuSans" w:hAnsi="DejaVuSans" w:eastAsia="DejaVuSans" w:cs="DejaVuSans"/>
          <w:i w:val="0"/>
          <w:iCs w:val="0"/>
          <w:color w:val="auto"/>
          <w:kern w:val="0"/>
          <w:sz w:val="24"/>
          <w:szCs w:val="24"/>
          <w:highlight w:val="none"/>
          <w:lang w:val="en-US" w:eastAsia="zh-CN" w:bidi="ar"/>
        </w:rPr>
        <w:t xml:space="preserve">________________ </w:t>
      </w:r>
      <w:r>
        <w:rPr>
          <w:rFonts w:hint="eastAsia" w:ascii="DejaVuSans" w:hAnsi="DejaVuSans" w:eastAsia="DejaVuSans" w:cs="DejaVuSans"/>
          <w:i w:val="0"/>
          <w:iCs w:val="0"/>
          <w:color w:val="auto"/>
          <w:kern w:val="0"/>
          <w:sz w:val="24"/>
          <w:szCs w:val="24"/>
          <w:highlight w:val="none"/>
          <w:lang w:val="en-US" w:eastAsia="zh-CN" w:bidi="ar"/>
        </w:rPr>
        <w:t xml:space="preserve">  联系电话：</w:t>
      </w:r>
      <w:r>
        <w:rPr>
          <w:rFonts w:hint="eastAsia" w:ascii="DejaVuSans" w:hAnsi="DejaVuSans" w:eastAsia="DejaVuSans" w:cs="DejaVuSans"/>
          <w:i w:val="0"/>
          <w:iCs w:val="0"/>
          <w:color w:val="auto"/>
          <w:kern w:val="0"/>
          <w:sz w:val="24"/>
          <w:szCs w:val="24"/>
          <w:highlight w:val="none"/>
          <w:u w:val="single"/>
          <w:lang w:val="en-US" w:eastAsia="zh-CN" w:bidi="ar"/>
        </w:rPr>
        <w:t xml:space="preserve">              </w:t>
      </w:r>
    </w:p>
    <w:p w14:paraId="1A840944">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日期：</w:t>
      </w:r>
      <w:r>
        <w:rPr>
          <w:rFonts w:hint="default" w:ascii="DejaVuSans" w:hAnsi="DejaVuSans" w:eastAsia="DejaVuSans" w:cs="DejaVuSans"/>
          <w:i w:val="0"/>
          <w:iCs w:val="0"/>
          <w:color w:val="auto"/>
          <w:kern w:val="0"/>
          <w:sz w:val="24"/>
          <w:szCs w:val="24"/>
          <w:highlight w:val="none"/>
          <w:lang w:val="en-US" w:eastAsia="zh-CN" w:bidi="ar"/>
        </w:rPr>
        <w:t>_____</w:t>
      </w:r>
      <w:r>
        <w:rPr>
          <w:rFonts w:hint="eastAsia" w:ascii="宋体" w:hAnsi="宋体" w:eastAsia="宋体" w:cs="宋体"/>
          <w:i w:val="0"/>
          <w:iCs w:val="0"/>
          <w:color w:val="auto"/>
          <w:kern w:val="0"/>
          <w:sz w:val="24"/>
          <w:szCs w:val="24"/>
          <w:highlight w:val="none"/>
          <w:lang w:val="en-US" w:eastAsia="zh-CN" w:bidi="ar"/>
        </w:rPr>
        <w:t>年</w:t>
      </w:r>
      <w:r>
        <w:rPr>
          <w:rFonts w:hint="default" w:ascii="DejaVuSans" w:hAnsi="DejaVuSans" w:eastAsia="DejaVuSans" w:cs="DejaVuSans"/>
          <w:i w:val="0"/>
          <w:iCs w:val="0"/>
          <w:color w:val="auto"/>
          <w:kern w:val="0"/>
          <w:sz w:val="24"/>
          <w:szCs w:val="24"/>
          <w:highlight w:val="none"/>
          <w:lang w:val="en-US" w:eastAsia="zh-CN" w:bidi="ar"/>
        </w:rPr>
        <w:t>______</w:t>
      </w:r>
      <w:r>
        <w:rPr>
          <w:rFonts w:hint="eastAsia" w:ascii="宋体" w:hAnsi="宋体" w:eastAsia="宋体" w:cs="宋体"/>
          <w:i w:val="0"/>
          <w:iCs w:val="0"/>
          <w:color w:val="auto"/>
          <w:kern w:val="0"/>
          <w:sz w:val="24"/>
          <w:szCs w:val="24"/>
          <w:highlight w:val="none"/>
          <w:lang w:val="en-US" w:eastAsia="zh-CN" w:bidi="ar"/>
        </w:rPr>
        <w:t>月</w:t>
      </w:r>
      <w:r>
        <w:rPr>
          <w:rFonts w:hint="default" w:ascii="DejaVuSans" w:hAnsi="DejaVuSans" w:eastAsia="DejaVuSans" w:cs="DejaVuSans"/>
          <w:i w:val="0"/>
          <w:iCs w:val="0"/>
          <w:color w:val="auto"/>
          <w:kern w:val="0"/>
          <w:sz w:val="24"/>
          <w:szCs w:val="24"/>
          <w:highlight w:val="none"/>
          <w:lang w:val="en-US" w:eastAsia="zh-CN" w:bidi="ar"/>
        </w:rPr>
        <w:t>______</w:t>
      </w:r>
      <w:r>
        <w:rPr>
          <w:rFonts w:hint="eastAsia" w:ascii="宋体" w:hAnsi="宋体" w:eastAsia="宋体" w:cs="宋体"/>
          <w:i w:val="0"/>
          <w:iCs w:val="0"/>
          <w:color w:val="auto"/>
          <w:kern w:val="0"/>
          <w:sz w:val="24"/>
          <w:szCs w:val="24"/>
          <w:highlight w:val="none"/>
          <w:lang w:val="en-US" w:eastAsia="zh-CN" w:bidi="ar"/>
        </w:rPr>
        <w:t xml:space="preserve">日 </w:t>
      </w:r>
    </w:p>
    <w:p w14:paraId="5C520333">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i w:val="0"/>
          <w:iCs w:val="0"/>
          <w:color w:val="auto"/>
          <w:szCs w:val="24"/>
          <w:highlight w:val="none"/>
          <w:lang w:val="en-US" w:eastAsia="zh-CN"/>
        </w:rPr>
      </w:pPr>
    </w:p>
    <w:p w14:paraId="0A8E92CC">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ascii="宋体" w:hAnsi="宋体" w:eastAsia="宋体" w:cs="宋体"/>
          <w:i w:val="0"/>
          <w:iCs w:val="0"/>
          <w:color w:val="auto"/>
          <w:kern w:val="0"/>
          <w:sz w:val="24"/>
          <w:szCs w:val="24"/>
          <w:highlight w:val="none"/>
          <w:lang w:val="en-US" w:eastAsia="zh-CN" w:bidi="ar"/>
        </w:rPr>
        <w:t xml:space="preserve">附：法定代表人及委托代理人身份证明文件电子件： </w:t>
      </w:r>
    </w:p>
    <w:tbl>
      <w:tblPr>
        <w:tblStyle w:val="32"/>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7729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2E76C34A">
            <w:pPr>
              <w:rPr>
                <w:rFonts w:cs="Arial"/>
                <w:i w:val="0"/>
                <w:iCs w:val="0"/>
                <w:color w:val="auto"/>
                <w:highlight w:val="none"/>
              </w:rPr>
            </w:pPr>
          </w:p>
        </w:tc>
      </w:tr>
    </w:tbl>
    <w:p w14:paraId="22C2EE5E">
      <w:pPr>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说明： </w:t>
      </w:r>
    </w:p>
    <w:p w14:paraId="69057E1F">
      <w:pPr>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1.若供应商为事业单位或其他组织或分支机构，则法定代表人（单位负责人）处的签署人可为单位负责人。 </w:t>
      </w:r>
    </w:p>
    <w:p w14:paraId="0B5E11DA">
      <w:pPr>
        <w:ind w:firstLine="480" w:firstLineChars="200"/>
        <w:rPr>
          <w:rFonts w:hint="eastAsia" w:cs="仿宋_GB2312"/>
          <w:i w:val="0"/>
          <w:iCs w:val="0"/>
          <w:color w:val="auto"/>
          <w:szCs w:val="24"/>
          <w:highlight w:val="none"/>
        </w:rPr>
      </w:pPr>
      <w:r>
        <w:rPr>
          <w:rFonts w:hint="default" w:cs="仿宋_GB2312"/>
          <w:i w:val="0"/>
          <w:iCs w:val="0"/>
          <w:color w:val="auto"/>
          <w:szCs w:val="24"/>
          <w:highlight w:val="none"/>
          <w:lang w:val="en-US" w:eastAsia="zh-CN"/>
        </w:rPr>
        <w:t>2.</w:t>
      </w:r>
      <w:r>
        <w:rPr>
          <w:rFonts w:hint="eastAsia" w:cs="仿宋_GB2312"/>
          <w:i w:val="0"/>
          <w:iCs w:val="0"/>
          <w:color w:val="auto"/>
          <w:szCs w:val="24"/>
          <w:highlight w:val="none"/>
          <w:lang w:val="en-US" w:eastAsia="zh-CN"/>
        </w:rPr>
        <w:t xml:space="preserve">若响应文件中签字之处均为法定代表人（单位负责人）本人签署，则可不提供本《授权委托书》，但须提供《法定代表人（单位负责人）身份证明》。 </w:t>
      </w:r>
    </w:p>
    <w:p w14:paraId="25F560F6">
      <w:pPr>
        <w:ind w:firstLine="480" w:firstLineChars="200"/>
        <w:rPr>
          <w:rFonts w:hint="eastAsia" w:cs="仿宋_GB2312"/>
          <w:i w:val="0"/>
          <w:iCs w:val="0"/>
          <w:color w:val="auto"/>
          <w:szCs w:val="24"/>
          <w:highlight w:val="none"/>
        </w:rPr>
      </w:pPr>
      <w:r>
        <w:rPr>
          <w:rFonts w:hint="default" w:cs="仿宋_GB2312"/>
          <w:i w:val="0"/>
          <w:iCs w:val="0"/>
          <w:color w:val="auto"/>
          <w:szCs w:val="24"/>
          <w:highlight w:val="none"/>
          <w:lang w:val="en-US" w:eastAsia="zh-CN"/>
        </w:rPr>
        <w:t>3.</w:t>
      </w:r>
      <w:r>
        <w:rPr>
          <w:rFonts w:hint="eastAsia" w:cs="仿宋_GB2312"/>
          <w:i w:val="0"/>
          <w:iCs w:val="0"/>
          <w:color w:val="auto"/>
          <w:szCs w:val="24"/>
          <w:highlight w:val="none"/>
          <w:lang w:val="en-US" w:eastAsia="zh-CN"/>
        </w:rPr>
        <w:t xml:space="preserve">供应商为自然人的情形，可不提供本《授权委托书》。 </w:t>
      </w:r>
    </w:p>
    <w:p w14:paraId="48D49CA3">
      <w:pPr>
        <w:ind w:firstLine="480" w:firstLineChars="200"/>
        <w:rPr>
          <w:rFonts w:hint="eastAsia" w:cs="仿宋_GB2312"/>
          <w:i w:val="0"/>
          <w:iCs w:val="0"/>
          <w:color w:val="auto"/>
          <w:szCs w:val="24"/>
          <w:highlight w:val="none"/>
        </w:rPr>
      </w:pPr>
      <w:r>
        <w:rPr>
          <w:rFonts w:hint="default" w:cs="仿宋_GB2312"/>
          <w:i w:val="0"/>
          <w:iCs w:val="0"/>
          <w:color w:val="auto"/>
          <w:szCs w:val="24"/>
          <w:highlight w:val="none"/>
          <w:lang w:val="en-US" w:eastAsia="zh-CN"/>
        </w:rPr>
        <w:t>4.</w:t>
      </w:r>
      <w:r>
        <w:rPr>
          <w:rFonts w:hint="eastAsia" w:cs="仿宋_GB2312"/>
          <w:i w:val="0"/>
          <w:iCs w:val="0"/>
          <w:color w:val="auto"/>
          <w:szCs w:val="24"/>
          <w:highlight w:val="none"/>
          <w:lang w:val="en-US" w:eastAsia="zh-CN"/>
        </w:rPr>
        <w:t>供应商应随本《授权委托书》同时提供法定代表人（单位负责人）及委托代理人的有效的身份证、护照等身份证明文件电子件。提供身份证的，应同时提供身份证</w:t>
      </w:r>
      <w:r>
        <w:rPr>
          <w:rFonts w:hint="eastAsia" w:cs="仿宋_GB2312"/>
          <w:b/>
          <w:bCs/>
          <w:i w:val="0"/>
          <w:iCs w:val="0"/>
          <w:color w:val="auto"/>
          <w:szCs w:val="24"/>
          <w:highlight w:val="none"/>
          <w:lang w:val="en-US" w:eastAsia="zh-CN"/>
        </w:rPr>
        <w:t>双面</w:t>
      </w:r>
      <w:r>
        <w:rPr>
          <w:rFonts w:hint="eastAsia" w:cs="仿宋_GB2312"/>
          <w:i w:val="0"/>
          <w:iCs w:val="0"/>
          <w:color w:val="auto"/>
          <w:szCs w:val="24"/>
          <w:highlight w:val="none"/>
          <w:lang w:val="en-US" w:eastAsia="zh-CN"/>
        </w:rPr>
        <w:t>电子件。</w:t>
      </w:r>
    </w:p>
    <w:p w14:paraId="7A0A1DEA">
      <w:pPr>
        <w:rPr>
          <w:i w:val="0"/>
          <w:iCs w:val="0"/>
          <w:color w:val="auto"/>
          <w:highlight w:val="none"/>
        </w:rPr>
      </w:pPr>
      <w:r>
        <w:rPr>
          <w:i w:val="0"/>
          <w:iCs w:val="0"/>
          <w:color w:val="auto"/>
          <w:highlight w:val="none"/>
        </w:rPr>
        <w:br w:type="page"/>
      </w:r>
    </w:p>
    <w:p w14:paraId="63B1827A">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544" w:name="_Toc163492928"/>
      <w:bookmarkStart w:id="545" w:name="_Toc155185934"/>
      <w:bookmarkStart w:id="546" w:name="_Toc27582"/>
      <w:r>
        <w:rPr>
          <w:rFonts w:hint="eastAsia" w:cstheme="majorBidi"/>
          <w:b/>
          <w:bCs/>
          <w:i w:val="0"/>
          <w:iCs w:val="0"/>
          <w:color w:val="auto"/>
          <w:kern w:val="2"/>
          <w:sz w:val="32"/>
          <w:szCs w:val="32"/>
          <w:highlight w:val="none"/>
          <w:lang w:val="en-US" w:eastAsia="zh-CN" w:bidi="ar-SA"/>
        </w:rPr>
        <w:t>四</w:t>
      </w:r>
      <w:r>
        <w:rPr>
          <w:rFonts w:hint="eastAsia" w:eastAsia="宋体" w:asciiTheme="majorHAnsi" w:hAnsiTheme="majorHAnsi" w:cstheme="majorBidi"/>
          <w:b/>
          <w:bCs/>
          <w:i w:val="0"/>
          <w:iCs w:val="0"/>
          <w:color w:val="auto"/>
          <w:kern w:val="2"/>
          <w:sz w:val="32"/>
          <w:szCs w:val="32"/>
          <w:highlight w:val="none"/>
          <w:lang w:val="en-US" w:eastAsia="zh-CN" w:bidi="ar-SA"/>
        </w:rPr>
        <w:t>、</w:t>
      </w:r>
      <w:bookmarkEnd w:id="544"/>
      <w:bookmarkEnd w:id="545"/>
      <w:r>
        <w:rPr>
          <w:rFonts w:hint="eastAsia" w:eastAsia="宋体" w:asciiTheme="majorHAnsi" w:hAnsiTheme="majorHAnsi" w:cstheme="majorBidi"/>
          <w:b/>
          <w:bCs/>
          <w:i w:val="0"/>
          <w:iCs w:val="0"/>
          <w:color w:val="auto"/>
          <w:kern w:val="2"/>
          <w:sz w:val="32"/>
          <w:szCs w:val="32"/>
          <w:highlight w:val="none"/>
          <w:lang w:val="zh-CN" w:eastAsia="zh-CN" w:bidi="ar-SA"/>
        </w:rPr>
        <w:t>政府采购供应商廉洁自律承诺书</w:t>
      </w:r>
      <w:bookmarkEnd w:id="546"/>
    </w:p>
    <w:p w14:paraId="001E18B2">
      <w:pPr>
        <w:pStyle w:val="12"/>
        <w:rPr>
          <w:i w:val="0"/>
          <w:iCs w:val="0"/>
          <w:color w:val="auto"/>
          <w:highlight w:val="none"/>
        </w:rPr>
      </w:pPr>
    </w:p>
    <w:p w14:paraId="65D786B3">
      <w:pPr>
        <w:snapToGrid w:val="0"/>
        <w:spacing w:line="360" w:lineRule="auto"/>
        <w:rPr>
          <w:rFonts w:ascii="宋体" w:hAnsi="宋体" w:cs="宋体"/>
          <w:i w:val="0"/>
          <w:iCs w:val="0"/>
          <w:color w:val="auto"/>
          <w:kern w:val="0"/>
          <w:sz w:val="24"/>
          <w:szCs w:val="24"/>
          <w:highlight w:val="none"/>
        </w:rPr>
      </w:pPr>
      <w:r>
        <w:rPr>
          <w:rFonts w:hint="eastAsia" w:ascii="宋体" w:hAnsi="宋体" w:cs="宋体"/>
          <w:i w:val="0"/>
          <w:iCs w:val="0"/>
          <w:color w:val="auto"/>
          <w:sz w:val="24"/>
          <w:szCs w:val="24"/>
          <w:highlight w:val="none"/>
        </w:rPr>
        <w:t>（采购人）、（采购代理机构）</w:t>
      </w:r>
      <w:r>
        <w:rPr>
          <w:rFonts w:hint="eastAsia" w:ascii="宋体" w:hAnsi="宋体" w:cs="宋体"/>
          <w:i w:val="0"/>
          <w:iCs w:val="0"/>
          <w:color w:val="auto"/>
          <w:kern w:val="0"/>
          <w:sz w:val="24"/>
          <w:szCs w:val="24"/>
          <w:highlight w:val="none"/>
          <w:lang w:val="zh-CN"/>
        </w:rPr>
        <w:t>：</w:t>
      </w:r>
    </w:p>
    <w:p w14:paraId="372A8422">
      <w:pPr>
        <w:autoSpaceDE w:val="0"/>
        <w:autoSpaceDN w:val="0"/>
        <w:spacing w:line="360" w:lineRule="auto"/>
        <w:ind w:left="2" w:leftChars="1" w:firstLine="480" w:firstLineChars="200"/>
        <w:jc w:val="left"/>
        <w:rPr>
          <w:rFonts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我单位响应你</w:t>
      </w:r>
      <w:r>
        <w:rPr>
          <w:rFonts w:hint="eastAsia" w:ascii="宋体" w:hAnsi="宋体" w:cs="宋体"/>
          <w:i w:val="0"/>
          <w:iCs w:val="0"/>
          <w:color w:val="auto"/>
          <w:sz w:val="24"/>
          <w:szCs w:val="24"/>
          <w:highlight w:val="none"/>
        </w:rPr>
        <w:t>单位</w:t>
      </w:r>
      <w:r>
        <w:rPr>
          <w:rFonts w:hint="eastAsia" w:ascii="宋体" w:hAnsi="宋体" w:cs="宋体"/>
          <w:i w:val="0"/>
          <w:iCs w:val="0"/>
          <w:color w:val="auto"/>
          <w:kern w:val="0"/>
          <w:sz w:val="24"/>
          <w:szCs w:val="24"/>
          <w:highlight w:val="none"/>
          <w:lang w:val="zh-CN"/>
        </w:rPr>
        <w:t>项目</w:t>
      </w:r>
      <w:r>
        <w:rPr>
          <w:rFonts w:hint="eastAsia" w:cs="宋体"/>
          <w:i w:val="0"/>
          <w:iCs w:val="0"/>
          <w:color w:val="auto"/>
          <w:kern w:val="0"/>
          <w:sz w:val="24"/>
          <w:szCs w:val="24"/>
          <w:highlight w:val="none"/>
          <w:lang w:val="en-US" w:eastAsia="zh-CN"/>
        </w:rPr>
        <w:t>竞争性磋商</w:t>
      </w:r>
      <w:r>
        <w:rPr>
          <w:rFonts w:hint="eastAsia" w:ascii="宋体" w:hAnsi="宋体" w:cs="宋体"/>
          <w:i w:val="0"/>
          <w:iCs w:val="0"/>
          <w:color w:val="auto"/>
          <w:kern w:val="0"/>
          <w:sz w:val="24"/>
          <w:szCs w:val="24"/>
          <w:highlight w:val="none"/>
          <w:lang w:val="zh-CN"/>
        </w:rPr>
        <w:t>要求参加</w:t>
      </w:r>
      <w:r>
        <w:rPr>
          <w:rFonts w:hint="eastAsia" w:cs="宋体"/>
          <w:i w:val="0"/>
          <w:iCs w:val="0"/>
          <w:color w:val="auto"/>
          <w:kern w:val="0"/>
          <w:sz w:val="24"/>
          <w:szCs w:val="24"/>
          <w:highlight w:val="none"/>
          <w:lang w:val="en-US" w:eastAsia="zh-CN"/>
        </w:rPr>
        <w:t>磋商响应</w:t>
      </w:r>
      <w:r>
        <w:rPr>
          <w:rFonts w:hint="eastAsia" w:ascii="宋体" w:hAnsi="宋体" w:cs="宋体"/>
          <w:i w:val="0"/>
          <w:iCs w:val="0"/>
          <w:color w:val="auto"/>
          <w:kern w:val="0"/>
          <w:sz w:val="24"/>
          <w:szCs w:val="24"/>
          <w:highlight w:val="none"/>
          <w:lang w:val="zh-CN"/>
        </w:rPr>
        <w:t>。在这次</w:t>
      </w:r>
      <w:r>
        <w:rPr>
          <w:rFonts w:hint="eastAsia" w:cs="宋体"/>
          <w:i w:val="0"/>
          <w:iCs w:val="0"/>
          <w:color w:val="auto"/>
          <w:kern w:val="0"/>
          <w:sz w:val="24"/>
          <w:szCs w:val="24"/>
          <w:highlight w:val="none"/>
          <w:lang w:val="en-US" w:eastAsia="zh-CN"/>
        </w:rPr>
        <w:t>磋商响应</w:t>
      </w:r>
      <w:r>
        <w:rPr>
          <w:rFonts w:hint="eastAsia" w:ascii="宋体" w:hAnsi="宋体" w:cs="宋体"/>
          <w:i w:val="0"/>
          <w:iCs w:val="0"/>
          <w:color w:val="auto"/>
          <w:kern w:val="0"/>
          <w:sz w:val="24"/>
          <w:szCs w:val="24"/>
          <w:highlight w:val="none"/>
          <w:lang w:val="zh-CN"/>
        </w:rPr>
        <w:t>过程中和</w:t>
      </w:r>
      <w:r>
        <w:rPr>
          <w:rFonts w:hint="eastAsia" w:cs="宋体"/>
          <w:i w:val="0"/>
          <w:iCs w:val="0"/>
          <w:color w:val="auto"/>
          <w:kern w:val="0"/>
          <w:sz w:val="24"/>
          <w:szCs w:val="24"/>
          <w:highlight w:val="none"/>
          <w:lang w:val="en-US" w:eastAsia="zh-CN"/>
        </w:rPr>
        <w:t>成交</w:t>
      </w:r>
      <w:r>
        <w:rPr>
          <w:rFonts w:hint="eastAsia" w:ascii="宋体" w:hAnsi="宋体" w:cs="宋体"/>
          <w:i w:val="0"/>
          <w:iCs w:val="0"/>
          <w:color w:val="auto"/>
          <w:kern w:val="0"/>
          <w:sz w:val="24"/>
          <w:szCs w:val="24"/>
          <w:highlight w:val="none"/>
          <w:lang w:val="zh-CN"/>
        </w:rPr>
        <w:t>后，我们将严格遵守国家法律法规要求，并郑重承诺：</w:t>
      </w:r>
    </w:p>
    <w:p w14:paraId="1C068990">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 xml:space="preserve">一、不向项目有关人员及部门赠送礼金礼物、有价证券、回扣以及中介费、介绍费、咨询费等好处费； </w:t>
      </w:r>
    </w:p>
    <w:p w14:paraId="505BA2F4">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 xml:space="preserve">二、不为项目有关人员及部门报销应由你方单位或个人支付的费用； </w:t>
      </w:r>
    </w:p>
    <w:p w14:paraId="70D85F4A">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三、不向项目有关人员及部门提供有可能影响公正的宴请和健身娱乐等活动；</w:t>
      </w:r>
    </w:p>
    <w:p w14:paraId="56951963">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四、不为项目有关人员及部门出国（境）、旅游等提供方便；</w:t>
      </w:r>
    </w:p>
    <w:p w14:paraId="11B5F163">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五、不为项目有关人员个人装修住房、婚丧嫁娶、配偶子女工作安排等提供好处；</w:t>
      </w:r>
    </w:p>
    <w:p w14:paraId="7C64ED4D">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 xml:space="preserve">六、严格遵守《中华人民共和国政府采购法》《中华人民共和国招标投标法》《中华人民共和国民法典》等法律法规，诚实守信，合法经营，坚决抵制各种违法违纪行为。 </w:t>
      </w:r>
    </w:p>
    <w:p w14:paraId="603C7B8C">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如违反上述承诺，你单位有权立即取消我单位</w:t>
      </w:r>
      <w:r>
        <w:rPr>
          <w:rFonts w:hint="eastAsia" w:cs="宋体"/>
          <w:i w:val="0"/>
          <w:iCs w:val="0"/>
          <w:color w:val="auto"/>
          <w:kern w:val="0"/>
          <w:sz w:val="24"/>
          <w:szCs w:val="24"/>
          <w:highlight w:val="none"/>
          <w:lang w:val="en-US" w:eastAsia="zh-CN"/>
        </w:rPr>
        <w:t>磋商响应</w:t>
      </w:r>
      <w:r>
        <w:rPr>
          <w:rFonts w:hint="eastAsia" w:ascii="宋体" w:hAnsi="宋体" w:cs="宋体"/>
          <w:i w:val="0"/>
          <w:iCs w:val="0"/>
          <w:color w:val="auto"/>
          <w:kern w:val="0"/>
          <w:sz w:val="24"/>
          <w:szCs w:val="24"/>
          <w:highlight w:val="none"/>
          <w:lang w:val="zh-CN"/>
        </w:rPr>
        <w:t>、</w:t>
      </w:r>
      <w:r>
        <w:rPr>
          <w:rFonts w:hint="eastAsia" w:cs="宋体"/>
          <w:i w:val="0"/>
          <w:iCs w:val="0"/>
          <w:color w:val="auto"/>
          <w:kern w:val="0"/>
          <w:sz w:val="24"/>
          <w:szCs w:val="24"/>
          <w:highlight w:val="none"/>
          <w:lang w:val="en-US" w:eastAsia="zh-CN"/>
        </w:rPr>
        <w:t>成交</w:t>
      </w:r>
      <w:r>
        <w:rPr>
          <w:rFonts w:hint="eastAsia" w:ascii="宋体" w:hAnsi="宋体" w:cs="宋体"/>
          <w:i w:val="0"/>
          <w:iCs w:val="0"/>
          <w:color w:val="auto"/>
          <w:kern w:val="0"/>
          <w:sz w:val="24"/>
          <w:szCs w:val="24"/>
          <w:highlight w:val="none"/>
          <w:lang w:val="zh-CN"/>
        </w:rPr>
        <w:t>或在建项目的建设资格，有权拒绝我单位在一定时期内进入你单位进行项目建设或其他经营活动，并通报</w:t>
      </w:r>
      <w:r>
        <w:rPr>
          <w:rFonts w:hint="eastAsia" w:cs="宋体"/>
          <w:i w:val="0"/>
          <w:iCs w:val="0"/>
          <w:color w:val="auto"/>
          <w:kern w:val="0"/>
          <w:sz w:val="24"/>
          <w:szCs w:val="24"/>
          <w:highlight w:val="none"/>
          <w:lang w:val="en-US" w:eastAsia="zh-CN"/>
        </w:rPr>
        <w:t>自治区</w:t>
      </w:r>
      <w:r>
        <w:rPr>
          <w:rFonts w:hint="eastAsia" w:ascii="宋体" w:hAnsi="宋体" w:cs="宋体"/>
          <w:i w:val="0"/>
          <w:iCs w:val="0"/>
          <w:color w:val="auto"/>
          <w:kern w:val="0"/>
          <w:sz w:val="24"/>
          <w:szCs w:val="24"/>
          <w:highlight w:val="none"/>
          <w:lang w:val="zh-CN"/>
        </w:rPr>
        <w:t>财政</w:t>
      </w:r>
      <w:r>
        <w:rPr>
          <w:rFonts w:hint="eastAsia" w:cs="宋体"/>
          <w:i w:val="0"/>
          <w:iCs w:val="0"/>
          <w:color w:val="auto"/>
          <w:kern w:val="0"/>
          <w:sz w:val="24"/>
          <w:szCs w:val="24"/>
          <w:highlight w:val="none"/>
          <w:lang w:val="en-US" w:eastAsia="zh-CN"/>
        </w:rPr>
        <w:t>厅</w:t>
      </w:r>
      <w:r>
        <w:rPr>
          <w:rFonts w:hint="eastAsia" w:ascii="宋体" w:hAnsi="宋体" w:cs="宋体"/>
          <w:i w:val="0"/>
          <w:iCs w:val="0"/>
          <w:color w:val="auto"/>
          <w:kern w:val="0"/>
          <w:sz w:val="24"/>
          <w:szCs w:val="24"/>
          <w:highlight w:val="none"/>
          <w:lang w:val="zh-CN"/>
        </w:rPr>
        <w:t>。由此引起的相应损失均由我单位承担。</w:t>
      </w:r>
    </w:p>
    <w:p w14:paraId="59F815F3">
      <w:pPr>
        <w:autoSpaceDE w:val="0"/>
        <w:autoSpaceDN w:val="0"/>
        <w:spacing w:line="360" w:lineRule="auto"/>
        <w:ind w:left="2"/>
        <w:jc w:val="left"/>
        <w:rPr>
          <w:rFonts w:ascii="宋体" w:hAnsi="宋体" w:cs="宋体"/>
          <w:i w:val="0"/>
          <w:iCs w:val="0"/>
          <w:color w:val="auto"/>
          <w:kern w:val="0"/>
          <w:sz w:val="24"/>
          <w:szCs w:val="24"/>
          <w:highlight w:val="none"/>
          <w:lang w:val="zh-CN"/>
        </w:rPr>
      </w:pPr>
    </w:p>
    <w:p w14:paraId="389C1CC1">
      <w:pPr>
        <w:autoSpaceDE w:val="0"/>
        <w:autoSpaceDN w:val="0"/>
        <w:spacing w:line="360" w:lineRule="auto"/>
        <w:ind w:left="2"/>
        <w:jc w:val="left"/>
        <w:rPr>
          <w:rFonts w:ascii="宋体" w:hAnsi="宋体" w:cs="宋体"/>
          <w:i w:val="0"/>
          <w:iCs w:val="0"/>
          <w:color w:val="auto"/>
          <w:kern w:val="0"/>
          <w:sz w:val="24"/>
          <w:szCs w:val="24"/>
          <w:highlight w:val="none"/>
          <w:lang w:val="zh-CN"/>
        </w:rPr>
      </w:pPr>
    </w:p>
    <w:p w14:paraId="6E00DFD3">
      <w:pPr>
        <w:autoSpaceDE w:val="0"/>
        <w:autoSpaceDN w:val="0"/>
        <w:spacing w:line="360" w:lineRule="auto"/>
        <w:ind w:left="2"/>
        <w:jc w:val="left"/>
        <w:rPr>
          <w:rFonts w:ascii="宋体" w:hAnsi="宋体" w:cs="宋体"/>
          <w:i w:val="0"/>
          <w:iCs w:val="0"/>
          <w:color w:val="auto"/>
          <w:kern w:val="0"/>
          <w:sz w:val="24"/>
          <w:szCs w:val="24"/>
          <w:highlight w:val="none"/>
          <w:lang w:val="zh-CN"/>
        </w:rPr>
      </w:pPr>
    </w:p>
    <w:p w14:paraId="2946EFA2">
      <w:pPr>
        <w:autoSpaceDE w:val="0"/>
        <w:autoSpaceDN w:val="0"/>
        <w:spacing w:line="360" w:lineRule="auto"/>
        <w:ind w:left="2" w:leftChars="1" w:right="1120" w:firstLine="4560" w:firstLineChars="1900"/>
        <w:jc w:val="left"/>
        <w:rPr>
          <w:rFonts w:ascii="宋体" w:hAnsi="宋体" w:cs="宋体"/>
          <w:i w:val="0"/>
          <w:iCs w:val="0"/>
          <w:color w:val="auto"/>
          <w:kern w:val="0"/>
          <w:sz w:val="24"/>
          <w:szCs w:val="24"/>
          <w:highlight w:val="none"/>
          <w:lang w:val="zh-CN"/>
        </w:rPr>
      </w:pPr>
      <w:r>
        <w:rPr>
          <w:rFonts w:hint="eastAsia" w:cs="宋体"/>
          <w:i w:val="0"/>
          <w:iCs w:val="0"/>
          <w:color w:val="auto"/>
          <w:kern w:val="0"/>
          <w:sz w:val="24"/>
          <w:szCs w:val="24"/>
          <w:highlight w:val="none"/>
          <w:lang w:val="en-US" w:eastAsia="zh-CN"/>
        </w:rPr>
        <w:t>供应商</w:t>
      </w:r>
      <w:r>
        <w:rPr>
          <w:rFonts w:hint="eastAsia" w:ascii="宋体" w:hAnsi="宋体" w:cs="宋体"/>
          <w:i w:val="0"/>
          <w:iCs w:val="0"/>
          <w:color w:val="auto"/>
          <w:kern w:val="0"/>
          <w:sz w:val="24"/>
          <w:szCs w:val="24"/>
          <w:highlight w:val="none"/>
          <w:lang w:val="zh-CN"/>
        </w:rPr>
        <w:t>名称（</w:t>
      </w:r>
      <w:r>
        <w:rPr>
          <w:rFonts w:hint="eastAsia" w:cs="宋体"/>
          <w:i w:val="0"/>
          <w:iCs w:val="0"/>
          <w:color w:val="auto"/>
          <w:sz w:val="24"/>
          <w:szCs w:val="24"/>
          <w:highlight w:val="none"/>
          <w:lang w:eastAsia="zh-CN"/>
        </w:rPr>
        <w:t>公章</w:t>
      </w:r>
      <w:r>
        <w:rPr>
          <w:rFonts w:hint="eastAsia" w:ascii="宋体" w:hAnsi="宋体" w:cs="宋体"/>
          <w:i w:val="0"/>
          <w:iCs w:val="0"/>
          <w:color w:val="auto"/>
          <w:kern w:val="0"/>
          <w:sz w:val="24"/>
          <w:szCs w:val="24"/>
          <w:highlight w:val="none"/>
          <w:lang w:val="zh-CN"/>
        </w:rPr>
        <w:t xml:space="preserve">）：                                                                                                                                                                                                               </w:t>
      </w:r>
    </w:p>
    <w:p w14:paraId="4A19753C">
      <w:pPr>
        <w:ind w:firstLine="4560" w:firstLineChars="1900"/>
        <w:rPr>
          <w:rFonts w:hint="eastAsia" w:eastAsia="宋体" w:asciiTheme="majorHAnsi" w:hAnsiTheme="majorHAnsi" w:cstheme="majorBidi"/>
          <w:b/>
          <w:bCs/>
          <w:i w:val="0"/>
          <w:iCs w:val="0"/>
          <w:color w:val="auto"/>
          <w:kern w:val="2"/>
          <w:sz w:val="24"/>
          <w:szCs w:val="24"/>
          <w:highlight w:val="none"/>
          <w:lang w:val="en-US" w:eastAsia="zh-CN" w:bidi="ar-SA"/>
        </w:rPr>
      </w:pPr>
      <w:r>
        <w:rPr>
          <w:rFonts w:hint="eastAsia" w:ascii="宋体" w:hAnsi="宋体" w:cs="宋体"/>
          <w:i w:val="0"/>
          <w:iCs w:val="0"/>
          <w:color w:val="auto"/>
          <w:kern w:val="0"/>
          <w:sz w:val="24"/>
          <w:szCs w:val="24"/>
          <w:highlight w:val="none"/>
          <w:lang w:val="zh-CN"/>
        </w:rPr>
        <w:t>日期</w:t>
      </w:r>
      <w:r>
        <w:rPr>
          <w:rFonts w:hint="eastAsia" w:ascii="宋体" w:hAnsi="宋体" w:cs="宋体"/>
          <w:i w:val="0"/>
          <w:iCs w:val="0"/>
          <w:color w:val="auto"/>
          <w:kern w:val="0"/>
          <w:sz w:val="24"/>
          <w:szCs w:val="24"/>
          <w:highlight w:val="none"/>
        </w:rPr>
        <w:t>：</w:t>
      </w:r>
      <w:r>
        <w:rPr>
          <w:rFonts w:hint="eastAsia" w:ascii="宋体" w:hAnsi="宋体" w:cs="宋体"/>
          <w:i w:val="0"/>
          <w:iCs w:val="0"/>
          <w:color w:val="auto"/>
          <w:kern w:val="0"/>
          <w:sz w:val="24"/>
          <w:szCs w:val="24"/>
          <w:highlight w:val="none"/>
          <w:lang w:val="zh-CN"/>
        </w:rPr>
        <w:t xml:space="preserve">   年   月   日</w:t>
      </w:r>
    </w:p>
    <w:p w14:paraId="4732684F">
      <w:pPr>
        <w:rPr>
          <w:rFonts w:hint="eastAsia" w:eastAsia="宋体" w:asciiTheme="majorHAnsi" w:hAnsiTheme="majorHAnsi" w:cstheme="majorBidi"/>
          <w:b/>
          <w:bCs/>
          <w:i w:val="0"/>
          <w:iCs w:val="0"/>
          <w:color w:val="auto"/>
          <w:kern w:val="2"/>
          <w:sz w:val="24"/>
          <w:szCs w:val="24"/>
          <w:highlight w:val="none"/>
          <w:lang w:val="en-US" w:eastAsia="zh-CN" w:bidi="ar-SA"/>
        </w:rPr>
      </w:pPr>
    </w:p>
    <w:p w14:paraId="5F530193">
      <w:pPr>
        <w:pStyle w:val="12"/>
        <w:rPr>
          <w:rFonts w:hint="eastAsia" w:eastAsia="宋体" w:asciiTheme="majorHAnsi" w:hAnsiTheme="majorHAnsi" w:cstheme="majorBidi"/>
          <w:b/>
          <w:bCs/>
          <w:i w:val="0"/>
          <w:iCs w:val="0"/>
          <w:color w:val="auto"/>
          <w:kern w:val="2"/>
          <w:sz w:val="24"/>
          <w:szCs w:val="24"/>
          <w:highlight w:val="none"/>
          <w:lang w:val="en-US" w:eastAsia="zh-CN" w:bidi="ar-SA"/>
        </w:rPr>
      </w:pPr>
    </w:p>
    <w:p w14:paraId="45E3F3D2">
      <w:pPr>
        <w:pStyle w:val="12"/>
        <w:rPr>
          <w:rFonts w:hint="eastAsia" w:eastAsia="宋体" w:asciiTheme="majorHAnsi" w:hAnsiTheme="majorHAnsi" w:cstheme="majorBidi"/>
          <w:b/>
          <w:bCs/>
          <w:i w:val="0"/>
          <w:iCs w:val="0"/>
          <w:color w:val="auto"/>
          <w:kern w:val="2"/>
          <w:sz w:val="24"/>
          <w:szCs w:val="24"/>
          <w:highlight w:val="none"/>
          <w:lang w:val="en-US" w:eastAsia="zh-CN" w:bidi="ar-SA"/>
        </w:rPr>
      </w:pPr>
    </w:p>
    <w:p w14:paraId="5CECE128">
      <w:pPr>
        <w:pStyle w:val="12"/>
        <w:rPr>
          <w:rFonts w:hint="eastAsia" w:eastAsia="宋体" w:asciiTheme="majorHAnsi" w:hAnsiTheme="majorHAnsi" w:cstheme="majorBidi"/>
          <w:b/>
          <w:bCs/>
          <w:i w:val="0"/>
          <w:iCs w:val="0"/>
          <w:color w:val="auto"/>
          <w:kern w:val="2"/>
          <w:sz w:val="24"/>
          <w:szCs w:val="24"/>
          <w:highlight w:val="none"/>
          <w:lang w:val="en-US" w:eastAsia="zh-CN" w:bidi="ar-SA"/>
        </w:rPr>
      </w:pPr>
    </w:p>
    <w:p w14:paraId="696ED097">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547" w:name="_Toc17519"/>
      <w:r>
        <w:rPr>
          <w:rFonts w:hint="eastAsia" w:eastAsia="宋体" w:asciiTheme="majorHAnsi" w:hAnsiTheme="majorHAnsi" w:cstheme="majorBidi"/>
          <w:b/>
          <w:bCs/>
          <w:i w:val="0"/>
          <w:iCs w:val="0"/>
          <w:color w:val="auto"/>
          <w:kern w:val="2"/>
          <w:sz w:val="32"/>
          <w:szCs w:val="32"/>
          <w:highlight w:val="none"/>
          <w:lang w:val="en-US" w:eastAsia="zh-CN" w:bidi="ar-SA"/>
        </w:rPr>
        <w:t>五、实质性响应一览表</w:t>
      </w:r>
      <w:r>
        <w:rPr>
          <w:rFonts w:hint="eastAsia" w:eastAsia="宋体" w:asciiTheme="majorHAnsi" w:hAnsiTheme="majorHAnsi" w:cstheme="majorBidi"/>
          <w:b/>
          <w:bCs/>
          <w:i w:val="0"/>
          <w:iCs w:val="0"/>
          <w:color w:val="auto"/>
          <w:kern w:val="2"/>
          <w:sz w:val="32"/>
          <w:szCs w:val="32"/>
          <w:highlight w:val="none"/>
          <w:lang w:val="zh-CN" w:eastAsia="zh-CN" w:bidi="ar-SA"/>
        </w:rPr>
        <w:t>【</w:t>
      </w:r>
      <w:r>
        <w:rPr>
          <w:rFonts w:hint="eastAsia" w:eastAsia="宋体" w:asciiTheme="majorHAnsi" w:hAnsiTheme="majorHAnsi" w:cstheme="majorBidi"/>
          <w:b/>
          <w:bCs/>
          <w:i w:val="0"/>
          <w:iCs w:val="0"/>
          <w:color w:val="auto"/>
          <w:kern w:val="2"/>
          <w:sz w:val="32"/>
          <w:szCs w:val="32"/>
          <w:highlight w:val="none"/>
          <w:lang w:val="en-US" w:eastAsia="zh-CN" w:bidi="ar-SA"/>
        </w:rPr>
        <w:t>本表须与第四章的一致】</w:t>
      </w:r>
      <w:bookmarkEnd w:id="547"/>
    </w:p>
    <w:p w14:paraId="44C6BE12">
      <w:pPr>
        <w:shd w:val="clear" w:color="auto"/>
        <w:tabs>
          <w:tab w:val="left" w:pos="3045"/>
        </w:tabs>
        <w:autoSpaceDE w:val="0"/>
        <w:autoSpaceDN w:val="0"/>
        <w:adjustRightInd w:val="0"/>
        <w:snapToGrid w:val="0"/>
        <w:spacing w:line="360" w:lineRule="exact"/>
        <w:jc w:val="center"/>
        <w:rPr>
          <w:rFonts w:hint="eastAsia" w:ascii="宋体" w:hAnsi="宋体" w:cs="宋体"/>
          <w:b/>
          <w:i w:val="0"/>
          <w:iCs w:val="0"/>
          <w:color w:val="auto"/>
          <w:sz w:val="24"/>
          <w:highlight w:val="none"/>
        </w:rPr>
      </w:pPr>
      <w:r>
        <w:rPr>
          <w:rFonts w:hint="eastAsia" w:ascii="宋体" w:hAnsi="宋体" w:cs="宋体"/>
          <w:b w:val="0"/>
          <w:bCs/>
          <w:i w:val="0"/>
          <w:iCs w:val="0"/>
          <w:color w:val="auto"/>
          <w:sz w:val="24"/>
          <w:highlight w:val="none"/>
        </w:rPr>
        <w:t>（供应商须对本附表所有内容逐条响应且无负偏离，否则</w:t>
      </w:r>
      <w:r>
        <w:rPr>
          <w:rFonts w:hint="eastAsia" w:cs="宋体"/>
          <w:b w:val="0"/>
          <w:bCs/>
          <w:i w:val="0"/>
          <w:iCs w:val="0"/>
          <w:color w:val="auto"/>
          <w:sz w:val="24"/>
          <w:highlight w:val="none"/>
          <w:lang w:val="en-US" w:eastAsia="zh-CN"/>
        </w:rPr>
        <w:t>其</w:t>
      </w:r>
      <w:r>
        <w:rPr>
          <w:rFonts w:hint="eastAsia" w:cs="宋体"/>
          <w:b/>
          <w:i w:val="0"/>
          <w:iCs w:val="0"/>
          <w:color w:val="auto"/>
          <w:sz w:val="24"/>
          <w:highlight w:val="none"/>
          <w:lang w:val="en-US" w:eastAsia="zh-CN"/>
        </w:rPr>
        <w:t>响应</w:t>
      </w:r>
      <w:r>
        <w:rPr>
          <w:rFonts w:hint="eastAsia" w:ascii="宋体" w:hAnsi="宋体" w:cs="宋体"/>
          <w:b/>
          <w:i w:val="0"/>
          <w:iCs w:val="0"/>
          <w:color w:val="auto"/>
          <w:sz w:val="24"/>
          <w:highlight w:val="none"/>
        </w:rPr>
        <w:t>无效</w:t>
      </w:r>
      <w:r>
        <w:rPr>
          <w:rFonts w:hint="eastAsia" w:ascii="宋体" w:hAnsi="宋体" w:cs="宋体"/>
          <w:b w:val="0"/>
          <w:bCs/>
          <w:i w:val="0"/>
          <w:iCs w:val="0"/>
          <w:color w:val="auto"/>
          <w:sz w:val="24"/>
          <w:highlight w:val="none"/>
        </w:rPr>
        <w:t>）</w:t>
      </w:r>
    </w:p>
    <w:p w14:paraId="77F3EE72">
      <w:pPr>
        <w:pStyle w:val="25"/>
        <w:shd w:val="clear"/>
        <w:rPr>
          <w:rFonts w:hint="eastAsia" w:ascii="宋体" w:hAnsi="宋体" w:cs="宋体"/>
          <w:i w:val="0"/>
          <w:iCs w:val="0"/>
          <w:color w:val="auto"/>
          <w:highlight w:val="none"/>
        </w:rPr>
      </w:pPr>
    </w:p>
    <w:tbl>
      <w:tblPr>
        <w:tblStyle w:val="32"/>
        <w:tblW w:w="9529" w:type="dxa"/>
        <w:tblInd w:w="-5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496"/>
        <w:gridCol w:w="3671"/>
        <w:gridCol w:w="1957"/>
        <w:gridCol w:w="732"/>
      </w:tblGrid>
      <w:tr w14:paraId="79880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673" w:type="dxa"/>
            <w:vMerge w:val="restart"/>
            <w:noWrap w:val="0"/>
            <w:vAlign w:val="center"/>
          </w:tcPr>
          <w:p w14:paraId="618E939E">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序号</w:t>
            </w:r>
          </w:p>
        </w:tc>
        <w:tc>
          <w:tcPr>
            <w:tcW w:w="6167" w:type="dxa"/>
            <w:gridSpan w:val="2"/>
            <w:noWrap w:val="0"/>
            <w:vAlign w:val="center"/>
          </w:tcPr>
          <w:p w14:paraId="031CA0B3">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lang w:eastAsia="zh-CN"/>
              </w:rPr>
              <w:t>磋商</w:t>
            </w:r>
            <w:r>
              <w:rPr>
                <w:rFonts w:hint="eastAsia" w:ascii="宋体" w:hAnsi="宋体" w:cs="宋体"/>
                <w:i w:val="0"/>
                <w:iCs w:val="0"/>
                <w:color w:val="auto"/>
                <w:sz w:val="24"/>
                <w:highlight w:val="none"/>
              </w:rPr>
              <w:t>文件要求的实质性响应内容</w:t>
            </w:r>
          </w:p>
        </w:tc>
        <w:tc>
          <w:tcPr>
            <w:tcW w:w="1957" w:type="dxa"/>
            <w:vMerge w:val="restart"/>
            <w:noWrap w:val="0"/>
            <w:vAlign w:val="center"/>
          </w:tcPr>
          <w:p w14:paraId="7FAF3AB0">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rPr>
            </w:pPr>
            <w:r>
              <w:rPr>
                <w:rFonts w:hint="eastAsia" w:cs="宋体"/>
                <w:i w:val="0"/>
                <w:iCs w:val="0"/>
                <w:color w:val="auto"/>
                <w:sz w:val="24"/>
                <w:highlight w:val="none"/>
                <w:lang w:eastAsia="zh-CN"/>
              </w:rPr>
              <w:t>响应</w:t>
            </w:r>
            <w:r>
              <w:rPr>
                <w:rFonts w:hint="eastAsia" w:ascii="宋体" w:hAnsi="宋体" w:cs="宋体"/>
                <w:i w:val="0"/>
                <w:iCs w:val="0"/>
                <w:color w:val="auto"/>
                <w:sz w:val="24"/>
                <w:highlight w:val="none"/>
              </w:rPr>
              <w:t>文件具体</w:t>
            </w:r>
            <w:r>
              <w:rPr>
                <w:rFonts w:hint="eastAsia" w:cs="宋体"/>
                <w:i w:val="0"/>
                <w:iCs w:val="0"/>
                <w:color w:val="auto"/>
                <w:sz w:val="24"/>
                <w:highlight w:val="none"/>
                <w:lang w:val="en-US" w:eastAsia="zh-CN"/>
              </w:rPr>
              <w:t>的</w:t>
            </w:r>
            <w:r>
              <w:rPr>
                <w:rFonts w:hint="eastAsia" w:ascii="宋体" w:hAnsi="宋体" w:cs="宋体"/>
                <w:i w:val="0"/>
                <w:iCs w:val="0"/>
                <w:color w:val="auto"/>
                <w:sz w:val="24"/>
                <w:highlight w:val="none"/>
              </w:rPr>
              <w:t>响应内容</w:t>
            </w:r>
          </w:p>
        </w:tc>
        <w:tc>
          <w:tcPr>
            <w:tcW w:w="732" w:type="dxa"/>
            <w:vMerge w:val="restart"/>
            <w:noWrap w:val="0"/>
            <w:vAlign w:val="center"/>
          </w:tcPr>
          <w:p w14:paraId="6AD67C37">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备注</w:t>
            </w:r>
          </w:p>
        </w:tc>
      </w:tr>
      <w:tr w14:paraId="36635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673" w:type="dxa"/>
            <w:vMerge w:val="continue"/>
            <w:noWrap w:val="0"/>
            <w:vAlign w:val="center"/>
          </w:tcPr>
          <w:p w14:paraId="5494FB7C">
            <w:pPr>
              <w:keepNext w:val="0"/>
              <w:keepLines w:val="0"/>
              <w:pageBreakBefore w:val="0"/>
              <w:widowControl w:val="0"/>
              <w:shd w:val="clear"/>
              <w:kinsoku/>
              <w:wordWrap/>
              <w:overflowPunct/>
              <w:topLinePunct w:val="0"/>
              <w:bidi w:val="0"/>
              <w:adjustRightInd/>
              <w:snapToGrid/>
              <w:spacing w:line="360" w:lineRule="exact"/>
              <w:jc w:val="center"/>
              <w:textAlignment w:val="auto"/>
              <w:rPr>
                <w:i w:val="0"/>
                <w:iCs w:val="0"/>
                <w:color w:val="auto"/>
                <w:highlight w:val="none"/>
              </w:rPr>
            </w:pPr>
          </w:p>
        </w:tc>
        <w:tc>
          <w:tcPr>
            <w:tcW w:w="2496" w:type="dxa"/>
            <w:noWrap w:val="0"/>
            <w:vAlign w:val="center"/>
          </w:tcPr>
          <w:p w14:paraId="7FA1F299">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default" w:ascii="宋体" w:hAnsi="宋体" w:cs="宋体"/>
                <w:i w:val="0"/>
                <w:iCs w:val="0"/>
                <w:color w:val="auto"/>
                <w:sz w:val="24"/>
                <w:highlight w:val="none"/>
                <w:lang w:val="en-US" w:eastAsia="zh-CN"/>
              </w:rPr>
            </w:pPr>
            <w:r>
              <w:rPr>
                <w:rFonts w:hint="eastAsia" w:cs="宋体"/>
                <w:i w:val="0"/>
                <w:iCs w:val="0"/>
                <w:color w:val="auto"/>
                <w:sz w:val="24"/>
                <w:highlight w:val="none"/>
                <w:lang w:val="en-US" w:eastAsia="zh-CN"/>
              </w:rPr>
              <w:t>实质性要求</w:t>
            </w:r>
          </w:p>
        </w:tc>
        <w:tc>
          <w:tcPr>
            <w:tcW w:w="3671" w:type="dxa"/>
            <w:noWrap w:val="0"/>
            <w:vAlign w:val="center"/>
          </w:tcPr>
          <w:p w14:paraId="5FAE8917">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default" w:ascii="宋体" w:hAnsi="宋体" w:cs="宋体"/>
                <w:i w:val="0"/>
                <w:iCs w:val="0"/>
                <w:color w:val="auto"/>
                <w:sz w:val="24"/>
                <w:highlight w:val="none"/>
                <w:lang w:val="en-US" w:eastAsia="zh-CN"/>
              </w:rPr>
            </w:pPr>
            <w:r>
              <w:rPr>
                <w:rFonts w:hint="eastAsia" w:cs="宋体"/>
                <w:i w:val="0"/>
                <w:iCs w:val="0"/>
                <w:color w:val="auto"/>
                <w:sz w:val="24"/>
                <w:highlight w:val="none"/>
                <w:lang w:val="en-US" w:eastAsia="zh-CN"/>
              </w:rPr>
              <w:t>磋商文件中的规定</w:t>
            </w:r>
          </w:p>
        </w:tc>
        <w:tc>
          <w:tcPr>
            <w:tcW w:w="1957" w:type="dxa"/>
            <w:vMerge w:val="continue"/>
            <w:noWrap w:val="0"/>
            <w:vAlign w:val="center"/>
          </w:tcPr>
          <w:p w14:paraId="355AFA42">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lang w:eastAsia="zh-CN"/>
              </w:rPr>
            </w:pPr>
          </w:p>
        </w:tc>
        <w:tc>
          <w:tcPr>
            <w:tcW w:w="732" w:type="dxa"/>
            <w:vMerge w:val="continue"/>
            <w:noWrap w:val="0"/>
            <w:vAlign w:val="center"/>
          </w:tcPr>
          <w:p w14:paraId="326D93D4">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lang w:eastAsia="zh-CN"/>
              </w:rPr>
            </w:pPr>
          </w:p>
        </w:tc>
      </w:tr>
      <w:tr w14:paraId="36C5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673" w:type="dxa"/>
            <w:noWrap w:val="0"/>
            <w:vAlign w:val="center"/>
          </w:tcPr>
          <w:p w14:paraId="4B945C2C">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4"/>
                <w:highlight w:val="none"/>
                <w:lang w:val="en-US" w:eastAsia="zh-CN"/>
              </w:rPr>
            </w:pPr>
            <w:r>
              <w:rPr>
                <w:rFonts w:hint="eastAsia" w:cs="宋体"/>
                <w:i w:val="0"/>
                <w:iCs w:val="0"/>
                <w:color w:val="auto"/>
                <w:sz w:val="24"/>
                <w:highlight w:val="none"/>
                <w:lang w:val="en-US" w:eastAsia="zh-CN"/>
              </w:rPr>
              <w:t>1</w:t>
            </w:r>
          </w:p>
        </w:tc>
        <w:tc>
          <w:tcPr>
            <w:tcW w:w="2496" w:type="dxa"/>
            <w:noWrap w:val="0"/>
            <w:vAlign w:val="center"/>
          </w:tcPr>
          <w:p w14:paraId="04C3FBB6">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671" w:type="dxa"/>
            <w:noWrap w:val="0"/>
            <w:vAlign w:val="center"/>
          </w:tcPr>
          <w:p w14:paraId="5836807F">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cs="宋体"/>
                <w:i w:val="0"/>
                <w:iCs w:val="0"/>
                <w:color w:val="auto"/>
                <w:sz w:val="24"/>
                <w:highlight w:val="none"/>
              </w:rPr>
            </w:pPr>
          </w:p>
        </w:tc>
        <w:tc>
          <w:tcPr>
            <w:tcW w:w="1957" w:type="dxa"/>
            <w:noWrap w:val="0"/>
            <w:vAlign w:val="center"/>
          </w:tcPr>
          <w:p w14:paraId="5FA9DA15">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732" w:type="dxa"/>
            <w:noWrap w:val="0"/>
            <w:vAlign w:val="center"/>
          </w:tcPr>
          <w:p w14:paraId="587B1ABC">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5291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673" w:type="dxa"/>
            <w:noWrap w:val="0"/>
            <w:vAlign w:val="center"/>
          </w:tcPr>
          <w:p w14:paraId="1A31A820">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4"/>
                <w:highlight w:val="none"/>
                <w:lang w:val="en-US" w:eastAsia="zh-CN"/>
              </w:rPr>
            </w:pPr>
            <w:r>
              <w:rPr>
                <w:rFonts w:hint="eastAsia" w:cs="宋体"/>
                <w:i w:val="0"/>
                <w:iCs w:val="0"/>
                <w:color w:val="auto"/>
                <w:sz w:val="24"/>
                <w:highlight w:val="none"/>
                <w:lang w:val="en-US" w:eastAsia="zh-CN"/>
              </w:rPr>
              <w:t>2</w:t>
            </w:r>
          </w:p>
        </w:tc>
        <w:tc>
          <w:tcPr>
            <w:tcW w:w="2496" w:type="dxa"/>
            <w:noWrap w:val="0"/>
            <w:vAlign w:val="center"/>
          </w:tcPr>
          <w:p w14:paraId="121A59D4">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671" w:type="dxa"/>
            <w:noWrap w:val="0"/>
            <w:vAlign w:val="center"/>
          </w:tcPr>
          <w:p w14:paraId="1C064253">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4"/>
                <w:highlight w:val="none"/>
                <w:lang w:eastAsia="zh-CN"/>
              </w:rPr>
            </w:pPr>
          </w:p>
        </w:tc>
        <w:tc>
          <w:tcPr>
            <w:tcW w:w="1957" w:type="dxa"/>
            <w:noWrap w:val="0"/>
            <w:vAlign w:val="center"/>
          </w:tcPr>
          <w:p w14:paraId="3F31868A">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732" w:type="dxa"/>
            <w:noWrap w:val="0"/>
            <w:vAlign w:val="center"/>
          </w:tcPr>
          <w:p w14:paraId="5B69F070">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65E3C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673" w:type="dxa"/>
            <w:noWrap w:val="0"/>
            <w:vAlign w:val="center"/>
          </w:tcPr>
          <w:p w14:paraId="55CFD93A">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default" w:ascii="宋体" w:hAnsi="宋体" w:eastAsia="宋体" w:cs="宋体"/>
                <w:i w:val="0"/>
                <w:iCs w:val="0"/>
                <w:color w:val="auto"/>
                <w:sz w:val="24"/>
                <w:highlight w:val="none"/>
                <w:lang w:val="en-US" w:eastAsia="zh-CN"/>
              </w:rPr>
            </w:pPr>
            <w:r>
              <w:rPr>
                <w:rFonts w:hint="eastAsia" w:cs="宋体"/>
                <w:i w:val="0"/>
                <w:iCs w:val="0"/>
                <w:color w:val="auto"/>
                <w:sz w:val="24"/>
                <w:highlight w:val="none"/>
                <w:lang w:val="en-US" w:eastAsia="zh-CN"/>
              </w:rPr>
              <w:t>3</w:t>
            </w:r>
          </w:p>
        </w:tc>
        <w:tc>
          <w:tcPr>
            <w:tcW w:w="2496" w:type="dxa"/>
            <w:noWrap w:val="0"/>
            <w:vAlign w:val="center"/>
          </w:tcPr>
          <w:p w14:paraId="60712A5A">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cs="宋体"/>
                <w:i w:val="0"/>
                <w:iCs w:val="0"/>
                <w:color w:val="auto"/>
                <w:kern w:val="2"/>
                <w:sz w:val="24"/>
                <w:szCs w:val="24"/>
                <w:highlight w:val="none"/>
                <w:lang w:val="en-US" w:eastAsia="zh-CN" w:bidi="ar-SA"/>
              </w:rPr>
            </w:pPr>
          </w:p>
        </w:tc>
        <w:tc>
          <w:tcPr>
            <w:tcW w:w="3671" w:type="dxa"/>
            <w:noWrap w:val="0"/>
            <w:vAlign w:val="center"/>
          </w:tcPr>
          <w:p w14:paraId="21D5229D">
            <w:pPr>
              <w:pStyle w:val="69"/>
              <w:keepNext w:val="0"/>
              <w:keepLines w:val="0"/>
              <w:pageBreakBefore w:val="0"/>
              <w:widowControl w:val="0"/>
              <w:shd w:val="clear" w:color="auto"/>
              <w:kinsoku/>
              <w:wordWrap/>
              <w:overflowPunct/>
              <w:topLinePunct w:val="0"/>
              <w:bidi w:val="0"/>
              <w:adjustRightInd/>
              <w:snapToGrid/>
              <w:spacing w:line="360" w:lineRule="exact"/>
              <w:ind w:firstLine="0" w:firstLineChars="0"/>
              <w:textAlignment w:val="auto"/>
              <w:rPr>
                <w:rFonts w:hint="eastAsia" w:ascii="仿宋_GB2312" w:hAnsi="宋体" w:eastAsia="宋体"/>
                <w:i w:val="0"/>
                <w:iCs w:val="0"/>
                <w:color w:val="auto"/>
                <w:kern w:val="0"/>
                <w:sz w:val="31"/>
                <w:szCs w:val="20"/>
                <w:highlight w:val="none"/>
                <w:lang w:val="en-US" w:eastAsia="zh-CN" w:bidi="ar-SA"/>
              </w:rPr>
            </w:pPr>
          </w:p>
        </w:tc>
        <w:tc>
          <w:tcPr>
            <w:tcW w:w="1957" w:type="dxa"/>
            <w:noWrap w:val="0"/>
            <w:vAlign w:val="center"/>
          </w:tcPr>
          <w:p w14:paraId="02C3CDB0">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732" w:type="dxa"/>
            <w:noWrap w:val="0"/>
            <w:vAlign w:val="center"/>
          </w:tcPr>
          <w:p w14:paraId="40D7FE92">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1BB7E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673" w:type="dxa"/>
            <w:noWrap w:val="0"/>
            <w:vAlign w:val="center"/>
          </w:tcPr>
          <w:p w14:paraId="2702C255">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default" w:ascii="宋体" w:hAnsi="宋体" w:eastAsia="宋体" w:cs="宋体"/>
                <w:i w:val="0"/>
                <w:iCs w:val="0"/>
                <w:color w:val="auto"/>
                <w:sz w:val="24"/>
                <w:highlight w:val="none"/>
                <w:lang w:val="en-US" w:eastAsia="zh-CN"/>
              </w:rPr>
            </w:pPr>
            <w:r>
              <w:rPr>
                <w:rFonts w:hint="eastAsia" w:cs="宋体"/>
                <w:i w:val="0"/>
                <w:iCs w:val="0"/>
                <w:color w:val="auto"/>
                <w:sz w:val="24"/>
                <w:highlight w:val="none"/>
                <w:lang w:val="en-US" w:eastAsia="zh-CN"/>
              </w:rPr>
              <w:t>4</w:t>
            </w:r>
          </w:p>
        </w:tc>
        <w:tc>
          <w:tcPr>
            <w:tcW w:w="2496" w:type="dxa"/>
            <w:noWrap w:val="0"/>
            <w:vAlign w:val="center"/>
          </w:tcPr>
          <w:p w14:paraId="36944851">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cs="宋体"/>
                <w:i w:val="0"/>
                <w:iCs w:val="0"/>
                <w:color w:val="auto"/>
                <w:kern w:val="2"/>
                <w:sz w:val="24"/>
                <w:szCs w:val="24"/>
                <w:highlight w:val="none"/>
                <w:lang w:val="en-US" w:eastAsia="zh-CN" w:bidi="ar-SA"/>
              </w:rPr>
            </w:pPr>
          </w:p>
        </w:tc>
        <w:tc>
          <w:tcPr>
            <w:tcW w:w="3671" w:type="dxa"/>
            <w:noWrap w:val="0"/>
            <w:vAlign w:val="center"/>
          </w:tcPr>
          <w:p w14:paraId="36B4FB23">
            <w:pPr>
              <w:keepNext w:val="0"/>
              <w:keepLines w:val="0"/>
              <w:pageBreakBefore w:val="0"/>
              <w:widowControl w:val="0"/>
              <w:shd w:val="clear"/>
              <w:kinsoku/>
              <w:wordWrap/>
              <w:overflowPunct/>
              <w:topLinePunct w:val="0"/>
              <w:bidi w:val="0"/>
              <w:adjustRightInd/>
              <w:snapToGrid/>
              <w:spacing w:line="360" w:lineRule="exact"/>
              <w:textAlignment w:val="auto"/>
              <w:rPr>
                <w:rFonts w:hint="default" w:ascii="宋体" w:hAnsi="宋体" w:cs="宋体"/>
                <w:i w:val="0"/>
                <w:iCs w:val="0"/>
                <w:color w:val="auto"/>
                <w:kern w:val="2"/>
                <w:sz w:val="24"/>
                <w:szCs w:val="24"/>
                <w:highlight w:val="none"/>
                <w:lang w:val="en-US" w:eastAsia="zh-CN" w:bidi="ar-SA"/>
              </w:rPr>
            </w:pPr>
          </w:p>
        </w:tc>
        <w:tc>
          <w:tcPr>
            <w:tcW w:w="1957" w:type="dxa"/>
            <w:noWrap w:val="0"/>
            <w:vAlign w:val="center"/>
          </w:tcPr>
          <w:p w14:paraId="49278A92">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732" w:type="dxa"/>
            <w:noWrap w:val="0"/>
            <w:vAlign w:val="center"/>
          </w:tcPr>
          <w:p w14:paraId="701A8FB0">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27C1E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673" w:type="dxa"/>
            <w:noWrap w:val="0"/>
            <w:vAlign w:val="center"/>
          </w:tcPr>
          <w:p w14:paraId="3A6BF21F">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default" w:ascii="宋体" w:hAnsi="宋体" w:eastAsia="宋体" w:cs="宋体"/>
                <w:i w:val="0"/>
                <w:iCs w:val="0"/>
                <w:color w:val="auto"/>
                <w:sz w:val="24"/>
                <w:highlight w:val="none"/>
                <w:lang w:val="en-US" w:eastAsia="zh-CN"/>
              </w:rPr>
            </w:pPr>
            <w:r>
              <w:rPr>
                <w:rFonts w:hint="eastAsia" w:cs="宋体"/>
                <w:i w:val="0"/>
                <w:iCs w:val="0"/>
                <w:color w:val="auto"/>
                <w:sz w:val="24"/>
                <w:highlight w:val="none"/>
                <w:lang w:val="en-US" w:eastAsia="zh-CN"/>
              </w:rPr>
              <w:t>5</w:t>
            </w:r>
          </w:p>
        </w:tc>
        <w:tc>
          <w:tcPr>
            <w:tcW w:w="2496" w:type="dxa"/>
            <w:noWrap w:val="0"/>
            <w:vAlign w:val="center"/>
          </w:tcPr>
          <w:p w14:paraId="4572E1F4">
            <w:pPr>
              <w:pStyle w:val="69"/>
              <w:keepNext w:val="0"/>
              <w:keepLines w:val="0"/>
              <w:pageBreakBefore w:val="0"/>
              <w:widowControl w:val="0"/>
              <w:shd w:val="clear" w:color="auto"/>
              <w:kinsoku/>
              <w:wordWrap/>
              <w:overflowPunct/>
              <w:topLinePunct w:val="0"/>
              <w:bidi w:val="0"/>
              <w:adjustRightInd/>
              <w:snapToGrid/>
              <w:spacing w:line="360" w:lineRule="exact"/>
              <w:ind w:firstLine="0" w:firstLineChars="0"/>
              <w:textAlignment w:val="auto"/>
              <w:rPr>
                <w:rFonts w:hint="eastAsia" w:ascii="宋体" w:eastAsia="宋体" w:cs="宋体"/>
                <w:i w:val="0"/>
                <w:iCs w:val="0"/>
                <w:color w:val="auto"/>
                <w:sz w:val="24"/>
                <w:szCs w:val="24"/>
                <w:highlight w:val="none"/>
                <w:lang w:val="en-US" w:eastAsia="zh-CN"/>
              </w:rPr>
            </w:pPr>
          </w:p>
        </w:tc>
        <w:tc>
          <w:tcPr>
            <w:tcW w:w="3671" w:type="dxa"/>
            <w:noWrap w:val="0"/>
            <w:vAlign w:val="center"/>
          </w:tcPr>
          <w:p w14:paraId="7B7AC935">
            <w:pPr>
              <w:keepNext w:val="0"/>
              <w:keepLines w:val="0"/>
              <w:pageBreakBefore w:val="0"/>
              <w:widowControl w:val="0"/>
              <w:shd w:val="clear" w:color="auto"/>
              <w:kinsoku/>
              <w:wordWrap/>
              <w:overflowPunct/>
              <w:topLinePunct w:val="0"/>
              <w:autoSpaceDE/>
              <w:autoSpaceDN/>
              <w:bidi w:val="0"/>
              <w:adjustRightInd/>
              <w:snapToGrid/>
              <w:spacing w:line="400" w:lineRule="atLeast"/>
              <w:textAlignment w:val="auto"/>
              <w:rPr>
                <w:rFonts w:hint="eastAsia" w:ascii="宋体" w:hAnsi="宋体" w:eastAsia="宋体" w:cs="宋体"/>
                <w:i w:val="0"/>
                <w:iCs w:val="0"/>
                <w:color w:val="auto"/>
                <w:sz w:val="24"/>
                <w:highlight w:val="none"/>
                <w:lang w:val="en-US" w:eastAsia="zh-CN"/>
              </w:rPr>
            </w:pPr>
          </w:p>
        </w:tc>
        <w:tc>
          <w:tcPr>
            <w:tcW w:w="1957" w:type="dxa"/>
            <w:noWrap w:val="0"/>
            <w:vAlign w:val="center"/>
          </w:tcPr>
          <w:p w14:paraId="5179A98C">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732" w:type="dxa"/>
            <w:noWrap w:val="0"/>
            <w:vAlign w:val="center"/>
          </w:tcPr>
          <w:p w14:paraId="2D5194A5">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4D4AD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673" w:type="dxa"/>
            <w:noWrap w:val="0"/>
            <w:vAlign w:val="center"/>
          </w:tcPr>
          <w:p w14:paraId="07D90878">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default" w:cs="宋体"/>
                <w:i w:val="0"/>
                <w:iCs w:val="0"/>
                <w:color w:val="auto"/>
                <w:sz w:val="24"/>
                <w:highlight w:val="none"/>
                <w:lang w:val="en-US" w:eastAsia="zh-CN"/>
              </w:rPr>
            </w:pPr>
            <w:r>
              <w:rPr>
                <w:rFonts w:hint="eastAsia" w:cs="宋体"/>
                <w:i w:val="0"/>
                <w:iCs w:val="0"/>
                <w:color w:val="auto"/>
                <w:sz w:val="24"/>
                <w:highlight w:val="none"/>
                <w:lang w:val="en-US" w:eastAsia="zh-CN"/>
              </w:rPr>
              <w:t>6</w:t>
            </w:r>
          </w:p>
        </w:tc>
        <w:tc>
          <w:tcPr>
            <w:tcW w:w="2496" w:type="dxa"/>
            <w:noWrap w:val="0"/>
            <w:vAlign w:val="center"/>
          </w:tcPr>
          <w:p w14:paraId="3C2AA142">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671" w:type="dxa"/>
            <w:noWrap w:val="0"/>
            <w:vAlign w:val="center"/>
          </w:tcPr>
          <w:p w14:paraId="79D6C58D">
            <w:pPr>
              <w:keepNext w:val="0"/>
              <w:keepLines w:val="0"/>
              <w:pageBreakBefore w:val="0"/>
              <w:widowControl w:val="0"/>
              <w:shd w:val="clear" w:color="auto"/>
              <w:kinsoku/>
              <w:wordWrap/>
              <w:overflowPunct/>
              <w:topLinePunct w:val="0"/>
              <w:autoSpaceDE/>
              <w:autoSpaceDN/>
              <w:bidi w:val="0"/>
              <w:adjustRightInd/>
              <w:snapToGrid/>
              <w:spacing w:line="400" w:lineRule="exact"/>
              <w:textAlignment w:val="auto"/>
              <w:rPr>
                <w:rFonts w:hint="eastAsia" w:ascii="宋体" w:hAnsi="宋体" w:cs="宋体"/>
                <w:i w:val="0"/>
                <w:iCs w:val="0"/>
                <w:color w:val="auto"/>
                <w:sz w:val="24"/>
                <w:highlight w:val="none"/>
              </w:rPr>
            </w:pPr>
          </w:p>
        </w:tc>
        <w:tc>
          <w:tcPr>
            <w:tcW w:w="1957" w:type="dxa"/>
            <w:noWrap w:val="0"/>
            <w:vAlign w:val="center"/>
          </w:tcPr>
          <w:p w14:paraId="07430D0C">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732" w:type="dxa"/>
            <w:noWrap w:val="0"/>
            <w:vAlign w:val="center"/>
          </w:tcPr>
          <w:p w14:paraId="3E7C7C40">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1F496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673" w:type="dxa"/>
            <w:noWrap w:val="0"/>
            <w:vAlign w:val="center"/>
          </w:tcPr>
          <w:p w14:paraId="29289FB8">
            <w:pPr>
              <w:keepNext w:val="0"/>
              <w:keepLines w:val="0"/>
              <w:pageBreakBefore w:val="0"/>
              <w:widowControl w:val="0"/>
              <w:kinsoku/>
              <w:wordWrap/>
              <w:overflowPunct/>
              <w:topLinePunct w:val="0"/>
              <w:bidi w:val="0"/>
              <w:adjustRightInd/>
              <w:snapToGrid/>
              <w:spacing w:line="360" w:lineRule="exact"/>
              <w:jc w:val="center"/>
              <w:textAlignment w:val="auto"/>
              <w:rPr>
                <w:rFonts w:hint="default" w:cs="宋体"/>
                <w:i w:val="0"/>
                <w:iCs w:val="0"/>
                <w:color w:val="auto"/>
                <w:sz w:val="24"/>
                <w:highlight w:val="none"/>
                <w:lang w:val="en-US" w:eastAsia="zh-CN"/>
              </w:rPr>
            </w:pPr>
            <w:r>
              <w:rPr>
                <w:rFonts w:hint="eastAsia" w:cs="宋体"/>
                <w:i w:val="0"/>
                <w:iCs w:val="0"/>
                <w:color w:val="auto"/>
                <w:sz w:val="24"/>
                <w:highlight w:val="none"/>
                <w:lang w:val="en-US" w:eastAsia="zh-CN"/>
              </w:rPr>
              <w:t>7</w:t>
            </w:r>
          </w:p>
        </w:tc>
        <w:tc>
          <w:tcPr>
            <w:tcW w:w="2496" w:type="dxa"/>
            <w:noWrap w:val="0"/>
            <w:vAlign w:val="center"/>
          </w:tcPr>
          <w:p w14:paraId="535D9A2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671" w:type="dxa"/>
            <w:noWrap w:val="0"/>
            <w:vAlign w:val="center"/>
          </w:tcPr>
          <w:p w14:paraId="22986C2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i w:val="0"/>
                <w:iCs w:val="0"/>
                <w:color w:val="auto"/>
                <w:sz w:val="24"/>
                <w:highlight w:val="none"/>
              </w:rPr>
            </w:pPr>
          </w:p>
        </w:tc>
        <w:tc>
          <w:tcPr>
            <w:tcW w:w="1957" w:type="dxa"/>
            <w:noWrap w:val="0"/>
            <w:vAlign w:val="center"/>
          </w:tcPr>
          <w:p w14:paraId="28E7E42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732" w:type="dxa"/>
            <w:noWrap w:val="0"/>
            <w:vAlign w:val="center"/>
          </w:tcPr>
          <w:p w14:paraId="3F8515C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44D81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673" w:type="dxa"/>
            <w:noWrap w:val="0"/>
            <w:vAlign w:val="center"/>
          </w:tcPr>
          <w:p w14:paraId="3B24A59F">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lang w:val="en-US" w:eastAsia="zh-CN"/>
              </w:rPr>
            </w:pPr>
          </w:p>
        </w:tc>
        <w:tc>
          <w:tcPr>
            <w:tcW w:w="2496" w:type="dxa"/>
            <w:shd w:val="clear" w:color="auto" w:fill="auto"/>
            <w:noWrap w:val="0"/>
            <w:vAlign w:val="center"/>
          </w:tcPr>
          <w:p w14:paraId="19308A5C">
            <w:pPr>
              <w:pStyle w:val="52"/>
              <w:rPr>
                <w:rFonts w:hint="eastAsia" w:ascii="宋体" w:hAnsi="宋体" w:eastAsia="宋体" w:cstheme="minorBidi"/>
                <w:i w:val="0"/>
                <w:iCs w:val="0"/>
                <w:color w:val="auto"/>
                <w:kern w:val="2"/>
                <w:sz w:val="24"/>
                <w:szCs w:val="22"/>
                <w:highlight w:val="none"/>
                <w:lang w:val="zh-CN" w:eastAsia="zh-CN" w:bidi="ar-SA"/>
              </w:rPr>
            </w:pPr>
            <w:r>
              <w:rPr>
                <w:rFonts w:hint="default" w:ascii="Arial" w:hAnsi="Arial" w:cs="Arial"/>
                <w:i w:val="0"/>
                <w:iCs w:val="0"/>
                <w:color w:val="auto"/>
                <w:highlight w:val="none"/>
                <w:lang w:val="zh-CN"/>
              </w:rPr>
              <w:t>……</w:t>
            </w:r>
          </w:p>
        </w:tc>
        <w:tc>
          <w:tcPr>
            <w:tcW w:w="3671" w:type="dxa"/>
            <w:noWrap w:val="0"/>
            <w:vAlign w:val="center"/>
          </w:tcPr>
          <w:p w14:paraId="4E3D7F7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i w:val="0"/>
                <w:iCs w:val="0"/>
                <w:color w:val="auto"/>
                <w:sz w:val="24"/>
                <w:highlight w:val="none"/>
                <w:lang w:eastAsia="zh-CN"/>
              </w:rPr>
            </w:pPr>
          </w:p>
        </w:tc>
        <w:tc>
          <w:tcPr>
            <w:tcW w:w="1957" w:type="dxa"/>
            <w:noWrap w:val="0"/>
            <w:vAlign w:val="center"/>
          </w:tcPr>
          <w:p w14:paraId="4B5E645C">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732" w:type="dxa"/>
            <w:noWrap w:val="0"/>
            <w:vAlign w:val="center"/>
          </w:tcPr>
          <w:p w14:paraId="6E7CC31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bl>
    <w:p w14:paraId="6132E663">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i w:val="0"/>
          <w:iCs w:val="0"/>
          <w:color w:val="auto"/>
          <w:kern w:val="2"/>
          <w:sz w:val="32"/>
          <w:szCs w:val="32"/>
          <w:highlight w:val="none"/>
          <w:lang w:val="en-US" w:eastAsia="zh-CN" w:bidi="ar-SA"/>
        </w:rPr>
      </w:pPr>
    </w:p>
    <w:p w14:paraId="53F552D4">
      <w:pPr>
        <w:rPr>
          <w:rFonts w:hint="eastAsia" w:cstheme="majorBidi"/>
          <w:b/>
          <w:bCs/>
          <w:i w:val="0"/>
          <w:iCs w:val="0"/>
          <w:color w:val="auto"/>
          <w:kern w:val="2"/>
          <w:sz w:val="32"/>
          <w:szCs w:val="32"/>
          <w:highlight w:val="none"/>
          <w:lang w:val="en-US" w:eastAsia="zh-CN" w:bidi="ar-SA"/>
        </w:rPr>
      </w:pPr>
    </w:p>
    <w:p w14:paraId="63408CB1">
      <w:pPr>
        <w:rPr>
          <w:rFonts w:hint="eastAsia" w:cstheme="majorBidi"/>
          <w:b/>
          <w:bCs/>
          <w:i w:val="0"/>
          <w:iCs w:val="0"/>
          <w:color w:val="auto"/>
          <w:kern w:val="2"/>
          <w:sz w:val="32"/>
          <w:szCs w:val="32"/>
          <w:highlight w:val="none"/>
          <w:lang w:val="en-US" w:eastAsia="zh-CN" w:bidi="ar-SA"/>
        </w:rPr>
      </w:pPr>
    </w:p>
    <w:p w14:paraId="3876C5D2">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548" w:name="_Toc9777"/>
      <w:r>
        <w:rPr>
          <w:rFonts w:hint="eastAsia" w:cstheme="majorBidi"/>
          <w:b/>
          <w:bCs/>
          <w:i w:val="0"/>
          <w:iCs w:val="0"/>
          <w:color w:val="auto"/>
          <w:kern w:val="2"/>
          <w:sz w:val="32"/>
          <w:szCs w:val="32"/>
          <w:highlight w:val="none"/>
          <w:lang w:val="en-US" w:eastAsia="zh-CN" w:bidi="ar-SA"/>
        </w:rPr>
        <w:t>六</w:t>
      </w:r>
      <w:r>
        <w:rPr>
          <w:rFonts w:hint="eastAsia" w:eastAsia="宋体" w:asciiTheme="majorHAnsi" w:hAnsiTheme="majorHAnsi" w:cstheme="majorBidi"/>
          <w:b/>
          <w:bCs/>
          <w:i w:val="0"/>
          <w:iCs w:val="0"/>
          <w:color w:val="auto"/>
          <w:kern w:val="2"/>
          <w:sz w:val="32"/>
          <w:szCs w:val="32"/>
          <w:highlight w:val="none"/>
          <w:lang w:val="en-US" w:eastAsia="zh-CN" w:bidi="ar-SA"/>
        </w:rPr>
        <w:t>、商务响应偏离表</w:t>
      </w:r>
      <w:bookmarkEnd w:id="548"/>
    </w:p>
    <w:p w14:paraId="1CF8D496">
      <w:pPr>
        <w:rPr>
          <w:rFonts w:cs="仿宋_GB2312"/>
          <w:i w:val="0"/>
          <w:iCs w:val="0"/>
          <w:color w:val="auto"/>
          <w:szCs w:val="24"/>
          <w:highlight w:val="none"/>
        </w:rPr>
      </w:pPr>
      <w:r>
        <w:rPr>
          <w:rFonts w:hint="eastAsia" w:cs="仿宋_GB2312"/>
          <w:i w:val="0"/>
          <w:iCs w:val="0"/>
          <w:color w:val="auto"/>
          <w:szCs w:val="24"/>
          <w:highlight w:val="none"/>
        </w:rPr>
        <w:t xml:space="preserve">项目名称：                                         </w:t>
      </w:r>
    </w:p>
    <w:p w14:paraId="011B4AF8">
      <w:pPr>
        <w:rPr>
          <w:rFonts w:cs="仿宋_GB2312"/>
          <w:i w:val="0"/>
          <w:iCs w:val="0"/>
          <w:color w:val="auto"/>
          <w:szCs w:val="24"/>
          <w:highlight w:val="none"/>
        </w:rPr>
      </w:pPr>
      <w:r>
        <w:rPr>
          <w:rFonts w:hint="eastAsia" w:cs="仿宋_GB2312"/>
          <w:i w:val="0"/>
          <w:iCs w:val="0"/>
          <w:color w:val="auto"/>
          <w:szCs w:val="24"/>
          <w:highlight w:val="none"/>
        </w:rPr>
        <w:t>项目编号</w:t>
      </w:r>
      <w:r>
        <w:rPr>
          <w:rFonts w:hint="eastAsia"/>
          <w:b w:val="0"/>
          <w:bCs/>
          <w:i w:val="0"/>
          <w:iCs w:val="0"/>
          <w:color w:val="auto"/>
          <w:szCs w:val="21"/>
          <w:highlight w:val="none"/>
          <w:lang w:val="en-US" w:eastAsia="zh-CN"/>
        </w:rPr>
        <w:t>/</w:t>
      </w:r>
      <w:r>
        <w:rPr>
          <w:rFonts w:hint="eastAsia"/>
          <w:b w:val="0"/>
          <w:bCs/>
          <w:i w:val="0"/>
          <w:iCs w:val="0"/>
          <w:color w:val="auto"/>
          <w:szCs w:val="21"/>
          <w:highlight w:val="none"/>
          <w:lang w:val="zh-CN"/>
        </w:rPr>
        <w:t>包号</w:t>
      </w:r>
      <w:r>
        <w:rPr>
          <w:rFonts w:hint="eastAsia" w:cs="仿宋_GB2312"/>
          <w:i w:val="0"/>
          <w:iCs w:val="0"/>
          <w:color w:val="auto"/>
          <w:szCs w:val="24"/>
          <w:highlight w:val="none"/>
        </w:rPr>
        <w:t xml:space="preserve">：        </w:t>
      </w:r>
    </w:p>
    <w:tbl>
      <w:tblPr>
        <w:tblStyle w:val="32"/>
        <w:tblW w:w="85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394"/>
        <w:gridCol w:w="1720"/>
        <w:gridCol w:w="1871"/>
        <w:gridCol w:w="1871"/>
      </w:tblGrid>
      <w:tr w14:paraId="7D0C8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721" w:type="dxa"/>
            <w:vAlign w:val="center"/>
          </w:tcPr>
          <w:p w14:paraId="743C0A7E">
            <w:pPr>
              <w:pStyle w:val="52"/>
              <w:jc w:val="center"/>
              <w:rPr>
                <w:i w:val="0"/>
                <w:iCs w:val="0"/>
                <w:color w:val="auto"/>
                <w:highlight w:val="none"/>
              </w:rPr>
            </w:pPr>
            <w:r>
              <w:rPr>
                <w:rFonts w:hint="eastAsia"/>
                <w:i w:val="0"/>
                <w:iCs w:val="0"/>
                <w:color w:val="auto"/>
                <w:highlight w:val="none"/>
              </w:rPr>
              <w:t>序号</w:t>
            </w:r>
          </w:p>
        </w:tc>
        <w:tc>
          <w:tcPr>
            <w:tcW w:w="2394" w:type="dxa"/>
            <w:vAlign w:val="center"/>
          </w:tcPr>
          <w:p w14:paraId="14C66AAC">
            <w:pPr>
              <w:pStyle w:val="52"/>
              <w:jc w:val="center"/>
              <w:rPr>
                <w:i w:val="0"/>
                <w:iCs w:val="0"/>
                <w:color w:val="auto"/>
                <w:highlight w:val="none"/>
              </w:rPr>
            </w:pPr>
            <w:r>
              <w:rPr>
                <w:rFonts w:hint="eastAsia"/>
                <w:i w:val="0"/>
                <w:iCs w:val="0"/>
                <w:color w:val="auto"/>
                <w:highlight w:val="none"/>
                <w:lang w:val="en-US" w:eastAsia="zh-CN"/>
              </w:rPr>
              <w:t>竞争性磋商</w:t>
            </w:r>
            <w:r>
              <w:rPr>
                <w:rFonts w:hint="eastAsia"/>
                <w:i w:val="0"/>
                <w:iCs w:val="0"/>
                <w:color w:val="auto"/>
                <w:highlight w:val="none"/>
              </w:rPr>
              <w:t>文件的商务条款</w:t>
            </w:r>
          </w:p>
        </w:tc>
        <w:tc>
          <w:tcPr>
            <w:tcW w:w="1720" w:type="dxa"/>
            <w:vAlign w:val="center"/>
          </w:tcPr>
          <w:p w14:paraId="40CD5F9F">
            <w:pPr>
              <w:pStyle w:val="52"/>
              <w:jc w:val="center"/>
              <w:rPr>
                <w:i w:val="0"/>
                <w:iCs w:val="0"/>
                <w:color w:val="auto"/>
                <w:highlight w:val="none"/>
              </w:rPr>
            </w:pPr>
            <w:r>
              <w:rPr>
                <w:rFonts w:hint="eastAsia"/>
                <w:i w:val="0"/>
                <w:iCs w:val="0"/>
                <w:color w:val="auto"/>
                <w:highlight w:val="none"/>
                <w:lang w:val="en-US" w:eastAsia="zh-CN"/>
              </w:rPr>
              <w:t>响应</w:t>
            </w:r>
            <w:r>
              <w:rPr>
                <w:rFonts w:hint="eastAsia"/>
                <w:i w:val="0"/>
                <w:iCs w:val="0"/>
                <w:color w:val="auto"/>
                <w:highlight w:val="none"/>
              </w:rPr>
              <w:t>文件的响应内容</w:t>
            </w:r>
          </w:p>
        </w:tc>
        <w:tc>
          <w:tcPr>
            <w:tcW w:w="1871" w:type="dxa"/>
            <w:vAlign w:val="center"/>
          </w:tcPr>
          <w:p w14:paraId="711A1B78">
            <w:pPr>
              <w:pStyle w:val="52"/>
              <w:jc w:val="center"/>
              <w:rPr>
                <w:i w:val="0"/>
                <w:iCs w:val="0"/>
                <w:color w:val="auto"/>
                <w:highlight w:val="none"/>
              </w:rPr>
            </w:pPr>
            <w:r>
              <w:rPr>
                <w:rFonts w:hint="eastAsia"/>
                <w:i w:val="0"/>
                <w:iCs w:val="0"/>
                <w:color w:val="auto"/>
                <w:highlight w:val="none"/>
              </w:rPr>
              <w:t>响应情况</w:t>
            </w:r>
          </w:p>
        </w:tc>
        <w:tc>
          <w:tcPr>
            <w:tcW w:w="1871" w:type="dxa"/>
            <w:vAlign w:val="center"/>
          </w:tcPr>
          <w:p w14:paraId="3497E3FD">
            <w:pPr>
              <w:pStyle w:val="52"/>
              <w:jc w:val="center"/>
              <w:rPr>
                <w:i w:val="0"/>
                <w:iCs w:val="0"/>
                <w:color w:val="auto"/>
                <w:highlight w:val="none"/>
              </w:rPr>
            </w:pPr>
            <w:r>
              <w:rPr>
                <w:rFonts w:hint="eastAsia"/>
                <w:i w:val="0"/>
                <w:iCs w:val="0"/>
                <w:color w:val="auto"/>
                <w:highlight w:val="none"/>
              </w:rPr>
              <w:t>说明及索引</w:t>
            </w:r>
          </w:p>
        </w:tc>
      </w:tr>
      <w:tr w14:paraId="7D2EE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59E1EC45">
            <w:pPr>
              <w:pStyle w:val="52"/>
              <w:jc w:val="center"/>
              <w:rPr>
                <w:i w:val="0"/>
                <w:iCs w:val="0"/>
                <w:color w:val="auto"/>
                <w:highlight w:val="none"/>
              </w:rPr>
            </w:pPr>
            <w:r>
              <w:rPr>
                <w:rFonts w:hint="eastAsia"/>
                <w:i w:val="0"/>
                <w:iCs w:val="0"/>
                <w:color w:val="auto"/>
                <w:highlight w:val="none"/>
              </w:rPr>
              <w:t>1</w:t>
            </w:r>
          </w:p>
        </w:tc>
        <w:tc>
          <w:tcPr>
            <w:tcW w:w="2394" w:type="dxa"/>
            <w:vAlign w:val="center"/>
          </w:tcPr>
          <w:p w14:paraId="1F858B46">
            <w:pPr>
              <w:pStyle w:val="52"/>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720" w:type="dxa"/>
            <w:vAlign w:val="center"/>
          </w:tcPr>
          <w:p w14:paraId="25C66783">
            <w:pPr>
              <w:pStyle w:val="52"/>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871" w:type="dxa"/>
            <w:vAlign w:val="center"/>
          </w:tcPr>
          <w:p w14:paraId="6A61893C">
            <w:pPr>
              <w:pStyle w:val="52"/>
              <w:jc w:val="center"/>
              <w:rPr>
                <w:i w:val="0"/>
                <w:iCs w:val="0"/>
                <w:color w:val="auto"/>
                <w:highlight w:val="none"/>
              </w:rPr>
            </w:pPr>
            <w:r>
              <w:rPr>
                <w:rFonts w:hint="eastAsia"/>
                <w:i w:val="0"/>
                <w:iCs w:val="0"/>
                <w:color w:val="auto"/>
                <w:highlight w:val="none"/>
              </w:rPr>
              <w:t>响应</w:t>
            </w:r>
            <w:r>
              <w:rPr>
                <w:i w:val="0"/>
                <w:iCs w:val="0"/>
                <w:color w:val="auto"/>
                <w:highlight w:val="none"/>
              </w:rPr>
              <w:t>/偏离</w:t>
            </w:r>
          </w:p>
        </w:tc>
        <w:tc>
          <w:tcPr>
            <w:tcW w:w="1871" w:type="dxa"/>
            <w:vAlign w:val="center"/>
          </w:tcPr>
          <w:p w14:paraId="4F531675">
            <w:pPr>
              <w:pStyle w:val="52"/>
              <w:jc w:val="center"/>
              <w:rPr>
                <w:i w:val="0"/>
                <w:iCs w:val="0"/>
                <w:color w:val="auto"/>
                <w:highlight w:val="none"/>
              </w:rPr>
            </w:pPr>
          </w:p>
        </w:tc>
      </w:tr>
      <w:tr w14:paraId="78536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74CD9672">
            <w:pPr>
              <w:pStyle w:val="52"/>
              <w:jc w:val="center"/>
              <w:rPr>
                <w:i w:val="0"/>
                <w:iCs w:val="0"/>
                <w:color w:val="auto"/>
                <w:highlight w:val="none"/>
              </w:rPr>
            </w:pPr>
            <w:r>
              <w:rPr>
                <w:rFonts w:hint="eastAsia"/>
                <w:i w:val="0"/>
                <w:iCs w:val="0"/>
                <w:color w:val="auto"/>
                <w:highlight w:val="none"/>
              </w:rPr>
              <w:t>2</w:t>
            </w:r>
          </w:p>
        </w:tc>
        <w:tc>
          <w:tcPr>
            <w:tcW w:w="2394" w:type="dxa"/>
            <w:vAlign w:val="center"/>
          </w:tcPr>
          <w:p w14:paraId="25C0A92B">
            <w:pPr>
              <w:pStyle w:val="52"/>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720" w:type="dxa"/>
            <w:vAlign w:val="center"/>
          </w:tcPr>
          <w:p w14:paraId="61DEB9E1">
            <w:pPr>
              <w:pStyle w:val="52"/>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871" w:type="dxa"/>
            <w:vAlign w:val="center"/>
          </w:tcPr>
          <w:p w14:paraId="1F220920">
            <w:pPr>
              <w:pStyle w:val="52"/>
              <w:jc w:val="center"/>
              <w:rPr>
                <w:i w:val="0"/>
                <w:iCs w:val="0"/>
                <w:color w:val="auto"/>
                <w:highlight w:val="none"/>
              </w:rPr>
            </w:pPr>
          </w:p>
        </w:tc>
        <w:tc>
          <w:tcPr>
            <w:tcW w:w="1871" w:type="dxa"/>
            <w:vAlign w:val="center"/>
          </w:tcPr>
          <w:p w14:paraId="2221527C">
            <w:pPr>
              <w:pStyle w:val="52"/>
              <w:jc w:val="center"/>
              <w:rPr>
                <w:i w:val="0"/>
                <w:iCs w:val="0"/>
                <w:color w:val="auto"/>
                <w:highlight w:val="none"/>
              </w:rPr>
            </w:pPr>
          </w:p>
        </w:tc>
      </w:tr>
      <w:tr w14:paraId="3B251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08BA4632">
            <w:pPr>
              <w:pStyle w:val="52"/>
              <w:jc w:val="center"/>
              <w:rPr>
                <w:i w:val="0"/>
                <w:iCs w:val="0"/>
                <w:color w:val="auto"/>
                <w:highlight w:val="none"/>
              </w:rPr>
            </w:pPr>
            <w:r>
              <w:rPr>
                <w:rFonts w:hint="eastAsia"/>
                <w:i w:val="0"/>
                <w:iCs w:val="0"/>
                <w:color w:val="auto"/>
                <w:highlight w:val="none"/>
              </w:rPr>
              <w:t>3</w:t>
            </w:r>
          </w:p>
        </w:tc>
        <w:tc>
          <w:tcPr>
            <w:tcW w:w="2394" w:type="dxa"/>
            <w:vAlign w:val="center"/>
          </w:tcPr>
          <w:p w14:paraId="071C89E9">
            <w:pPr>
              <w:pStyle w:val="52"/>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720" w:type="dxa"/>
            <w:vAlign w:val="center"/>
          </w:tcPr>
          <w:p w14:paraId="55D7DA46">
            <w:pPr>
              <w:pStyle w:val="52"/>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871" w:type="dxa"/>
            <w:vAlign w:val="center"/>
          </w:tcPr>
          <w:p w14:paraId="636AF64D">
            <w:pPr>
              <w:pStyle w:val="52"/>
              <w:jc w:val="center"/>
              <w:rPr>
                <w:i w:val="0"/>
                <w:iCs w:val="0"/>
                <w:color w:val="auto"/>
                <w:highlight w:val="none"/>
              </w:rPr>
            </w:pPr>
          </w:p>
        </w:tc>
        <w:tc>
          <w:tcPr>
            <w:tcW w:w="1871" w:type="dxa"/>
            <w:vAlign w:val="center"/>
          </w:tcPr>
          <w:p w14:paraId="2D6B2489">
            <w:pPr>
              <w:pStyle w:val="52"/>
              <w:jc w:val="center"/>
              <w:rPr>
                <w:i w:val="0"/>
                <w:iCs w:val="0"/>
                <w:color w:val="auto"/>
                <w:highlight w:val="none"/>
              </w:rPr>
            </w:pPr>
          </w:p>
        </w:tc>
      </w:tr>
      <w:tr w14:paraId="210A4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107460C6">
            <w:pPr>
              <w:pStyle w:val="52"/>
              <w:jc w:val="center"/>
              <w:rPr>
                <w:i w:val="0"/>
                <w:iCs w:val="0"/>
                <w:color w:val="auto"/>
                <w:highlight w:val="none"/>
              </w:rPr>
            </w:pPr>
          </w:p>
        </w:tc>
        <w:tc>
          <w:tcPr>
            <w:tcW w:w="2394" w:type="dxa"/>
            <w:vAlign w:val="center"/>
          </w:tcPr>
          <w:p w14:paraId="2EDDB471">
            <w:pPr>
              <w:pStyle w:val="52"/>
              <w:jc w:val="center"/>
              <w:rPr>
                <w:i w:val="0"/>
                <w:iCs w:val="0"/>
                <w:color w:val="auto"/>
                <w:highlight w:val="none"/>
              </w:rPr>
            </w:pPr>
          </w:p>
        </w:tc>
        <w:tc>
          <w:tcPr>
            <w:tcW w:w="1720" w:type="dxa"/>
            <w:vAlign w:val="center"/>
          </w:tcPr>
          <w:p w14:paraId="5B583694">
            <w:pPr>
              <w:pStyle w:val="52"/>
              <w:jc w:val="center"/>
              <w:rPr>
                <w:i w:val="0"/>
                <w:iCs w:val="0"/>
                <w:color w:val="auto"/>
                <w:highlight w:val="none"/>
              </w:rPr>
            </w:pPr>
          </w:p>
        </w:tc>
        <w:tc>
          <w:tcPr>
            <w:tcW w:w="1871" w:type="dxa"/>
            <w:vAlign w:val="center"/>
          </w:tcPr>
          <w:p w14:paraId="5638F257">
            <w:pPr>
              <w:pStyle w:val="52"/>
              <w:jc w:val="center"/>
              <w:rPr>
                <w:i w:val="0"/>
                <w:iCs w:val="0"/>
                <w:color w:val="auto"/>
                <w:highlight w:val="none"/>
              </w:rPr>
            </w:pPr>
          </w:p>
        </w:tc>
        <w:tc>
          <w:tcPr>
            <w:tcW w:w="1871" w:type="dxa"/>
            <w:vAlign w:val="center"/>
          </w:tcPr>
          <w:p w14:paraId="524E6E79">
            <w:pPr>
              <w:pStyle w:val="52"/>
              <w:jc w:val="center"/>
              <w:rPr>
                <w:i w:val="0"/>
                <w:iCs w:val="0"/>
                <w:color w:val="auto"/>
                <w:highlight w:val="none"/>
              </w:rPr>
            </w:pPr>
          </w:p>
        </w:tc>
      </w:tr>
      <w:tr w14:paraId="7868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385D285F">
            <w:pPr>
              <w:pStyle w:val="52"/>
              <w:jc w:val="center"/>
              <w:rPr>
                <w:i w:val="0"/>
                <w:iCs w:val="0"/>
                <w:color w:val="auto"/>
                <w:highlight w:val="none"/>
              </w:rPr>
            </w:pPr>
          </w:p>
        </w:tc>
        <w:tc>
          <w:tcPr>
            <w:tcW w:w="2394" w:type="dxa"/>
            <w:vAlign w:val="center"/>
          </w:tcPr>
          <w:p w14:paraId="541A0609">
            <w:pPr>
              <w:pStyle w:val="52"/>
              <w:jc w:val="center"/>
              <w:rPr>
                <w:i w:val="0"/>
                <w:iCs w:val="0"/>
                <w:color w:val="auto"/>
                <w:highlight w:val="none"/>
              </w:rPr>
            </w:pPr>
          </w:p>
        </w:tc>
        <w:tc>
          <w:tcPr>
            <w:tcW w:w="1720" w:type="dxa"/>
            <w:vAlign w:val="center"/>
          </w:tcPr>
          <w:p w14:paraId="1F853D18">
            <w:pPr>
              <w:pStyle w:val="52"/>
              <w:jc w:val="center"/>
              <w:rPr>
                <w:i w:val="0"/>
                <w:iCs w:val="0"/>
                <w:color w:val="auto"/>
                <w:highlight w:val="none"/>
              </w:rPr>
            </w:pPr>
          </w:p>
        </w:tc>
        <w:tc>
          <w:tcPr>
            <w:tcW w:w="1871" w:type="dxa"/>
            <w:vAlign w:val="center"/>
          </w:tcPr>
          <w:p w14:paraId="45CC80C3">
            <w:pPr>
              <w:pStyle w:val="52"/>
              <w:jc w:val="center"/>
              <w:rPr>
                <w:i w:val="0"/>
                <w:iCs w:val="0"/>
                <w:color w:val="auto"/>
                <w:highlight w:val="none"/>
              </w:rPr>
            </w:pPr>
          </w:p>
        </w:tc>
        <w:tc>
          <w:tcPr>
            <w:tcW w:w="1871" w:type="dxa"/>
            <w:vAlign w:val="center"/>
          </w:tcPr>
          <w:p w14:paraId="5CE753F2">
            <w:pPr>
              <w:pStyle w:val="52"/>
              <w:jc w:val="center"/>
              <w:rPr>
                <w:i w:val="0"/>
                <w:iCs w:val="0"/>
                <w:color w:val="auto"/>
                <w:highlight w:val="none"/>
              </w:rPr>
            </w:pPr>
          </w:p>
        </w:tc>
      </w:tr>
      <w:tr w14:paraId="534FF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2F26ACC7">
            <w:pPr>
              <w:pStyle w:val="52"/>
              <w:jc w:val="center"/>
              <w:rPr>
                <w:i w:val="0"/>
                <w:iCs w:val="0"/>
                <w:color w:val="auto"/>
                <w:highlight w:val="none"/>
              </w:rPr>
            </w:pPr>
          </w:p>
        </w:tc>
        <w:tc>
          <w:tcPr>
            <w:tcW w:w="2394" w:type="dxa"/>
            <w:vAlign w:val="center"/>
          </w:tcPr>
          <w:p w14:paraId="73705044">
            <w:pPr>
              <w:pStyle w:val="52"/>
              <w:jc w:val="center"/>
              <w:rPr>
                <w:i w:val="0"/>
                <w:iCs w:val="0"/>
                <w:color w:val="auto"/>
                <w:highlight w:val="none"/>
              </w:rPr>
            </w:pPr>
          </w:p>
        </w:tc>
        <w:tc>
          <w:tcPr>
            <w:tcW w:w="1720" w:type="dxa"/>
            <w:vAlign w:val="center"/>
          </w:tcPr>
          <w:p w14:paraId="33796807">
            <w:pPr>
              <w:pStyle w:val="52"/>
              <w:jc w:val="center"/>
              <w:rPr>
                <w:i w:val="0"/>
                <w:iCs w:val="0"/>
                <w:color w:val="auto"/>
                <w:highlight w:val="none"/>
              </w:rPr>
            </w:pPr>
          </w:p>
        </w:tc>
        <w:tc>
          <w:tcPr>
            <w:tcW w:w="1871" w:type="dxa"/>
            <w:vAlign w:val="center"/>
          </w:tcPr>
          <w:p w14:paraId="432C1872">
            <w:pPr>
              <w:pStyle w:val="52"/>
              <w:jc w:val="center"/>
              <w:rPr>
                <w:i w:val="0"/>
                <w:iCs w:val="0"/>
                <w:color w:val="auto"/>
                <w:highlight w:val="none"/>
              </w:rPr>
            </w:pPr>
          </w:p>
        </w:tc>
        <w:tc>
          <w:tcPr>
            <w:tcW w:w="1871" w:type="dxa"/>
            <w:vAlign w:val="center"/>
          </w:tcPr>
          <w:p w14:paraId="14A20B66">
            <w:pPr>
              <w:pStyle w:val="52"/>
              <w:jc w:val="center"/>
              <w:rPr>
                <w:i w:val="0"/>
                <w:iCs w:val="0"/>
                <w:color w:val="auto"/>
                <w:highlight w:val="none"/>
              </w:rPr>
            </w:pPr>
          </w:p>
        </w:tc>
      </w:tr>
      <w:tr w14:paraId="52C51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75A481A3">
            <w:pPr>
              <w:pStyle w:val="52"/>
              <w:jc w:val="center"/>
              <w:rPr>
                <w:i w:val="0"/>
                <w:iCs w:val="0"/>
                <w:color w:val="auto"/>
                <w:highlight w:val="none"/>
              </w:rPr>
            </w:pPr>
          </w:p>
        </w:tc>
        <w:tc>
          <w:tcPr>
            <w:tcW w:w="2394" w:type="dxa"/>
            <w:vAlign w:val="center"/>
          </w:tcPr>
          <w:p w14:paraId="6294986C">
            <w:pPr>
              <w:pStyle w:val="52"/>
              <w:jc w:val="center"/>
              <w:rPr>
                <w:i w:val="0"/>
                <w:iCs w:val="0"/>
                <w:color w:val="auto"/>
                <w:highlight w:val="none"/>
              </w:rPr>
            </w:pPr>
          </w:p>
        </w:tc>
        <w:tc>
          <w:tcPr>
            <w:tcW w:w="1720" w:type="dxa"/>
            <w:vAlign w:val="center"/>
          </w:tcPr>
          <w:p w14:paraId="2ACA7865">
            <w:pPr>
              <w:pStyle w:val="52"/>
              <w:jc w:val="center"/>
              <w:rPr>
                <w:i w:val="0"/>
                <w:iCs w:val="0"/>
                <w:color w:val="auto"/>
                <w:highlight w:val="none"/>
              </w:rPr>
            </w:pPr>
          </w:p>
        </w:tc>
        <w:tc>
          <w:tcPr>
            <w:tcW w:w="1871" w:type="dxa"/>
            <w:vAlign w:val="center"/>
          </w:tcPr>
          <w:p w14:paraId="2AFA0934">
            <w:pPr>
              <w:pStyle w:val="52"/>
              <w:jc w:val="center"/>
              <w:rPr>
                <w:i w:val="0"/>
                <w:iCs w:val="0"/>
                <w:color w:val="auto"/>
                <w:highlight w:val="none"/>
              </w:rPr>
            </w:pPr>
          </w:p>
        </w:tc>
        <w:tc>
          <w:tcPr>
            <w:tcW w:w="1871" w:type="dxa"/>
            <w:vAlign w:val="center"/>
          </w:tcPr>
          <w:p w14:paraId="0DD17C75">
            <w:pPr>
              <w:pStyle w:val="52"/>
              <w:jc w:val="center"/>
              <w:rPr>
                <w:i w:val="0"/>
                <w:iCs w:val="0"/>
                <w:color w:val="auto"/>
                <w:highlight w:val="none"/>
              </w:rPr>
            </w:pPr>
          </w:p>
        </w:tc>
      </w:tr>
      <w:tr w14:paraId="1144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314018E2">
            <w:pPr>
              <w:pStyle w:val="52"/>
              <w:jc w:val="center"/>
              <w:rPr>
                <w:i w:val="0"/>
                <w:iCs w:val="0"/>
                <w:color w:val="auto"/>
                <w:highlight w:val="none"/>
              </w:rPr>
            </w:pPr>
          </w:p>
        </w:tc>
        <w:tc>
          <w:tcPr>
            <w:tcW w:w="2394" w:type="dxa"/>
            <w:vAlign w:val="center"/>
          </w:tcPr>
          <w:p w14:paraId="2E8B696F">
            <w:pPr>
              <w:pStyle w:val="52"/>
              <w:jc w:val="center"/>
              <w:rPr>
                <w:i w:val="0"/>
                <w:iCs w:val="0"/>
                <w:color w:val="auto"/>
                <w:highlight w:val="none"/>
              </w:rPr>
            </w:pPr>
          </w:p>
        </w:tc>
        <w:tc>
          <w:tcPr>
            <w:tcW w:w="1720" w:type="dxa"/>
            <w:vAlign w:val="center"/>
          </w:tcPr>
          <w:p w14:paraId="7063364F">
            <w:pPr>
              <w:pStyle w:val="52"/>
              <w:jc w:val="center"/>
              <w:rPr>
                <w:i w:val="0"/>
                <w:iCs w:val="0"/>
                <w:color w:val="auto"/>
                <w:highlight w:val="none"/>
              </w:rPr>
            </w:pPr>
          </w:p>
        </w:tc>
        <w:tc>
          <w:tcPr>
            <w:tcW w:w="1871" w:type="dxa"/>
            <w:vAlign w:val="center"/>
          </w:tcPr>
          <w:p w14:paraId="37BCA2D5">
            <w:pPr>
              <w:pStyle w:val="52"/>
              <w:jc w:val="center"/>
              <w:rPr>
                <w:i w:val="0"/>
                <w:iCs w:val="0"/>
                <w:color w:val="auto"/>
                <w:highlight w:val="none"/>
              </w:rPr>
            </w:pPr>
          </w:p>
        </w:tc>
        <w:tc>
          <w:tcPr>
            <w:tcW w:w="1871" w:type="dxa"/>
            <w:vAlign w:val="center"/>
          </w:tcPr>
          <w:p w14:paraId="73F0557C">
            <w:pPr>
              <w:pStyle w:val="52"/>
              <w:jc w:val="center"/>
              <w:rPr>
                <w:i w:val="0"/>
                <w:iCs w:val="0"/>
                <w:color w:val="auto"/>
                <w:highlight w:val="none"/>
              </w:rPr>
            </w:pPr>
          </w:p>
        </w:tc>
      </w:tr>
      <w:tr w14:paraId="0D323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18DC15BE">
            <w:pPr>
              <w:pStyle w:val="52"/>
              <w:jc w:val="center"/>
              <w:rPr>
                <w:i w:val="0"/>
                <w:iCs w:val="0"/>
                <w:color w:val="auto"/>
                <w:highlight w:val="none"/>
              </w:rPr>
            </w:pPr>
          </w:p>
        </w:tc>
        <w:tc>
          <w:tcPr>
            <w:tcW w:w="2394" w:type="dxa"/>
            <w:vAlign w:val="center"/>
          </w:tcPr>
          <w:p w14:paraId="6EE46AA5">
            <w:pPr>
              <w:pStyle w:val="52"/>
              <w:jc w:val="center"/>
              <w:rPr>
                <w:i w:val="0"/>
                <w:iCs w:val="0"/>
                <w:color w:val="auto"/>
                <w:highlight w:val="none"/>
              </w:rPr>
            </w:pPr>
          </w:p>
        </w:tc>
        <w:tc>
          <w:tcPr>
            <w:tcW w:w="1720" w:type="dxa"/>
            <w:vAlign w:val="center"/>
          </w:tcPr>
          <w:p w14:paraId="1A0155E0">
            <w:pPr>
              <w:pStyle w:val="52"/>
              <w:jc w:val="center"/>
              <w:rPr>
                <w:i w:val="0"/>
                <w:iCs w:val="0"/>
                <w:color w:val="auto"/>
                <w:highlight w:val="none"/>
              </w:rPr>
            </w:pPr>
          </w:p>
        </w:tc>
        <w:tc>
          <w:tcPr>
            <w:tcW w:w="1871" w:type="dxa"/>
            <w:vAlign w:val="center"/>
          </w:tcPr>
          <w:p w14:paraId="3A40976A">
            <w:pPr>
              <w:pStyle w:val="52"/>
              <w:jc w:val="center"/>
              <w:rPr>
                <w:i w:val="0"/>
                <w:iCs w:val="0"/>
                <w:color w:val="auto"/>
                <w:highlight w:val="none"/>
              </w:rPr>
            </w:pPr>
          </w:p>
        </w:tc>
        <w:tc>
          <w:tcPr>
            <w:tcW w:w="1871" w:type="dxa"/>
            <w:vAlign w:val="center"/>
          </w:tcPr>
          <w:p w14:paraId="41B1F525">
            <w:pPr>
              <w:pStyle w:val="52"/>
              <w:jc w:val="center"/>
              <w:rPr>
                <w:i w:val="0"/>
                <w:iCs w:val="0"/>
                <w:color w:val="auto"/>
                <w:highlight w:val="none"/>
              </w:rPr>
            </w:pPr>
          </w:p>
        </w:tc>
      </w:tr>
      <w:tr w14:paraId="12B9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51FA4616">
            <w:pPr>
              <w:pStyle w:val="52"/>
              <w:jc w:val="center"/>
              <w:rPr>
                <w:i w:val="0"/>
                <w:iCs w:val="0"/>
                <w:color w:val="auto"/>
                <w:highlight w:val="none"/>
              </w:rPr>
            </w:pPr>
          </w:p>
        </w:tc>
        <w:tc>
          <w:tcPr>
            <w:tcW w:w="2394" w:type="dxa"/>
            <w:vAlign w:val="center"/>
          </w:tcPr>
          <w:p w14:paraId="27912C1A">
            <w:pPr>
              <w:pStyle w:val="52"/>
              <w:jc w:val="center"/>
              <w:rPr>
                <w:i w:val="0"/>
                <w:iCs w:val="0"/>
                <w:color w:val="auto"/>
                <w:highlight w:val="none"/>
              </w:rPr>
            </w:pPr>
          </w:p>
        </w:tc>
        <w:tc>
          <w:tcPr>
            <w:tcW w:w="1720" w:type="dxa"/>
            <w:vAlign w:val="center"/>
          </w:tcPr>
          <w:p w14:paraId="3B33654B">
            <w:pPr>
              <w:pStyle w:val="52"/>
              <w:jc w:val="center"/>
              <w:rPr>
                <w:i w:val="0"/>
                <w:iCs w:val="0"/>
                <w:color w:val="auto"/>
                <w:highlight w:val="none"/>
              </w:rPr>
            </w:pPr>
          </w:p>
        </w:tc>
        <w:tc>
          <w:tcPr>
            <w:tcW w:w="1871" w:type="dxa"/>
            <w:vAlign w:val="center"/>
          </w:tcPr>
          <w:p w14:paraId="2A0D903A">
            <w:pPr>
              <w:pStyle w:val="52"/>
              <w:jc w:val="center"/>
              <w:rPr>
                <w:i w:val="0"/>
                <w:iCs w:val="0"/>
                <w:color w:val="auto"/>
                <w:highlight w:val="none"/>
              </w:rPr>
            </w:pPr>
          </w:p>
        </w:tc>
        <w:tc>
          <w:tcPr>
            <w:tcW w:w="1871" w:type="dxa"/>
            <w:vAlign w:val="center"/>
          </w:tcPr>
          <w:p w14:paraId="7648EB12">
            <w:pPr>
              <w:pStyle w:val="52"/>
              <w:jc w:val="center"/>
              <w:rPr>
                <w:i w:val="0"/>
                <w:iCs w:val="0"/>
                <w:color w:val="auto"/>
                <w:highlight w:val="none"/>
              </w:rPr>
            </w:pPr>
          </w:p>
        </w:tc>
      </w:tr>
      <w:tr w14:paraId="32C7F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7A973E68">
            <w:pPr>
              <w:pStyle w:val="52"/>
              <w:jc w:val="center"/>
              <w:rPr>
                <w:i w:val="0"/>
                <w:iCs w:val="0"/>
                <w:color w:val="auto"/>
                <w:highlight w:val="none"/>
              </w:rPr>
            </w:pPr>
          </w:p>
        </w:tc>
        <w:tc>
          <w:tcPr>
            <w:tcW w:w="2394" w:type="dxa"/>
            <w:vAlign w:val="center"/>
          </w:tcPr>
          <w:p w14:paraId="609A2E00">
            <w:pPr>
              <w:pStyle w:val="52"/>
              <w:jc w:val="center"/>
              <w:rPr>
                <w:i w:val="0"/>
                <w:iCs w:val="0"/>
                <w:color w:val="auto"/>
                <w:highlight w:val="none"/>
              </w:rPr>
            </w:pPr>
          </w:p>
        </w:tc>
        <w:tc>
          <w:tcPr>
            <w:tcW w:w="1720" w:type="dxa"/>
            <w:vAlign w:val="center"/>
          </w:tcPr>
          <w:p w14:paraId="08C1E722">
            <w:pPr>
              <w:pStyle w:val="52"/>
              <w:jc w:val="center"/>
              <w:rPr>
                <w:i w:val="0"/>
                <w:iCs w:val="0"/>
                <w:color w:val="auto"/>
                <w:highlight w:val="none"/>
              </w:rPr>
            </w:pPr>
          </w:p>
        </w:tc>
        <w:tc>
          <w:tcPr>
            <w:tcW w:w="1871" w:type="dxa"/>
            <w:vAlign w:val="center"/>
          </w:tcPr>
          <w:p w14:paraId="5592BE9E">
            <w:pPr>
              <w:pStyle w:val="52"/>
              <w:jc w:val="center"/>
              <w:rPr>
                <w:i w:val="0"/>
                <w:iCs w:val="0"/>
                <w:color w:val="auto"/>
                <w:highlight w:val="none"/>
              </w:rPr>
            </w:pPr>
          </w:p>
        </w:tc>
        <w:tc>
          <w:tcPr>
            <w:tcW w:w="1871" w:type="dxa"/>
            <w:vAlign w:val="center"/>
          </w:tcPr>
          <w:p w14:paraId="7F282243">
            <w:pPr>
              <w:pStyle w:val="52"/>
              <w:jc w:val="center"/>
              <w:rPr>
                <w:i w:val="0"/>
                <w:iCs w:val="0"/>
                <w:color w:val="auto"/>
                <w:highlight w:val="none"/>
              </w:rPr>
            </w:pPr>
          </w:p>
        </w:tc>
      </w:tr>
      <w:tr w14:paraId="7BBA8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1" w:hRule="atLeast"/>
        </w:trPr>
        <w:tc>
          <w:tcPr>
            <w:tcW w:w="721" w:type="dxa"/>
            <w:vAlign w:val="center"/>
          </w:tcPr>
          <w:p w14:paraId="1398F0BA">
            <w:pPr>
              <w:pStyle w:val="52"/>
              <w:jc w:val="center"/>
              <w:rPr>
                <w:i w:val="0"/>
                <w:iCs w:val="0"/>
                <w:color w:val="auto"/>
                <w:highlight w:val="none"/>
              </w:rPr>
            </w:pPr>
          </w:p>
        </w:tc>
        <w:tc>
          <w:tcPr>
            <w:tcW w:w="2394" w:type="dxa"/>
            <w:vAlign w:val="center"/>
          </w:tcPr>
          <w:p w14:paraId="2CC0D975">
            <w:pPr>
              <w:pStyle w:val="52"/>
              <w:jc w:val="center"/>
              <w:rPr>
                <w:i w:val="0"/>
                <w:iCs w:val="0"/>
                <w:color w:val="auto"/>
                <w:highlight w:val="none"/>
              </w:rPr>
            </w:pPr>
          </w:p>
        </w:tc>
        <w:tc>
          <w:tcPr>
            <w:tcW w:w="1720" w:type="dxa"/>
            <w:vAlign w:val="center"/>
          </w:tcPr>
          <w:p w14:paraId="39F76E22">
            <w:pPr>
              <w:pStyle w:val="52"/>
              <w:jc w:val="center"/>
              <w:rPr>
                <w:i w:val="0"/>
                <w:iCs w:val="0"/>
                <w:color w:val="auto"/>
                <w:highlight w:val="none"/>
              </w:rPr>
            </w:pPr>
          </w:p>
        </w:tc>
        <w:tc>
          <w:tcPr>
            <w:tcW w:w="1871" w:type="dxa"/>
            <w:vAlign w:val="center"/>
          </w:tcPr>
          <w:p w14:paraId="1EFD9976">
            <w:pPr>
              <w:pStyle w:val="52"/>
              <w:jc w:val="center"/>
              <w:rPr>
                <w:i w:val="0"/>
                <w:iCs w:val="0"/>
                <w:color w:val="auto"/>
                <w:highlight w:val="none"/>
              </w:rPr>
            </w:pPr>
          </w:p>
        </w:tc>
        <w:tc>
          <w:tcPr>
            <w:tcW w:w="1871" w:type="dxa"/>
            <w:vAlign w:val="center"/>
          </w:tcPr>
          <w:p w14:paraId="0D41B6EE">
            <w:pPr>
              <w:pStyle w:val="52"/>
              <w:jc w:val="center"/>
              <w:rPr>
                <w:i w:val="0"/>
                <w:iCs w:val="0"/>
                <w:color w:val="auto"/>
                <w:highlight w:val="none"/>
              </w:rPr>
            </w:pPr>
          </w:p>
        </w:tc>
      </w:tr>
      <w:tr w14:paraId="7F2E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721" w:type="dxa"/>
            <w:vAlign w:val="center"/>
          </w:tcPr>
          <w:p w14:paraId="40219C2F">
            <w:pPr>
              <w:pStyle w:val="52"/>
              <w:jc w:val="center"/>
              <w:rPr>
                <w:i w:val="0"/>
                <w:iCs w:val="0"/>
                <w:color w:val="auto"/>
                <w:highlight w:val="none"/>
              </w:rPr>
            </w:pPr>
          </w:p>
        </w:tc>
        <w:tc>
          <w:tcPr>
            <w:tcW w:w="2394" w:type="dxa"/>
            <w:vAlign w:val="center"/>
          </w:tcPr>
          <w:p w14:paraId="2855EEA2">
            <w:pPr>
              <w:pStyle w:val="52"/>
              <w:jc w:val="center"/>
              <w:rPr>
                <w:i w:val="0"/>
                <w:iCs w:val="0"/>
                <w:color w:val="auto"/>
                <w:highlight w:val="none"/>
              </w:rPr>
            </w:pPr>
          </w:p>
        </w:tc>
        <w:tc>
          <w:tcPr>
            <w:tcW w:w="1720" w:type="dxa"/>
            <w:vAlign w:val="center"/>
          </w:tcPr>
          <w:p w14:paraId="333C7B6B">
            <w:pPr>
              <w:pStyle w:val="52"/>
              <w:jc w:val="center"/>
              <w:rPr>
                <w:i w:val="0"/>
                <w:iCs w:val="0"/>
                <w:color w:val="auto"/>
                <w:highlight w:val="none"/>
              </w:rPr>
            </w:pPr>
          </w:p>
        </w:tc>
        <w:tc>
          <w:tcPr>
            <w:tcW w:w="1871" w:type="dxa"/>
            <w:vAlign w:val="center"/>
          </w:tcPr>
          <w:p w14:paraId="76C561EE">
            <w:pPr>
              <w:pStyle w:val="52"/>
              <w:jc w:val="center"/>
              <w:rPr>
                <w:i w:val="0"/>
                <w:iCs w:val="0"/>
                <w:color w:val="auto"/>
                <w:highlight w:val="none"/>
              </w:rPr>
            </w:pPr>
          </w:p>
        </w:tc>
        <w:tc>
          <w:tcPr>
            <w:tcW w:w="1871" w:type="dxa"/>
            <w:vAlign w:val="center"/>
          </w:tcPr>
          <w:p w14:paraId="3E0C8EEC">
            <w:pPr>
              <w:pStyle w:val="52"/>
              <w:jc w:val="center"/>
              <w:rPr>
                <w:i w:val="0"/>
                <w:iCs w:val="0"/>
                <w:color w:val="auto"/>
                <w:highlight w:val="none"/>
              </w:rPr>
            </w:pPr>
          </w:p>
        </w:tc>
      </w:tr>
      <w:tr w14:paraId="54267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21" w:type="dxa"/>
            <w:vAlign w:val="center"/>
          </w:tcPr>
          <w:p w14:paraId="2EDE10B4">
            <w:pPr>
              <w:pStyle w:val="52"/>
              <w:jc w:val="center"/>
              <w:rPr>
                <w:i w:val="0"/>
                <w:iCs w:val="0"/>
                <w:color w:val="auto"/>
                <w:highlight w:val="none"/>
              </w:rPr>
            </w:pPr>
            <w:r>
              <w:rPr>
                <w:rFonts w:hint="eastAsia"/>
                <w:i w:val="0"/>
                <w:iCs w:val="0"/>
                <w:color w:val="auto"/>
                <w:highlight w:val="none"/>
              </w:rPr>
              <w:t>……</w:t>
            </w:r>
          </w:p>
        </w:tc>
        <w:tc>
          <w:tcPr>
            <w:tcW w:w="2394" w:type="dxa"/>
            <w:vAlign w:val="center"/>
          </w:tcPr>
          <w:p w14:paraId="3C05F2DD">
            <w:pPr>
              <w:pStyle w:val="52"/>
              <w:jc w:val="center"/>
              <w:rPr>
                <w:i w:val="0"/>
                <w:iCs w:val="0"/>
                <w:color w:val="auto"/>
                <w:highlight w:val="none"/>
              </w:rPr>
            </w:pPr>
            <w:r>
              <w:rPr>
                <w:rFonts w:hint="eastAsia"/>
                <w:i w:val="0"/>
                <w:iCs w:val="0"/>
                <w:color w:val="auto"/>
                <w:highlight w:val="none"/>
              </w:rPr>
              <w:t>…………</w:t>
            </w:r>
          </w:p>
        </w:tc>
        <w:tc>
          <w:tcPr>
            <w:tcW w:w="1720" w:type="dxa"/>
            <w:vAlign w:val="center"/>
          </w:tcPr>
          <w:p w14:paraId="0A418180">
            <w:pPr>
              <w:pStyle w:val="52"/>
              <w:jc w:val="center"/>
              <w:rPr>
                <w:i w:val="0"/>
                <w:iCs w:val="0"/>
                <w:color w:val="auto"/>
                <w:highlight w:val="none"/>
              </w:rPr>
            </w:pPr>
            <w:r>
              <w:rPr>
                <w:rFonts w:hint="eastAsia"/>
                <w:i w:val="0"/>
                <w:iCs w:val="0"/>
                <w:color w:val="auto"/>
                <w:highlight w:val="none"/>
              </w:rPr>
              <w:t>…………</w:t>
            </w:r>
          </w:p>
        </w:tc>
        <w:tc>
          <w:tcPr>
            <w:tcW w:w="1871" w:type="dxa"/>
            <w:vAlign w:val="center"/>
          </w:tcPr>
          <w:p w14:paraId="3B190BF2">
            <w:pPr>
              <w:pStyle w:val="52"/>
              <w:jc w:val="center"/>
              <w:rPr>
                <w:i w:val="0"/>
                <w:iCs w:val="0"/>
                <w:color w:val="auto"/>
                <w:highlight w:val="none"/>
              </w:rPr>
            </w:pPr>
            <w:r>
              <w:rPr>
                <w:rFonts w:hint="eastAsia"/>
                <w:i w:val="0"/>
                <w:iCs w:val="0"/>
                <w:color w:val="auto"/>
                <w:highlight w:val="none"/>
              </w:rPr>
              <w:t>……</w:t>
            </w:r>
          </w:p>
        </w:tc>
        <w:tc>
          <w:tcPr>
            <w:tcW w:w="1871" w:type="dxa"/>
            <w:vAlign w:val="center"/>
          </w:tcPr>
          <w:p w14:paraId="15B6059A">
            <w:pPr>
              <w:pStyle w:val="52"/>
              <w:jc w:val="center"/>
              <w:rPr>
                <w:i w:val="0"/>
                <w:iCs w:val="0"/>
                <w:color w:val="auto"/>
                <w:highlight w:val="none"/>
              </w:rPr>
            </w:pPr>
          </w:p>
        </w:tc>
      </w:tr>
    </w:tbl>
    <w:p w14:paraId="7A1AE4DA">
      <w:pPr>
        <w:ind w:firstLine="480" w:firstLineChars="200"/>
        <w:rPr>
          <w:rFonts w:hint="eastAsia" w:cs="仿宋_GB2312"/>
          <w:i w:val="0"/>
          <w:iCs w:val="0"/>
          <w:color w:val="auto"/>
          <w:szCs w:val="24"/>
          <w:highlight w:val="none"/>
        </w:rPr>
      </w:pPr>
    </w:p>
    <w:p w14:paraId="2BB1414E">
      <w:pPr>
        <w:ind w:firstLine="420" w:firstLineChars="200"/>
        <w:rPr>
          <w:rFonts w:cs="仿宋_GB2312"/>
          <w:i w:val="0"/>
          <w:iCs w:val="0"/>
          <w:color w:val="auto"/>
          <w:sz w:val="21"/>
          <w:szCs w:val="21"/>
          <w:highlight w:val="none"/>
        </w:rPr>
      </w:pPr>
      <w:r>
        <w:rPr>
          <w:rFonts w:hint="eastAsia" w:cs="仿宋_GB2312"/>
          <w:i w:val="0"/>
          <w:iCs w:val="0"/>
          <w:color w:val="auto"/>
          <w:sz w:val="21"/>
          <w:szCs w:val="21"/>
          <w:highlight w:val="none"/>
        </w:rPr>
        <w:t>注：</w:t>
      </w:r>
      <w:r>
        <w:rPr>
          <w:rFonts w:hint="eastAsia" w:cs="仿宋_GB2312"/>
          <w:i w:val="0"/>
          <w:iCs w:val="0"/>
          <w:color w:val="auto"/>
          <w:sz w:val="21"/>
          <w:szCs w:val="21"/>
          <w:highlight w:val="none"/>
          <w:lang w:val="en-US" w:eastAsia="zh-CN"/>
        </w:rPr>
        <w:t>供应商</w:t>
      </w:r>
      <w:r>
        <w:rPr>
          <w:rFonts w:hint="eastAsia" w:cs="仿宋_GB2312"/>
          <w:i w:val="0"/>
          <w:iCs w:val="0"/>
          <w:color w:val="auto"/>
          <w:sz w:val="21"/>
          <w:szCs w:val="21"/>
          <w:highlight w:val="none"/>
        </w:rPr>
        <w:t>应按照</w:t>
      </w:r>
      <w:r>
        <w:rPr>
          <w:rFonts w:hint="eastAsia" w:cs="仿宋_GB2312"/>
          <w:i w:val="0"/>
          <w:iCs w:val="0"/>
          <w:color w:val="auto"/>
          <w:sz w:val="21"/>
          <w:szCs w:val="21"/>
          <w:highlight w:val="none"/>
          <w:lang w:val="en-US" w:eastAsia="zh-CN"/>
        </w:rPr>
        <w:t>竞争性磋商</w:t>
      </w:r>
      <w:r>
        <w:rPr>
          <w:rFonts w:hint="eastAsia" w:cs="仿宋_GB2312"/>
          <w:i w:val="0"/>
          <w:iCs w:val="0"/>
          <w:color w:val="auto"/>
          <w:sz w:val="21"/>
          <w:szCs w:val="21"/>
          <w:highlight w:val="none"/>
        </w:rPr>
        <w:t>文件</w:t>
      </w:r>
      <w:r>
        <w:rPr>
          <w:rFonts w:hint="eastAsia" w:cs="仿宋_GB2312"/>
          <w:i w:val="0"/>
          <w:iCs w:val="0"/>
          <w:color w:val="auto"/>
          <w:sz w:val="21"/>
          <w:szCs w:val="21"/>
          <w:highlight w:val="none"/>
          <w:lang w:eastAsia="zh-CN"/>
        </w:rPr>
        <w:t>“</w:t>
      </w:r>
      <w:r>
        <w:rPr>
          <w:rFonts w:hint="eastAsia" w:cs="仿宋_GB2312"/>
          <w:i w:val="0"/>
          <w:iCs w:val="0"/>
          <w:color w:val="auto"/>
          <w:sz w:val="21"/>
          <w:szCs w:val="21"/>
          <w:highlight w:val="none"/>
        </w:rPr>
        <w:t xml:space="preserve">第三章 </w:t>
      </w:r>
      <w:r>
        <w:rPr>
          <w:rFonts w:hint="eastAsia" w:cs="仿宋_GB2312"/>
          <w:i w:val="0"/>
          <w:iCs w:val="0"/>
          <w:color w:val="auto"/>
          <w:sz w:val="21"/>
          <w:szCs w:val="21"/>
          <w:highlight w:val="none"/>
          <w:lang w:val="en-US" w:eastAsia="zh-CN"/>
        </w:rPr>
        <w:t>项目</w:t>
      </w:r>
      <w:r>
        <w:rPr>
          <w:rFonts w:hint="eastAsia" w:cs="仿宋_GB2312"/>
          <w:i w:val="0"/>
          <w:iCs w:val="0"/>
          <w:color w:val="auto"/>
          <w:sz w:val="21"/>
          <w:szCs w:val="21"/>
          <w:highlight w:val="none"/>
        </w:rPr>
        <w:t>采购需求</w:t>
      </w:r>
      <w:r>
        <w:rPr>
          <w:rFonts w:hint="eastAsia" w:cs="仿宋_GB2312"/>
          <w:i w:val="0"/>
          <w:iCs w:val="0"/>
          <w:color w:val="auto"/>
          <w:sz w:val="21"/>
          <w:szCs w:val="21"/>
          <w:highlight w:val="none"/>
          <w:lang w:eastAsia="zh-CN"/>
        </w:rPr>
        <w:t>”</w:t>
      </w:r>
      <w:r>
        <w:rPr>
          <w:rFonts w:hint="eastAsia" w:cs="仿宋_GB2312"/>
          <w:i w:val="0"/>
          <w:iCs w:val="0"/>
          <w:color w:val="auto"/>
          <w:sz w:val="21"/>
          <w:szCs w:val="21"/>
          <w:highlight w:val="none"/>
          <w:lang w:val="en-US" w:eastAsia="zh-CN"/>
        </w:rPr>
        <w:t>中的商务要求</w:t>
      </w:r>
      <w:r>
        <w:rPr>
          <w:rFonts w:hint="eastAsia" w:cs="仿宋_GB2312"/>
          <w:i w:val="0"/>
          <w:iCs w:val="0"/>
          <w:color w:val="auto"/>
          <w:sz w:val="21"/>
          <w:szCs w:val="21"/>
          <w:highlight w:val="none"/>
        </w:rPr>
        <w:t>填写</w:t>
      </w:r>
      <w:r>
        <w:rPr>
          <w:rFonts w:hint="eastAsia" w:cs="仿宋_GB2312"/>
          <w:i w:val="0"/>
          <w:iCs w:val="0"/>
          <w:color w:val="auto"/>
          <w:sz w:val="21"/>
          <w:szCs w:val="21"/>
          <w:highlight w:val="none"/>
          <w:lang w:eastAsia="zh-CN"/>
        </w:rPr>
        <w:t>，</w:t>
      </w:r>
      <w:r>
        <w:rPr>
          <w:rFonts w:hint="eastAsia" w:cs="仿宋_GB2312"/>
          <w:i w:val="0"/>
          <w:iCs w:val="0"/>
          <w:color w:val="auto"/>
          <w:sz w:val="21"/>
          <w:szCs w:val="21"/>
          <w:highlight w:val="none"/>
          <w:lang w:val="en-US" w:eastAsia="zh-CN"/>
        </w:rPr>
        <w:t>“响应/偏离”应据实填写“响应”、“正偏离”或“负偏离”</w:t>
      </w:r>
      <w:r>
        <w:rPr>
          <w:rFonts w:hint="eastAsia" w:cs="仿宋_GB2312"/>
          <w:i w:val="0"/>
          <w:iCs w:val="0"/>
          <w:color w:val="auto"/>
          <w:sz w:val="21"/>
          <w:szCs w:val="21"/>
          <w:highlight w:val="none"/>
        </w:rPr>
        <w:t>。</w:t>
      </w:r>
    </w:p>
    <w:p w14:paraId="50637629">
      <w:pPr>
        <w:rPr>
          <w:rFonts w:cs="仿宋_GB2312"/>
          <w:i w:val="0"/>
          <w:iCs w:val="0"/>
          <w:color w:val="auto"/>
          <w:szCs w:val="24"/>
          <w:highlight w:val="none"/>
        </w:rPr>
      </w:pPr>
    </w:p>
    <w:p w14:paraId="64520258">
      <w:pPr>
        <w:ind w:firstLine="480" w:firstLineChars="200"/>
        <w:rPr>
          <w:rFonts w:cs="仿宋_GB2312"/>
          <w:i w:val="0"/>
          <w:iCs w:val="0"/>
          <w:color w:val="auto"/>
          <w:szCs w:val="24"/>
          <w:highlight w:val="none"/>
        </w:rPr>
      </w:pPr>
    </w:p>
    <w:p w14:paraId="5FFEA5A0">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59924378">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64704939">
      <w:pPr>
        <w:ind w:firstLine="420"/>
        <w:rPr>
          <w:rFonts w:cs="仿宋_GB2312"/>
          <w:i w:val="0"/>
          <w:iCs w:val="0"/>
          <w:color w:val="auto"/>
          <w:szCs w:val="24"/>
          <w:highlight w:val="none"/>
        </w:rPr>
      </w:pPr>
      <w:r>
        <w:rPr>
          <w:rFonts w:cs="仿宋_GB2312"/>
          <w:i w:val="0"/>
          <w:iCs w:val="0"/>
          <w:color w:val="auto"/>
          <w:szCs w:val="24"/>
          <w:highlight w:val="none"/>
        </w:rPr>
        <w:br w:type="page"/>
      </w:r>
    </w:p>
    <w:p w14:paraId="1632F207">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549" w:name="_Toc14814"/>
      <w:r>
        <w:rPr>
          <w:rFonts w:hint="eastAsia" w:cstheme="majorBidi"/>
          <w:b/>
          <w:bCs/>
          <w:i w:val="0"/>
          <w:iCs w:val="0"/>
          <w:color w:val="auto"/>
          <w:kern w:val="2"/>
          <w:sz w:val="32"/>
          <w:szCs w:val="32"/>
          <w:highlight w:val="none"/>
          <w:lang w:val="en-US" w:eastAsia="zh-CN" w:bidi="ar-SA"/>
        </w:rPr>
        <w:t>七</w:t>
      </w:r>
      <w:r>
        <w:rPr>
          <w:rFonts w:hint="eastAsia" w:eastAsia="宋体" w:asciiTheme="majorHAnsi" w:hAnsiTheme="majorHAnsi" w:cstheme="majorBidi"/>
          <w:b/>
          <w:bCs/>
          <w:i w:val="0"/>
          <w:iCs w:val="0"/>
          <w:color w:val="auto"/>
          <w:kern w:val="2"/>
          <w:sz w:val="32"/>
          <w:szCs w:val="32"/>
          <w:highlight w:val="none"/>
          <w:lang w:val="en-US" w:eastAsia="zh-CN" w:bidi="ar-SA"/>
        </w:rPr>
        <w:t>、业绩证明文件</w:t>
      </w:r>
      <w:bookmarkEnd w:id="549"/>
    </w:p>
    <w:p w14:paraId="0CFFE431">
      <w:pPr>
        <w:rPr>
          <w:rFonts w:cs="仿宋_GB2312"/>
          <w:i w:val="0"/>
          <w:iCs w:val="0"/>
          <w:color w:val="auto"/>
          <w:szCs w:val="24"/>
          <w:highlight w:val="none"/>
        </w:rPr>
      </w:pPr>
      <w:r>
        <w:rPr>
          <w:rFonts w:cs="Arial"/>
          <w:bCs/>
          <w:i w:val="0"/>
          <w:iCs w:val="0"/>
          <w:color w:val="auto"/>
          <w:szCs w:val="21"/>
          <w:highlight w:val="none"/>
        </w:rPr>
        <w:fldChar w:fldCharType="begin"/>
      </w:r>
      <w:r>
        <w:rPr>
          <w:rFonts w:cs="Arial"/>
          <w:bCs/>
          <w:i w:val="0"/>
          <w:iCs w:val="0"/>
          <w:color w:val="auto"/>
          <w:szCs w:val="21"/>
          <w:highlight w:val="none"/>
        </w:rPr>
        <w:instrText xml:space="preserve"> LINK Word.Document.8 "D:\\音乐厅\\4通用设备\\招标文件\\音乐厅空调设备招标文件v1.0.doc" "OLE_LINK8" \r  \* MERGEFORMAT </w:instrText>
      </w:r>
      <w:r>
        <w:rPr>
          <w:rFonts w:cs="Arial"/>
          <w:bCs/>
          <w:i w:val="0"/>
          <w:iCs w:val="0"/>
          <w:color w:val="auto"/>
          <w:szCs w:val="21"/>
          <w:highlight w:val="none"/>
        </w:rPr>
        <w:fldChar w:fldCharType="separate"/>
      </w:r>
      <w:r>
        <w:rPr>
          <w:rFonts w:hint="eastAsia" w:cs="仿宋_GB2312"/>
          <w:i w:val="0"/>
          <w:iCs w:val="0"/>
          <w:color w:val="auto"/>
          <w:szCs w:val="24"/>
          <w:highlight w:val="none"/>
        </w:rPr>
        <w:t xml:space="preserve">项目名称：                                         </w:t>
      </w:r>
    </w:p>
    <w:p w14:paraId="2D51EB84">
      <w:pPr>
        <w:rPr>
          <w:rFonts w:cs="Arial"/>
          <w:bCs/>
          <w:i w:val="0"/>
          <w:iCs w:val="0"/>
          <w:color w:val="auto"/>
          <w:szCs w:val="21"/>
          <w:highlight w:val="none"/>
        </w:rPr>
      </w:pPr>
      <w:r>
        <w:rPr>
          <w:rFonts w:hint="eastAsia" w:cs="仿宋_GB2312"/>
          <w:i w:val="0"/>
          <w:iCs w:val="0"/>
          <w:color w:val="auto"/>
          <w:szCs w:val="24"/>
          <w:highlight w:val="none"/>
        </w:rPr>
        <w:t>项目编号</w:t>
      </w:r>
      <w:r>
        <w:rPr>
          <w:rFonts w:hint="eastAsia" w:cs="仿宋_GB2312"/>
          <w:i w:val="0"/>
          <w:iCs w:val="0"/>
          <w:color w:val="auto"/>
          <w:szCs w:val="24"/>
          <w:highlight w:val="none"/>
          <w:lang w:val="en-US" w:eastAsia="zh-CN"/>
        </w:rPr>
        <w:t>/包号</w:t>
      </w:r>
      <w:r>
        <w:rPr>
          <w:rFonts w:hint="eastAsia" w:cs="仿宋_GB2312"/>
          <w:i w:val="0"/>
          <w:iCs w:val="0"/>
          <w:color w:val="auto"/>
          <w:szCs w:val="24"/>
          <w:highlight w:val="none"/>
        </w:rPr>
        <w:t xml:space="preserve">：      </w:t>
      </w:r>
      <w:r>
        <w:rPr>
          <w:rFonts w:cs="Arial"/>
          <w:bCs/>
          <w:i w:val="0"/>
          <w:iCs w:val="0"/>
          <w:color w:val="auto"/>
          <w:szCs w:val="21"/>
          <w:highlight w:val="none"/>
        </w:rPr>
        <w:fldChar w:fldCharType="end"/>
      </w:r>
    </w:p>
    <w:tbl>
      <w:tblPr>
        <w:tblStyle w:val="32"/>
        <w:tblW w:w="9615" w:type="dxa"/>
        <w:tblInd w:w="-3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1233"/>
        <w:gridCol w:w="1272"/>
        <w:gridCol w:w="1188"/>
        <w:gridCol w:w="1487"/>
        <w:gridCol w:w="1477"/>
        <w:gridCol w:w="984"/>
        <w:gridCol w:w="1191"/>
      </w:tblGrid>
      <w:tr w14:paraId="63D03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83" w:type="dxa"/>
            <w:vAlign w:val="center"/>
          </w:tcPr>
          <w:p w14:paraId="135CD872">
            <w:pPr>
              <w:jc w:val="center"/>
              <w:rPr>
                <w:rFonts w:cs="仿宋_GB2312"/>
                <w:i w:val="0"/>
                <w:iCs w:val="0"/>
                <w:color w:val="auto"/>
                <w:sz w:val="24"/>
                <w:szCs w:val="24"/>
                <w:highlight w:val="none"/>
              </w:rPr>
            </w:pPr>
            <w:bookmarkStart w:id="550" w:name="_Hlk46779239"/>
            <w:r>
              <w:rPr>
                <w:rFonts w:hint="eastAsia" w:cs="仿宋_GB2312"/>
                <w:i w:val="0"/>
                <w:iCs w:val="0"/>
                <w:color w:val="auto"/>
                <w:sz w:val="24"/>
                <w:szCs w:val="24"/>
                <w:highlight w:val="none"/>
              </w:rPr>
              <w:t>序号</w:t>
            </w:r>
          </w:p>
        </w:tc>
        <w:tc>
          <w:tcPr>
            <w:tcW w:w="1233" w:type="dxa"/>
            <w:vAlign w:val="center"/>
          </w:tcPr>
          <w:p w14:paraId="27E53D95">
            <w:pPr>
              <w:rPr>
                <w:rFonts w:cs="仿宋_GB2312"/>
                <w:i w:val="0"/>
                <w:iCs w:val="0"/>
                <w:color w:val="auto"/>
                <w:sz w:val="24"/>
                <w:szCs w:val="24"/>
                <w:highlight w:val="none"/>
              </w:rPr>
            </w:pPr>
            <w:r>
              <w:rPr>
                <w:rFonts w:hint="eastAsia" w:cs="仿宋_GB2312"/>
                <w:i w:val="0"/>
                <w:iCs w:val="0"/>
                <w:color w:val="auto"/>
                <w:sz w:val="24"/>
                <w:szCs w:val="24"/>
                <w:highlight w:val="none"/>
              </w:rPr>
              <w:t>完成时间</w:t>
            </w:r>
          </w:p>
        </w:tc>
        <w:tc>
          <w:tcPr>
            <w:tcW w:w="1272" w:type="dxa"/>
            <w:vAlign w:val="center"/>
          </w:tcPr>
          <w:p w14:paraId="0FB19046">
            <w:pPr>
              <w:jc w:val="center"/>
              <w:rPr>
                <w:rFonts w:cs="仿宋_GB2312"/>
                <w:i w:val="0"/>
                <w:iCs w:val="0"/>
                <w:color w:val="auto"/>
                <w:sz w:val="24"/>
                <w:szCs w:val="24"/>
                <w:highlight w:val="none"/>
              </w:rPr>
            </w:pPr>
            <w:r>
              <w:rPr>
                <w:rFonts w:hint="eastAsia" w:cs="仿宋_GB2312"/>
                <w:i w:val="0"/>
                <w:iCs w:val="0"/>
                <w:color w:val="auto"/>
                <w:sz w:val="24"/>
                <w:szCs w:val="24"/>
                <w:highlight w:val="none"/>
              </w:rPr>
              <w:t>项目名称</w:t>
            </w:r>
          </w:p>
        </w:tc>
        <w:tc>
          <w:tcPr>
            <w:tcW w:w="1188" w:type="dxa"/>
            <w:vAlign w:val="center"/>
          </w:tcPr>
          <w:p w14:paraId="196F96CC">
            <w:pPr>
              <w:jc w:val="center"/>
              <w:rPr>
                <w:rFonts w:cs="仿宋_GB2312"/>
                <w:i w:val="0"/>
                <w:iCs w:val="0"/>
                <w:color w:val="auto"/>
                <w:sz w:val="24"/>
                <w:szCs w:val="24"/>
                <w:highlight w:val="none"/>
              </w:rPr>
            </w:pPr>
            <w:r>
              <w:rPr>
                <w:rFonts w:hint="eastAsia" w:cs="仿宋_GB2312"/>
                <w:i w:val="0"/>
                <w:iCs w:val="0"/>
                <w:color w:val="auto"/>
                <w:sz w:val="24"/>
                <w:szCs w:val="24"/>
                <w:highlight w:val="none"/>
                <w:lang w:val="en-US" w:eastAsia="zh-CN"/>
              </w:rPr>
              <w:t>标的</w:t>
            </w:r>
            <w:r>
              <w:rPr>
                <w:rFonts w:hint="eastAsia" w:cs="仿宋_GB2312"/>
                <w:i w:val="0"/>
                <w:iCs w:val="0"/>
                <w:color w:val="auto"/>
                <w:sz w:val="24"/>
                <w:szCs w:val="24"/>
                <w:highlight w:val="none"/>
              </w:rPr>
              <w:t>内容</w:t>
            </w:r>
          </w:p>
        </w:tc>
        <w:tc>
          <w:tcPr>
            <w:tcW w:w="1487" w:type="dxa"/>
            <w:vAlign w:val="center"/>
          </w:tcPr>
          <w:p w14:paraId="4D8583D4">
            <w:pPr>
              <w:jc w:val="center"/>
              <w:rPr>
                <w:rFonts w:cs="仿宋_GB2312"/>
                <w:i w:val="0"/>
                <w:iCs w:val="0"/>
                <w:color w:val="auto"/>
                <w:sz w:val="24"/>
                <w:szCs w:val="24"/>
                <w:highlight w:val="none"/>
              </w:rPr>
            </w:pPr>
            <w:r>
              <w:rPr>
                <w:rFonts w:hint="eastAsia" w:cs="仿宋_GB2312"/>
                <w:i w:val="0"/>
                <w:iCs w:val="0"/>
                <w:color w:val="auto"/>
                <w:sz w:val="24"/>
                <w:szCs w:val="24"/>
                <w:highlight w:val="none"/>
                <w:lang w:val="en-US" w:eastAsia="zh-CN"/>
              </w:rPr>
              <w:t>采购人</w:t>
            </w:r>
            <w:r>
              <w:rPr>
                <w:rFonts w:hint="eastAsia" w:cs="仿宋_GB2312"/>
                <w:i w:val="0"/>
                <w:iCs w:val="0"/>
                <w:color w:val="auto"/>
                <w:sz w:val="24"/>
                <w:szCs w:val="24"/>
                <w:highlight w:val="none"/>
              </w:rPr>
              <w:t>名称</w:t>
            </w:r>
          </w:p>
        </w:tc>
        <w:tc>
          <w:tcPr>
            <w:tcW w:w="1477" w:type="dxa"/>
            <w:vAlign w:val="center"/>
          </w:tcPr>
          <w:p w14:paraId="1F319836">
            <w:pPr>
              <w:jc w:val="center"/>
              <w:rPr>
                <w:rFonts w:hint="eastAsia" w:cs="仿宋_GB2312"/>
                <w:i w:val="0"/>
                <w:iCs w:val="0"/>
                <w:color w:val="auto"/>
                <w:sz w:val="24"/>
                <w:szCs w:val="24"/>
                <w:highlight w:val="none"/>
              </w:rPr>
            </w:pPr>
            <w:r>
              <w:rPr>
                <w:rFonts w:hint="eastAsia" w:cs="仿宋_GB2312"/>
                <w:i w:val="0"/>
                <w:iCs w:val="0"/>
                <w:color w:val="auto"/>
                <w:sz w:val="24"/>
                <w:szCs w:val="24"/>
                <w:highlight w:val="none"/>
                <w:lang w:val="en-US" w:eastAsia="zh-CN"/>
              </w:rPr>
              <w:t>中标（成交）金额</w:t>
            </w:r>
          </w:p>
        </w:tc>
        <w:tc>
          <w:tcPr>
            <w:tcW w:w="984" w:type="dxa"/>
            <w:vAlign w:val="center"/>
          </w:tcPr>
          <w:p w14:paraId="3A30E02F">
            <w:pPr>
              <w:jc w:val="center"/>
              <w:rPr>
                <w:rFonts w:cs="仿宋_GB2312"/>
                <w:i w:val="0"/>
                <w:iCs w:val="0"/>
                <w:color w:val="auto"/>
                <w:sz w:val="24"/>
                <w:szCs w:val="24"/>
                <w:highlight w:val="none"/>
              </w:rPr>
            </w:pPr>
            <w:r>
              <w:rPr>
                <w:rFonts w:hint="eastAsia" w:cs="仿宋_GB2312"/>
                <w:i w:val="0"/>
                <w:iCs w:val="0"/>
                <w:color w:val="auto"/>
                <w:sz w:val="24"/>
                <w:szCs w:val="24"/>
                <w:highlight w:val="none"/>
              </w:rPr>
              <w:t>联系人</w:t>
            </w:r>
          </w:p>
        </w:tc>
        <w:tc>
          <w:tcPr>
            <w:tcW w:w="1191" w:type="dxa"/>
            <w:vAlign w:val="center"/>
          </w:tcPr>
          <w:p w14:paraId="225BE274">
            <w:pPr>
              <w:jc w:val="center"/>
              <w:rPr>
                <w:rFonts w:cs="仿宋_GB2312"/>
                <w:i w:val="0"/>
                <w:iCs w:val="0"/>
                <w:color w:val="auto"/>
                <w:sz w:val="24"/>
                <w:szCs w:val="24"/>
                <w:highlight w:val="none"/>
              </w:rPr>
            </w:pPr>
            <w:r>
              <w:rPr>
                <w:rFonts w:hint="eastAsia" w:cs="仿宋_GB2312"/>
                <w:i w:val="0"/>
                <w:iCs w:val="0"/>
                <w:color w:val="auto"/>
                <w:sz w:val="24"/>
                <w:szCs w:val="24"/>
                <w:highlight w:val="none"/>
              </w:rPr>
              <w:t>联系电话</w:t>
            </w:r>
          </w:p>
        </w:tc>
      </w:tr>
      <w:tr w14:paraId="35A30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83" w:type="dxa"/>
            <w:vAlign w:val="center"/>
          </w:tcPr>
          <w:p w14:paraId="5DE80A6D">
            <w:pPr>
              <w:jc w:val="center"/>
              <w:rPr>
                <w:rFonts w:cs="仿宋_GB2312"/>
                <w:i w:val="0"/>
                <w:iCs w:val="0"/>
                <w:color w:val="auto"/>
                <w:sz w:val="24"/>
                <w:szCs w:val="24"/>
                <w:highlight w:val="none"/>
              </w:rPr>
            </w:pPr>
            <w:r>
              <w:rPr>
                <w:rFonts w:hint="eastAsia" w:cs="仿宋_GB2312"/>
                <w:i w:val="0"/>
                <w:iCs w:val="0"/>
                <w:color w:val="auto"/>
                <w:sz w:val="24"/>
                <w:szCs w:val="24"/>
                <w:highlight w:val="none"/>
              </w:rPr>
              <w:t>1</w:t>
            </w:r>
          </w:p>
        </w:tc>
        <w:tc>
          <w:tcPr>
            <w:tcW w:w="1233" w:type="dxa"/>
            <w:vAlign w:val="center"/>
          </w:tcPr>
          <w:p w14:paraId="15F5FB03">
            <w:pPr>
              <w:rPr>
                <w:rFonts w:cs="仿宋_GB2312"/>
                <w:i w:val="0"/>
                <w:iCs w:val="0"/>
                <w:color w:val="auto"/>
                <w:sz w:val="24"/>
                <w:szCs w:val="24"/>
                <w:highlight w:val="none"/>
              </w:rPr>
            </w:pPr>
          </w:p>
        </w:tc>
        <w:tc>
          <w:tcPr>
            <w:tcW w:w="1272" w:type="dxa"/>
            <w:vAlign w:val="center"/>
          </w:tcPr>
          <w:p w14:paraId="15CBC7B2">
            <w:pPr>
              <w:rPr>
                <w:rFonts w:cs="仿宋_GB2312"/>
                <w:i w:val="0"/>
                <w:iCs w:val="0"/>
                <w:color w:val="auto"/>
                <w:sz w:val="24"/>
                <w:szCs w:val="24"/>
                <w:highlight w:val="none"/>
              </w:rPr>
            </w:pPr>
          </w:p>
        </w:tc>
        <w:tc>
          <w:tcPr>
            <w:tcW w:w="1188" w:type="dxa"/>
            <w:vAlign w:val="center"/>
          </w:tcPr>
          <w:p w14:paraId="775C2926">
            <w:pPr>
              <w:rPr>
                <w:rFonts w:cs="仿宋_GB2312"/>
                <w:i w:val="0"/>
                <w:iCs w:val="0"/>
                <w:color w:val="auto"/>
                <w:sz w:val="24"/>
                <w:szCs w:val="24"/>
                <w:highlight w:val="none"/>
              </w:rPr>
            </w:pPr>
          </w:p>
        </w:tc>
        <w:tc>
          <w:tcPr>
            <w:tcW w:w="1487" w:type="dxa"/>
            <w:vAlign w:val="center"/>
          </w:tcPr>
          <w:p w14:paraId="176238AB">
            <w:pPr>
              <w:rPr>
                <w:rFonts w:cs="仿宋_GB2312"/>
                <w:i w:val="0"/>
                <w:iCs w:val="0"/>
                <w:color w:val="auto"/>
                <w:sz w:val="24"/>
                <w:szCs w:val="24"/>
                <w:highlight w:val="none"/>
              </w:rPr>
            </w:pPr>
          </w:p>
        </w:tc>
        <w:tc>
          <w:tcPr>
            <w:tcW w:w="1477" w:type="dxa"/>
            <w:vAlign w:val="center"/>
          </w:tcPr>
          <w:p w14:paraId="018D0A01">
            <w:pPr>
              <w:rPr>
                <w:rFonts w:cs="仿宋_GB2312"/>
                <w:i w:val="0"/>
                <w:iCs w:val="0"/>
                <w:color w:val="auto"/>
                <w:sz w:val="24"/>
                <w:szCs w:val="24"/>
                <w:highlight w:val="none"/>
              </w:rPr>
            </w:pPr>
          </w:p>
        </w:tc>
        <w:tc>
          <w:tcPr>
            <w:tcW w:w="984" w:type="dxa"/>
            <w:vAlign w:val="center"/>
          </w:tcPr>
          <w:p w14:paraId="06DCB3E6">
            <w:pPr>
              <w:rPr>
                <w:rFonts w:cs="仿宋_GB2312"/>
                <w:i w:val="0"/>
                <w:iCs w:val="0"/>
                <w:color w:val="auto"/>
                <w:sz w:val="24"/>
                <w:szCs w:val="24"/>
                <w:highlight w:val="none"/>
              </w:rPr>
            </w:pPr>
          </w:p>
        </w:tc>
        <w:tc>
          <w:tcPr>
            <w:tcW w:w="1191" w:type="dxa"/>
            <w:vAlign w:val="center"/>
          </w:tcPr>
          <w:p w14:paraId="0C175147">
            <w:pPr>
              <w:rPr>
                <w:rFonts w:cs="仿宋_GB2312"/>
                <w:i w:val="0"/>
                <w:iCs w:val="0"/>
                <w:color w:val="auto"/>
                <w:sz w:val="24"/>
                <w:szCs w:val="24"/>
                <w:highlight w:val="none"/>
              </w:rPr>
            </w:pPr>
          </w:p>
        </w:tc>
      </w:tr>
      <w:tr w14:paraId="278F0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83" w:type="dxa"/>
            <w:vAlign w:val="center"/>
          </w:tcPr>
          <w:p w14:paraId="18737183">
            <w:pPr>
              <w:jc w:val="center"/>
              <w:rPr>
                <w:rFonts w:cs="仿宋_GB2312"/>
                <w:i w:val="0"/>
                <w:iCs w:val="0"/>
                <w:color w:val="auto"/>
                <w:sz w:val="24"/>
                <w:szCs w:val="24"/>
                <w:highlight w:val="none"/>
              </w:rPr>
            </w:pPr>
            <w:r>
              <w:rPr>
                <w:rFonts w:hint="eastAsia" w:cs="仿宋_GB2312"/>
                <w:i w:val="0"/>
                <w:iCs w:val="0"/>
                <w:color w:val="auto"/>
                <w:sz w:val="24"/>
                <w:szCs w:val="24"/>
                <w:highlight w:val="none"/>
              </w:rPr>
              <w:t>2</w:t>
            </w:r>
          </w:p>
        </w:tc>
        <w:tc>
          <w:tcPr>
            <w:tcW w:w="1233" w:type="dxa"/>
            <w:vAlign w:val="center"/>
          </w:tcPr>
          <w:p w14:paraId="2854A21F">
            <w:pPr>
              <w:rPr>
                <w:rFonts w:cs="仿宋_GB2312"/>
                <w:i w:val="0"/>
                <w:iCs w:val="0"/>
                <w:color w:val="auto"/>
                <w:sz w:val="24"/>
                <w:szCs w:val="24"/>
                <w:highlight w:val="none"/>
              </w:rPr>
            </w:pPr>
          </w:p>
        </w:tc>
        <w:tc>
          <w:tcPr>
            <w:tcW w:w="1272" w:type="dxa"/>
            <w:vAlign w:val="center"/>
          </w:tcPr>
          <w:p w14:paraId="467F70D4">
            <w:pPr>
              <w:rPr>
                <w:rFonts w:cs="仿宋_GB2312"/>
                <w:i w:val="0"/>
                <w:iCs w:val="0"/>
                <w:color w:val="auto"/>
                <w:sz w:val="24"/>
                <w:szCs w:val="24"/>
                <w:highlight w:val="none"/>
              </w:rPr>
            </w:pPr>
          </w:p>
        </w:tc>
        <w:tc>
          <w:tcPr>
            <w:tcW w:w="1188" w:type="dxa"/>
            <w:vAlign w:val="center"/>
          </w:tcPr>
          <w:p w14:paraId="4B3C097F">
            <w:pPr>
              <w:rPr>
                <w:rFonts w:cs="仿宋_GB2312"/>
                <w:i w:val="0"/>
                <w:iCs w:val="0"/>
                <w:color w:val="auto"/>
                <w:sz w:val="24"/>
                <w:szCs w:val="24"/>
                <w:highlight w:val="none"/>
              </w:rPr>
            </w:pPr>
          </w:p>
        </w:tc>
        <w:tc>
          <w:tcPr>
            <w:tcW w:w="1487" w:type="dxa"/>
            <w:vAlign w:val="center"/>
          </w:tcPr>
          <w:p w14:paraId="7066AA91">
            <w:pPr>
              <w:rPr>
                <w:rFonts w:cs="仿宋_GB2312"/>
                <w:i w:val="0"/>
                <w:iCs w:val="0"/>
                <w:color w:val="auto"/>
                <w:sz w:val="24"/>
                <w:szCs w:val="24"/>
                <w:highlight w:val="none"/>
              </w:rPr>
            </w:pPr>
          </w:p>
        </w:tc>
        <w:tc>
          <w:tcPr>
            <w:tcW w:w="1477" w:type="dxa"/>
            <w:vAlign w:val="center"/>
          </w:tcPr>
          <w:p w14:paraId="4B5DD339">
            <w:pPr>
              <w:rPr>
                <w:rFonts w:cs="仿宋_GB2312"/>
                <w:i w:val="0"/>
                <w:iCs w:val="0"/>
                <w:color w:val="auto"/>
                <w:sz w:val="24"/>
                <w:szCs w:val="24"/>
                <w:highlight w:val="none"/>
              </w:rPr>
            </w:pPr>
          </w:p>
        </w:tc>
        <w:tc>
          <w:tcPr>
            <w:tcW w:w="984" w:type="dxa"/>
            <w:vAlign w:val="center"/>
          </w:tcPr>
          <w:p w14:paraId="02D68F3A">
            <w:pPr>
              <w:rPr>
                <w:rFonts w:cs="仿宋_GB2312"/>
                <w:i w:val="0"/>
                <w:iCs w:val="0"/>
                <w:color w:val="auto"/>
                <w:sz w:val="24"/>
                <w:szCs w:val="24"/>
                <w:highlight w:val="none"/>
              </w:rPr>
            </w:pPr>
          </w:p>
        </w:tc>
        <w:tc>
          <w:tcPr>
            <w:tcW w:w="1191" w:type="dxa"/>
            <w:vAlign w:val="center"/>
          </w:tcPr>
          <w:p w14:paraId="4A7853AB">
            <w:pPr>
              <w:rPr>
                <w:rFonts w:cs="仿宋_GB2312"/>
                <w:i w:val="0"/>
                <w:iCs w:val="0"/>
                <w:color w:val="auto"/>
                <w:sz w:val="24"/>
                <w:szCs w:val="24"/>
                <w:highlight w:val="none"/>
              </w:rPr>
            </w:pPr>
          </w:p>
        </w:tc>
      </w:tr>
      <w:tr w14:paraId="6D221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83" w:type="dxa"/>
            <w:vAlign w:val="center"/>
          </w:tcPr>
          <w:p w14:paraId="76DB975A">
            <w:pPr>
              <w:jc w:val="center"/>
              <w:rPr>
                <w:rFonts w:cs="仿宋_GB2312"/>
                <w:i w:val="0"/>
                <w:iCs w:val="0"/>
                <w:color w:val="auto"/>
                <w:sz w:val="24"/>
                <w:szCs w:val="24"/>
                <w:highlight w:val="none"/>
              </w:rPr>
            </w:pPr>
            <w:r>
              <w:rPr>
                <w:rFonts w:hint="eastAsia" w:cs="仿宋_GB2312"/>
                <w:i w:val="0"/>
                <w:iCs w:val="0"/>
                <w:color w:val="auto"/>
                <w:sz w:val="24"/>
                <w:szCs w:val="24"/>
                <w:highlight w:val="none"/>
              </w:rPr>
              <w:t>3</w:t>
            </w:r>
          </w:p>
        </w:tc>
        <w:tc>
          <w:tcPr>
            <w:tcW w:w="1233" w:type="dxa"/>
            <w:vAlign w:val="center"/>
          </w:tcPr>
          <w:p w14:paraId="417E7844">
            <w:pPr>
              <w:rPr>
                <w:rFonts w:cs="仿宋_GB2312"/>
                <w:i w:val="0"/>
                <w:iCs w:val="0"/>
                <w:color w:val="auto"/>
                <w:sz w:val="24"/>
                <w:szCs w:val="24"/>
                <w:highlight w:val="none"/>
              </w:rPr>
            </w:pPr>
          </w:p>
        </w:tc>
        <w:tc>
          <w:tcPr>
            <w:tcW w:w="1272" w:type="dxa"/>
            <w:vAlign w:val="center"/>
          </w:tcPr>
          <w:p w14:paraId="1E82EF64">
            <w:pPr>
              <w:rPr>
                <w:rFonts w:cs="仿宋_GB2312"/>
                <w:i w:val="0"/>
                <w:iCs w:val="0"/>
                <w:color w:val="auto"/>
                <w:sz w:val="24"/>
                <w:szCs w:val="24"/>
                <w:highlight w:val="none"/>
              </w:rPr>
            </w:pPr>
          </w:p>
        </w:tc>
        <w:tc>
          <w:tcPr>
            <w:tcW w:w="1188" w:type="dxa"/>
            <w:vAlign w:val="center"/>
          </w:tcPr>
          <w:p w14:paraId="0E7AD7FC">
            <w:pPr>
              <w:rPr>
                <w:rFonts w:cs="仿宋_GB2312"/>
                <w:i w:val="0"/>
                <w:iCs w:val="0"/>
                <w:color w:val="auto"/>
                <w:sz w:val="24"/>
                <w:szCs w:val="24"/>
                <w:highlight w:val="none"/>
              </w:rPr>
            </w:pPr>
          </w:p>
        </w:tc>
        <w:tc>
          <w:tcPr>
            <w:tcW w:w="1487" w:type="dxa"/>
            <w:vAlign w:val="center"/>
          </w:tcPr>
          <w:p w14:paraId="773D8167">
            <w:pPr>
              <w:rPr>
                <w:rFonts w:cs="仿宋_GB2312"/>
                <w:i w:val="0"/>
                <w:iCs w:val="0"/>
                <w:color w:val="auto"/>
                <w:sz w:val="24"/>
                <w:szCs w:val="24"/>
                <w:highlight w:val="none"/>
              </w:rPr>
            </w:pPr>
          </w:p>
        </w:tc>
        <w:tc>
          <w:tcPr>
            <w:tcW w:w="1477" w:type="dxa"/>
            <w:vAlign w:val="center"/>
          </w:tcPr>
          <w:p w14:paraId="30B40C8A">
            <w:pPr>
              <w:rPr>
                <w:rFonts w:cs="仿宋_GB2312"/>
                <w:i w:val="0"/>
                <w:iCs w:val="0"/>
                <w:color w:val="auto"/>
                <w:sz w:val="24"/>
                <w:szCs w:val="24"/>
                <w:highlight w:val="none"/>
              </w:rPr>
            </w:pPr>
          </w:p>
        </w:tc>
        <w:tc>
          <w:tcPr>
            <w:tcW w:w="984" w:type="dxa"/>
            <w:vAlign w:val="center"/>
          </w:tcPr>
          <w:p w14:paraId="5B25A1A7">
            <w:pPr>
              <w:rPr>
                <w:rFonts w:cs="仿宋_GB2312"/>
                <w:i w:val="0"/>
                <w:iCs w:val="0"/>
                <w:color w:val="auto"/>
                <w:sz w:val="24"/>
                <w:szCs w:val="24"/>
                <w:highlight w:val="none"/>
              </w:rPr>
            </w:pPr>
          </w:p>
        </w:tc>
        <w:tc>
          <w:tcPr>
            <w:tcW w:w="1191" w:type="dxa"/>
            <w:vAlign w:val="center"/>
          </w:tcPr>
          <w:p w14:paraId="6896940E">
            <w:pPr>
              <w:rPr>
                <w:rFonts w:cs="仿宋_GB2312"/>
                <w:i w:val="0"/>
                <w:iCs w:val="0"/>
                <w:color w:val="auto"/>
                <w:sz w:val="24"/>
                <w:szCs w:val="24"/>
                <w:highlight w:val="none"/>
              </w:rPr>
            </w:pPr>
          </w:p>
        </w:tc>
      </w:tr>
      <w:tr w14:paraId="650F0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83" w:type="dxa"/>
            <w:vAlign w:val="center"/>
          </w:tcPr>
          <w:p w14:paraId="606FD409">
            <w:pPr>
              <w:jc w:val="center"/>
              <w:rPr>
                <w:rFonts w:cs="仿宋_GB2312"/>
                <w:i w:val="0"/>
                <w:iCs w:val="0"/>
                <w:color w:val="auto"/>
                <w:sz w:val="24"/>
                <w:szCs w:val="24"/>
                <w:highlight w:val="none"/>
              </w:rPr>
            </w:pPr>
            <w:r>
              <w:rPr>
                <w:rFonts w:hint="eastAsia" w:cs="仿宋_GB2312"/>
                <w:i w:val="0"/>
                <w:iCs w:val="0"/>
                <w:color w:val="auto"/>
                <w:sz w:val="24"/>
                <w:szCs w:val="24"/>
                <w:highlight w:val="none"/>
              </w:rPr>
              <w:t>…</w:t>
            </w:r>
          </w:p>
        </w:tc>
        <w:tc>
          <w:tcPr>
            <w:tcW w:w="1233" w:type="dxa"/>
            <w:vAlign w:val="center"/>
          </w:tcPr>
          <w:p w14:paraId="490B256B">
            <w:pPr>
              <w:rPr>
                <w:rFonts w:cs="仿宋_GB2312"/>
                <w:i w:val="0"/>
                <w:iCs w:val="0"/>
                <w:color w:val="auto"/>
                <w:sz w:val="24"/>
                <w:szCs w:val="24"/>
                <w:highlight w:val="none"/>
              </w:rPr>
            </w:pPr>
          </w:p>
        </w:tc>
        <w:tc>
          <w:tcPr>
            <w:tcW w:w="1272" w:type="dxa"/>
            <w:vAlign w:val="center"/>
          </w:tcPr>
          <w:p w14:paraId="17421914">
            <w:pPr>
              <w:rPr>
                <w:rFonts w:cs="仿宋_GB2312"/>
                <w:i w:val="0"/>
                <w:iCs w:val="0"/>
                <w:color w:val="auto"/>
                <w:sz w:val="24"/>
                <w:szCs w:val="24"/>
                <w:highlight w:val="none"/>
              </w:rPr>
            </w:pPr>
          </w:p>
        </w:tc>
        <w:tc>
          <w:tcPr>
            <w:tcW w:w="1188" w:type="dxa"/>
            <w:vAlign w:val="center"/>
          </w:tcPr>
          <w:p w14:paraId="5A933FDF">
            <w:pPr>
              <w:rPr>
                <w:rFonts w:cs="仿宋_GB2312"/>
                <w:i w:val="0"/>
                <w:iCs w:val="0"/>
                <w:color w:val="auto"/>
                <w:sz w:val="24"/>
                <w:szCs w:val="24"/>
                <w:highlight w:val="none"/>
              </w:rPr>
            </w:pPr>
          </w:p>
        </w:tc>
        <w:tc>
          <w:tcPr>
            <w:tcW w:w="1487" w:type="dxa"/>
            <w:vAlign w:val="center"/>
          </w:tcPr>
          <w:p w14:paraId="36B6529D">
            <w:pPr>
              <w:rPr>
                <w:rFonts w:cs="仿宋_GB2312"/>
                <w:i w:val="0"/>
                <w:iCs w:val="0"/>
                <w:color w:val="auto"/>
                <w:sz w:val="24"/>
                <w:szCs w:val="24"/>
                <w:highlight w:val="none"/>
              </w:rPr>
            </w:pPr>
          </w:p>
        </w:tc>
        <w:tc>
          <w:tcPr>
            <w:tcW w:w="1477" w:type="dxa"/>
            <w:vAlign w:val="center"/>
          </w:tcPr>
          <w:p w14:paraId="6348A611">
            <w:pPr>
              <w:rPr>
                <w:rFonts w:cs="仿宋_GB2312"/>
                <w:i w:val="0"/>
                <w:iCs w:val="0"/>
                <w:color w:val="auto"/>
                <w:sz w:val="24"/>
                <w:szCs w:val="24"/>
                <w:highlight w:val="none"/>
              </w:rPr>
            </w:pPr>
          </w:p>
        </w:tc>
        <w:tc>
          <w:tcPr>
            <w:tcW w:w="984" w:type="dxa"/>
            <w:vAlign w:val="center"/>
          </w:tcPr>
          <w:p w14:paraId="6A9A13D4">
            <w:pPr>
              <w:rPr>
                <w:rFonts w:cs="仿宋_GB2312"/>
                <w:i w:val="0"/>
                <w:iCs w:val="0"/>
                <w:color w:val="auto"/>
                <w:sz w:val="24"/>
                <w:szCs w:val="24"/>
                <w:highlight w:val="none"/>
              </w:rPr>
            </w:pPr>
          </w:p>
        </w:tc>
        <w:tc>
          <w:tcPr>
            <w:tcW w:w="1191" w:type="dxa"/>
            <w:vAlign w:val="center"/>
          </w:tcPr>
          <w:p w14:paraId="4EEE6C19">
            <w:pPr>
              <w:rPr>
                <w:rFonts w:cs="仿宋_GB2312"/>
                <w:i w:val="0"/>
                <w:iCs w:val="0"/>
                <w:color w:val="auto"/>
                <w:sz w:val="24"/>
                <w:szCs w:val="24"/>
                <w:highlight w:val="none"/>
              </w:rPr>
            </w:pPr>
          </w:p>
        </w:tc>
      </w:tr>
      <w:bookmarkEnd w:id="550"/>
    </w:tbl>
    <w:p w14:paraId="3C8FBB22">
      <w:pPr>
        <w:rPr>
          <w:rFonts w:hint="eastAsia" w:cs="仿宋_GB2312"/>
          <w:i w:val="0"/>
          <w:iCs w:val="0"/>
          <w:color w:val="auto"/>
          <w:sz w:val="24"/>
          <w:szCs w:val="24"/>
          <w:highlight w:val="none"/>
        </w:rPr>
      </w:pPr>
    </w:p>
    <w:p w14:paraId="01929BE8">
      <w:pPr>
        <w:rPr>
          <w:rFonts w:cs="仿宋_GB2312"/>
          <w:i w:val="0"/>
          <w:iCs w:val="0"/>
          <w:color w:val="auto"/>
          <w:sz w:val="24"/>
          <w:szCs w:val="24"/>
          <w:highlight w:val="none"/>
        </w:rPr>
      </w:pPr>
      <w:r>
        <w:rPr>
          <w:rFonts w:hint="eastAsia" w:cs="仿宋_GB2312"/>
          <w:i w:val="0"/>
          <w:iCs w:val="0"/>
          <w:color w:val="auto"/>
          <w:sz w:val="24"/>
          <w:szCs w:val="24"/>
          <w:highlight w:val="none"/>
        </w:rPr>
        <w:t>注：</w:t>
      </w:r>
      <w:r>
        <w:rPr>
          <w:rFonts w:hint="eastAsia" w:cs="仿宋_GB2312"/>
          <w:i w:val="0"/>
          <w:iCs w:val="0"/>
          <w:color w:val="auto"/>
          <w:sz w:val="24"/>
          <w:szCs w:val="24"/>
          <w:highlight w:val="none"/>
          <w:lang w:val="en-US" w:eastAsia="zh-CN"/>
        </w:rPr>
        <w:t>供应商</w:t>
      </w:r>
      <w:r>
        <w:rPr>
          <w:rFonts w:hint="eastAsia" w:cs="仿宋_GB2312"/>
          <w:i w:val="0"/>
          <w:iCs w:val="0"/>
          <w:color w:val="auto"/>
          <w:sz w:val="24"/>
          <w:szCs w:val="24"/>
          <w:highlight w:val="none"/>
        </w:rPr>
        <w:t>须按上表提供相应的业绩证明资料。</w:t>
      </w:r>
    </w:p>
    <w:p w14:paraId="1429F18C">
      <w:pPr>
        <w:widowControl/>
        <w:spacing w:before="100" w:beforeAutospacing="1" w:after="100" w:afterAutospacing="1"/>
        <w:rPr>
          <w:rFonts w:cs="Arial"/>
          <w:i w:val="0"/>
          <w:iCs w:val="0"/>
          <w:color w:val="auto"/>
          <w:szCs w:val="21"/>
          <w:highlight w:val="none"/>
        </w:rPr>
      </w:pPr>
    </w:p>
    <w:p w14:paraId="073C8D2B">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50EEF8FB">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6839E755">
      <w:pPr>
        <w:ind w:firstLine="420"/>
        <w:rPr>
          <w:rFonts w:cs="仿宋_GB2312"/>
          <w:i w:val="0"/>
          <w:iCs w:val="0"/>
          <w:color w:val="auto"/>
          <w:szCs w:val="24"/>
          <w:highlight w:val="none"/>
        </w:rPr>
      </w:pPr>
      <w:r>
        <w:rPr>
          <w:rFonts w:cs="仿宋_GB2312"/>
          <w:i w:val="0"/>
          <w:iCs w:val="0"/>
          <w:color w:val="auto"/>
          <w:szCs w:val="24"/>
          <w:highlight w:val="none"/>
        </w:rPr>
        <w:br w:type="page"/>
      </w:r>
    </w:p>
    <w:p w14:paraId="67E46576">
      <w:pPr>
        <w:pStyle w:val="4"/>
        <w:keepNext/>
        <w:keepLines/>
        <w:pageBreakBefore w:val="0"/>
        <w:widowControl w:val="0"/>
        <w:numPr>
          <w:ilvl w:val="0"/>
          <w:numId w:val="6"/>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551" w:name="_Toc7854"/>
      <w:r>
        <w:rPr>
          <w:rFonts w:hint="eastAsia" w:eastAsia="宋体" w:asciiTheme="majorHAnsi" w:hAnsiTheme="majorHAnsi" w:cstheme="majorBidi"/>
          <w:b/>
          <w:bCs/>
          <w:i w:val="0"/>
          <w:iCs w:val="0"/>
          <w:color w:val="auto"/>
          <w:kern w:val="2"/>
          <w:sz w:val="32"/>
          <w:szCs w:val="32"/>
          <w:highlight w:val="none"/>
          <w:lang w:val="en-US" w:eastAsia="zh-CN" w:bidi="ar-SA"/>
        </w:rPr>
        <w:t>拟派项目团队</w:t>
      </w:r>
      <w:bookmarkEnd w:id="551"/>
    </w:p>
    <w:tbl>
      <w:tblPr>
        <w:tblStyle w:val="3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78"/>
        <w:gridCol w:w="1208"/>
        <w:gridCol w:w="886"/>
        <w:gridCol w:w="989"/>
        <w:gridCol w:w="989"/>
        <w:gridCol w:w="1648"/>
        <w:gridCol w:w="1524"/>
      </w:tblGrid>
      <w:tr w14:paraId="130F18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0" w:type="pct"/>
            <w:vAlign w:val="center"/>
          </w:tcPr>
          <w:p w14:paraId="1B248675">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姓名</w:t>
            </w:r>
          </w:p>
        </w:tc>
        <w:tc>
          <w:tcPr>
            <w:tcW w:w="709" w:type="pct"/>
            <w:vAlign w:val="center"/>
          </w:tcPr>
          <w:p w14:paraId="0792C97D">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身份证号码</w:t>
            </w:r>
          </w:p>
        </w:tc>
        <w:tc>
          <w:tcPr>
            <w:tcW w:w="520" w:type="pct"/>
            <w:vAlign w:val="center"/>
          </w:tcPr>
          <w:p w14:paraId="66B300F0">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性别</w:t>
            </w:r>
          </w:p>
        </w:tc>
        <w:tc>
          <w:tcPr>
            <w:tcW w:w="580" w:type="pct"/>
            <w:vAlign w:val="center"/>
          </w:tcPr>
          <w:p w14:paraId="2BA076B1">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岗位</w:t>
            </w:r>
          </w:p>
        </w:tc>
        <w:tc>
          <w:tcPr>
            <w:tcW w:w="580" w:type="pct"/>
            <w:vAlign w:val="center"/>
          </w:tcPr>
          <w:p w14:paraId="771445EC">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专业</w:t>
            </w:r>
          </w:p>
        </w:tc>
        <w:tc>
          <w:tcPr>
            <w:tcW w:w="967" w:type="pct"/>
            <w:vAlign w:val="center"/>
          </w:tcPr>
          <w:p w14:paraId="6758EAD0">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从事类似</w:t>
            </w:r>
          </w:p>
          <w:p w14:paraId="1493CCFD">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工作年限</w:t>
            </w:r>
          </w:p>
        </w:tc>
        <w:tc>
          <w:tcPr>
            <w:tcW w:w="894" w:type="pct"/>
            <w:vAlign w:val="center"/>
          </w:tcPr>
          <w:p w14:paraId="755C8993">
            <w:pPr>
              <w:spacing w:line="360" w:lineRule="auto"/>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备注</w:t>
            </w:r>
          </w:p>
        </w:tc>
      </w:tr>
      <w:tr w14:paraId="2D8AF5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0" w:type="pct"/>
            <w:vAlign w:val="center"/>
          </w:tcPr>
          <w:p w14:paraId="0B2A73E7">
            <w:pPr>
              <w:spacing w:line="360" w:lineRule="auto"/>
              <w:jc w:val="center"/>
              <w:rPr>
                <w:rFonts w:ascii="宋体" w:hAnsi="宋体" w:eastAsia="宋体" w:cs="宋体"/>
                <w:kern w:val="0"/>
                <w:sz w:val="24"/>
                <w:szCs w:val="24"/>
                <w:highlight w:val="none"/>
              </w:rPr>
            </w:pPr>
          </w:p>
        </w:tc>
        <w:tc>
          <w:tcPr>
            <w:tcW w:w="709" w:type="pct"/>
            <w:vAlign w:val="center"/>
          </w:tcPr>
          <w:p w14:paraId="3B117B04">
            <w:pPr>
              <w:spacing w:line="360" w:lineRule="auto"/>
              <w:jc w:val="center"/>
              <w:rPr>
                <w:rFonts w:ascii="宋体" w:hAnsi="宋体" w:eastAsia="宋体" w:cs="宋体"/>
                <w:kern w:val="0"/>
                <w:sz w:val="24"/>
                <w:szCs w:val="24"/>
                <w:highlight w:val="none"/>
              </w:rPr>
            </w:pPr>
          </w:p>
        </w:tc>
        <w:tc>
          <w:tcPr>
            <w:tcW w:w="520" w:type="pct"/>
            <w:vAlign w:val="center"/>
          </w:tcPr>
          <w:p w14:paraId="7C9FD07D">
            <w:pPr>
              <w:spacing w:line="360" w:lineRule="auto"/>
              <w:jc w:val="center"/>
              <w:rPr>
                <w:rFonts w:ascii="宋体" w:hAnsi="宋体" w:eastAsia="宋体" w:cs="宋体"/>
                <w:kern w:val="0"/>
                <w:sz w:val="24"/>
                <w:szCs w:val="24"/>
                <w:highlight w:val="none"/>
              </w:rPr>
            </w:pPr>
          </w:p>
        </w:tc>
        <w:tc>
          <w:tcPr>
            <w:tcW w:w="580" w:type="pct"/>
            <w:vAlign w:val="center"/>
          </w:tcPr>
          <w:p w14:paraId="1AADFE45">
            <w:pPr>
              <w:spacing w:line="360" w:lineRule="auto"/>
              <w:jc w:val="center"/>
              <w:rPr>
                <w:rFonts w:ascii="宋体" w:hAnsi="宋体" w:eastAsia="宋体" w:cs="宋体"/>
                <w:kern w:val="0"/>
                <w:sz w:val="24"/>
                <w:szCs w:val="24"/>
                <w:highlight w:val="none"/>
              </w:rPr>
            </w:pPr>
          </w:p>
        </w:tc>
        <w:tc>
          <w:tcPr>
            <w:tcW w:w="580" w:type="pct"/>
            <w:vAlign w:val="center"/>
          </w:tcPr>
          <w:p w14:paraId="7A861DD5">
            <w:pPr>
              <w:spacing w:line="360" w:lineRule="auto"/>
              <w:jc w:val="center"/>
              <w:rPr>
                <w:rFonts w:ascii="宋体" w:hAnsi="宋体" w:eastAsia="宋体" w:cs="宋体"/>
                <w:kern w:val="0"/>
                <w:sz w:val="24"/>
                <w:szCs w:val="24"/>
                <w:highlight w:val="none"/>
              </w:rPr>
            </w:pPr>
          </w:p>
        </w:tc>
        <w:tc>
          <w:tcPr>
            <w:tcW w:w="967" w:type="pct"/>
            <w:vAlign w:val="center"/>
          </w:tcPr>
          <w:p w14:paraId="6C06E598">
            <w:pPr>
              <w:spacing w:line="360" w:lineRule="auto"/>
              <w:jc w:val="center"/>
              <w:rPr>
                <w:rFonts w:ascii="宋体" w:hAnsi="宋体" w:eastAsia="宋体" w:cs="宋体"/>
                <w:kern w:val="0"/>
                <w:sz w:val="24"/>
                <w:szCs w:val="24"/>
                <w:highlight w:val="none"/>
              </w:rPr>
            </w:pPr>
          </w:p>
        </w:tc>
        <w:tc>
          <w:tcPr>
            <w:tcW w:w="894" w:type="pct"/>
            <w:vAlign w:val="center"/>
          </w:tcPr>
          <w:p w14:paraId="38447575">
            <w:pPr>
              <w:spacing w:line="360" w:lineRule="auto"/>
              <w:jc w:val="center"/>
              <w:rPr>
                <w:rFonts w:ascii="宋体" w:hAnsi="宋体" w:eastAsia="宋体" w:cs="宋体"/>
                <w:kern w:val="0"/>
                <w:sz w:val="24"/>
                <w:szCs w:val="24"/>
                <w:highlight w:val="none"/>
              </w:rPr>
            </w:pPr>
          </w:p>
        </w:tc>
      </w:tr>
      <w:tr w14:paraId="2E60C8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0" w:type="pct"/>
            <w:vAlign w:val="center"/>
          </w:tcPr>
          <w:p w14:paraId="0E82ADC3">
            <w:pPr>
              <w:spacing w:line="360" w:lineRule="auto"/>
              <w:jc w:val="center"/>
              <w:rPr>
                <w:rFonts w:ascii="宋体" w:hAnsi="宋体" w:eastAsia="宋体" w:cs="宋体"/>
                <w:kern w:val="0"/>
                <w:sz w:val="24"/>
                <w:szCs w:val="24"/>
                <w:highlight w:val="none"/>
              </w:rPr>
            </w:pPr>
          </w:p>
        </w:tc>
        <w:tc>
          <w:tcPr>
            <w:tcW w:w="709" w:type="pct"/>
            <w:vAlign w:val="center"/>
          </w:tcPr>
          <w:p w14:paraId="72EA3188">
            <w:pPr>
              <w:spacing w:line="360" w:lineRule="auto"/>
              <w:jc w:val="center"/>
              <w:rPr>
                <w:rFonts w:ascii="宋体" w:hAnsi="宋体" w:eastAsia="宋体" w:cs="宋体"/>
                <w:kern w:val="0"/>
                <w:sz w:val="24"/>
                <w:szCs w:val="24"/>
                <w:highlight w:val="none"/>
              </w:rPr>
            </w:pPr>
          </w:p>
        </w:tc>
        <w:tc>
          <w:tcPr>
            <w:tcW w:w="520" w:type="pct"/>
            <w:vAlign w:val="center"/>
          </w:tcPr>
          <w:p w14:paraId="2664E6A4">
            <w:pPr>
              <w:spacing w:line="360" w:lineRule="auto"/>
              <w:jc w:val="center"/>
              <w:rPr>
                <w:rFonts w:ascii="宋体" w:hAnsi="宋体" w:eastAsia="宋体" w:cs="宋体"/>
                <w:kern w:val="0"/>
                <w:sz w:val="24"/>
                <w:szCs w:val="24"/>
                <w:highlight w:val="none"/>
              </w:rPr>
            </w:pPr>
          </w:p>
        </w:tc>
        <w:tc>
          <w:tcPr>
            <w:tcW w:w="580" w:type="pct"/>
            <w:vAlign w:val="center"/>
          </w:tcPr>
          <w:p w14:paraId="6C9EC76F">
            <w:pPr>
              <w:spacing w:line="360" w:lineRule="auto"/>
              <w:jc w:val="center"/>
              <w:rPr>
                <w:rFonts w:ascii="宋体" w:hAnsi="宋体" w:eastAsia="宋体" w:cs="宋体"/>
                <w:kern w:val="0"/>
                <w:sz w:val="24"/>
                <w:szCs w:val="24"/>
                <w:highlight w:val="none"/>
              </w:rPr>
            </w:pPr>
          </w:p>
        </w:tc>
        <w:tc>
          <w:tcPr>
            <w:tcW w:w="580" w:type="pct"/>
            <w:vAlign w:val="center"/>
          </w:tcPr>
          <w:p w14:paraId="38D9BFAB">
            <w:pPr>
              <w:spacing w:line="360" w:lineRule="auto"/>
              <w:jc w:val="center"/>
              <w:rPr>
                <w:rFonts w:ascii="宋体" w:hAnsi="宋体" w:eastAsia="宋体" w:cs="宋体"/>
                <w:kern w:val="0"/>
                <w:sz w:val="24"/>
                <w:szCs w:val="24"/>
                <w:highlight w:val="none"/>
              </w:rPr>
            </w:pPr>
          </w:p>
        </w:tc>
        <w:tc>
          <w:tcPr>
            <w:tcW w:w="967" w:type="pct"/>
            <w:vAlign w:val="center"/>
          </w:tcPr>
          <w:p w14:paraId="5829DC6F">
            <w:pPr>
              <w:spacing w:line="360" w:lineRule="auto"/>
              <w:jc w:val="center"/>
              <w:rPr>
                <w:rFonts w:ascii="宋体" w:hAnsi="宋体" w:eastAsia="宋体" w:cs="宋体"/>
                <w:kern w:val="0"/>
                <w:sz w:val="24"/>
                <w:szCs w:val="24"/>
                <w:highlight w:val="none"/>
              </w:rPr>
            </w:pPr>
          </w:p>
        </w:tc>
        <w:tc>
          <w:tcPr>
            <w:tcW w:w="894" w:type="pct"/>
            <w:vAlign w:val="center"/>
          </w:tcPr>
          <w:p w14:paraId="6A7AD1E1">
            <w:pPr>
              <w:spacing w:line="360" w:lineRule="auto"/>
              <w:jc w:val="center"/>
              <w:rPr>
                <w:rFonts w:ascii="宋体" w:hAnsi="宋体" w:eastAsia="宋体" w:cs="宋体"/>
                <w:kern w:val="0"/>
                <w:sz w:val="24"/>
                <w:szCs w:val="24"/>
                <w:highlight w:val="none"/>
              </w:rPr>
            </w:pPr>
          </w:p>
        </w:tc>
      </w:tr>
      <w:tr w14:paraId="00EB83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0" w:type="pct"/>
            <w:vAlign w:val="center"/>
          </w:tcPr>
          <w:p w14:paraId="7BE42722">
            <w:pPr>
              <w:spacing w:line="360" w:lineRule="auto"/>
              <w:jc w:val="center"/>
              <w:rPr>
                <w:rFonts w:ascii="宋体" w:hAnsi="宋体" w:eastAsia="宋体" w:cs="宋体"/>
                <w:kern w:val="0"/>
                <w:sz w:val="24"/>
                <w:szCs w:val="24"/>
                <w:highlight w:val="none"/>
              </w:rPr>
            </w:pPr>
          </w:p>
        </w:tc>
        <w:tc>
          <w:tcPr>
            <w:tcW w:w="709" w:type="pct"/>
            <w:vAlign w:val="center"/>
          </w:tcPr>
          <w:p w14:paraId="6C6F2FA0">
            <w:pPr>
              <w:spacing w:line="360" w:lineRule="auto"/>
              <w:jc w:val="center"/>
              <w:rPr>
                <w:rFonts w:ascii="宋体" w:hAnsi="宋体" w:eastAsia="宋体" w:cs="宋体"/>
                <w:kern w:val="0"/>
                <w:sz w:val="24"/>
                <w:szCs w:val="24"/>
                <w:highlight w:val="none"/>
              </w:rPr>
            </w:pPr>
          </w:p>
        </w:tc>
        <w:tc>
          <w:tcPr>
            <w:tcW w:w="520" w:type="pct"/>
            <w:vAlign w:val="center"/>
          </w:tcPr>
          <w:p w14:paraId="740B89C8">
            <w:pPr>
              <w:spacing w:line="360" w:lineRule="auto"/>
              <w:jc w:val="center"/>
              <w:rPr>
                <w:rFonts w:ascii="宋体" w:hAnsi="宋体" w:eastAsia="宋体" w:cs="宋体"/>
                <w:kern w:val="0"/>
                <w:sz w:val="24"/>
                <w:szCs w:val="24"/>
                <w:highlight w:val="none"/>
              </w:rPr>
            </w:pPr>
          </w:p>
        </w:tc>
        <w:tc>
          <w:tcPr>
            <w:tcW w:w="580" w:type="pct"/>
            <w:vAlign w:val="center"/>
          </w:tcPr>
          <w:p w14:paraId="23AB09A9">
            <w:pPr>
              <w:spacing w:line="360" w:lineRule="auto"/>
              <w:jc w:val="center"/>
              <w:rPr>
                <w:rFonts w:ascii="宋体" w:hAnsi="宋体" w:eastAsia="宋体" w:cs="宋体"/>
                <w:kern w:val="0"/>
                <w:sz w:val="24"/>
                <w:szCs w:val="24"/>
                <w:highlight w:val="none"/>
              </w:rPr>
            </w:pPr>
          </w:p>
        </w:tc>
        <w:tc>
          <w:tcPr>
            <w:tcW w:w="580" w:type="pct"/>
            <w:vAlign w:val="center"/>
          </w:tcPr>
          <w:p w14:paraId="369F0D8C">
            <w:pPr>
              <w:spacing w:line="360" w:lineRule="auto"/>
              <w:jc w:val="center"/>
              <w:rPr>
                <w:rFonts w:ascii="宋体" w:hAnsi="宋体" w:eastAsia="宋体" w:cs="宋体"/>
                <w:kern w:val="0"/>
                <w:sz w:val="24"/>
                <w:szCs w:val="24"/>
                <w:highlight w:val="none"/>
              </w:rPr>
            </w:pPr>
          </w:p>
        </w:tc>
        <w:tc>
          <w:tcPr>
            <w:tcW w:w="967" w:type="pct"/>
            <w:vAlign w:val="center"/>
          </w:tcPr>
          <w:p w14:paraId="1C1061A8">
            <w:pPr>
              <w:spacing w:line="360" w:lineRule="auto"/>
              <w:jc w:val="center"/>
              <w:rPr>
                <w:rFonts w:ascii="宋体" w:hAnsi="宋体" w:eastAsia="宋体" w:cs="宋体"/>
                <w:kern w:val="0"/>
                <w:sz w:val="24"/>
                <w:szCs w:val="24"/>
                <w:highlight w:val="none"/>
              </w:rPr>
            </w:pPr>
          </w:p>
        </w:tc>
        <w:tc>
          <w:tcPr>
            <w:tcW w:w="894" w:type="pct"/>
            <w:vAlign w:val="center"/>
          </w:tcPr>
          <w:p w14:paraId="20593623">
            <w:pPr>
              <w:spacing w:line="360" w:lineRule="auto"/>
              <w:jc w:val="center"/>
              <w:rPr>
                <w:rFonts w:ascii="宋体" w:hAnsi="宋体" w:eastAsia="宋体" w:cs="宋体"/>
                <w:kern w:val="0"/>
                <w:sz w:val="24"/>
                <w:szCs w:val="24"/>
                <w:highlight w:val="none"/>
              </w:rPr>
            </w:pPr>
          </w:p>
        </w:tc>
      </w:tr>
      <w:tr w14:paraId="719DA2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0" w:type="pct"/>
            <w:vAlign w:val="center"/>
          </w:tcPr>
          <w:p w14:paraId="7B4B746C">
            <w:pPr>
              <w:spacing w:line="360" w:lineRule="auto"/>
              <w:jc w:val="center"/>
              <w:rPr>
                <w:rFonts w:ascii="宋体" w:hAnsi="宋体" w:eastAsia="宋体" w:cs="宋体"/>
                <w:kern w:val="0"/>
                <w:sz w:val="24"/>
                <w:szCs w:val="24"/>
                <w:highlight w:val="none"/>
              </w:rPr>
            </w:pPr>
          </w:p>
        </w:tc>
        <w:tc>
          <w:tcPr>
            <w:tcW w:w="709" w:type="pct"/>
            <w:vAlign w:val="center"/>
          </w:tcPr>
          <w:p w14:paraId="01903A60">
            <w:pPr>
              <w:spacing w:line="360" w:lineRule="auto"/>
              <w:jc w:val="center"/>
              <w:rPr>
                <w:rFonts w:ascii="宋体" w:hAnsi="宋体" w:eastAsia="宋体" w:cs="宋体"/>
                <w:kern w:val="0"/>
                <w:sz w:val="24"/>
                <w:szCs w:val="24"/>
                <w:highlight w:val="none"/>
              </w:rPr>
            </w:pPr>
          </w:p>
        </w:tc>
        <w:tc>
          <w:tcPr>
            <w:tcW w:w="520" w:type="pct"/>
            <w:vAlign w:val="center"/>
          </w:tcPr>
          <w:p w14:paraId="2CD243DC">
            <w:pPr>
              <w:spacing w:line="360" w:lineRule="auto"/>
              <w:jc w:val="center"/>
              <w:rPr>
                <w:rFonts w:ascii="宋体" w:hAnsi="宋体" w:eastAsia="宋体" w:cs="宋体"/>
                <w:kern w:val="0"/>
                <w:sz w:val="24"/>
                <w:szCs w:val="24"/>
                <w:highlight w:val="none"/>
              </w:rPr>
            </w:pPr>
          </w:p>
        </w:tc>
        <w:tc>
          <w:tcPr>
            <w:tcW w:w="580" w:type="pct"/>
            <w:vAlign w:val="center"/>
          </w:tcPr>
          <w:p w14:paraId="23A6466F">
            <w:pPr>
              <w:spacing w:line="360" w:lineRule="auto"/>
              <w:jc w:val="center"/>
              <w:rPr>
                <w:rFonts w:ascii="宋体" w:hAnsi="宋体" w:eastAsia="宋体" w:cs="宋体"/>
                <w:kern w:val="0"/>
                <w:sz w:val="24"/>
                <w:szCs w:val="24"/>
                <w:highlight w:val="none"/>
              </w:rPr>
            </w:pPr>
          </w:p>
        </w:tc>
        <w:tc>
          <w:tcPr>
            <w:tcW w:w="580" w:type="pct"/>
            <w:vAlign w:val="center"/>
          </w:tcPr>
          <w:p w14:paraId="606CB010">
            <w:pPr>
              <w:spacing w:line="360" w:lineRule="auto"/>
              <w:jc w:val="center"/>
              <w:rPr>
                <w:rFonts w:ascii="宋体" w:hAnsi="宋体" w:eastAsia="宋体" w:cs="宋体"/>
                <w:kern w:val="0"/>
                <w:sz w:val="24"/>
                <w:szCs w:val="24"/>
                <w:highlight w:val="none"/>
              </w:rPr>
            </w:pPr>
          </w:p>
        </w:tc>
        <w:tc>
          <w:tcPr>
            <w:tcW w:w="967" w:type="pct"/>
            <w:vAlign w:val="center"/>
          </w:tcPr>
          <w:p w14:paraId="1A19B845">
            <w:pPr>
              <w:spacing w:line="360" w:lineRule="auto"/>
              <w:jc w:val="center"/>
              <w:rPr>
                <w:rFonts w:ascii="宋体" w:hAnsi="宋体" w:eastAsia="宋体" w:cs="宋体"/>
                <w:kern w:val="0"/>
                <w:sz w:val="24"/>
                <w:szCs w:val="24"/>
                <w:highlight w:val="none"/>
              </w:rPr>
            </w:pPr>
          </w:p>
        </w:tc>
        <w:tc>
          <w:tcPr>
            <w:tcW w:w="894" w:type="pct"/>
            <w:vAlign w:val="center"/>
          </w:tcPr>
          <w:p w14:paraId="7A2EB069">
            <w:pPr>
              <w:spacing w:line="360" w:lineRule="auto"/>
              <w:jc w:val="center"/>
              <w:rPr>
                <w:rFonts w:ascii="宋体" w:hAnsi="宋体" w:eastAsia="宋体" w:cs="宋体"/>
                <w:kern w:val="0"/>
                <w:sz w:val="24"/>
                <w:szCs w:val="24"/>
                <w:highlight w:val="none"/>
              </w:rPr>
            </w:pPr>
          </w:p>
        </w:tc>
      </w:tr>
      <w:tr w14:paraId="7224E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0" w:type="pct"/>
            <w:vAlign w:val="center"/>
          </w:tcPr>
          <w:p w14:paraId="5DD16FD0">
            <w:pPr>
              <w:spacing w:line="360" w:lineRule="auto"/>
              <w:jc w:val="center"/>
              <w:rPr>
                <w:rFonts w:ascii="宋体" w:hAnsi="宋体" w:eastAsia="宋体" w:cs="宋体"/>
                <w:kern w:val="0"/>
                <w:sz w:val="24"/>
                <w:szCs w:val="24"/>
                <w:highlight w:val="none"/>
              </w:rPr>
            </w:pPr>
          </w:p>
        </w:tc>
        <w:tc>
          <w:tcPr>
            <w:tcW w:w="709" w:type="pct"/>
            <w:vAlign w:val="center"/>
          </w:tcPr>
          <w:p w14:paraId="483A777E">
            <w:pPr>
              <w:spacing w:line="360" w:lineRule="auto"/>
              <w:jc w:val="center"/>
              <w:rPr>
                <w:rFonts w:ascii="宋体" w:hAnsi="宋体" w:eastAsia="宋体" w:cs="宋体"/>
                <w:kern w:val="0"/>
                <w:sz w:val="24"/>
                <w:szCs w:val="24"/>
                <w:highlight w:val="none"/>
              </w:rPr>
            </w:pPr>
          </w:p>
        </w:tc>
        <w:tc>
          <w:tcPr>
            <w:tcW w:w="520" w:type="pct"/>
            <w:vAlign w:val="center"/>
          </w:tcPr>
          <w:p w14:paraId="41461591">
            <w:pPr>
              <w:spacing w:line="360" w:lineRule="auto"/>
              <w:jc w:val="center"/>
              <w:rPr>
                <w:rFonts w:ascii="宋体" w:hAnsi="宋体" w:eastAsia="宋体" w:cs="宋体"/>
                <w:kern w:val="0"/>
                <w:sz w:val="24"/>
                <w:szCs w:val="24"/>
                <w:highlight w:val="none"/>
              </w:rPr>
            </w:pPr>
          </w:p>
        </w:tc>
        <w:tc>
          <w:tcPr>
            <w:tcW w:w="580" w:type="pct"/>
            <w:vAlign w:val="center"/>
          </w:tcPr>
          <w:p w14:paraId="25510B50">
            <w:pPr>
              <w:spacing w:line="360" w:lineRule="auto"/>
              <w:jc w:val="center"/>
              <w:rPr>
                <w:rFonts w:ascii="宋体" w:hAnsi="宋体" w:eastAsia="宋体" w:cs="宋体"/>
                <w:kern w:val="0"/>
                <w:sz w:val="24"/>
                <w:szCs w:val="24"/>
                <w:highlight w:val="none"/>
              </w:rPr>
            </w:pPr>
          </w:p>
        </w:tc>
        <w:tc>
          <w:tcPr>
            <w:tcW w:w="580" w:type="pct"/>
            <w:vAlign w:val="center"/>
          </w:tcPr>
          <w:p w14:paraId="0ECF6818">
            <w:pPr>
              <w:spacing w:line="360" w:lineRule="auto"/>
              <w:jc w:val="center"/>
              <w:rPr>
                <w:rFonts w:ascii="宋体" w:hAnsi="宋体" w:eastAsia="宋体" w:cs="宋体"/>
                <w:kern w:val="0"/>
                <w:sz w:val="24"/>
                <w:szCs w:val="24"/>
                <w:highlight w:val="none"/>
              </w:rPr>
            </w:pPr>
          </w:p>
        </w:tc>
        <w:tc>
          <w:tcPr>
            <w:tcW w:w="967" w:type="pct"/>
            <w:vAlign w:val="center"/>
          </w:tcPr>
          <w:p w14:paraId="69499037">
            <w:pPr>
              <w:spacing w:line="360" w:lineRule="auto"/>
              <w:jc w:val="center"/>
              <w:rPr>
                <w:rFonts w:ascii="宋体" w:hAnsi="宋体" w:eastAsia="宋体" w:cs="宋体"/>
                <w:kern w:val="0"/>
                <w:sz w:val="24"/>
                <w:szCs w:val="24"/>
                <w:highlight w:val="none"/>
              </w:rPr>
            </w:pPr>
          </w:p>
        </w:tc>
        <w:tc>
          <w:tcPr>
            <w:tcW w:w="894" w:type="pct"/>
            <w:vAlign w:val="center"/>
          </w:tcPr>
          <w:p w14:paraId="193CC2FA">
            <w:pPr>
              <w:spacing w:line="360" w:lineRule="auto"/>
              <w:jc w:val="center"/>
              <w:rPr>
                <w:rFonts w:ascii="宋体" w:hAnsi="宋体" w:eastAsia="宋体" w:cs="宋体"/>
                <w:kern w:val="0"/>
                <w:sz w:val="24"/>
                <w:szCs w:val="24"/>
                <w:highlight w:val="none"/>
              </w:rPr>
            </w:pPr>
          </w:p>
        </w:tc>
      </w:tr>
      <w:tr w14:paraId="5CCCBF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0" w:type="pct"/>
            <w:vAlign w:val="center"/>
          </w:tcPr>
          <w:p w14:paraId="723218AD">
            <w:pPr>
              <w:spacing w:line="360" w:lineRule="auto"/>
              <w:jc w:val="center"/>
              <w:rPr>
                <w:rFonts w:ascii="宋体" w:hAnsi="宋体" w:eastAsia="宋体" w:cs="宋体"/>
                <w:kern w:val="0"/>
                <w:sz w:val="24"/>
                <w:szCs w:val="24"/>
                <w:highlight w:val="none"/>
              </w:rPr>
            </w:pPr>
          </w:p>
        </w:tc>
        <w:tc>
          <w:tcPr>
            <w:tcW w:w="709" w:type="pct"/>
            <w:vAlign w:val="center"/>
          </w:tcPr>
          <w:p w14:paraId="6F822CE2">
            <w:pPr>
              <w:spacing w:line="360" w:lineRule="auto"/>
              <w:jc w:val="center"/>
              <w:rPr>
                <w:rFonts w:ascii="宋体" w:hAnsi="宋体" w:eastAsia="宋体" w:cs="宋体"/>
                <w:kern w:val="0"/>
                <w:sz w:val="24"/>
                <w:szCs w:val="24"/>
                <w:highlight w:val="none"/>
              </w:rPr>
            </w:pPr>
          </w:p>
        </w:tc>
        <w:tc>
          <w:tcPr>
            <w:tcW w:w="520" w:type="pct"/>
            <w:vAlign w:val="center"/>
          </w:tcPr>
          <w:p w14:paraId="1AD8439A">
            <w:pPr>
              <w:spacing w:line="360" w:lineRule="auto"/>
              <w:jc w:val="center"/>
              <w:rPr>
                <w:rFonts w:ascii="宋体" w:hAnsi="宋体" w:eastAsia="宋体" w:cs="宋体"/>
                <w:kern w:val="0"/>
                <w:sz w:val="24"/>
                <w:szCs w:val="24"/>
                <w:highlight w:val="none"/>
              </w:rPr>
            </w:pPr>
          </w:p>
        </w:tc>
        <w:tc>
          <w:tcPr>
            <w:tcW w:w="580" w:type="pct"/>
            <w:vAlign w:val="center"/>
          </w:tcPr>
          <w:p w14:paraId="24472830">
            <w:pPr>
              <w:spacing w:line="360" w:lineRule="auto"/>
              <w:jc w:val="center"/>
              <w:rPr>
                <w:rFonts w:ascii="宋体" w:hAnsi="宋体" w:eastAsia="宋体" w:cs="宋体"/>
                <w:kern w:val="0"/>
                <w:sz w:val="24"/>
                <w:szCs w:val="24"/>
                <w:highlight w:val="none"/>
              </w:rPr>
            </w:pPr>
          </w:p>
        </w:tc>
        <w:tc>
          <w:tcPr>
            <w:tcW w:w="580" w:type="pct"/>
            <w:vAlign w:val="center"/>
          </w:tcPr>
          <w:p w14:paraId="12EF800F">
            <w:pPr>
              <w:spacing w:line="360" w:lineRule="auto"/>
              <w:jc w:val="center"/>
              <w:rPr>
                <w:rFonts w:ascii="宋体" w:hAnsi="宋体" w:eastAsia="宋体" w:cs="宋体"/>
                <w:kern w:val="0"/>
                <w:sz w:val="24"/>
                <w:szCs w:val="24"/>
                <w:highlight w:val="none"/>
              </w:rPr>
            </w:pPr>
          </w:p>
        </w:tc>
        <w:tc>
          <w:tcPr>
            <w:tcW w:w="967" w:type="pct"/>
            <w:vAlign w:val="center"/>
          </w:tcPr>
          <w:p w14:paraId="6C45407C">
            <w:pPr>
              <w:spacing w:line="360" w:lineRule="auto"/>
              <w:jc w:val="center"/>
              <w:rPr>
                <w:rFonts w:ascii="宋体" w:hAnsi="宋体" w:eastAsia="宋体" w:cs="宋体"/>
                <w:kern w:val="0"/>
                <w:sz w:val="24"/>
                <w:szCs w:val="24"/>
                <w:highlight w:val="none"/>
              </w:rPr>
            </w:pPr>
          </w:p>
        </w:tc>
        <w:tc>
          <w:tcPr>
            <w:tcW w:w="894" w:type="pct"/>
            <w:vAlign w:val="center"/>
          </w:tcPr>
          <w:p w14:paraId="20F9EDBB">
            <w:pPr>
              <w:spacing w:line="360" w:lineRule="auto"/>
              <w:jc w:val="center"/>
              <w:rPr>
                <w:rFonts w:ascii="宋体" w:hAnsi="宋体" w:eastAsia="宋体" w:cs="宋体"/>
                <w:kern w:val="0"/>
                <w:sz w:val="24"/>
                <w:szCs w:val="24"/>
                <w:highlight w:val="none"/>
              </w:rPr>
            </w:pPr>
          </w:p>
        </w:tc>
      </w:tr>
      <w:tr w14:paraId="61D19F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0" w:type="pct"/>
            <w:vAlign w:val="center"/>
          </w:tcPr>
          <w:p w14:paraId="7697D1E1">
            <w:pPr>
              <w:spacing w:line="360" w:lineRule="auto"/>
              <w:jc w:val="center"/>
              <w:rPr>
                <w:rFonts w:ascii="宋体" w:hAnsi="宋体" w:eastAsia="宋体" w:cs="宋体"/>
                <w:kern w:val="0"/>
                <w:sz w:val="24"/>
                <w:szCs w:val="24"/>
                <w:highlight w:val="none"/>
              </w:rPr>
            </w:pPr>
          </w:p>
        </w:tc>
        <w:tc>
          <w:tcPr>
            <w:tcW w:w="709" w:type="pct"/>
            <w:vAlign w:val="center"/>
          </w:tcPr>
          <w:p w14:paraId="694E17C8">
            <w:pPr>
              <w:spacing w:line="360" w:lineRule="auto"/>
              <w:jc w:val="center"/>
              <w:rPr>
                <w:rFonts w:ascii="宋体" w:hAnsi="宋体" w:eastAsia="宋体" w:cs="宋体"/>
                <w:kern w:val="0"/>
                <w:sz w:val="24"/>
                <w:szCs w:val="24"/>
                <w:highlight w:val="none"/>
              </w:rPr>
            </w:pPr>
          </w:p>
        </w:tc>
        <w:tc>
          <w:tcPr>
            <w:tcW w:w="520" w:type="pct"/>
            <w:vAlign w:val="center"/>
          </w:tcPr>
          <w:p w14:paraId="4F71642F">
            <w:pPr>
              <w:spacing w:line="360" w:lineRule="auto"/>
              <w:jc w:val="center"/>
              <w:rPr>
                <w:rFonts w:ascii="宋体" w:hAnsi="宋体" w:eastAsia="宋体" w:cs="宋体"/>
                <w:kern w:val="0"/>
                <w:sz w:val="24"/>
                <w:szCs w:val="24"/>
                <w:highlight w:val="none"/>
              </w:rPr>
            </w:pPr>
          </w:p>
        </w:tc>
        <w:tc>
          <w:tcPr>
            <w:tcW w:w="580" w:type="pct"/>
            <w:vAlign w:val="center"/>
          </w:tcPr>
          <w:p w14:paraId="68E49478">
            <w:pPr>
              <w:spacing w:line="360" w:lineRule="auto"/>
              <w:jc w:val="center"/>
              <w:rPr>
                <w:rFonts w:ascii="宋体" w:hAnsi="宋体" w:eastAsia="宋体" w:cs="宋体"/>
                <w:kern w:val="0"/>
                <w:sz w:val="24"/>
                <w:szCs w:val="24"/>
                <w:highlight w:val="none"/>
              </w:rPr>
            </w:pPr>
          </w:p>
        </w:tc>
        <w:tc>
          <w:tcPr>
            <w:tcW w:w="580" w:type="pct"/>
            <w:vAlign w:val="center"/>
          </w:tcPr>
          <w:p w14:paraId="0DAA0533">
            <w:pPr>
              <w:spacing w:line="360" w:lineRule="auto"/>
              <w:jc w:val="center"/>
              <w:rPr>
                <w:rFonts w:ascii="宋体" w:hAnsi="宋体" w:eastAsia="宋体" w:cs="宋体"/>
                <w:kern w:val="0"/>
                <w:sz w:val="24"/>
                <w:szCs w:val="24"/>
                <w:highlight w:val="none"/>
              </w:rPr>
            </w:pPr>
          </w:p>
        </w:tc>
        <w:tc>
          <w:tcPr>
            <w:tcW w:w="967" w:type="pct"/>
            <w:vAlign w:val="center"/>
          </w:tcPr>
          <w:p w14:paraId="153A187C">
            <w:pPr>
              <w:spacing w:line="360" w:lineRule="auto"/>
              <w:jc w:val="center"/>
              <w:rPr>
                <w:rFonts w:ascii="宋体" w:hAnsi="宋体" w:eastAsia="宋体" w:cs="宋体"/>
                <w:kern w:val="0"/>
                <w:sz w:val="24"/>
                <w:szCs w:val="24"/>
                <w:highlight w:val="none"/>
              </w:rPr>
            </w:pPr>
          </w:p>
        </w:tc>
        <w:tc>
          <w:tcPr>
            <w:tcW w:w="894" w:type="pct"/>
            <w:vAlign w:val="center"/>
          </w:tcPr>
          <w:p w14:paraId="043984A5">
            <w:pPr>
              <w:spacing w:line="360" w:lineRule="auto"/>
              <w:jc w:val="center"/>
              <w:rPr>
                <w:rFonts w:ascii="宋体" w:hAnsi="宋体" w:eastAsia="宋体" w:cs="宋体"/>
                <w:kern w:val="0"/>
                <w:sz w:val="24"/>
                <w:szCs w:val="24"/>
                <w:highlight w:val="none"/>
              </w:rPr>
            </w:pPr>
          </w:p>
        </w:tc>
      </w:tr>
      <w:tr w14:paraId="6FD636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0" w:type="pct"/>
            <w:vAlign w:val="center"/>
          </w:tcPr>
          <w:p w14:paraId="736DAEB5">
            <w:pPr>
              <w:spacing w:line="360" w:lineRule="auto"/>
              <w:jc w:val="center"/>
              <w:rPr>
                <w:rFonts w:ascii="宋体" w:hAnsi="宋体" w:eastAsia="宋体" w:cs="宋体"/>
                <w:kern w:val="0"/>
                <w:sz w:val="24"/>
                <w:szCs w:val="24"/>
                <w:highlight w:val="none"/>
              </w:rPr>
            </w:pPr>
          </w:p>
        </w:tc>
        <w:tc>
          <w:tcPr>
            <w:tcW w:w="709" w:type="pct"/>
            <w:vAlign w:val="center"/>
          </w:tcPr>
          <w:p w14:paraId="5C319C88">
            <w:pPr>
              <w:spacing w:line="360" w:lineRule="auto"/>
              <w:jc w:val="center"/>
              <w:rPr>
                <w:rFonts w:ascii="宋体" w:hAnsi="宋体" w:eastAsia="宋体" w:cs="宋体"/>
                <w:kern w:val="0"/>
                <w:sz w:val="24"/>
                <w:szCs w:val="24"/>
                <w:highlight w:val="none"/>
              </w:rPr>
            </w:pPr>
          </w:p>
        </w:tc>
        <w:tc>
          <w:tcPr>
            <w:tcW w:w="520" w:type="pct"/>
            <w:vAlign w:val="center"/>
          </w:tcPr>
          <w:p w14:paraId="3791CB5C">
            <w:pPr>
              <w:spacing w:line="360" w:lineRule="auto"/>
              <w:jc w:val="center"/>
              <w:rPr>
                <w:rFonts w:ascii="宋体" w:hAnsi="宋体" w:eastAsia="宋体" w:cs="宋体"/>
                <w:kern w:val="0"/>
                <w:sz w:val="24"/>
                <w:szCs w:val="24"/>
                <w:highlight w:val="none"/>
              </w:rPr>
            </w:pPr>
          </w:p>
        </w:tc>
        <w:tc>
          <w:tcPr>
            <w:tcW w:w="580" w:type="pct"/>
            <w:vAlign w:val="center"/>
          </w:tcPr>
          <w:p w14:paraId="7EC372AE">
            <w:pPr>
              <w:spacing w:line="360" w:lineRule="auto"/>
              <w:jc w:val="center"/>
              <w:rPr>
                <w:rFonts w:ascii="宋体" w:hAnsi="宋体" w:eastAsia="宋体" w:cs="宋体"/>
                <w:kern w:val="0"/>
                <w:sz w:val="24"/>
                <w:szCs w:val="24"/>
                <w:highlight w:val="none"/>
              </w:rPr>
            </w:pPr>
          </w:p>
        </w:tc>
        <w:tc>
          <w:tcPr>
            <w:tcW w:w="580" w:type="pct"/>
            <w:vAlign w:val="center"/>
          </w:tcPr>
          <w:p w14:paraId="544DA66E">
            <w:pPr>
              <w:spacing w:line="360" w:lineRule="auto"/>
              <w:jc w:val="center"/>
              <w:rPr>
                <w:rFonts w:ascii="宋体" w:hAnsi="宋体" w:eastAsia="宋体" w:cs="宋体"/>
                <w:kern w:val="0"/>
                <w:sz w:val="24"/>
                <w:szCs w:val="24"/>
                <w:highlight w:val="none"/>
              </w:rPr>
            </w:pPr>
          </w:p>
        </w:tc>
        <w:tc>
          <w:tcPr>
            <w:tcW w:w="967" w:type="pct"/>
            <w:vAlign w:val="center"/>
          </w:tcPr>
          <w:p w14:paraId="3C9D53A2">
            <w:pPr>
              <w:spacing w:line="360" w:lineRule="auto"/>
              <w:jc w:val="center"/>
              <w:rPr>
                <w:rFonts w:ascii="宋体" w:hAnsi="宋体" w:eastAsia="宋体" w:cs="宋体"/>
                <w:kern w:val="0"/>
                <w:sz w:val="24"/>
                <w:szCs w:val="24"/>
                <w:highlight w:val="none"/>
              </w:rPr>
            </w:pPr>
          </w:p>
        </w:tc>
        <w:tc>
          <w:tcPr>
            <w:tcW w:w="894" w:type="pct"/>
            <w:vAlign w:val="center"/>
          </w:tcPr>
          <w:p w14:paraId="752ADED0">
            <w:pPr>
              <w:spacing w:line="360" w:lineRule="auto"/>
              <w:jc w:val="center"/>
              <w:rPr>
                <w:rFonts w:ascii="宋体" w:hAnsi="宋体" w:eastAsia="宋体" w:cs="宋体"/>
                <w:kern w:val="0"/>
                <w:sz w:val="24"/>
                <w:szCs w:val="24"/>
                <w:highlight w:val="none"/>
              </w:rPr>
            </w:pPr>
          </w:p>
        </w:tc>
      </w:tr>
      <w:tr w14:paraId="07E748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750" w:type="pct"/>
            <w:vAlign w:val="center"/>
          </w:tcPr>
          <w:p w14:paraId="4DF4E4B9">
            <w:pPr>
              <w:spacing w:line="360" w:lineRule="auto"/>
              <w:jc w:val="center"/>
              <w:rPr>
                <w:rFonts w:ascii="宋体" w:hAnsi="宋体" w:eastAsia="宋体" w:cs="宋体"/>
                <w:kern w:val="0"/>
                <w:sz w:val="24"/>
                <w:szCs w:val="24"/>
                <w:highlight w:val="none"/>
              </w:rPr>
            </w:pPr>
          </w:p>
        </w:tc>
        <w:tc>
          <w:tcPr>
            <w:tcW w:w="709" w:type="pct"/>
            <w:vAlign w:val="center"/>
          </w:tcPr>
          <w:p w14:paraId="726E9A29">
            <w:pPr>
              <w:spacing w:line="360" w:lineRule="auto"/>
              <w:jc w:val="center"/>
              <w:rPr>
                <w:rFonts w:ascii="宋体" w:hAnsi="宋体" w:eastAsia="宋体" w:cs="宋体"/>
                <w:kern w:val="0"/>
                <w:sz w:val="24"/>
                <w:szCs w:val="24"/>
                <w:highlight w:val="none"/>
              </w:rPr>
            </w:pPr>
          </w:p>
        </w:tc>
        <w:tc>
          <w:tcPr>
            <w:tcW w:w="520" w:type="pct"/>
            <w:vAlign w:val="center"/>
          </w:tcPr>
          <w:p w14:paraId="5215A5E0">
            <w:pPr>
              <w:spacing w:line="360" w:lineRule="auto"/>
              <w:jc w:val="center"/>
              <w:rPr>
                <w:rFonts w:ascii="宋体" w:hAnsi="宋体" w:eastAsia="宋体" w:cs="宋体"/>
                <w:kern w:val="0"/>
                <w:sz w:val="24"/>
                <w:szCs w:val="24"/>
                <w:highlight w:val="none"/>
              </w:rPr>
            </w:pPr>
          </w:p>
        </w:tc>
        <w:tc>
          <w:tcPr>
            <w:tcW w:w="580" w:type="pct"/>
            <w:vAlign w:val="center"/>
          </w:tcPr>
          <w:p w14:paraId="560D7A3A">
            <w:pPr>
              <w:spacing w:line="360" w:lineRule="auto"/>
              <w:jc w:val="center"/>
              <w:rPr>
                <w:rFonts w:ascii="宋体" w:hAnsi="宋体" w:eastAsia="宋体" w:cs="宋体"/>
                <w:kern w:val="0"/>
                <w:sz w:val="24"/>
                <w:szCs w:val="24"/>
                <w:highlight w:val="none"/>
              </w:rPr>
            </w:pPr>
          </w:p>
        </w:tc>
        <w:tc>
          <w:tcPr>
            <w:tcW w:w="580" w:type="pct"/>
            <w:vAlign w:val="center"/>
          </w:tcPr>
          <w:p w14:paraId="7983A9B0">
            <w:pPr>
              <w:spacing w:line="360" w:lineRule="auto"/>
              <w:jc w:val="center"/>
              <w:rPr>
                <w:rFonts w:ascii="宋体" w:hAnsi="宋体" w:eastAsia="宋体" w:cs="宋体"/>
                <w:kern w:val="0"/>
                <w:sz w:val="24"/>
                <w:szCs w:val="24"/>
                <w:highlight w:val="none"/>
              </w:rPr>
            </w:pPr>
          </w:p>
        </w:tc>
        <w:tc>
          <w:tcPr>
            <w:tcW w:w="967" w:type="pct"/>
            <w:vAlign w:val="center"/>
          </w:tcPr>
          <w:p w14:paraId="5A52D30E">
            <w:pPr>
              <w:spacing w:line="360" w:lineRule="auto"/>
              <w:jc w:val="center"/>
              <w:rPr>
                <w:rFonts w:ascii="宋体" w:hAnsi="宋体" w:eastAsia="宋体" w:cs="宋体"/>
                <w:kern w:val="0"/>
                <w:sz w:val="24"/>
                <w:szCs w:val="24"/>
                <w:highlight w:val="none"/>
              </w:rPr>
            </w:pPr>
          </w:p>
        </w:tc>
        <w:tc>
          <w:tcPr>
            <w:tcW w:w="894" w:type="pct"/>
            <w:vAlign w:val="center"/>
          </w:tcPr>
          <w:p w14:paraId="3AA6D0B1">
            <w:pPr>
              <w:spacing w:line="360" w:lineRule="auto"/>
              <w:jc w:val="center"/>
              <w:rPr>
                <w:rFonts w:ascii="宋体" w:hAnsi="宋体" w:eastAsia="宋体" w:cs="宋体"/>
                <w:kern w:val="0"/>
                <w:sz w:val="24"/>
                <w:szCs w:val="24"/>
                <w:highlight w:val="none"/>
              </w:rPr>
            </w:pPr>
          </w:p>
        </w:tc>
      </w:tr>
    </w:tbl>
    <w:p w14:paraId="6F33D307">
      <w:pPr>
        <w:pStyle w:val="85"/>
        <w:spacing w:line="500" w:lineRule="exact"/>
        <w:rPr>
          <w:rFonts w:hint="eastAsia" w:ascii="宋体" w:hAnsi="宋体" w:eastAsia="宋体" w:cs="宋体"/>
          <w:color w:val="auto"/>
          <w:highlight w:val="none"/>
        </w:rPr>
      </w:pPr>
      <w:r>
        <w:rPr>
          <w:rFonts w:hint="eastAsia" w:ascii="宋体" w:hAnsi="宋体" w:eastAsia="宋体" w:cs="宋体"/>
          <w:color w:val="auto"/>
          <w:highlight w:val="none"/>
        </w:rPr>
        <w:t>（建议按照评审标准提供相应资料）。</w:t>
      </w:r>
    </w:p>
    <w:p w14:paraId="6A640F8A">
      <w:pPr>
        <w:rPr>
          <w:i w:val="0"/>
          <w:iCs w:val="0"/>
          <w:color w:val="auto"/>
          <w:highlight w:val="none"/>
        </w:rPr>
      </w:pPr>
      <w:r>
        <w:rPr>
          <w:i w:val="0"/>
          <w:iCs w:val="0"/>
          <w:color w:val="auto"/>
          <w:highlight w:val="none"/>
        </w:rPr>
        <w:br w:type="page"/>
      </w:r>
    </w:p>
    <w:p w14:paraId="38D4A85C">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552" w:name="_Toc28841"/>
      <w:r>
        <w:rPr>
          <w:rFonts w:hint="eastAsia" w:cstheme="majorBidi"/>
          <w:b/>
          <w:bCs/>
          <w:i w:val="0"/>
          <w:iCs w:val="0"/>
          <w:color w:val="auto"/>
          <w:kern w:val="2"/>
          <w:sz w:val="32"/>
          <w:szCs w:val="32"/>
          <w:highlight w:val="none"/>
          <w:lang w:val="en-US" w:eastAsia="zh-CN" w:bidi="ar-SA"/>
        </w:rPr>
        <w:t>九</w:t>
      </w:r>
      <w:r>
        <w:rPr>
          <w:rFonts w:hint="eastAsia" w:eastAsia="宋体" w:asciiTheme="majorHAnsi" w:hAnsiTheme="majorHAnsi" w:cstheme="majorBidi"/>
          <w:b/>
          <w:bCs/>
          <w:i w:val="0"/>
          <w:iCs w:val="0"/>
          <w:color w:val="auto"/>
          <w:kern w:val="2"/>
          <w:sz w:val="32"/>
          <w:szCs w:val="32"/>
          <w:highlight w:val="none"/>
          <w:lang w:val="en-US" w:eastAsia="zh-CN" w:bidi="ar-SA"/>
        </w:rPr>
        <w:t>、技术响应偏离表</w:t>
      </w:r>
      <w:bookmarkEnd w:id="552"/>
    </w:p>
    <w:p w14:paraId="2CFF44DB">
      <w:pPr>
        <w:rPr>
          <w:rFonts w:cs="仿宋_GB2312"/>
          <w:i w:val="0"/>
          <w:iCs w:val="0"/>
          <w:color w:val="auto"/>
          <w:szCs w:val="24"/>
          <w:highlight w:val="none"/>
        </w:rPr>
      </w:pPr>
      <w:r>
        <w:rPr>
          <w:rFonts w:hint="eastAsia" w:cs="仿宋_GB2312"/>
          <w:i w:val="0"/>
          <w:iCs w:val="0"/>
          <w:color w:val="auto"/>
          <w:szCs w:val="24"/>
          <w:highlight w:val="none"/>
        </w:rPr>
        <w:t xml:space="preserve">项目名称：                                         </w:t>
      </w:r>
    </w:p>
    <w:p w14:paraId="5F600426">
      <w:pPr>
        <w:rPr>
          <w:rFonts w:cs="仿宋_GB2312"/>
          <w:i w:val="0"/>
          <w:iCs w:val="0"/>
          <w:color w:val="auto"/>
          <w:szCs w:val="24"/>
          <w:highlight w:val="none"/>
        </w:rPr>
      </w:pPr>
      <w:r>
        <w:rPr>
          <w:rFonts w:hint="eastAsia" w:cs="仿宋_GB2312"/>
          <w:i w:val="0"/>
          <w:iCs w:val="0"/>
          <w:color w:val="auto"/>
          <w:szCs w:val="24"/>
          <w:highlight w:val="none"/>
        </w:rPr>
        <w:t>项目编号</w:t>
      </w:r>
      <w:r>
        <w:rPr>
          <w:rFonts w:hint="eastAsia" w:cs="仿宋_GB2312"/>
          <w:i w:val="0"/>
          <w:iCs w:val="0"/>
          <w:color w:val="auto"/>
          <w:szCs w:val="24"/>
          <w:highlight w:val="none"/>
          <w:lang w:val="en-US" w:eastAsia="zh-CN"/>
        </w:rPr>
        <w:t>/</w:t>
      </w:r>
      <w:r>
        <w:rPr>
          <w:rFonts w:hint="eastAsia" w:cs="仿宋_GB2312"/>
          <w:i w:val="0"/>
          <w:iCs w:val="0"/>
          <w:color w:val="auto"/>
          <w:szCs w:val="24"/>
          <w:highlight w:val="none"/>
          <w:lang w:val="zh-CN"/>
        </w:rPr>
        <w:t>包号</w:t>
      </w:r>
      <w:r>
        <w:rPr>
          <w:rFonts w:hint="eastAsia" w:cs="仿宋_GB2312"/>
          <w:i w:val="0"/>
          <w:iCs w:val="0"/>
          <w:color w:val="auto"/>
          <w:szCs w:val="24"/>
          <w:highlight w:val="none"/>
        </w:rPr>
        <w:t xml:space="preserve">：         </w:t>
      </w:r>
    </w:p>
    <w:tbl>
      <w:tblPr>
        <w:tblStyle w:val="32"/>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2177"/>
        <w:gridCol w:w="1556"/>
        <w:gridCol w:w="2046"/>
        <w:gridCol w:w="2046"/>
      </w:tblGrid>
      <w:tr w14:paraId="69CE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694" w:type="dxa"/>
            <w:vAlign w:val="center"/>
          </w:tcPr>
          <w:p w14:paraId="63C55A8F">
            <w:pPr>
              <w:pStyle w:val="52"/>
              <w:jc w:val="center"/>
              <w:rPr>
                <w:i w:val="0"/>
                <w:iCs w:val="0"/>
                <w:color w:val="auto"/>
                <w:highlight w:val="none"/>
              </w:rPr>
            </w:pPr>
            <w:r>
              <w:rPr>
                <w:rFonts w:hint="eastAsia"/>
                <w:i w:val="0"/>
                <w:iCs w:val="0"/>
                <w:color w:val="auto"/>
                <w:highlight w:val="none"/>
              </w:rPr>
              <w:t>序号</w:t>
            </w:r>
          </w:p>
        </w:tc>
        <w:tc>
          <w:tcPr>
            <w:tcW w:w="2177" w:type="dxa"/>
            <w:vAlign w:val="center"/>
          </w:tcPr>
          <w:p w14:paraId="79B33EF9">
            <w:pPr>
              <w:pStyle w:val="52"/>
              <w:jc w:val="center"/>
              <w:rPr>
                <w:i w:val="0"/>
                <w:iCs w:val="0"/>
                <w:color w:val="auto"/>
                <w:highlight w:val="none"/>
              </w:rPr>
            </w:pPr>
            <w:r>
              <w:rPr>
                <w:rFonts w:hint="eastAsia"/>
                <w:i w:val="0"/>
                <w:iCs w:val="0"/>
                <w:color w:val="auto"/>
                <w:highlight w:val="none"/>
                <w:lang w:val="en-US" w:eastAsia="zh-CN"/>
              </w:rPr>
              <w:t>竞争性磋商</w:t>
            </w:r>
            <w:r>
              <w:rPr>
                <w:rFonts w:hint="eastAsia"/>
                <w:i w:val="0"/>
                <w:iCs w:val="0"/>
                <w:color w:val="auto"/>
                <w:highlight w:val="none"/>
              </w:rPr>
              <w:t>文件技术要求条款</w:t>
            </w:r>
          </w:p>
        </w:tc>
        <w:tc>
          <w:tcPr>
            <w:tcW w:w="1556" w:type="dxa"/>
            <w:vAlign w:val="center"/>
          </w:tcPr>
          <w:p w14:paraId="0C633C79">
            <w:pPr>
              <w:pStyle w:val="52"/>
              <w:jc w:val="center"/>
              <w:rPr>
                <w:i w:val="0"/>
                <w:iCs w:val="0"/>
                <w:color w:val="auto"/>
                <w:highlight w:val="none"/>
              </w:rPr>
            </w:pPr>
            <w:r>
              <w:rPr>
                <w:rFonts w:hint="eastAsia"/>
                <w:i w:val="0"/>
                <w:iCs w:val="0"/>
                <w:color w:val="auto"/>
                <w:highlight w:val="none"/>
                <w:lang w:val="en-US" w:eastAsia="zh-CN"/>
              </w:rPr>
              <w:t>响应</w:t>
            </w:r>
            <w:r>
              <w:rPr>
                <w:rFonts w:hint="eastAsia"/>
                <w:i w:val="0"/>
                <w:iCs w:val="0"/>
                <w:color w:val="auto"/>
                <w:highlight w:val="none"/>
              </w:rPr>
              <w:t>文件内容</w:t>
            </w:r>
          </w:p>
          <w:p w14:paraId="3916B372">
            <w:pPr>
              <w:pStyle w:val="52"/>
              <w:jc w:val="center"/>
              <w:rPr>
                <w:i w:val="0"/>
                <w:iCs w:val="0"/>
                <w:color w:val="auto"/>
                <w:highlight w:val="none"/>
              </w:rPr>
            </w:pPr>
            <w:r>
              <w:rPr>
                <w:rFonts w:hint="eastAsia"/>
                <w:i w:val="0"/>
                <w:iCs w:val="0"/>
                <w:color w:val="auto"/>
                <w:highlight w:val="none"/>
              </w:rPr>
              <w:t>对应简述</w:t>
            </w:r>
          </w:p>
        </w:tc>
        <w:tc>
          <w:tcPr>
            <w:tcW w:w="2046" w:type="dxa"/>
            <w:vAlign w:val="center"/>
          </w:tcPr>
          <w:p w14:paraId="37381852">
            <w:pPr>
              <w:pStyle w:val="52"/>
              <w:jc w:val="center"/>
              <w:rPr>
                <w:i w:val="0"/>
                <w:iCs w:val="0"/>
                <w:color w:val="auto"/>
                <w:highlight w:val="none"/>
              </w:rPr>
            </w:pPr>
            <w:r>
              <w:rPr>
                <w:rFonts w:hint="eastAsia"/>
                <w:i w:val="0"/>
                <w:iCs w:val="0"/>
                <w:color w:val="auto"/>
                <w:highlight w:val="none"/>
              </w:rPr>
              <w:t>响应情况</w:t>
            </w:r>
          </w:p>
        </w:tc>
        <w:tc>
          <w:tcPr>
            <w:tcW w:w="2046" w:type="dxa"/>
            <w:vAlign w:val="center"/>
          </w:tcPr>
          <w:p w14:paraId="34457960">
            <w:pPr>
              <w:pStyle w:val="52"/>
              <w:jc w:val="center"/>
              <w:rPr>
                <w:i w:val="0"/>
                <w:iCs w:val="0"/>
                <w:color w:val="auto"/>
                <w:highlight w:val="none"/>
              </w:rPr>
            </w:pPr>
            <w:r>
              <w:rPr>
                <w:rFonts w:hint="eastAsia"/>
                <w:i w:val="0"/>
                <w:iCs w:val="0"/>
                <w:color w:val="auto"/>
                <w:highlight w:val="none"/>
              </w:rPr>
              <w:t>说明及索引</w:t>
            </w:r>
          </w:p>
        </w:tc>
      </w:tr>
      <w:tr w14:paraId="43CF6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694" w:type="dxa"/>
            <w:vAlign w:val="center"/>
          </w:tcPr>
          <w:p w14:paraId="167972F7">
            <w:pPr>
              <w:pStyle w:val="52"/>
              <w:jc w:val="center"/>
              <w:rPr>
                <w:i w:val="0"/>
                <w:iCs w:val="0"/>
                <w:color w:val="auto"/>
                <w:highlight w:val="none"/>
              </w:rPr>
            </w:pPr>
            <w:r>
              <w:rPr>
                <w:rFonts w:hint="eastAsia"/>
                <w:i w:val="0"/>
                <w:iCs w:val="0"/>
                <w:color w:val="auto"/>
                <w:highlight w:val="none"/>
              </w:rPr>
              <w:t>1</w:t>
            </w:r>
          </w:p>
        </w:tc>
        <w:tc>
          <w:tcPr>
            <w:tcW w:w="2177" w:type="dxa"/>
            <w:vAlign w:val="center"/>
          </w:tcPr>
          <w:p w14:paraId="724DB945">
            <w:pPr>
              <w:pStyle w:val="52"/>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556" w:type="dxa"/>
            <w:vAlign w:val="center"/>
          </w:tcPr>
          <w:p w14:paraId="391052E1">
            <w:pPr>
              <w:pStyle w:val="52"/>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2046" w:type="dxa"/>
            <w:vAlign w:val="center"/>
          </w:tcPr>
          <w:p w14:paraId="0E84D92F">
            <w:pPr>
              <w:pStyle w:val="52"/>
              <w:jc w:val="center"/>
              <w:rPr>
                <w:i w:val="0"/>
                <w:iCs w:val="0"/>
                <w:color w:val="auto"/>
                <w:highlight w:val="none"/>
              </w:rPr>
            </w:pPr>
            <w:r>
              <w:rPr>
                <w:rFonts w:hint="eastAsia"/>
                <w:i w:val="0"/>
                <w:iCs w:val="0"/>
                <w:color w:val="auto"/>
                <w:highlight w:val="none"/>
              </w:rPr>
              <w:t>响应/正偏离/负偏离</w:t>
            </w:r>
          </w:p>
        </w:tc>
        <w:tc>
          <w:tcPr>
            <w:tcW w:w="2046" w:type="dxa"/>
            <w:vAlign w:val="center"/>
          </w:tcPr>
          <w:p w14:paraId="6C85BA38">
            <w:pPr>
              <w:pStyle w:val="52"/>
              <w:jc w:val="center"/>
              <w:rPr>
                <w:i w:val="0"/>
                <w:iCs w:val="0"/>
                <w:color w:val="auto"/>
                <w:highlight w:val="none"/>
              </w:rPr>
            </w:pPr>
          </w:p>
        </w:tc>
      </w:tr>
      <w:tr w14:paraId="6AF1A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694" w:type="dxa"/>
            <w:vAlign w:val="center"/>
          </w:tcPr>
          <w:p w14:paraId="05065EDA">
            <w:pPr>
              <w:pStyle w:val="52"/>
              <w:jc w:val="center"/>
              <w:rPr>
                <w:i w:val="0"/>
                <w:iCs w:val="0"/>
                <w:color w:val="auto"/>
                <w:highlight w:val="none"/>
              </w:rPr>
            </w:pPr>
            <w:r>
              <w:rPr>
                <w:rFonts w:hint="eastAsia"/>
                <w:i w:val="0"/>
                <w:iCs w:val="0"/>
                <w:color w:val="auto"/>
                <w:highlight w:val="none"/>
              </w:rPr>
              <w:t>2</w:t>
            </w:r>
          </w:p>
        </w:tc>
        <w:tc>
          <w:tcPr>
            <w:tcW w:w="2177" w:type="dxa"/>
            <w:vAlign w:val="center"/>
          </w:tcPr>
          <w:p w14:paraId="595D5646">
            <w:pPr>
              <w:pStyle w:val="52"/>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556" w:type="dxa"/>
            <w:vAlign w:val="center"/>
          </w:tcPr>
          <w:p w14:paraId="77B7522C">
            <w:pPr>
              <w:pStyle w:val="52"/>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2046" w:type="dxa"/>
            <w:vAlign w:val="center"/>
          </w:tcPr>
          <w:p w14:paraId="564961C3">
            <w:pPr>
              <w:pStyle w:val="52"/>
              <w:jc w:val="center"/>
              <w:rPr>
                <w:i w:val="0"/>
                <w:iCs w:val="0"/>
                <w:color w:val="auto"/>
                <w:highlight w:val="none"/>
              </w:rPr>
            </w:pPr>
            <w:r>
              <w:rPr>
                <w:rFonts w:hint="eastAsia"/>
                <w:i w:val="0"/>
                <w:iCs w:val="0"/>
                <w:color w:val="auto"/>
                <w:highlight w:val="none"/>
              </w:rPr>
              <w:t>响应/正偏离/负偏离</w:t>
            </w:r>
          </w:p>
        </w:tc>
        <w:tc>
          <w:tcPr>
            <w:tcW w:w="2046" w:type="dxa"/>
            <w:vAlign w:val="center"/>
          </w:tcPr>
          <w:p w14:paraId="329B96FE">
            <w:pPr>
              <w:pStyle w:val="52"/>
              <w:jc w:val="center"/>
              <w:rPr>
                <w:i w:val="0"/>
                <w:iCs w:val="0"/>
                <w:color w:val="auto"/>
                <w:highlight w:val="none"/>
              </w:rPr>
            </w:pPr>
          </w:p>
        </w:tc>
      </w:tr>
      <w:tr w14:paraId="00520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94" w:type="dxa"/>
            <w:vAlign w:val="center"/>
          </w:tcPr>
          <w:p w14:paraId="5B3C1240">
            <w:pPr>
              <w:pStyle w:val="52"/>
              <w:jc w:val="center"/>
              <w:rPr>
                <w:i w:val="0"/>
                <w:iCs w:val="0"/>
                <w:color w:val="auto"/>
                <w:highlight w:val="none"/>
              </w:rPr>
            </w:pPr>
          </w:p>
        </w:tc>
        <w:tc>
          <w:tcPr>
            <w:tcW w:w="2177" w:type="dxa"/>
            <w:vAlign w:val="center"/>
          </w:tcPr>
          <w:p w14:paraId="42D7D63B">
            <w:pPr>
              <w:pStyle w:val="52"/>
              <w:jc w:val="center"/>
              <w:rPr>
                <w:i w:val="0"/>
                <w:iCs w:val="0"/>
                <w:color w:val="auto"/>
                <w:highlight w:val="none"/>
              </w:rPr>
            </w:pPr>
          </w:p>
        </w:tc>
        <w:tc>
          <w:tcPr>
            <w:tcW w:w="1556" w:type="dxa"/>
            <w:vAlign w:val="center"/>
          </w:tcPr>
          <w:p w14:paraId="28E8187F">
            <w:pPr>
              <w:pStyle w:val="52"/>
              <w:jc w:val="center"/>
              <w:rPr>
                <w:i w:val="0"/>
                <w:iCs w:val="0"/>
                <w:color w:val="auto"/>
                <w:highlight w:val="none"/>
              </w:rPr>
            </w:pPr>
          </w:p>
        </w:tc>
        <w:tc>
          <w:tcPr>
            <w:tcW w:w="2046" w:type="dxa"/>
            <w:vAlign w:val="center"/>
          </w:tcPr>
          <w:p w14:paraId="34E6CA49">
            <w:pPr>
              <w:pStyle w:val="52"/>
              <w:jc w:val="center"/>
              <w:rPr>
                <w:i w:val="0"/>
                <w:iCs w:val="0"/>
                <w:color w:val="auto"/>
                <w:highlight w:val="none"/>
              </w:rPr>
            </w:pPr>
          </w:p>
        </w:tc>
        <w:tc>
          <w:tcPr>
            <w:tcW w:w="2046" w:type="dxa"/>
            <w:vAlign w:val="center"/>
          </w:tcPr>
          <w:p w14:paraId="1ED6FFF2">
            <w:pPr>
              <w:pStyle w:val="52"/>
              <w:jc w:val="center"/>
              <w:rPr>
                <w:i w:val="0"/>
                <w:iCs w:val="0"/>
                <w:color w:val="auto"/>
                <w:highlight w:val="none"/>
              </w:rPr>
            </w:pPr>
          </w:p>
        </w:tc>
      </w:tr>
      <w:tr w14:paraId="71939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94" w:type="dxa"/>
            <w:vAlign w:val="center"/>
          </w:tcPr>
          <w:p w14:paraId="5836AAB2">
            <w:pPr>
              <w:pStyle w:val="52"/>
              <w:jc w:val="center"/>
              <w:rPr>
                <w:i w:val="0"/>
                <w:iCs w:val="0"/>
                <w:color w:val="auto"/>
                <w:highlight w:val="none"/>
              </w:rPr>
            </w:pPr>
          </w:p>
        </w:tc>
        <w:tc>
          <w:tcPr>
            <w:tcW w:w="2177" w:type="dxa"/>
            <w:vAlign w:val="center"/>
          </w:tcPr>
          <w:p w14:paraId="4F7D2A7F">
            <w:pPr>
              <w:pStyle w:val="52"/>
              <w:jc w:val="center"/>
              <w:rPr>
                <w:i w:val="0"/>
                <w:iCs w:val="0"/>
                <w:color w:val="auto"/>
                <w:highlight w:val="none"/>
              </w:rPr>
            </w:pPr>
          </w:p>
        </w:tc>
        <w:tc>
          <w:tcPr>
            <w:tcW w:w="1556" w:type="dxa"/>
            <w:vAlign w:val="center"/>
          </w:tcPr>
          <w:p w14:paraId="641F0086">
            <w:pPr>
              <w:pStyle w:val="52"/>
              <w:jc w:val="center"/>
              <w:rPr>
                <w:i w:val="0"/>
                <w:iCs w:val="0"/>
                <w:color w:val="auto"/>
                <w:highlight w:val="none"/>
              </w:rPr>
            </w:pPr>
          </w:p>
        </w:tc>
        <w:tc>
          <w:tcPr>
            <w:tcW w:w="2046" w:type="dxa"/>
            <w:vAlign w:val="center"/>
          </w:tcPr>
          <w:p w14:paraId="64D940A4">
            <w:pPr>
              <w:pStyle w:val="52"/>
              <w:jc w:val="center"/>
              <w:rPr>
                <w:i w:val="0"/>
                <w:iCs w:val="0"/>
                <w:color w:val="auto"/>
                <w:highlight w:val="none"/>
              </w:rPr>
            </w:pPr>
          </w:p>
        </w:tc>
        <w:tc>
          <w:tcPr>
            <w:tcW w:w="2046" w:type="dxa"/>
            <w:vAlign w:val="center"/>
          </w:tcPr>
          <w:p w14:paraId="4FA11D83">
            <w:pPr>
              <w:pStyle w:val="52"/>
              <w:jc w:val="center"/>
              <w:rPr>
                <w:i w:val="0"/>
                <w:iCs w:val="0"/>
                <w:color w:val="auto"/>
                <w:highlight w:val="none"/>
              </w:rPr>
            </w:pPr>
          </w:p>
        </w:tc>
      </w:tr>
      <w:tr w14:paraId="7CD6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94" w:type="dxa"/>
            <w:vAlign w:val="center"/>
          </w:tcPr>
          <w:p w14:paraId="0164284A">
            <w:pPr>
              <w:pStyle w:val="52"/>
              <w:jc w:val="center"/>
              <w:rPr>
                <w:i w:val="0"/>
                <w:iCs w:val="0"/>
                <w:color w:val="auto"/>
                <w:highlight w:val="none"/>
              </w:rPr>
            </w:pPr>
          </w:p>
        </w:tc>
        <w:tc>
          <w:tcPr>
            <w:tcW w:w="2177" w:type="dxa"/>
            <w:vAlign w:val="center"/>
          </w:tcPr>
          <w:p w14:paraId="55705C5D">
            <w:pPr>
              <w:pStyle w:val="52"/>
              <w:jc w:val="center"/>
              <w:rPr>
                <w:i w:val="0"/>
                <w:iCs w:val="0"/>
                <w:color w:val="auto"/>
                <w:highlight w:val="none"/>
              </w:rPr>
            </w:pPr>
          </w:p>
        </w:tc>
        <w:tc>
          <w:tcPr>
            <w:tcW w:w="1556" w:type="dxa"/>
            <w:vAlign w:val="center"/>
          </w:tcPr>
          <w:p w14:paraId="3ECA70A1">
            <w:pPr>
              <w:pStyle w:val="52"/>
              <w:jc w:val="center"/>
              <w:rPr>
                <w:i w:val="0"/>
                <w:iCs w:val="0"/>
                <w:color w:val="auto"/>
                <w:highlight w:val="none"/>
              </w:rPr>
            </w:pPr>
          </w:p>
        </w:tc>
        <w:tc>
          <w:tcPr>
            <w:tcW w:w="2046" w:type="dxa"/>
            <w:vAlign w:val="center"/>
          </w:tcPr>
          <w:p w14:paraId="0286DBA2">
            <w:pPr>
              <w:pStyle w:val="52"/>
              <w:jc w:val="center"/>
              <w:rPr>
                <w:i w:val="0"/>
                <w:iCs w:val="0"/>
                <w:color w:val="auto"/>
                <w:highlight w:val="none"/>
              </w:rPr>
            </w:pPr>
          </w:p>
        </w:tc>
        <w:tc>
          <w:tcPr>
            <w:tcW w:w="2046" w:type="dxa"/>
            <w:vAlign w:val="center"/>
          </w:tcPr>
          <w:p w14:paraId="6DA05001">
            <w:pPr>
              <w:pStyle w:val="52"/>
              <w:jc w:val="center"/>
              <w:rPr>
                <w:i w:val="0"/>
                <w:iCs w:val="0"/>
                <w:color w:val="auto"/>
                <w:highlight w:val="none"/>
              </w:rPr>
            </w:pPr>
          </w:p>
        </w:tc>
      </w:tr>
      <w:tr w14:paraId="3F887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94" w:type="dxa"/>
            <w:vAlign w:val="center"/>
          </w:tcPr>
          <w:p w14:paraId="42F392D7">
            <w:pPr>
              <w:pStyle w:val="52"/>
              <w:jc w:val="center"/>
              <w:rPr>
                <w:i w:val="0"/>
                <w:iCs w:val="0"/>
                <w:color w:val="auto"/>
                <w:highlight w:val="none"/>
              </w:rPr>
            </w:pPr>
          </w:p>
        </w:tc>
        <w:tc>
          <w:tcPr>
            <w:tcW w:w="2177" w:type="dxa"/>
            <w:vAlign w:val="center"/>
          </w:tcPr>
          <w:p w14:paraId="5BEB5641">
            <w:pPr>
              <w:pStyle w:val="52"/>
              <w:jc w:val="center"/>
              <w:rPr>
                <w:i w:val="0"/>
                <w:iCs w:val="0"/>
                <w:color w:val="auto"/>
                <w:highlight w:val="none"/>
              </w:rPr>
            </w:pPr>
          </w:p>
        </w:tc>
        <w:tc>
          <w:tcPr>
            <w:tcW w:w="1556" w:type="dxa"/>
            <w:vAlign w:val="center"/>
          </w:tcPr>
          <w:p w14:paraId="7F43C6F5">
            <w:pPr>
              <w:pStyle w:val="52"/>
              <w:jc w:val="center"/>
              <w:rPr>
                <w:i w:val="0"/>
                <w:iCs w:val="0"/>
                <w:color w:val="auto"/>
                <w:highlight w:val="none"/>
              </w:rPr>
            </w:pPr>
          </w:p>
        </w:tc>
        <w:tc>
          <w:tcPr>
            <w:tcW w:w="2046" w:type="dxa"/>
            <w:vAlign w:val="center"/>
          </w:tcPr>
          <w:p w14:paraId="64F17022">
            <w:pPr>
              <w:pStyle w:val="52"/>
              <w:jc w:val="center"/>
              <w:rPr>
                <w:i w:val="0"/>
                <w:iCs w:val="0"/>
                <w:color w:val="auto"/>
                <w:highlight w:val="none"/>
              </w:rPr>
            </w:pPr>
          </w:p>
        </w:tc>
        <w:tc>
          <w:tcPr>
            <w:tcW w:w="2046" w:type="dxa"/>
            <w:vAlign w:val="center"/>
          </w:tcPr>
          <w:p w14:paraId="22A65DA9">
            <w:pPr>
              <w:pStyle w:val="52"/>
              <w:jc w:val="center"/>
              <w:rPr>
                <w:i w:val="0"/>
                <w:iCs w:val="0"/>
                <w:color w:val="auto"/>
                <w:highlight w:val="none"/>
              </w:rPr>
            </w:pPr>
          </w:p>
        </w:tc>
      </w:tr>
      <w:tr w14:paraId="4D2F5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94" w:type="dxa"/>
            <w:vAlign w:val="center"/>
          </w:tcPr>
          <w:p w14:paraId="2D7F2A4F">
            <w:pPr>
              <w:pStyle w:val="52"/>
              <w:jc w:val="center"/>
              <w:rPr>
                <w:i w:val="0"/>
                <w:iCs w:val="0"/>
                <w:color w:val="auto"/>
                <w:highlight w:val="none"/>
              </w:rPr>
            </w:pPr>
          </w:p>
        </w:tc>
        <w:tc>
          <w:tcPr>
            <w:tcW w:w="2177" w:type="dxa"/>
            <w:vAlign w:val="center"/>
          </w:tcPr>
          <w:p w14:paraId="6A688081">
            <w:pPr>
              <w:pStyle w:val="52"/>
              <w:jc w:val="center"/>
              <w:rPr>
                <w:i w:val="0"/>
                <w:iCs w:val="0"/>
                <w:color w:val="auto"/>
                <w:highlight w:val="none"/>
              </w:rPr>
            </w:pPr>
          </w:p>
        </w:tc>
        <w:tc>
          <w:tcPr>
            <w:tcW w:w="1556" w:type="dxa"/>
            <w:vAlign w:val="center"/>
          </w:tcPr>
          <w:p w14:paraId="6915FF5F">
            <w:pPr>
              <w:pStyle w:val="52"/>
              <w:jc w:val="center"/>
              <w:rPr>
                <w:i w:val="0"/>
                <w:iCs w:val="0"/>
                <w:color w:val="auto"/>
                <w:highlight w:val="none"/>
              </w:rPr>
            </w:pPr>
          </w:p>
        </w:tc>
        <w:tc>
          <w:tcPr>
            <w:tcW w:w="2046" w:type="dxa"/>
            <w:vAlign w:val="center"/>
          </w:tcPr>
          <w:p w14:paraId="3FB47269">
            <w:pPr>
              <w:pStyle w:val="52"/>
              <w:jc w:val="center"/>
              <w:rPr>
                <w:i w:val="0"/>
                <w:iCs w:val="0"/>
                <w:color w:val="auto"/>
                <w:highlight w:val="none"/>
              </w:rPr>
            </w:pPr>
          </w:p>
        </w:tc>
        <w:tc>
          <w:tcPr>
            <w:tcW w:w="2046" w:type="dxa"/>
            <w:vAlign w:val="center"/>
          </w:tcPr>
          <w:p w14:paraId="091B9058">
            <w:pPr>
              <w:pStyle w:val="52"/>
              <w:jc w:val="center"/>
              <w:rPr>
                <w:i w:val="0"/>
                <w:iCs w:val="0"/>
                <w:color w:val="auto"/>
                <w:highlight w:val="none"/>
              </w:rPr>
            </w:pPr>
          </w:p>
        </w:tc>
      </w:tr>
      <w:tr w14:paraId="6734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94" w:type="dxa"/>
            <w:vAlign w:val="center"/>
          </w:tcPr>
          <w:p w14:paraId="18F41B99">
            <w:pPr>
              <w:pStyle w:val="52"/>
              <w:jc w:val="center"/>
              <w:rPr>
                <w:i w:val="0"/>
                <w:iCs w:val="0"/>
                <w:color w:val="auto"/>
                <w:highlight w:val="none"/>
              </w:rPr>
            </w:pPr>
          </w:p>
        </w:tc>
        <w:tc>
          <w:tcPr>
            <w:tcW w:w="2177" w:type="dxa"/>
            <w:vAlign w:val="center"/>
          </w:tcPr>
          <w:p w14:paraId="7AC29D17">
            <w:pPr>
              <w:pStyle w:val="52"/>
              <w:jc w:val="center"/>
              <w:rPr>
                <w:i w:val="0"/>
                <w:iCs w:val="0"/>
                <w:color w:val="auto"/>
                <w:highlight w:val="none"/>
              </w:rPr>
            </w:pPr>
          </w:p>
        </w:tc>
        <w:tc>
          <w:tcPr>
            <w:tcW w:w="1556" w:type="dxa"/>
            <w:vAlign w:val="center"/>
          </w:tcPr>
          <w:p w14:paraId="68F1C71E">
            <w:pPr>
              <w:pStyle w:val="52"/>
              <w:jc w:val="center"/>
              <w:rPr>
                <w:i w:val="0"/>
                <w:iCs w:val="0"/>
                <w:color w:val="auto"/>
                <w:highlight w:val="none"/>
              </w:rPr>
            </w:pPr>
          </w:p>
        </w:tc>
        <w:tc>
          <w:tcPr>
            <w:tcW w:w="2046" w:type="dxa"/>
            <w:vAlign w:val="center"/>
          </w:tcPr>
          <w:p w14:paraId="3A99CE6D">
            <w:pPr>
              <w:pStyle w:val="52"/>
              <w:jc w:val="center"/>
              <w:rPr>
                <w:i w:val="0"/>
                <w:iCs w:val="0"/>
                <w:color w:val="auto"/>
                <w:highlight w:val="none"/>
              </w:rPr>
            </w:pPr>
          </w:p>
        </w:tc>
        <w:tc>
          <w:tcPr>
            <w:tcW w:w="2046" w:type="dxa"/>
            <w:vAlign w:val="center"/>
          </w:tcPr>
          <w:p w14:paraId="13FCDBCE">
            <w:pPr>
              <w:pStyle w:val="52"/>
              <w:jc w:val="center"/>
              <w:rPr>
                <w:i w:val="0"/>
                <w:iCs w:val="0"/>
                <w:color w:val="auto"/>
                <w:highlight w:val="none"/>
              </w:rPr>
            </w:pPr>
          </w:p>
        </w:tc>
      </w:tr>
      <w:tr w14:paraId="22952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94" w:type="dxa"/>
            <w:vAlign w:val="center"/>
          </w:tcPr>
          <w:p w14:paraId="1E8B17C6">
            <w:pPr>
              <w:pStyle w:val="52"/>
              <w:jc w:val="center"/>
              <w:rPr>
                <w:i w:val="0"/>
                <w:iCs w:val="0"/>
                <w:color w:val="auto"/>
                <w:highlight w:val="none"/>
              </w:rPr>
            </w:pPr>
          </w:p>
        </w:tc>
        <w:tc>
          <w:tcPr>
            <w:tcW w:w="2177" w:type="dxa"/>
            <w:vAlign w:val="center"/>
          </w:tcPr>
          <w:p w14:paraId="43A7BA7E">
            <w:pPr>
              <w:pStyle w:val="52"/>
              <w:jc w:val="center"/>
              <w:rPr>
                <w:i w:val="0"/>
                <w:iCs w:val="0"/>
                <w:color w:val="auto"/>
                <w:highlight w:val="none"/>
              </w:rPr>
            </w:pPr>
          </w:p>
        </w:tc>
        <w:tc>
          <w:tcPr>
            <w:tcW w:w="1556" w:type="dxa"/>
            <w:vAlign w:val="center"/>
          </w:tcPr>
          <w:p w14:paraId="05DC0613">
            <w:pPr>
              <w:pStyle w:val="52"/>
              <w:jc w:val="center"/>
              <w:rPr>
                <w:i w:val="0"/>
                <w:iCs w:val="0"/>
                <w:color w:val="auto"/>
                <w:highlight w:val="none"/>
              </w:rPr>
            </w:pPr>
          </w:p>
        </w:tc>
        <w:tc>
          <w:tcPr>
            <w:tcW w:w="2046" w:type="dxa"/>
            <w:vAlign w:val="center"/>
          </w:tcPr>
          <w:p w14:paraId="260AB19F">
            <w:pPr>
              <w:pStyle w:val="52"/>
              <w:jc w:val="center"/>
              <w:rPr>
                <w:i w:val="0"/>
                <w:iCs w:val="0"/>
                <w:color w:val="auto"/>
                <w:highlight w:val="none"/>
              </w:rPr>
            </w:pPr>
          </w:p>
        </w:tc>
        <w:tc>
          <w:tcPr>
            <w:tcW w:w="2046" w:type="dxa"/>
            <w:vAlign w:val="center"/>
          </w:tcPr>
          <w:p w14:paraId="1930DE7C">
            <w:pPr>
              <w:pStyle w:val="52"/>
              <w:jc w:val="center"/>
              <w:rPr>
                <w:i w:val="0"/>
                <w:iCs w:val="0"/>
                <w:color w:val="auto"/>
                <w:highlight w:val="none"/>
              </w:rPr>
            </w:pPr>
          </w:p>
        </w:tc>
      </w:tr>
      <w:tr w14:paraId="61C67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694" w:type="dxa"/>
            <w:vAlign w:val="center"/>
          </w:tcPr>
          <w:p w14:paraId="2EA6B160">
            <w:pPr>
              <w:pStyle w:val="52"/>
              <w:jc w:val="center"/>
              <w:rPr>
                <w:i w:val="0"/>
                <w:iCs w:val="0"/>
                <w:color w:val="auto"/>
                <w:highlight w:val="none"/>
              </w:rPr>
            </w:pPr>
          </w:p>
        </w:tc>
        <w:tc>
          <w:tcPr>
            <w:tcW w:w="2177" w:type="dxa"/>
            <w:vAlign w:val="center"/>
          </w:tcPr>
          <w:p w14:paraId="377957C5">
            <w:pPr>
              <w:pStyle w:val="52"/>
              <w:jc w:val="center"/>
              <w:rPr>
                <w:i w:val="0"/>
                <w:iCs w:val="0"/>
                <w:color w:val="auto"/>
                <w:highlight w:val="none"/>
              </w:rPr>
            </w:pPr>
          </w:p>
        </w:tc>
        <w:tc>
          <w:tcPr>
            <w:tcW w:w="1556" w:type="dxa"/>
            <w:vAlign w:val="center"/>
          </w:tcPr>
          <w:p w14:paraId="3C017468">
            <w:pPr>
              <w:pStyle w:val="52"/>
              <w:jc w:val="center"/>
              <w:rPr>
                <w:i w:val="0"/>
                <w:iCs w:val="0"/>
                <w:color w:val="auto"/>
                <w:highlight w:val="none"/>
              </w:rPr>
            </w:pPr>
          </w:p>
        </w:tc>
        <w:tc>
          <w:tcPr>
            <w:tcW w:w="2046" w:type="dxa"/>
            <w:vAlign w:val="center"/>
          </w:tcPr>
          <w:p w14:paraId="771571B5">
            <w:pPr>
              <w:pStyle w:val="52"/>
              <w:jc w:val="center"/>
              <w:rPr>
                <w:i w:val="0"/>
                <w:iCs w:val="0"/>
                <w:color w:val="auto"/>
                <w:highlight w:val="none"/>
              </w:rPr>
            </w:pPr>
          </w:p>
        </w:tc>
        <w:tc>
          <w:tcPr>
            <w:tcW w:w="2046" w:type="dxa"/>
            <w:vAlign w:val="center"/>
          </w:tcPr>
          <w:p w14:paraId="660625F0">
            <w:pPr>
              <w:pStyle w:val="52"/>
              <w:jc w:val="center"/>
              <w:rPr>
                <w:i w:val="0"/>
                <w:iCs w:val="0"/>
                <w:color w:val="auto"/>
                <w:highlight w:val="none"/>
              </w:rPr>
            </w:pPr>
          </w:p>
        </w:tc>
      </w:tr>
      <w:tr w14:paraId="0A8E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694" w:type="dxa"/>
            <w:vAlign w:val="center"/>
          </w:tcPr>
          <w:p w14:paraId="2DD2C7C9">
            <w:pPr>
              <w:pStyle w:val="52"/>
              <w:jc w:val="center"/>
              <w:rPr>
                <w:i w:val="0"/>
                <w:iCs w:val="0"/>
                <w:color w:val="auto"/>
                <w:highlight w:val="none"/>
              </w:rPr>
            </w:pPr>
            <w:r>
              <w:rPr>
                <w:rFonts w:hint="eastAsia"/>
                <w:i w:val="0"/>
                <w:iCs w:val="0"/>
                <w:color w:val="auto"/>
                <w:highlight w:val="none"/>
              </w:rPr>
              <w:t>……</w:t>
            </w:r>
          </w:p>
        </w:tc>
        <w:tc>
          <w:tcPr>
            <w:tcW w:w="2177" w:type="dxa"/>
            <w:vAlign w:val="center"/>
          </w:tcPr>
          <w:p w14:paraId="29F0135A">
            <w:pPr>
              <w:pStyle w:val="52"/>
              <w:jc w:val="center"/>
              <w:rPr>
                <w:i w:val="0"/>
                <w:iCs w:val="0"/>
                <w:color w:val="auto"/>
                <w:highlight w:val="none"/>
              </w:rPr>
            </w:pPr>
            <w:r>
              <w:rPr>
                <w:rFonts w:hint="eastAsia"/>
                <w:i w:val="0"/>
                <w:iCs w:val="0"/>
                <w:color w:val="auto"/>
                <w:highlight w:val="none"/>
              </w:rPr>
              <w:t>…………</w:t>
            </w:r>
          </w:p>
        </w:tc>
        <w:tc>
          <w:tcPr>
            <w:tcW w:w="1556" w:type="dxa"/>
            <w:vAlign w:val="center"/>
          </w:tcPr>
          <w:p w14:paraId="50F79AEC">
            <w:pPr>
              <w:pStyle w:val="52"/>
              <w:jc w:val="center"/>
              <w:rPr>
                <w:i w:val="0"/>
                <w:iCs w:val="0"/>
                <w:color w:val="auto"/>
                <w:highlight w:val="none"/>
              </w:rPr>
            </w:pPr>
            <w:r>
              <w:rPr>
                <w:rFonts w:hint="eastAsia"/>
                <w:i w:val="0"/>
                <w:iCs w:val="0"/>
                <w:color w:val="auto"/>
                <w:highlight w:val="none"/>
              </w:rPr>
              <w:t>………………</w:t>
            </w:r>
          </w:p>
        </w:tc>
        <w:tc>
          <w:tcPr>
            <w:tcW w:w="2046" w:type="dxa"/>
            <w:vAlign w:val="center"/>
          </w:tcPr>
          <w:p w14:paraId="400A4920">
            <w:pPr>
              <w:pStyle w:val="52"/>
              <w:jc w:val="center"/>
              <w:rPr>
                <w:i w:val="0"/>
                <w:iCs w:val="0"/>
                <w:color w:val="auto"/>
                <w:highlight w:val="none"/>
              </w:rPr>
            </w:pPr>
            <w:r>
              <w:rPr>
                <w:rFonts w:hint="eastAsia"/>
                <w:i w:val="0"/>
                <w:iCs w:val="0"/>
                <w:color w:val="auto"/>
                <w:highlight w:val="none"/>
              </w:rPr>
              <w:t>…………</w:t>
            </w:r>
          </w:p>
        </w:tc>
        <w:tc>
          <w:tcPr>
            <w:tcW w:w="2046" w:type="dxa"/>
            <w:vAlign w:val="center"/>
          </w:tcPr>
          <w:p w14:paraId="31BCF4CE">
            <w:pPr>
              <w:pStyle w:val="52"/>
              <w:jc w:val="center"/>
              <w:rPr>
                <w:i w:val="0"/>
                <w:iCs w:val="0"/>
                <w:color w:val="auto"/>
                <w:highlight w:val="none"/>
              </w:rPr>
            </w:pPr>
          </w:p>
        </w:tc>
      </w:tr>
    </w:tbl>
    <w:p w14:paraId="3794FBEA">
      <w:pPr>
        <w:ind w:firstLine="420" w:firstLineChars="200"/>
        <w:rPr>
          <w:rFonts w:hint="eastAsia" w:cs="仿宋_GB2312"/>
          <w:i w:val="0"/>
          <w:iCs w:val="0"/>
          <w:color w:val="auto"/>
          <w:sz w:val="21"/>
          <w:szCs w:val="21"/>
          <w:highlight w:val="none"/>
        </w:rPr>
      </w:pPr>
    </w:p>
    <w:p w14:paraId="12D94A5A">
      <w:pPr>
        <w:ind w:firstLine="420" w:firstLineChars="200"/>
        <w:rPr>
          <w:rFonts w:cs="仿宋_GB2312"/>
          <w:i w:val="0"/>
          <w:iCs w:val="0"/>
          <w:color w:val="auto"/>
          <w:sz w:val="21"/>
          <w:szCs w:val="21"/>
          <w:highlight w:val="none"/>
        </w:rPr>
      </w:pPr>
      <w:r>
        <w:rPr>
          <w:rFonts w:hint="eastAsia" w:cs="仿宋_GB2312"/>
          <w:i w:val="0"/>
          <w:iCs w:val="0"/>
          <w:color w:val="auto"/>
          <w:sz w:val="21"/>
          <w:szCs w:val="21"/>
          <w:highlight w:val="none"/>
        </w:rPr>
        <w:t>说明：</w:t>
      </w:r>
      <w:r>
        <w:rPr>
          <w:rFonts w:hint="eastAsia" w:cs="仿宋_GB2312"/>
          <w:i w:val="0"/>
          <w:iCs w:val="0"/>
          <w:color w:val="auto"/>
          <w:sz w:val="21"/>
          <w:szCs w:val="21"/>
          <w:highlight w:val="none"/>
          <w:lang w:val="en-US" w:eastAsia="zh-CN"/>
        </w:rPr>
        <w:t>供应商</w:t>
      </w:r>
      <w:r>
        <w:rPr>
          <w:rFonts w:hint="eastAsia" w:cs="仿宋_GB2312"/>
          <w:i w:val="0"/>
          <w:iCs w:val="0"/>
          <w:color w:val="auto"/>
          <w:sz w:val="21"/>
          <w:szCs w:val="21"/>
          <w:highlight w:val="none"/>
        </w:rPr>
        <w:t>应按照</w:t>
      </w:r>
      <w:r>
        <w:rPr>
          <w:rFonts w:hint="eastAsia"/>
          <w:i w:val="0"/>
          <w:iCs w:val="0"/>
          <w:color w:val="auto"/>
          <w:sz w:val="21"/>
          <w:szCs w:val="21"/>
          <w:highlight w:val="none"/>
          <w:lang w:val="en-US" w:eastAsia="zh-CN"/>
        </w:rPr>
        <w:t>竞争性磋商</w:t>
      </w:r>
      <w:r>
        <w:rPr>
          <w:rFonts w:hint="eastAsia" w:cs="仿宋_GB2312"/>
          <w:i w:val="0"/>
          <w:iCs w:val="0"/>
          <w:color w:val="auto"/>
          <w:sz w:val="21"/>
          <w:szCs w:val="21"/>
          <w:highlight w:val="none"/>
        </w:rPr>
        <w:t xml:space="preserve">文件“第三章 </w:t>
      </w:r>
      <w:r>
        <w:rPr>
          <w:rFonts w:hint="eastAsia" w:cs="仿宋_GB2312"/>
          <w:i w:val="0"/>
          <w:iCs w:val="0"/>
          <w:color w:val="auto"/>
          <w:sz w:val="21"/>
          <w:szCs w:val="21"/>
          <w:highlight w:val="none"/>
          <w:lang w:val="en-US" w:eastAsia="zh-CN"/>
        </w:rPr>
        <w:t>项目</w:t>
      </w:r>
      <w:r>
        <w:rPr>
          <w:rFonts w:hint="eastAsia" w:cs="仿宋_GB2312"/>
          <w:i w:val="0"/>
          <w:iCs w:val="0"/>
          <w:color w:val="auto"/>
          <w:sz w:val="21"/>
          <w:szCs w:val="21"/>
          <w:highlight w:val="none"/>
        </w:rPr>
        <w:t>采购需求</w:t>
      </w:r>
      <w:r>
        <w:rPr>
          <w:rFonts w:hint="eastAsia" w:cs="仿宋_GB2312"/>
          <w:i w:val="0"/>
          <w:iCs w:val="0"/>
          <w:color w:val="auto"/>
          <w:sz w:val="21"/>
          <w:szCs w:val="21"/>
          <w:highlight w:val="none"/>
          <w:lang w:eastAsia="zh-CN"/>
        </w:rPr>
        <w:t>”</w:t>
      </w:r>
      <w:r>
        <w:rPr>
          <w:rFonts w:hint="eastAsia" w:cs="仿宋_GB2312"/>
          <w:i w:val="0"/>
          <w:iCs w:val="0"/>
          <w:color w:val="auto"/>
          <w:sz w:val="21"/>
          <w:szCs w:val="21"/>
          <w:highlight w:val="none"/>
          <w:lang w:val="en-US" w:eastAsia="zh-CN"/>
        </w:rPr>
        <w:t>中的</w:t>
      </w:r>
      <w:r>
        <w:rPr>
          <w:rFonts w:hint="eastAsia" w:cs="仿宋_GB2312"/>
          <w:i w:val="0"/>
          <w:iCs w:val="0"/>
          <w:color w:val="auto"/>
          <w:sz w:val="21"/>
          <w:szCs w:val="21"/>
          <w:highlight w:val="none"/>
        </w:rPr>
        <w:t>技术要求填写</w:t>
      </w:r>
      <w:r>
        <w:rPr>
          <w:rFonts w:hint="eastAsia" w:cs="仿宋_GB2312"/>
          <w:i w:val="0"/>
          <w:iCs w:val="0"/>
          <w:color w:val="auto"/>
          <w:sz w:val="21"/>
          <w:szCs w:val="21"/>
          <w:highlight w:val="none"/>
          <w:lang w:eastAsia="zh-CN"/>
        </w:rPr>
        <w:t>，</w:t>
      </w:r>
      <w:r>
        <w:rPr>
          <w:rFonts w:hint="eastAsia" w:cs="仿宋_GB2312"/>
          <w:i w:val="0"/>
          <w:iCs w:val="0"/>
          <w:color w:val="auto"/>
          <w:sz w:val="21"/>
          <w:szCs w:val="21"/>
          <w:highlight w:val="none"/>
          <w:lang w:val="en-US" w:eastAsia="zh-CN"/>
        </w:rPr>
        <w:t>“响应/正偏离/负偏离”应据实填写“响应”、“正偏离”或“负偏离”</w:t>
      </w:r>
      <w:r>
        <w:rPr>
          <w:rFonts w:hint="eastAsia" w:cs="仿宋_GB2312"/>
          <w:i w:val="0"/>
          <w:iCs w:val="0"/>
          <w:color w:val="auto"/>
          <w:sz w:val="21"/>
          <w:szCs w:val="21"/>
          <w:highlight w:val="none"/>
        </w:rPr>
        <w:t>。</w:t>
      </w:r>
    </w:p>
    <w:p w14:paraId="5570E0A3">
      <w:pPr>
        <w:ind w:firstLine="480" w:firstLineChars="200"/>
        <w:rPr>
          <w:rFonts w:cs="仿宋_GB2312"/>
          <w:i w:val="0"/>
          <w:iCs w:val="0"/>
          <w:color w:val="auto"/>
          <w:szCs w:val="24"/>
          <w:highlight w:val="none"/>
        </w:rPr>
      </w:pPr>
    </w:p>
    <w:p w14:paraId="4BD3E5A1">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7D3932D3">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12D8A915">
      <w:pPr>
        <w:ind w:firstLine="420"/>
        <w:rPr>
          <w:rFonts w:hint="eastAsia" w:cs="仿宋_GB2312"/>
          <w:i w:val="0"/>
          <w:iCs w:val="0"/>
          <w:color w:val="auto"/>
          <w:szCs w:val="24"/>
          <w:highlight w:val="none"/>
          <w:lang w:val="en-US" w:eastAsia="zh-CN"/>
        </w:rPr>
      </w:pPr>
    </w:p>
    <w:p w14:paraId="0B629CB4">
      <w:pPr>
        <w:ind w:firstLine="420"/>
        <w:rPr>
          <w:rFonts w:cs="仿宋_GB2312"/>
          <w:i w:val="0"/>
          <w:iCs w:val="0"/>
          <w:color w:val="auto"/>
          <w:sz w:val="21"/>
          <w:szCs w:val="21"/>
          <w:highlight w:val="none"/>
        </w:rPr>
      </w:pPr>
      <w:r>
        <w:rPr>
          <w:rFonts w:hint="eastAsia" w:cs="仿宋_GB2312"/>
          <w:i w:val="0"/>
          <w:iCs w:val="0"/>
          <w:color w:val="auto"/>
          <w:sz w:val="21"/>
          <w:szCs w:val="21"/>
          <w:highlight w:val="none"/>
          <w:lang w:val="en-US" w:eastAsia="zh-CN"/>
        </w:rPr>
        <w:t>备注：供应商在本表中须标注产品实际参数数值，照搬照抄采购文件参数、不注明实际数值者</w:t>
      </w:r>
      <w:r>
        <w:rPr>
          <w:rFonts w:hint="eastAsia" w:cs="仿宋_GB2312"/>
          <w:b/>
          <w:bCs/>
          <w:i w:val="0"/>
          <w:iCs w:val="0"/>
          <w:color w:val="auto"/>
          <w:sz w:val="21"/>
          <w:szCs w:val="21"/>
          <w:highlight w:val="none"/>
          <w:lang w:val="en-US" w:eastAsia="zh-CN"/>
        </w:rPr>
        <w:t>视为未响应</w:t>
      </w:r>
      <w:r>
        <w:rPr>
          <w:rFonts w:hint="eastAsia" w:cs="仿宋_GB2312"/>
          <w:i w:val="0"/>
          <w:iCs w:val="0"/>
          <w:color w:val="auto"/>
          <w:sz w:val="21"/>
          <w:szCs w:val="21"/>
          <w:highlight w:val="none"/>
          <w:lang w:val="en-US" w:eastAsia="zh-CN"/>
        </w:rPr>
        <w:t>。</w:t>
      </w:r>
      <w:r>
        <w:rPr>
          <w:rFonts w:cs="仿宋_GB2312"/>
          <w:i w:val="0"/>
          <w:iCs w:val="0"/>
          <w:color w:val="auto"/>
          <w:sz w:val="21"/>
          <w:szCs w:val="21"/>
          <w:highlight w:val="none"/>
        </w:rPr>
        <w:br w:type="page"/>
      </w:r>
    </w:p>
    <w:p w14:paraId="6E26B7AD">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bookmarkStart w:id="553" w:name="_Toc6568"/>
      <w:r>
        <w:rPr>
          <w:rFonts w:hint="eastAsia" w:cstheme="majorBidi"/>
          <w:b/>
          <w:bCs/>
          <w:i w:val="0"/>
          <w:iCs w:val="0"/>
          <w:color w:val="auto"/>
          <w:kern w:val="2"/>
          <w:sz w:val="32"/>
          <w:szCs w:val="32"/>
          <w:highlight w:val="none"/>
          <w:lang w:val="en-US" w:eastAsia="zh-CN" w:bidi="ar-SA"/>
        </w:rPr>
        <w:t>十</w:t>
      </w:r>
      <w:r>
        <w:rPr>
          <w:rFonts w:hint="eastAsia" w:eastAsia="宋体" w:asciiTheme="majorHAnsi" w:hAnsiTheme="majorHAnsi" w:cstheme="majorBidi"/>
          <w:b/>
          <w:bCs/>
          <w:i w:val="0"/>
          <w:iCs w:val="0"/>
          <w:color w:val="auto"/>
          <w:kern w:val="2"/>
          <w:sz w:val="32"/>
          <w:szCs w:val="32"/>
          <w:highlight w:val="none"/>
          <w:lang w:val="en-US" w:eastAsia="zh-CN" w:bidi="ar-SA"/>
        </w:rPr>
        <w:t>、技术方案</w:t>
      </w:r>
      <w:bookmarkEnd w:id="553"/>
    </w:p>
    <w:p w14:paraId="71F31F89">
      <w:pPr>
        <w:pStyle w:val="41"/>
        <w:rPr>
          <w:rFonts w:hint="default" w:ascii="宋体" w:hAnsi="宋体" w:eastAsia="宋体" w:cs="宋体"/>
          <w:bCs/>
          <w:color w:val="auto"/>
          <w:sz w:val="24"/>
          <w:highlight w:val="none"/>
          <w:lang w:val="en-US" w:eastAsia="zh-CN"/>
        </w:rPr>
      </w:pPr>
      <w:r>
        <w:rPr>
          <w:rFonts w:hint="eastAsia"/>
          <w:i w:val="0"/>
          <w:iCs w:val="0"/>
          <w:color w:val="auto"/>
          <w:highlight w:val="none"/>
          <w:lang w:val="en-US" w:eastAsia="zh-CN"/>
        </w:rPr>
        <w:t>供应商</w:t>
      </w:r>
      <w:r>
        <w:rPr>
          <w:rFonts w:hint="eastAsia"/>
          <w:i w:val="0"/>
          <w:iCs w:val="0"/>
          <w:color w:val="auto"/>
          <w:highlight w:val="none"/>
        </w:rPr>
        <w:t>应按照</w:t>
      </w:r>
      <w:r>
        <w:rPr>
          <w:rFonts w:hint="eastAsia"/>
          <w:i w:val="0"/>
          <w:iCs w:val="0"/>
          <w:color w:val="auto"/>
          <w:highlight w:val="none"/>
          <w:lang w:val="en-US" w:eastAsia="zh-CN"/>
        </w:rPr>
        <w:t>竞争性磋商</w:t>
      </w:r>
      <w:r>
        <w:rPr>
          <w:rFonts w:hint="eastAsia"/>
          <w:i w:val="0"/>
          <w:iCs w:val="0"/>
          <w:color w:val="auto"/>
          <w:highlight w:val="none"/>
        </w:rPr>
        <w:t>文件的要求，提供详细的服务方案，包括文字描述或图表显示。</w:t>
      </w:r>
      <w:r>
        <w:rPr>
          <w:rFonts w:hint="eastAsia" w:ascii="宋体" w:hAnsi="宋体" w:eastAsia="宋体" w:cs="宋体"/>
          <w:b/>
          <w:color w:val="auto"/>
          <w:sz w:val="24"/>
          <w:highlight w:val="none"/>
          <w:u w:val="single"/>
        </w:rPr>
        <w:t>建议按照评审标准提供相应资料</w:t>
      </w:r>
      <w:r>
        <w:rPr>
          <w:rFonts w:hint="eastAsia" w:cs="宋体"/>
          <w:b/>
          <w:color w:val="auto"/>
          <w:sz w:val="24"/>
          <w:highlight w:val="none"/>
          <w:u w:val="single"/>
          <w:lang w:eastAsia="zh-CN"/>
        </w:rPr>
        <w:t>，</w:t>
      </w:r>
      <w:r>
        <w:rPr>
          <w:rFonts w:hint="eastAsia" w:cs="宋体"/>
          <w:b/>
          <w:color w:val="auto"/>
          <w:sz w:val="24"/>
          <w:highlight w:val="none"/>
          <w:u w:val="single"/>
          <w:lang w:val="en-US" w:eastAsia="zh-CN"/>
        </w:rPr>
        <w:t>格式自拟</w:t>
      </w:r>
    </w:p>
    <w:p w14:paraId="443C643F">
      <w:pPr>
        <w:rPr>
          <w:rFonts w:hint="eastAsia" w:eastAsia="宋体" w:asciiTheme="majorHAnsi" w:hAnsiTheme="majorHAnsi" w:cstheme="majorBidi"/>
          <w:b/>
          <w:bCs/>
          <w:i w:val="0"/>
          <w:iCs w:val="0"/>
          <w:color w:val="auto"/>
          <w:kern w:val="2"/>
          <w:sz w:val="32"/>
          <w:szCs w:val="32"/>
          <w:highlight w:val="none"/>
          <w:lang w:val="en-US" w:eastAsia="zh-CN" w:bidi="ar-SA"/>
        </w:rPr>
      </w:pPr>
      <w:bookmarkStart w:id="554" w:name="_Toc8520"/>
      <w:r>
        <w:rPr>
          <w:rFonts w:hint="eastAsia" w:eastAsia="宋体" w:asciiTheme="majorHAnsi" w:hAnsiTheme="majorHAnsi" w:cstheme="majorBidi"/>
          <w:b/>
          <w:bCs/>
          <w:i w:val="0"/>
          <w:iCs w:val="0"/>
          <w:color w:val="auto"/>
          <w:kern w:val="2"/>
          <w:sz w:val="32"/>
          <w:szCs w:val="32"/>
          <w:highlight w:val="none"/>
          <w:lang w:val="en-US" w:eastAsia="zh-CN" w:bidi="ar-SA"/>
        </w:rPr>
        <w:br w:type="page"/>
      </w:r>
    </w:p>
    <w:p w14:paraId="1C96E166">
      <w:pPr>
        <w:pStyle w:val="4"/>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i w:val="0"/>
          <w:iCs w:val="0"/>
          <w:color w:val="auto"/>
          <w:kern w:val="2"/>
          <w:sz w:val="32"/>
          <w:szCs w:val="32"/>
          <w:highlight w:val="none"/>
          <w:lang w:val="en-US" w:eastAsia="zh-CN" w:bidi="ar-SA"/>
        </w:rPr>
      </w:pPr>
      <w:r>
        <w:rPr>
          <w:rFonts w:hint="eastAsia" w:eastAsia="宋体" w:asciiTheme="majorHAnsi" w:hAnsiTheme="majorHAnsi" w:cstheme="majorBidi"/>
          <w:b/>
          <w:bCs/>
          <w:i w:val="0"/>
          <w:iCs w:val="0"/>
          <w:color w:val="auto"/>
          <w:kern w:val="2"/>
          <w:sz w:val="32"/>
          <w:szCs w:val="32"/>
          <w:highlight w:val="none"/>
          <w:lang w:val="en-US" w:eastAsia="zh-CN" w:bidi="ar-SA"/>
        </w:rPr>
        <w:t>十</w:t>
      </w:r>
      <w:r>
        <w:rPr>
          <w:rFonts w:hint="eastAsia" w:cstheme="majorBidi"/>
          <w:b/>
          <w:bCs/>
          <w:i w:val="0"/>
          <w:iCs w:val="0"/>
          <w:color w:val="auto"/>
          <w:kern w:val="2"/>
          <w:sz w:val="32"/>
          <w:szCs w:val="32"/>
          <w:highlight w:val="none"/>
          <w:lang w:val="en-US" w:eastAsia="zh-CN" w:bidi="ar-SA"/>
        </w:rPr>
        <w:t>一</w:t>
      </w:r>
      <w:r>
        <w:rPr>
          <w:rFonts w:hint="eastAsia" w:eastAsia="宋体" w:asciiTheme="majorHAnsi" w:hAnsiTheme="majorHAnsi" w:cstheme="majorBidi"/>
          <w:b/>
          <w:bCs/>
          <w:i w:val="0"/>
          <w:iCs w:val="0"/>
          <w:color w:val="auto"/>
          <w:kern w:val="2"/>
          <w:sz w:val="32"/>
          <w:szCs w:val="32"/>
          <w:highlight w:val="none"/>
          <w:lang w:val="en-US" w:eastAsia="zh-CN" w:bidi="ar-SA"/>
        </w:rPr>
        <w:t>、其他文件</w:t>
      </w:r>
      <w:bookmarkEnd w:id="554"/>
    </w:p>
    <w:p w14:paraId="13FFE2A3">
      <w:pPr>
        <w:pStyle w:val="41"/>
        <w:ind w:left="0" w:leftChars="0" w:firstLine="0" w:firstLineChars="0"/>
        <w:rPr>
          <w:rFonts w:hint="eastAsia"/>
          <w:b/>
          <w:bCs/>
          <w:i w:val="0"/>
          <w:iCs w:val="0"/>
          <w:color w:val="auto"/>
          <w:sz w:val="24"/>
          <w:szCs w:val="24"/>
          <w:highlight w:val="none"/>
          <w:shd w:val="clear" w:color="auto" w:fill="FFFFFF" w:themeFill="background1"/>
          <w:lang w:val="zh-CN" w:eastAsia="zh-CN"/>
        </w:rPr>
      </w:pPr>
      <w:r>
        <w:rPr>
          <w:rFonts w:hint="eastAsia"/>
          <w:b/>
          <w:bCs/>
          <w:i w:val="0"/>
          <w:iCs w:val="0"/>
          <w:color w:val="auto"/>
          <w:sz w:val="24"/>
          <w:szCs w:val="24"/>
          <w:highlight w:val="none"/>
          <w:shd w:val="clear" w:color="auto" w:fill="FFFFFF" w:themeFill="background1"/>
          <w:lang w:val="en-US" w:eastAsia="zh-CN"/>
        </w:rPr>
        <w:t>（一）竞争性磋商</w:t>
      </w:r>
      <w:r>
        <w:rPr>
          <w:rFonts w:hint="eastAsia"/>
          <w:b/>
          <w:bCs/>
          <w:i w:val="0"/>
          <w:iCs w:val="0"/>
          <w:color w:val="auto"/>
          <w:sz w:val="24"/>
          <w:szCs w:val="24"/>
          <w:highlight w:val="none"/>
          <w:shd w:val="clear" w:color="auto" w:fill="FFFFFF" w:themeFill="background1"/>
          <w:lang w:val="zh-CN" w:eastAsia="zh-CN"/>
        </w:rPr>
        <w:t>文件要求提供的其它商务、技术资料和证明材料；</w:t>
      </w:r>
    </w:p>
    <w:p w14:paraId="51D75C8A">
      <w:pPr>
        <w:pStyle w:val="41"/>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1.1供应商信息采集表</w:t>
      </w:r>
    </w:p>
    <w:tbl>
      <w:tblPr>
        <w:tblStyle w:val="33"/>
        <w:tblW w:w="8292" w:type="dxa"/>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8"/>
        <w:gridCol w:w="2841"/>
        <w:gridCol w:w="2743"/>
      </w:tblGrid>
      <w:tr w14:paraId="68B3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05C9E605">
            <w:pPr>
              <w:keepNext w:val="0"/>
              <w:keepLines w:val="0"/>
              <w:widowControl/>
              <w:suppressLineNumbers w:val="0"/>
              <w:jc w:val="center"/>
              <w:rPr>
                <w:rFonts w:hint="eastAsia" w:ascii="宋体" w:hAnsi="宋体" w:eastAsia="宋体" w:cs="宋体"/>
                <w:i w:val="0"/>
                <w:iCs w:val="0"/>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lang w:val="en-US" w:eastAsia="zh-CN" w:bidi="ar"/>
              </w:rPr>
              <w:t>供应商名称</w:t>
            </w:r>
          </w:p>
        </w:tc>
        <w:tc>
          <w:tcPr>
            <w:tcW w:w="2841" w:type="dxa"/>
            <w:vAlign w:val="center"/>
          </w:tcPr>
          <w:p w14:paraId="5EE6863F">
            <w:pPr>
              <w:keepNext w:val="0"/>
              <w:keepLines w:val="0"/>
              <w:widowControl/>
              <w:suppressLineNumbers w:val="0"/>
              <w:jc w:val="center"/>
              <w:rPr>
                <w:rFonts w:hint="eastAsia" w:ascii="宋体" w:hAnsi="宋体" w:eastAsia="宋体" w:cs="宋体"/>
                <w:i w:val="0"/>
                <w:iCs w:val="0"/>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lang w:val="en-US" w:eastAsia="zh-CN" w:bidi="ar"/>
              </w:rPr>
              <w:t>供应商实际控制人性别</w:t>
            </w:r>
          </w:p>
        </w:tc>
        <w:tc>
          <w:tcPr>
            <w:tcW w:w="2743" w:type="dxa"/>
            <w:vAlign w:val="center"/>
          </w:tcPr>
          <w:p w14:paraId="2E0F6547">
            <w:pPr>
              <w:keepNext w:val="0"/>
              <w:keepLines w:val="0"/>
              <w:widowControl/>
              <w:suppressLineNumbers w:val="0"/>
              <w:jc w:val="center"/>
              <w:rPr>
                <w:rFonts w:hint="eastAsia" w:ascii="宋体" w:hAnsi="宋体" w:eastAsia="宋体" w:cs="宋体"/>
                <w:i w:val="0"/>
                <w:iCs w:val="0"/>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lang w:val="en-US" w:eastAsia="zh-CN" w:bidi="ar"/>
              </w:rPr>
              <w:t>外商投资类型</w:t>
            </w:r>
          </w:p>
        </w:tc>
      </w:tr>
      <w:tr w14:paraId="7EC4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6D6B185C">
            <w:pPr>
              <w:pStyle w:val="41"/>
              <w:rPr>
                <w:rFonts w:hint="eastAsia" w:ascii="宋体" w:hAnsi="宋体" w:eastAsia="宋体" w:cs="宋体"/>
                <w:i w:val="0"/>
                <w:iCs w:val="0"/>
                <w:color w:val="auto"/>
                <w:sz w:val="24"/>
                <w:szCs w:val="24"/>
                <w:highlight w:val="none"/>
                <w:vertAlign w:val="baseline"/>
                <w:lang w:val="en-US" w:eastAsia="zh-CN"/>
              </w:rPr>
            </w:pPr>
          </w:p>
        </w:tc>
        <w:tc>
          <w:tcPr>
            <w:tcW w:w="2841" w:type="dxa"/>
          </w:tcPr>
          <w:p w14:paraId="3BFEDA4E">
            <w:pPr>
              <w:pStyle w:val="41"/>
              <w:rPr>
                <w:rFonts w:hint="eastAsia" w:ascii="宋体" w:hAnsi="宋体" w:eastAsia="宋体" w:cs="宋体"/>
                <w:i w:val="0"/>
                <w:iCs w:val="0"/>
                <w:color w:val="auto"/>
                <w:sz w:val="24"/>
                <w:szCs w:val="24"/>
                <w:highlight w:val="none"/>
                <w:vertAlign w:val="baseline"/>
                <w:lang w:val="en-US" w:eastAsia="zh-CN"/>
              </w:rPr>
            </w:pPr>
          </w:p>
        </w:tc>
        <w:tc>
          <w:tcPr>
            <w:tcW w:w="2743" w:type="dxa"/>
          </w:tcPr>
          <w:p w14:paraId="5E712EC6">
            <w:pPr>
              <w:pStyle w:val="41"/>
              <w:rPr>
                <w:rFonts w:hint="eastAsia" w:ascii="宋体" w:hAnsi="宋体" w:eastAsia="宋体" w:cs="宋体"/>
                <w:i w:val="0"/>
                <w:iCs w:val="0"/>
                <w:color w:val="auto"/>
                <w:sz w:val="24"/>
                <w:szCs w:val="24"/>
                <w:highlight w:val="none"/>
                <w:vertAlign w:val="baseline"/>
                <w:lang w:val="en-US" w:eastAsia="zh-CN"/>
              </w:rPr>
            </w:pPr>
          </w:p>
        </w:tc>
      </w:tr>
      <w:tr w14:paraId="7F72B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5470705">
            <w:pPr>
              <w:pStyle w:val="41"/>
              <w:rPr>
                <w:rFonts w:hint="eastAsia" w:ascii="宋体" w:hAnsi="宋体" w:eastAsia="宋体" w:cs="宋体"/>
                <w:i w:val="0"/>
                <w:iCs w:val="0"/>
                <w:color w:val="auto"/>
                <w:sz w:val="24"/>
                <w:szCs w:val="24"/>
                <w:highlight w:val="none"/>
                <w:vertAlign w:val="baseline"/>
                <w:lang w:val="en-US" w:eastAsia="zh-CN"/>
              </w:rPr>
            </w:pPr>
          </w:p>
        </w:tc>
        <w:tc>
          <w:tcPr>
            <w:tcW w:w="2841" w:type="dxa"/>
          </w:tcPr>
          <w:p w14:paraId="120FC0DB">
            <w:pPr>
              <w:pStyle w:val="41"/>
              <w:rPr>
                <w:rFonts w:hint="eastAsia" w:ascii="宋体" w:hAnsi="宋体" w:eastAsia="宋体" w:cs="宋体"/>
                <w:i w:val="0"/>
                <w:iCs w:val="0"/>
                <w:color w:val="auto"/>
                <w:sz w:val="24"/>
                <w:szCs w:val="24"/>
                <w:highlight w:val="none"/>
                <w:vertAlign w:val="baseline"/>
                <w:lang w:val="en-US" w:eastAsia="zh-CN"/>
              </w:rPr>
            </w:pPr>
          </w:p>
        </w:tc>
        <w:tc>
          <w:tcPr>
            <w:tcW w:w="2743" w:type="dxa"/>
          </w:tcPr>
          <w:p w14:paraId="4D10BBA5">
            <w:pPr>
              <w:pStyle w:val="41"/>
              <w:rPr>
                <w:rFonts w:hint="eastAsia" w:ascii="宋体" w:hAnsi="宋体" w:eastAsia="宋体" w:cs="宋体"/>
                <w:i w:val="0"/>
                <w:iCs w:val="0"/>
                <w:color w:val="auto"/>
                <w:sz w:val="24"/>
                <w:szCs w:val="24"/>
                <w:highlight w:val="none"/>
                <w:vertAlign w:val="baseline"/>
                <w:lang w:val="en-US" w:eastAsia="zh-CN"/>
              </w:rPr>
            </w:pPr>
          </w:p>
        </w:tc>
      </w:tr>
      <w:tr w14:paraId="0E3ED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4CB37099">
            <w:pPr>
              <w:pStyle w:val="41"/>
              <w:rPr>
                <w:rFonts w:hint="eastAsia" w:ascii="宋体" w:hAnsi="宋体" w:eastAsia="宋体" w:cs="宋体"/>
                <w:i w:val="0"/>
                <w:iCs w:val="0"/>
                <w:color w:val="auto"/>
                <w:sz w:val="24"/>
                <w:szCs w:val="24"/>
                <w:highlight w:val="none"/>
                <w:vertAlign w:val="baseline"/>
                <w:lang w:val="en-US" w:eastAsia="zh-CN"/>
              </w:rPr>
            </w:pPr>
          </w:p>
        </w:tc>
        <w:tc>
          <w:tcPr>
            <w:tcW w:w="2841" w:type="dxa"/>
          </w:tcPr>
          <w:p w14:paraId="122977F8">
            <w:pPr>
              <w:pStyle w:val="41"/>
              <w:rPr>
                <w:rFonts w:hint="eastAsia" w:ascii="宋体" w:hAnsi="宋体" w:eastAsia="宋体" w:cs="宋体"/>
                <w:i w:val="0"/>
                <w:iCs w:val="0"/>
                <w:color w:val="auto"/>
                <w:sz w:val="24"/>
                <w:szCs w:val="24"/>
                <w:highlight w:val="none"/>
                <w:vertAlign w:val="baseline"/>
                <w:lang w:val="en-US" w:eastAsia="zh-CN"/>
              </w:rPr>
            </w:pPr>
          </w:p>
        </w:tc>
        <w:tc>
          <w:tcPr>
            <w:tcW w:w="2743" w:type="dxa"/>
          </w:tcPr>
          <w:p w14:paraId="4A463F62">
            <w:pPr>
              <w:pStyle w:val="41"/>
              <w:rPr>
                <w:rFonts w:hint="eastAsia" w:ascii="宋体" w:hAnsi="宋体" w:eastAsia="宋体" w:cs="宋体"/>
                <w:i w:val="0"/>
                <w:iCs w:val="0"/>
                <w:color w:val="auto"/>
                <w:sz w:val="24"/>
                <w:szCs w:val="24"/>
                <w:highlight w:val="none"/>
                <w:vertAlign w:val="baseline"/>
                <w:lang w:val="en-US" w:eastAsia="zh-CN"/>
              </w:rPr>
            </w:pPr>
          </w:p>
        </w:tc>
      </w:tr>
      <w:tr w14:paraId="15E4C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339F9A1">
            <w:pPr>
              <w:pStyle w:val="41"/>
              <w:rPr>
                <w:rFonts w:hint="eastAsia" w:ascii="宋体" w:hAnsi="宋体" w:eastAsia="宋体" w:cs="宋体"/>
                <w:i w:val="0"/>
                <w:iCs w:val="0"/>
                <w:color w:val="auto"/>
                <w:sz w:val="24"/>
                <w:szCs w:val="24"/>
                <w:highlight w:val="none"/>
                <w:vertAlign w:val="baseline"/>
                <w:lang w:val="en-US" w:eastAsia="zh-CN"/>
              </w:rPr>
            </w:pPr>
          </w:p>
        </w:tc>
        <w:tc>
          <w:tcPr>
            <w:tcW w:w="2841" w:type="dxa"/>
          </w:tcPr>
          <w:p w14:paraId="3D02B7CB">
            <w:pPr>
              <w:pStyle w:val="41"/>
              <w:rPr>
                <w:rFonts w:hint="eastAsia" w:ascii="宋体" w:hAnsi="宋体" w:eastAsia="宋体" w:cs="宋体"/>
                <w:i w:val="0"/>
                <w:iCs w:val="0"/>
                <w:color w:val="auto"/>
                <w:sz w:val="24"/>
                <w:szCs w:val="24"/>
                <w:highlight w:val="none"/>
                <w:vertAlign w:val="baseline"/>
                <w:lang w:val="en-US" w:eastAsia="zh-CN"/>
              </w:rPr>
            </w:pPr>
          </w:p>
        </w:tc>
        <w:tc>
          <w:tcPr>
            <w:tcW w:w="2743" w:type="dxa"/>
          </w:tcPr>
          <w:p w14:paraId="3E40E83D">
            <w:pPr>
              <w:pStyle w:val="41"/>
              <w:rPr>
                <w:rFonts w:hint="eastAsia" w:ascii="宋体" w:hAnsi="宋体" w:eastAsia="宋体" w:cs="宋体"/>
                <w:i w:val="0"/>
                <w:iCs w:val="0"/>
                <w:color w:val="auto"/>
                <w:sz w:val="24"/>
                <w:szCs w:val="24"/>
                <w:highlight w:val="none"/>
                <w:vertAlign w:val="baseline"/>
                <w:lang w:val="en-US" w:eastAsia="zh-CN"/>
              </w:rPr>
            </w:pPr>
          </w:p>
        </w:tc>
      </w:tr>
    </w:tbl>
    <w:p w14:paraId="205510C6">
      <w:pPr>
        <w:keepNext w:val="0"/>
        <w:keepLines w:val="0"/>
        <w:widowControl/>
        <w:suppressLineNumbers w:val="0"/>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kern w:val="0"/>
          <w:sz w:val="21"/>
          <w:szCs w:val="21"/>
          <w:highlight w:val="none"/>
          <w:lang w:val="en-US" w:eastAsia="zh-CN" w:bidi="ar"/>
        </w:rPr>
        <w:t xml:space="preserve">注：1.供应商如为联合体，则应填写联合体各成员信息。 </w:t>
      </w:r>
    </w:p>
    <w:p w14:paraId="5ABE6F97">
      <w:pPr>
        <w:keepNext w:val="0"/>
        <w:keepLines w:val="0"/>
        <w:widowControl/>
        <w:suppressLineNumbers w:val="0"/>
        <w:ind w:firstLine="420" w:firstLineChars="200"/>
        <w:jc w:val="left"/>
        <w:rPr>
          <w:rFonts w:hint="eastAsia" w:ascii="宋体" w:hAnsi="宋体" w:eastAsia="宋体" w:cs="宋体"/>
          <w:i w:val="0"/>
          <w:iCs w:val="0"/>
          <w:color w:val="auto"/>
          <w:kern w:val="0"/>
          <w:sz w:val="21"/>
          <w:szCs w:val="21"/>
          <w:highlight w:val="none"/>
          <w:lang w:val="en-US" w:eastAsia="zh-CN" w:bidi="ar"/>
        </w:rPr>
      </w:pPr>
      <w:r>
        <w:rPr>
          <w:rFonts w:hint="eastAsia" w:ascii="宋体" w:hAnsi="宋体" w:eastAsia="宋体" w:cs="宋体"/>
          <w:i w:val="0"/>
          <w:iCs w:val="0"/>
          <w:color w:val="auto"/>
          <w:kern w:val="0"/>
          <w:sz w:val="21"/>
          <w:szCs w:val="21"/>
          <w:highlight w:val="none"/>
          <w:lang w:val="en-US" w:eastAsia="zh-CN" w:bidi="ar"/>
        </w:rPr>
        <w:t>2.“供应商实际控制人性别”按供应商实际控制人性别划分请填写“男”或“女”，指拥有供应商 51%以上绝对所有权的性；绝对所有权拥有者可以是一个人，也可以是多人合计计算。</w:t>
      </w:r>
    </w:p>
    <w:p w14:paraId="66716827">
      <w:pPr>
        <w:pStyle w:val="41"/>
        <w:ind w:left="0" w:leftChars="0"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kern w:val="0"/>
          <w:sz w:val="21"/>
          <w:szCs w:val="21"/>
          <w:highlight w:val="none"/>
          <w:lang w:val="en-US" w:eastAsia="zh-CN" w:bidi="ar"/>
        </w:rPr>
        <w:t>3.“外商投资类型”请填写“外商单独投资”、“外商部分投资”或“内资”。</w:t>
      </w:r>
    </w:p>
    <w:p w14:paraId="3E006082">
      <w:pPr>
        <w:pStyle w:val="41"/>
        <w:rPr>
          <w:rFonts w:hint="eastAsia" w:ascii="宋体" w:hAnsi="宋体" w:eastAsia="宋体" w:cs="宋体"/>
          <w:i w:val="0"/>
          <w:iCs w:val="0"/>
          <w:color w:val="auto"/>
          <w:sz w:val="24"/>
          <w:szCs w:val="24"/>
          <w:highlight w:val="none"/>
          <w:lang w:val="en-US" w:eastAsia="zh-CN"/>
        </w:rPr>
      </w:pPr>
    </w:p>
    <w:p w14:paraId="4D904C25">
      <w:pPr>
        <w:rPr>
          <w:rFonts w:hint="eastAsia" w:cs="宋体"/>
          <w:i w:val="0"/>
          <w:iCs w:val="0"/>
          <w:color w:val="auto"/>
          <w:sz w:val="24"/>
          <w:szCs w:val="24"/>
          <w:highlight w:val="none"/>
          <w:lang w:val="en-US" w:eastAsia="zh-CN"/>
        </w:rPr>
      </w:pPr>
      <w:r>
        <w:rPr>
          <w:rFonts w:hint="eastAsia" w:cs="宋体"/>
          <w:i w:val="0"/>
          <w:iCs w:val="0"/>
          <w:color w:val="auto"/>
          <w:sz w:val="24"/>
          <w:szCs w:val="24"/>
          <w:highlight w:val="none"/>
          <w:lang w:val="en-US" w:eastAsia="zh-CN"/>
        </w:rPr>
        <w:br w:type="page"/>
      </w:r>
    </w:p>
    <w:p w14:paraId="27C91FEA">
      <w:pPr>
        <w:pStyle w:val="41"/>
        <w:rPr>
          <w:rFonts w:hint="eastAsia" w:cs="宋体"/>
          <w:b/>
          <w:bCs/>
          <w:i w:val="0"/>
          <w:iCs w:val="0"/>
          <w:color w:val="auto"/>
          <w:sz w:val="24"/>
          <w:szCs w:val="24"/>
          <w:highlight w:val="none"/>
          <w:lang w:val="en-US" w:eastAsia="zh-CN"/>
        </w:rPr>
      </w:pPr>
      <w:r>
        <w:rPr>
          <w:rFonts w:hint="eastAsia" w:cs="宋体"/>
          <w:b/>
          <w:bCs/>
          <w:i w:val="0"/>
          <w:iCs w:val="0"/>
          <w:color w:val="auto"/>
          <w:sz w:val="24"/>
          <w:szCs w:val="24"/>
          <w:highlight w:val="none"/>
          <w:lang w:val="en-US" w:eastAsia="zh-CN"/>
        </w:rPr>
        <w:t>1.2供应商诚信承诺书</w:t>
      </w:r>
    </w:p>
    <w:p w14:paraId="48A48D0C">
      <w:pPr>
        <w:autoSpaceDE w:val="0"/>
        <w:autoSpaceDN w:val="0"/>
        <w:adjustRightInd w:val="0"/>
        <w:spacing w:line="360" w:lineRule="auto"/>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供应商诚信承诺书</w:t>
      </w:r>
    </w:p>
    <w:p w14:paraId="43A60F09">
      <w:pPr>
        <w:autoSpaceDE w:val="0"/>
        <w:autoSpaceDN w:val="0"/>
        <w:adjustRightInd w:val="0"/>
        <w:spacing w:line="360" w:lineRule="auto"/>
        <w:ind w:firstLine="480"/>
        <w:rPr>
          <w:rFonts w:hint="eastAsia" w:ascii="宋体" w:hAnsi="宋体" w:eastAsia="宋体" w:cs="宋体"/>
          <w:kern w:val="0"/>
          <w:sz w:val="24"/>
          <w:szCs w:val="24"/>
          <w:lang w:val="zh-CN"/>
        </w:rPr>
      </w:pPr>
      <w:bookmarkStart w:id="555" w:name="_Hlk182910040"/>
      <w:r>
        <w:rPr>
          <w:rFonts w:hint="eastAsia" w:ascii="宋体" w:hAnsi="宋体" w:eastAsia="宋体" w:cs="宋体"/>
          <w:kern w:val="0"/>
          <w:sz w:val="24"/>
          <w:szCs w:val="24"/>
          <w:lang w:val="zh-CN"/>
        </w:rPr>
        <w:t>为了诚实、客观、有序地参与</w:t>
      </w:r>
      <w:r>
        <w:rPr>
          <w:rFonts w:hint="eastAsia" w:ascii="宋体" w:hAnsi="宋体" w:eastAsia="宋体" w:cs="宋体"/>
          <w:sz w:val="24"/>
          <w:szCs w:val="24"/>
          <w:u w:val="single"/>
        </w:rPr>
        <w:t xml:space="preserve">                       </w:t>
      </w:r>
      <w:r>
        <w:rPr>
          <w:rFonts w:hint="eastAsia" w:ascii="宋体" w:hAnsi="宋体" w:eastAsia="宋体" w:cs="宋体"/>
          <w:sz w:val="24"/>
          <w:szCs w:val="24"/>
        </w:rPr>
        <w:t>项目</w:t>
      </w:r>
      <w:r>
        <w:rPr>
          <w:rFonts w:hint="eastAsia" w:ascii="宋体" w:hAnsi="宋体" w:eastAsia="宋体" w:cs="宋体"/>
          <w:kern w:val="0"/>
          <w:sz w:val="24"/>
          <w:szCs w:val="24"/>
          <w:lang w:val="zh-CN"/>
        </w:rPr>
        <w:t>采购活动，愿就以下内容作出承诺：</w:t>
      </w:r>
    </w:p>
    <w:bookmarkEnd w:id="555"/>
    <w:p w14:paraId="6EE92DB9">
      <w:pPr>
        <w:autoSpaceDE w:val="0"/>
        <w:autoSpaceDN w:val="0"/>
        <w:adjustRightInd w:val="0"/>
        <w:spacing w:line="360" w:lineRule="auto"/>
        <w:ind w:firstLine="48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一、自觉遵守各项法律、法规、规章、制度以及社会公德，维护廉洁环境，与同场竞争的供应商平等参加招采购活动。</w:t>
      </w:r>
    </w:p>
    <w:p w14:paraId="29C3164B">
      <w:pPr>
        <w:autoSpaceDE w:val="0"/>
        <w:autoSpaceDN w:val="0"/>
        <w:adjustRightInd w:val="0"/>
        <w:spacing w:line="360" w:lineRule="auto"/>
        <w:ind w:firstLine="48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二、参加采购代理机构组织的采购活动时，严格按照</w:t>
      </w:r>
      <w:r>
        <w:rPr>
          <w:rFonts w:hint="eastAsia" w:ascii="宋体" w:hAnsi="宋体" w:eastAsia="宋体" w:cs="宋体"/>
          <w:kern w:val="0"/>
          <w:sz w:val="24"/>
          <w:szCs w:val="24"/>
        </w:rPr>
        <w:t>招标</w:t>
      </w:r>
      <w:r>
        <w:rPr>
          <w:rFonts w:hint="eastAsia" w:ascii="宋体" w:hAnsi="宋体" w:eastAsia="宋体" w:cs="宋体"/>
          <w:kern w:val="0"/>
          <w:sz w:val="24"/>
          <w:szCs w:val="24"/>
          <w:lang w:val="zh-CN"/>
        </w:rPr>
        <w:t>文件的规定和要求提供所需的相关材料，并对所提供的各类资料的真实性负责，不虚假应标，不虚列业绩；不以他人名义投标或者以其他方式弄虚作假，骗取中标。</w:t>
      </w:r>
    </w:p>
    <w:p w14:paraId="1CF33483">
      <w:pPr>
        <w:autoSpaceDE w:val="0"/>
        <w:autoSpaceDN w:val="0"/>
        <w:adjustRightInd w:val="0"/>
        <w:spacing w:line="360" w:lineRule="auto"/>
        <w:ind w:firstLine="48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三、尊重参与采购活动各相关方的合法行为，接受采购活动依法形成的意见、结果。</w:t>
      </w:r>
    </w:p>
    <w:p w14:paraId="3EC454A9">
      <w:pPr>
        <w:autoSpaceDE w:val="0"/>
        <w:autoSpaceDN w:val="0"/>
        <w:adjustRightInd w:val="0"/>
        <w:spacing w:line="360" w:lineRule="auto"/>
        <w:ind w:firstLine="480"/>
        <w:rPr>
          <w:rFonts w:hint="eastAsia" w:ascii="宋体" w:hAnsi="宋体" w:eastAsia="宋体" w:cs="宋体"/>
          <w:kern w:val="0"/>
          <w:sz w:val="24"/>
          <w:szCs w:val="24"/>
          <w:lang w:val="zh-CN"/>
        </w:rPr>
      </w:pPr>
      <w:bookmarkStart w:id="556" w:name="_Hlk182909516"/>
      <w:r>
        <w:rPr>
          <w:rFonts w:hint="eastAsia" w:ascii="宋体" w:hAnsi="宋体" w:eastAsia="宋体" w:cs="宋体"/>
          <w:kern w:val="0"/>
          <w:sz w:val="24"/>
          <w:szCs w:val="24"/>
          <w:lang w:val="zh-CN"/>
        </w:rPr>
        <w:t>四、依法参加采购活动，不与其他供应商互相串通投标，不排挤其他供应商的公平竞争，不损害招标人的合法权益；不与招标人或者招标代理机构串通投标，损害国家利益、社会公共利益或者他人的合法权益；不向招标人或者评标委员会成员行贿以牟取中标。维护市场秩序，不提供“三无”产品、以次充好。</w:t>
      </w:r>
    </w:p>
    <w:bookmarkEnd w:id="556"/>
    <w:p w14:paraId="19C00019">
      <w:pPr>
        <w:autoSpaceDE w:val="0"/>
        <w:autoSpaceDN w:val="0"/>
        <w:adjustRightInd w:val="0"/>
        <w:spacing w:line="360" w:lineRule="auto"/>
        <w:ind w:firstLine="48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五、严格按照招标文件的规定和要求提供所需的相关材料，并对所提供的各类资料的真实性负责。如有违反按照自治区财政厅下发的《关于开展政府采购领域“四类”违法违规行为专项整治工作的通知》精神，自愿接受检验检测报告的问题；不存在提供虚假的合同业绩及学历证书等证明材料的问题；处罚。供应商对所投标（响应）文件的真实性负责，绝不存在提供虚假的认证证书、不存在提供虚假的《中小企业声明函》的问题；不存在其他提供虚假材料的问题。</w:t>
      </w:r>
    </w:p>
    <w:p w14:paraId="037F69A7">
      <w:pPr>
        <w:autoSpaceDE w:val="0"/>
        <w:autoSpaceDN w:val="0"/>
        <w:adjustRightInd w:val="0"/>
        <w:spacing w:line="360" w:lineRule="auto"/>
        <w:ind w:firstLine="48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六、积极推动采购活动健康开展，对采购活动有疑问、异议时，按法律规定的程序实名（加盖单位章和法定代表人签名）反映情况，不恶意中伤、无事生非，以和谐、平等的心态参加采购活动。</w:t>
      </w:r>
    </w:p>
    <w:p w14:paraId="402BFD8C">
      <w:pPr>
        <w:autoSpaceDE w:val="0"/>
        <w:autoSpaceDN w:val="0"/>
        <w:adjustRightInd w:val="0"/>
        <w:spacing w:line="360" w:lineRule="auto"/>
        <w:ind w:firstLine="48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七、认真履行成交人应承担的责任和义务，全面执行采购合同规定的各项内容，保质保量地按时提供采购物品。</w:t>
      </w:r>
    </w:p>
    <w:p w14:paraId="21784999">
      <w:pPr>
        <w:autoSpaceDE w:val="0"/>
        <w:autoSpaceDN w:val="0"/>
        <w:adjustRightInd w:val="0"/>
        <w:spacing w:line="360" w:lineRule="auto"/>
        <w:ind w:firstLine="480" w:firstLineChars="200"/>
        <w:rPr>
          <w:rFonts w:hint="eastAsia" w:ascii="宋体" w:hAnsi="宋体" w:eastAsia="宋体" w:cs="宋体"/>
          <w:kern w:val="0"/>
          <w:sz w:val="24"/>
          <w:szCs w:val="24"/>
          <w:lang w:val="zh-CN"/>
        </w:rPr>
      </w:pPr>
      <w:r>
        <w:rPr>
          <w:rFonts w:hint="eastAsia" w:ascii="宋体" w:hAnsi="宋体" w:eastAsia="宋体" w:cs="宋体"/>
          <w:kern w:val="0"/>
          <w:sz w:val="24"/>
          <w:szCs w:val="24"/>
          <w:lang w:val="zh-CN"/>
        </w:rPr>
        <w:t>若本企业（单位）发生有悖于上述承诺的行为或形成恶意投诉，我们自愿接受《政府采购法》等有关法律法规中对供应商的相关处理：</w:t>
      </w:r>
      <w:bookmarkStart w:id="557" w:name="_Hlk182910718"/>
      <w:r>
        <w:rPr>
          <w:rFonts w:hint="eastAsia" w:ascii="宋体" w:hAnsi="宋体" w:eastAsia="宋体" w:cs="宋体"/>
          <w:kern w:val="0"/>
          <w:sz w:val="24"/>
          <w:szCs w:val="24"/>
          <w:lang w:val="zh-CN"/>
        </w:rPr>
        <w:t>自愿放弃中标资格、限制以后投标、记入不良信用档案、没收本次投</w:t>
      </w:r>
      <w:r>
        <w:rPr>
          <w:rFonts w:hint="eastAsia" w:cs="宋体"/>
          <w:kern w:val="0"/>
          <w:sz w:val="24"/>
          <w:szCs w:val="24"/>
          <w:lang w:val="zh-CN"/>
        </w:rPr>
        <w:t>磋商保证金</w:t>
      </w:r>
      <w:r>
        <w:rPr>
          <w:rFonts w:hint="eastAsia" w:ascii="宋体" w:hAnsi="宋体" w:eastAsia="宋体" w:cs="宋体"/>
          <w:kern w:val="0"/>
          <w:sz w:val="24"/>
          <w:szCs w:val="24"/>
          <w:lang w:val="zh-CN"/>
        </w:rPr>
        <w:t>，并愿意承担由此引起的其他法律责任。</w:t>
      </w:r>
      <w:bookmarkEnd w:id="557"/>
    </w:p>
    <w:p w14:paraId="5D8C3111">
      <w:pPr>
        <w:autoSpaceDE w:val="0"/>
        <w:autoSpaceDN w:val="0"/>
        <w:adjustRightInd w:val="0"/>
        <w:spacing w:line="360" w:lineRule="auto"/>
        <w:ind w:firstLine="4435" w:firstLineChars="1848"/>
        <w:rPr>
          <w:rFonts w:hint="eastAsia" w:ascii="宋体" w:hAnsi="宋体" w:eastAsia="宋体" w:cs="宋体"/>
          <w:bCs/>
          <w:kern w:val="0"/>
          <w:sz w:val="24"/>
          <w:szCs w:val="24"/>
          <w:lang w:val="zh-CN"/>
        </w:rPr>
      </w:pPr>
      <w:bookmarkStart w:id="558" w:name="_Hlk182910783"/>
      <w:r>
        <w:rPr>
          <w:rFonts w:hint="eastAsia" w:ascii="宋体" w:hAnsi="宋体" w:eastAsia="宋体" w:cs="宋体"/>
          <w:bCs/>
          <w:kern w:val="0"/>
          <w:sz w:val="24"/>
          <w:szCs w:val="24"/>
          <w:lang w:val="zh-CN"/>
        </w:rPr>
        <w:t>供应商：             （公章）</w:t>
      </w:r>
    </w:p>
    <w:p w14:paraId="6CD88646">
      <w:pPr>
        <w:autoSpaceDE w:val="0"/>
        <w:autoSpaceDN w:val="0"/>
        <w:adjustRightInd w:val="0"/>
        <w:spacing w:line="360" w:lineRule="auto"/>
        <w:rPr>
          <w:rFonts w:hint="eastAsia" w:ascii="宋体" w:hAnsi="宋体" w:eastAsia="宋体" w:cs="宋体"/>
          <w:bCs/>
          <w:kern w:val="0"/>
          <w:sz w:val="24"/>
          <w:szCs w:val="24"/>
          <w:lang w:val="zh-CN"/>
        </w:rPr>
      </w:pPr>
      <w:r>
        <w:rPr>
          <w:rFonts w:hint="eastAsia" w:ascii="宋体" w:hAnsi="宋体" w:eastAsia="宋体" w:cs="宋体"/>
          <w:bCs/>
          <w:kern w:val="0"/>
          <w:sz w:val="24"/>
          <w:szCs w:val="24"/>
          <w:lang w:val="zh-CN"/>
        </w:rPr>
        <w:t xml:space="preserve">                     法定代表人或委托代理人：             （签字）</w:t>
      </w:r>
    </w:p>
    <w:p w14:paraId="66AFCE18">
      <w:pPr>
        <w:spacing w:line="360" w:lineRule="auto"/>
        <w:rPr>
          <w:rFonts w:hint="eastAsia" w:ascii="宋体" w:hAnsi="宋体" w:eastAsia="宋体" w:cs="宋体"/>
          <w:sz w:val="24"/>
          <w:szCs w:val="24"/>
        </w:rPr>
      </w:pPr>
      <w:r>
        <w:rPr>
          <w:rFonts w:hint="eastAsia" w:ascii="宋体" w:hAnsi="宋体" w:eastAsia="宋体" w:cs="宋体"/>
          <w:bCs/>
          <w:kern w:val="0"/>
          <w:sz w:val="24"/>
          <w:szCs w:val="24"/>
          <w:lang w:val="zh-CN"/>
        </w:rPr>
        <w:t xml:space="preserve">                                         年   月   日</w:t>
      </w:r>
      <w:bookmarkEnd w:id="558"/>
    </w:p>
    <w:p w14:paraId="22EB252B">
      <w:pPr>
        <w:pStyle w:val="41"/>
        <w:rPr>
          <w:rFonts w:hint="eastAsia" w:ascii="宋体" w:hAnsi="宋体" w:eastAsia="宋体" w:cs="宋体"/>
          <w:i w:val="0"/>
          <w:iCs w:val="0"/>
          <w:color w:val="auto"/>
          <w:sz w:val="24"/>
          <w:szCs w:val="24"/>
          <w:highlight w:val="none"/>
          <w:lang w:val="en-US" w:eastAsia="zh-CN"/>
        </w:rPr>
      </w:pPr>
    </w:p>
    <w:p w14:paraId="3E268B04">
      <w:pPr>
        <w:pStyle w:val="41"/>
        <w:rPr>
          <w:rFonts w:hint="eastAsia" w:ascii="宋体" w:hAnsi="宋体" w:eastAsia="宋体" w:cs="宋体"/>
          <w:i w:val="0"/>
          <w:iCs w:val="0"/>
          <w:color w:val="auto"/>
          <w:sz w:val="24"/>
          <w:szCs w:val="24"/>
          <w:highlight w:val="none"/>
          <w:lang w:val="en-US" w:eastAsia="zh-CN"/>
        </w:rPr>
      </w:pPr>
    </w:p>
    <w:p w14:paraId="75A357CC">
      <w:pPr>
        <w:pStyle w:val="41"/>
        <w:rPr>
          <w:rFonts w:hint="eastAsia" w:ascii="宋体" w:hAnsi="宋体" w:eastAsia="宋体" w:cs="宋体"/>
          <w:i w:val="0"/>
          <w:iCs w:val="0"/>
          <w:color w:val="auto"/>
          <w:sz w:val="24"/>
          <w:szCs w:val="24"/>
          <w:highlight w:val="none"/>
          <w:lang w:val="en-US" w:eastAsia="zh-CN"/>
        </w:rPr>
      </w:pPr>
    </w:p>
    <w:p w14:paraId="2B5ECE66">
      <w:pPr>
        <w:pStyle w:val="41"/>
        <w:rPr>
          <w:rFonts w:hint="eastAsia" w:ascii="宋体" w:hAnsi="宋体" w:eastAsia="宋体" w:cs="宋体"/>
          <w:i w:val="0"/>
          <w:iCs w:val="0"/>
          <w:color w:val="auto"/>
          <w:sz w:val="24"/>
          <w:szCs w:val="24"/>
          <w:highlight w:val="none"/>
          <w:lang w:val="en-US" w:eastAsia="zh-CN"/>
        </w:rPr>
      </w:pPr>
    </w:p>
    <w:p w14:paraId="4F7D1AC6">
      <w:pPr>
        <w:rPr>
          <w:rFonts w:hint="eastAsia" w:cs="宋体"/>
          <w:i w:val="0"/>
          <w:iCs w:val="0"/>
          <w:color w:val="auto"/>
          <w:sz w:val="24"/>
          <w:szCs w:val="24"/>
          <w:highlight w:val="none"/>
          <w:lang w:val="en-US" w:eastAsia="zh-CN"/>
        </w:rPr>
      </w:pPr>
      <w:r>
        <w:rPr>
          <w:rFonts w:hint="eastAsia" w:cs="宋体"/>
          <w:i w:val="0"/>
          <w:iCs w:val="0"/>
          <w:color w:val="auto"/>
          <w:sz w:val="24"/>
          <w:szCs w:val="24"/>
          <w:highlight w:val="none"/>
          <w:lang w:val="en-US" w:eastAsia="zh-CN"/>
        </w:rPr>
        <w:br w:type="page"/>
      </w:r>
    </w:p>
    <w:p w14:paraId="2E05EA3C">
      <w:pPr>
        <w:pStyle w:val="41"/>
        <w:rPr>
          <w:rFonts w:hint="eastAsia" w:cs="宋体"/>
          <w:b/>
          <w:bCs/>
          <w:i w:val="0"/>
          <w:iCs w:val="0"/>
          <w:color w:val="auto"/>
          <w:sz w:val="24"/>
          <w:szCs w:val="24"/>
          <w:highlight w:val="none"/>
          <w:lang w:val="en-US" w:eastAsia="zh-CN"/>
        </w:rPr>
      </w:pPr>
      <w:r>
        <w:rPr>
          <w:rFonts w:hint="eastAsia" w:cs="宋体"/>
          <w:b/>
          <w:bCs/>
          <w:i w:val="0"/>
          <w:iCs w:val="0"/>
          <w:color w:val="auto"/>
          <w:sz w:val="24"/>
          <w:szCs w:val="24"/>
          <w:highlight w:val="none"/>
          <w:lang w:val="en-US" w:eastAsia="zh-CN"/>
        </w:rPr>
        <w:t>1.3磋商保证金</w:t>
      </w:r>
    </w:p>
    <w:p w14:paraId="7C28B190">
      <w:pPr>
        <w:pStyle w:val="88"/>
        <w:spacing w:line="360" w:lineRule="auto"/>
        <w:rPr>
          <w:rFonts w:hint="eastAsia" w:ascii="宋体" w:hAnsi="宋体" w:eastAsia="宋体" w:cs="宋体"/>
          <w:color w:val="auto"/>
          <w:highlight w:val="none"/>
        </w:rPr>
      </w:pPr>
    </w:p>
    <w:p w14:paraId="5693D063">
      <w:pPr>
        <w:pStyle w:val="41"/>
        <w:rPr>
          <w:rFonts w:hint="eastAsia" w:cs="宋体"/>
          <w:i w:val="0"/>
          <w:iCs w:val="0"/>
          <w:color w:val="auto"/>
          <w:sz w:val="24"/>
          <w:szCs w:val="24"/>
          <w:highlight w:val="none"/>
          <w:lang w:val="en-US" w:eastAsia="zh-CN"/>
        </w:rPr>
      </w:pPr>
      <w:r>
        <w:rPr>
          <w:rFonts w:hint="eastAsia" w:ascii="宋体" w:hAnsi="宋体" w:eastAsia="宋体" w:cs="宋体"/>
          <w:b w:val="0"/>
          <w:color w:val="auto"/>
          <w:spacing w:val="6"/>
          <w:sz w:val="24"/>
          <w:highlight w:val="none"/>
        </w:rPr>
        <w:t>说明：</w:t>
      </w:r>
      <w:r>
        <w:rPr>
          <w:rFonts w:hint="eastAsia" w:ascii="宋体" w:hAnsi="宋体" w:eastAsia="宋体" w:cs="宋体"/>
          <w:b w:val="0"/>
          <w:color w:val="auto"/>
          <w:spacing w:val="6"/>
          <w:sz w:val="24"/>
          <w:highlight w:val="none"/>
          <w:lang w:val="en-US" w:eastAsia="zh-CN"/>
        </w:rPr>
        <w:t>①电汇、转账形式，附投</w:t>
      </w:r>
      <w:r>
        <w:rPr>
          <w:rFonts w:hint="eastAsia" w:cs="宋体"/>
          <w:b w:val="0"/>
          <w:color w:val="auto"/>
          <w:spacing w:val="6"/>
          <w:sz w:val="24"/>
          <w:highlight w:val="none"/>
          <w:lang w:val="en-US" w:eastAsia="zh-CN"/>
        </w:rPr>
        <w:t>磋商保证金</w:t>
      </w:r>
      <w:r>
        <w:rPr>
          <w:rFonts w:hint="eastAsia" w:ascii="宋体" w:hAnsi="宋体" w:eastAsia="宋体" w:cs="宋体"/>
          <w:b w:val="0"/>
          <w:color w:val="auto"/>
          <w:spacing w:val="6"/>
          <w:sz w:val="24"/>
          <w:highlight w:val="none"/>
          <w:lang w:val="en-US" w:eastAsia="zh-CN"/>
        </w:rPr>
        <w:t>汇款底单复印件（要求复印件内容清晰，能看清采购代理机构、响应人的名称、账号、金额等）②支票、汇票、本票、保函等非现金形式提供对应的资料（如保函可提供保单）</w:t>
      </w:r>
    </w:p>
    <w:p w14:paraId="1ACE08B8">
      <w:pPr>
        <w:pStyle w:val="41"/>
        <w:rPr>
          <w:rFonts w:hint="eastAsia" w:cs="宋体"/>
          <w:i w:val="0"/>
          <w:iCs w:val="0"/>
          <w:color w:val="auto"/>
          <w:sz w:val="24"/>
          <w:szCs w:val="24"/>
          <w:highlight w:val="none"/>
          <w:lang w:val="en-US" w:eastAsia="zh-CN"/>
        </w:rPr>
      </w:pPr>
    </w:p>
    <w:p w14:paraId="25820B91">
      <w:pPr>
        <w:pStyle w:val="41"/>
        <w:rPr>
          <w:rFonts w:hint="default" w:cs="宋体"/>
          <w:i w:val="0"/>
          <w:iCs w:val="0"/>
          <w:color w:val="auto"/>
          <w:sz w:val="24"/>
          <w:szCs w:val="24"/>
          <w:highlight w:val="none"/>
          <w:lang w:val="en-US" w:eastAsia="zh-CN"/>
        </w:rPr>
      </w:pPr>
    </w:p>
    <w:p w14:paraId="2B035F0A">
      <w:pPr>
        <w:pStyle w:val="41"/>
        <w:rPr>
          <w:rFonts w:hint="eastAsia" w:ascii="宋体" w:hAnsi="宋体" w:eastAsia="宋体" w:cs="宋体"/>
          <w:i w:val="0"/>
          <w:iCs w:val="0"/>
          <w:color w:val="auto"/>
          <w:sz w:val="24"/>
          <w:szCs w:val="24"/>
          <w:highlight w:val="none"/>
          <w:lang w:val="en-US" w:eastAsia="zh-CN"/>
        </w:rPr>
      </w:pPr>
    </w:p>
    <w:p w14:paraId="45C5BE88">
      <w:pPr>
        <w:pStyle w:val="41"/>
        <w:rPr>
          <w:rFonts w:hint="eastAsia" w:ascii="宋体" w:hAnsi="宋体" w:eastAsia="宋体" w:cs="宋体"/>
          <w:i w:val="0"/>
          <w:iCs w:val="0"/>
          <w:color w:val="auto"/>
          <w:sz w:val="24"/>
          <w:szCs w:val="24"/>
          <w:highlight w:val="none"/>
          <w:lang w:val="en-US" w:eastAsia="zh-CN"/>
        </w:rPr>
      </w:pPr>
    </w:p>
    <w:p w14:paraId="0E58FAE7">
      <w:pPr>
        <w:pStyle w:val="41"/>
        <w:rPr>
          <w:rFonts w:hint="eastAsia" w:ascii="宋体" w:hAnsi="宋体" w:eastAsia="宋体" w:cs="宋体"/>
          <w:i w:val="0"/>
          <w:iCs w:val="0"/>
          <w:color w:val="auto"/>
          <w:sz w:val="24"/>
          <w:szCs w:val="24"/>
          <w:highlight w:val="none"/>
          <w:lang w:val="en-US" w:eastAsia="zh-CN"/>
        </w:rPr>
      </w:pPr>
    </w:p>
    <w:p w14:paraId="74744AB7">
      <w:pPr>
        <w:pStyle w:val="41"/>
        <w:rPr>
          <w:rFonts w:hint="eastAsia" w:ascii="宋体" w:hAnsi="宋体" w:eastAsia="宋体" w:cs="宋体"/>
          <w:i w:val="0"/>
          <w:iCs w:val="0"/>
          <w:color w:val="auto"/>
          <w:sz w:val="24"/>
          <w:szCs w:val="24"/>
          <w:highlight w:val="none"/>
          <w:lang w:val="en-US" w:eastAsia="zh-CN"/>
        </w:rPr>
      </w:pPr>
    </w:p>
    <w:p w14:paraId="4C62BA71">
      <w:pPr>
        <w:pStyle w:val="41"/>
        <w:rPr>
          <w:rFonts w:hint="eastAsia" w:ascii="宋体" w:hAnsi="宋体" w:eastAsia="宋体" w:cs="宋体"/>
          <w:i w:val="0"/>
          <w:iCs w:val="0"/>
          <w:color w:val="auto"/>
          <w:sz w:val="24"/>
          <w:szCs w:val="24"/>
          <w:highlight w:val="none"/>
          <w:lang w:val="en-US" w:eastAsia="zh-CN"/>
        </w:rPr>
      </w:pPr>
    </w:p>
    <w:p w14:paraId="3CFEE115">
      <w:pPr>
        <w:pStyle w:val="41"/>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1.</w:t>
      </w:r>
      <w:r>
        <w:rPr>
          <w:rFonts w:hint="eastAsia" w:cs="宋体"/>
          <w:b/>
          <w:bCs/>
          <w:i w:val="0"/>
          <w:iCs w:val="0"/>
          <w:color w:val="auto"/>
          <w:sz w:val="24"/>
          <w:szCs w:val="24"/>
          <w:highlight w:val="none"/>
          <w:lang w:val="en-US" w:eastAsia="zh-CN"/>
        </w:rPr>
        <w:t>4</w:t>
      </w:r>
      <w:r>
        <w:rPr>
          <w:rFonts w:hint="eastAsia" w:ascii="宋体" w:hAnsi="宋体" w:eastAsia="宋体" w:cs="宋体"/>
          <w:b/>
          <w:bCs/>
          <w:i w:val="0"/>
          <w:iCs w:val="0"/>
          <w:color w:val="auto"/>
          <w:sz w:val="24"/>
          <w:szCs w:val="24"/>
          <w:highlight w:val="none"/>
          <w:lang w:val="en-US" w:eastAsia="zh-CN"/>
        </w:rPr>
        <w:t>其它商务、技术资料和证明材料</w:t>
      </w:r>
    </w:p>
    <w:p w14:paraId="03EBC6BE">
      <w:pPr>
        <w:rPr>
          <w:rFonts w:hint="default" w:ascii="宋体" w:hAnsi="宋体" w:eastAsia="宋体" w:cs="宋体"/>
          <w:b w:val="0"/>
          <w:color w:val="auto"/>
          <w:spacing w:val="6"/>
          <w:kern w:val="2"/>
          <w:sz w:val="24"/>
          <w:szCs w:val="22"/>
          <w:highlight w:val="none"/>
          <w:lang w:val="en-US" w:eastAsia="zh-CN" w:bidi="ar-SA"/>
        </w:rPr>
      </w:pPr>
      <w:r>
        <w:rPr>
          <w:rFonts w:hint="eastAsia" w:ascii="宋体" w:hAnsi="宋体" w:eastAsia="宋体" w:cs="宋体"/>
          <w:b w:val="0"/>
          <w:color w:val="auto"/>
          <w:spacing w:val="6"/>
          <w:kern w:val="2"/>
          <w:sz w:val="24"/>
          <w:szCs w:val="22"/>
          <w:highlight w:val="none"/>
          <w:lang w:val="en-US" w:eastAsia="zh-CN" w:bidi="ar-SA"/>
        </w:rPr>
        <w:t>如采购需求中要求的承诺书等，格式自拟。</w:t>
      </w:r>
    </w:p>
    <w:p w14:paraId="795C1DFC">
      <w:pPr>
        <w:rPr>
          <w:rFonts w:hint="eastAsia"/>
          <w:b/>
          <w:bCs/>
          <w:i w:val="0"/>
          <w:iCs w:val="0"/>
          <w:color w:val="auto"/>
          <w:sz w:val="24"/>
          <w:szCs w:val="24"/>
          <w:highlight w:val="none"/>
          <w:shd w:val="clear" w:color="auto" w:fill="FFFFFF" w:themeFill="background1"/>
          <w:lang w:val="en-US" w:eastAsia="zh-CN"/>
        </w:rPr>
      </w:pPr>
      <w:r>
        <w:rPr>
          <w:rFonts w:hint="eastAsia"/>
          <w:b/>
          <w:bCs/>
          <w:i w:val="0"/>
          <w:iCs w:val="0"/>
          <w:color w:val="auto"/>
          <w:sz w:val="24"/>
          <w:szCs w:val="24"/>
          <w:highlight w:val="none"/>
          <w:shd w:val="clear" w:color="auto" w:fill="FFFFFF" w:themeFill="background1"/>
          <w:lang w:val="en-US" w:eastAsia="zh-CN"/>
        </w:rPr>
        <w:br w:type="page"/>
      </w:r>
    </w:p>
    <w:p w14:paraId="613A10CE">
      <w:pPr>
        <w:pStyle w:val="41"/>
        <w:ind w:left="0" w:leftChars="0" w:firstLine="0" w:firstLineChars="0"/>
        <w:rPr>
          <w:rFonts w:hint="eastAsia"/>
          <w:i w:val="0"/>
          <w:iCs w:val="0"/>
          <w:color w:val="auto"/>
          <w:highlight w:val="none"/>
        </w:rPr>
      </w:pPr>
      <w:r>
        <w:rPr>
          <w:rFonts w:hint="eastAsia"/>
          <w:b/>
          <w:bCs/>
          <w:i w:val="0"/>
          <w:iCs w:val="0"/>
          <w:color w:val="auto"/>
          <w:sz w:val="24"/>
          <w:szCs w:val="24"/>
          <w:highlight w:val="none"/>
          <w:shd w:val="clear" w:color="auto" w:fill="FFFFFF" w:themeFill="background1"/>
          <w:lang w:val="en-US" w:eastAsia="zh-CN"/>
        </w:rPr>
        <w:t>（二）供应商认为需要提供的其它商务、技术资料和说明。</w:t>
      </w:r>
    </w:p>
    <w:p w14:paraId="38C35C86">
      <w:pPr>
        <w:pStyle w:val="41"/>
        <w:rPr>
          <w:rFonts w:hint="eastAsia"/>
          <w:i w:val="0"/>
          <w:iCs w:val="0"/>
          <w:color w:val="auto"/>
          <w:highlight w:val="none"/>
        </w:rPr>
      </w:pPr>
    </w:p>
    <w:p w14:paraId="771D5E8B">
      <w:pPr>
        <w:pStyle w:val="41"/>
        <w:rPr>
          <w:rFonts w:hint="eastAsia"/>
          <w:i w:val="0"/>
          <w:iCs w:val="0"/>
          <w:color w:val="auto"/>
          <w:highlight w:val="none"/>
        </w:rPr>
      </w:pPr>
    </w:p>
    <w:bookmarkEnd w:id="485"/>
    <w:p w14:paraId="600AF2DA">
      <w:pPr>
        <w:rPr>
          <w:i w:val="0"/>
          <w:iCs w:val="0"/>
          <w:color w:val="auto"/>
          <w:highlight w:val="none"/>
        </w:rPr>
      </w:pPr>
    </w:p>
    <w:sectPr>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2BAABF6-C7AE-4F04-9AC4-E8A48255E6F7}"/>
  </w:font>
  <w:font w:name="Arial">
    <w:panose1 w:val="020B0604020202020204"/>
    <w:charset w:val="01"/>
    <w:family w:val="swiss"/>
    <w:pitch w:val="default"/>
    <w:sig w:usb0="E0002EFF" w:usb1="C000785B" w:usb2="00000009" w:usb3="00000000" w:csb0="400001FF" w:csb1="FFFF0000"/>
    <w:embedRegular r:id="rId2" w:fontKey="{A4318ABA-097E-42DC-AD46-06428595D9A4}"/>
  </w:font>
  <w:font w:name="黑体">
    <w:panose1 w:val="02010609060101010101"/>
    <w:charset w:val="86"/>
    <w:family w:val="auto"/>
    <w:pitch w:val="default"/>
    <w:sig w:usb0="800002BF" w:usb1="38CF7CFA" w:usb2="00000016" w:usb3="00000000" w:csb0="00040001" w:csb1="00000000"/>
    <w:embedRegular r:id="rId3" w:fontKey="{BEF6DD98-BD25-4BEB-949E-3146783FBB6C}"/>
  </w:font>
  <w:font w:name="Courier New">
    <w:panose1 w:val="02070309020205020404"/>
    <w:charset w:val="01"/>
    <w:family w:val="modern"/>
    <w:pitch w:val="default"/>
    <w:sig w:usb0="E0002EFF" w:usb1="C0007843" w:usb2="00000009" w:usb3="00000000" w:csb0="400001FF" w:csb1="FFFF0000"/>
    <w:embedRegular r:id="rId4" w:fontKey="{B70BDD62-8E11-4BC5-97FE-3B0667CB84F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embedRegular r:id="rId5" w:fontKey="{4BE94727-9F6C-4F5D-AEE2-098A88087DB7}"/>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embedRegular r:id="rId6" w:fontKey="{F8FDBA6E-AFBE-46AE-A211-CA88A4B14307}"/>
  </w:font>
  <w:font w:name="仿宋_GB2312">
    <w:panose1 w:val="02010609030101010101"/>
    <w:charset w:val="86"/>
    <w:family w:val="modern"/>
    <w:pitch w:val="default"/>
    <w:sig w:usb0="00000001" w:usb1="080E0000" w:usb2="00000000" w:usb3="00000000" w:csb0="00040000" w:csb1="00000000"/>
    <w:embedRegular r:id="rId7" w:fontKey="{58C63CE6-4B30-4AAE-B66D-F2A4BAFB9C6D}"/>
  </w:font>
  <w:font w:name="Calibri Light">
    <w:panose1 w:val="020F03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
    <w:altName w:val="宋体"/>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Times New Roman"/>
    <w:panose1 w:val="02000503000000020004"/>
    <w:charset w:val="00"/>
    <w:family w:val="auto"/>
    <w:pitch w:val="default"/>
    <w:sig w:usb0="00000000" w:usb1="00000000" w:usb2="00000010" w:usb3="00000000" w:csb0="00000000" w:csb1="00000000"/>
  </w:font>
  <w:font w:name="微软雅黑">
    <w:panose1 w:val="020B0503020204020204"/>
    <w:charset w:val="86"/>
    <w:family w:val="auto"/>
    <w:pitch w:val="default"/>
    <w:sig w:usb0="80000287" w:usb1="2ACF3C50" w:usb2="00000016" w:usb3="00000000" w:csb0="0004001F" w:csb1="00000000"/>
  </w:font>
  <w:font w:name="宋体;SimSun">
    <w:altName w:val="宋体"/>
    <w:panose1 w:val="00000000000000000000"/>
    <w:charset w:val="86"/>
    <w:family w:val="roma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embedRegular r:id="rId8" w:fontKey="{3556EB65-343E-4B04-B818-A6960DD02E04}"/>
  </w:font>
  <w:font w:name="Helvetica">
    <w:altName w:val="Arial"/>
    <w:panose1 w:val="020B0604020202020204"/>
    <w:charset w:val="00"/>
    <w:family w:val="swiss"/>
    <w:pitch w:val="default"/>
    <w:sig w:usb0="00000000" w:usb1="00000000" w:usb2="00000000" w:usb3="00000000" w:csb0="00000000" w:csb1="00000000"/>
    <w:embedRegular r:id="rId9" w:fontKey="{770A185E-7794-4860-BAF5-F22F17C3A1FB}"/>
  </w:font>
  <w:font w:name="仿宋">
    <w:panose1 w:val="02010609060101010101"/>
    <w:charset w:val="86"/>
    <w:family w:val="modern"/>
    <w:pitch w:val="default"/>
    <w:sig w:usb0="800002BF" w:usb1="38CF7CFA" w:usb2="00000016" w:usb3="00000000" w:csb0="00040001" w:csb1="00000000"/>
    <w:embedRegular r:id="rId10" w:fontKey="{B2B1DD01-D1F6-4EC5-9F2B-E8B28022C93C}"/>
  </w:font>
  <w:font w:name="方正小标宋_GBK">
    <w:panose1 w:val="02000000000000000000"/>
    <w:charset w:val="86"/>
    <w:family w:val="auto"/>
    <w:pitch w:val="default"/>
    <w:sig w:usb0="A00002BF" w:usb1="38CF7CFA" w:usb2="00082016" w:usb3="00000000" w:csb0="00040001" w:csb1="00000000"/>
    <w:embedRegular r:id="rId11" w:fontKey="{51286A2B-8E7A-4D56-BF80-73273260CF72}"/>
  </w:font>
  <w:font w:name="DejaVuSans">
    <w:altName w:val="Segoe Print"/>
    <w:panose1 w:val="00000000000000000000"/>
    <w:charset w:val="00"/>
    <w:family w:val="auto"/>
    <w:pitch w:val="default"/>
    <w:sig w:usb0="00000000" w:usb1="00000000" w:usb2="00000000" w:usb3="00000000" w:csb0="00000000" w:csb1="00000000"/>
    <w:embedRegular r:id="rId12" w:fontKey="{A5B9F6C0-4C9F-4797-8D1F-D4093AE38E23}"/>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8215F">
    <w:pPr>
      <w:pStyle w:val="19"/>
      <w:jc w:val="center"/>
    </w:pPr>
    <w:r>
      <w:fldChar w:fldCharType="begin"/>
    </w:r>
    <w:r>
      <w:instrText xml:space="preserve">PAGE   \* MERGEFORMAT</w:instrText>
    </w:r>
    <w:r>
      <w:fldChar w:fldCharType="separate"/>
    </w:r>
    <w:r>
      <w:rPr>
        <w:lang w:val="zh-CN"/>
      </w:rPr>
      <w:t>71</w:t>
    </w:r>
    <w:r>
      <w:rPr>
        <w:lang w:val="zh-CN"/>
      </w:rPr>
      <w:fldChar w:fldCharType="end"/>
    </w:r>
  </w:p>
  <w:p w14:paraId="2A46A671">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217F1">
    <w:pPr>
      <w:pStyle w:val="19"/>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7024"/>
                          </w:sdtPr>
                          <w:sdtContent>
                            <w:p w14:paraId="2EF8B7E4">
                              <w:pPr>
                                <w:pStyle w:val="19"/>
                                <w:spacing w:line="240" w:lineRule="auto"/>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w:t>
                              </w:r>
                              <w:r>
                                <w:rPr>
                                  <w:sz w:val="21"/>
                                  <w:szCs w:val="21"/>
                                </w:rPr>
                                <w:t xml:space="preserve"> 3 -</w:t>
                              </w:r>
                              <w:r>
                                <w:rPr>
                                  <w:sz w:val="21"/>
                                  <w:szCs w:val="21"/>
                                </w:rPr>
                                <w:fldChar w:fldCharType="end"/>
                              </w:r>
                            </w:p>
                          </w:sdtContent>
                        </w:sdt>
                        <w:p w14:paraId="3AA5294A"/>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47467024"/>
                    </w:sdtPr>
                    <w:sdtContent>
                      <w:p w14:paraId="2EF8B7E4">
                        <w:pPr>
                          <w:pStyle w:val="19"/>
                          <w:spacing w:line="240" w:lineRule="auto"/>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w:t>
                        </w:r>
                        <w:r>
                          <w:rPr>
                            <w:sz w:val="21"/>
                            <w:szCs w:val="21"/>
                          </w:rPr>
                          <w:t xml:space="preserve"> 3 -</w:t>
                        </w:r>
                        <w:r>
                          <w:rPr>
                            <w:sz w:val="21"/>
                            <w:szCs w:val="21"/>
                          </w:rPr>
                          <w:fldChar w:fldCharType="end"/>
                        </w:r>
                      </w:p>
                    </w:sdtContent>
                  </w:sdt>
                  <w:p w14:paraId="3AA5294A"/>
                </w:txbxContent>
              </v:textbox>
            </v:shape>
          </w:pict>
        </mc:Fallback>
      </mc:AlternateContent>
    </w:r>
  </w:p>
  <w:p w14:paraId="0C708CAB">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0C76C">
    <w:pPr>
      <w:pStyle w:val="19"/>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5753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55753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8609"/>
                            <w:docPartObj>
                              <w:docPartGallery w:val="autotext"/>
                            </w:docPartObj>
                          </w:sdtPr>
                          <w:sdtContent>
                            <w:p w14:paraId="6C6BE7E7">
                              <w:pPr>
                                <w:pStyle w:val="19"/>
                                <w:spacing w:line="240" w:lineRule="auto"/>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1B114C7A"/>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43.9pt;mso-position-horizontal:center;mso-position-horizontal-relative:margin;z-index:251660288;mso-width-relative:page;mso-height-relative:page;" filled="f" stroked="f" coordsize="21600,21600" o:gfxdata="UEsDBAoAAAAAAIdO4kAAAAAAAAAAAAAAAAAEAAAAZHJzL1BLAwQUAAAACACHTuJA3/0qMtMAAAAE&#10;AQAADwAAAGRycy9kb3ducmV2LnhtbE2PQU/DMAyF70j8h8hI3FiyHaAqTXdAsAOc6BDi6LVu061x&#10;qibrBr8ewwUulqz3/Py9Yn32g5ppin1gC8uFAUVch6bnzsLb9ukmAxUTcoNDYLLwSRHW5eVFgXkT&#10;TvxKc5U6JSEcc7TgUhpzrWPtyGNchJFYtDZMHpOsU6ebCU8S7ge9MuZWe+xZPjgc6cFRfaiOXjDe&#10;X4zffLXuwz9jGyu3nTePe2uvr5bmHlSic/ozww++3EApTLtw5CaqwYIUSb9TtOxOWuwsrLLMgC4L&#10;/R++/AZQSwMEFAAAAAgAh07iQElpKXI4AgAAYgQAAA4AAABkcnMvZTJvRG9jLnhtbK1Uy47TMBTd&#10;I/EPlvc0bUcdqqrpqExVhFQxIw2Ites4TSS/sN0m5QPgD1ixYc939Ts4dpoOGljMgo17c9/n3Hs7&#10;v2mVJAfhfG10TkeDISVCc1PUepfTjx/Wr6aU+MB0waTRIqdH4enN4uWLeWNnYmwqIwvhCJJoP2ts&#10;TqsQ7CzLPK+EYn5grNAwlsYpFvDpdlnhWIPsSmbj4fA6a4wrrDNceA/tqjPSc0b3nISmLGsuVobv&#10;ldChy+qEZAGQfFVbTxep27IUPNyVpReByJwCaUgvikDexjdbzNls55itan5ugT2nhSeYFKs1il5S&#10;rVhgZO/qv1KpmjvjTRkG3KisA5IYAYrR8Ak3DxWzImEB1d5eSPf/Ly1/f7h3pC5yOqZEM4WBn75/&#10;O/34dfr5lYwjPY31M3g9WPiF9o1psTS93kMZUbelU/EXeAjsIPd4IVe0gXAoJ5PXkytYOEyj6Xg6&#10;HSb2s8do63x4K4wiUcipw/ASp+yw8QGdwLV3icW0WddSpgFKTZqcXl9NhingYkGE1AiMGLpeoxTa&#10;bXsGtjXFEbic6RbDW76uUXzDfLhnDpuAhnEr4Q5PKQ2KmLNESWXcl3/poz8GBCslDTYrp/7znjlB&#10;iXynMTqkDL3gemHbC3qvbg2WdYQrtDyJCHBB9mLpjPqEE1rGKjAxzVErp6EXb0O33zhBLpbL5LS3&#10;rt5VXQAWz7Kw0Q+WxzKRSm+X+wA6E8uRoo6XM3NYvUT++Uzibv/5nbwe/xo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f/Soy0wAAAAQBAAAPAAAAAAAAAAEAIAAAACIAAABkcnMvZG93bnJldi54&#10;bWxQSwECFAAUAAAACACHTuJASWkpcjgCAABiBAAADgAAAAAAAAABACAAAAAiAQAAZHJzL2Uyb0Rv&#10;Yy54bWxQSwUGAAAAAAYABgBZAQAAzAUAAAAA&#10;">
              <v:fill on="f" focussize="0,0"/>
              <v:stroke on="f" weight="0.5pt"/>
              <v:imagedata o:title=""/>
              <o:lock v:ext="edit" aspectratio="f"/>
              <v:textbox inset="0mm,0mm,0mm,0mm" style="mso-fit-shape-to-text:t;">
                <w:txbxContent>
                  <w:sdt>
                    <w:sdtPr>
                      <w:id w:val="147468609"/>
                      <w:docPartObj>
                        <w:docPartGallery w:val="autotext"/>
                      </w:docPartObj>
                    </w:sdtPr>
                    <w:sdtContent>
                      <w:p w14:paraId="6C6BE7E7">
                        <w:pPr>
                          <w:pStyle w:val="19"/>
                          <w:spacing w:line="240" w:lineRule="auto"/>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1B114C7A"/>
                </w:txbxContent>
              </v:textbox>
            </v:shape>
          </w:pict>
        </mc:Fallback>
      </mc:AlternateContent>
    </w:r>
  </w:p>
  <w:p w14:paraId="371D3BBD">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5C324">
    <w:pPr>
      <w:pStyle w:val="1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9182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59182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51D1A1">
                          <w:pPr>
                            <w:pStyle w:val="19"/>
                            <w:keepNext w:val="0"/>
                            <w:keepLines w:val="0"/>
                            <w:pageBreakBefore w:val="0"/>
                            <w:widowControl w:val="0"/>
                            <w:kinsoku/>
                            <w:wordWrap/>
                            <w:overflowPunct/>
                            <w:topLinePunct w:val="0"/>
                            <w:bidi w:val="0"/>
                            <w:adjustRightInd/>
                            <w:snapToGrid w:val="0"/>
                            <w:spacing w:line="240" w:lineRule="auto"/>
                            <w:jc w:val="center"/>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67</w:t>
                          </w:r>
                          <w:r>
                            <w:rPr>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46.6pt;mso-position-horizontal:center;mso-position-horizontal-relative:margin;z-index:251659264;mso-width-relative:page;mso-height-relative:page;" filled="f" stroked="f" coordsize="21600,21600" o:gfxdata="UEsDBAoAAAAAAIdO4kAAAAAAAAAAAAAAAAAEAAAAZHJzL1BLAwQUAAAACACHTuJA1G7gV9QAAAAE&#10;AQAADwAAAGRycy9kb3ducmV2LnhtbE2PMU/DMBCFdyT+g3VIbNRukFAIcTog6AATaYUYr/ElThvb&#10;UeymhV/PwQLLSU/v7r3vytXZDWKmKfbBa1guFAjyTTC97zRsN883OYiY0BscgicNnxRhVV1elFiY&#10;cPJvNNepExziY4EabEpjIWVsLDmMizCSZ68Nk8PEcuqkmfDE4W6QmVJ30mHvucHiSI+WmkN9dIzx&#10;/qrc+qu1H+4F21jbzbx+2mt9fbVUDyASndPfMvzg8w1UzLQLR2+iGDTwI+l3snd/m4HYacjyXIGs&#10;SvkfvvoGUEsDBBQAAAAIAIdO4kB9ea9XNwIAAGIEAAAOAAAAZHJzL2Uyb0RvYy54bWytVMtuEzEU&#10;3SPxD5b3ZJLSViHKpAqNgpAiWikg1o7HkxnJL2wnM+ED4A9YdcOe78p3cOzJpKiw6IKNc8b3eY7v&#10;zfSmVZLshfO10TkdDYaUCM1NUettTj99XL4aU+ID0wWTRoucHoSnN7OXL6aNnYgLUxlZCEeQRPtJ&#10;Y3NahWAnWeZ5JRTzA2OFhrE0TrGAT7fNCscaZFcyuxgOr7PGuMI6w4X3uF10RnrK6J6T0JRlzcXC&#10;8J0SOnRZnZAsgJKvauvpLHVbloKHu7L0IhCZUzAN6UQR4E08s9mUTbaO2armpxbYc1p4wkmxWqPo&#10;OdWCBUZ2rv4rlaq5M96UYcCNyjoiSRGwGA2faLOumBWJC6T29iy6/39p+Yf9vSN1kdNLSjRTePDj&#10;j+/Hh1/Hn9/IZZSnsX4Cr7WFX2jfmhZD0997XEbWbelU/AUfAjvEPZzFFW0gHJdXb0bjC1g4TEDj&#10;8TCpnz1GW+fDO2EUiSCnDo+XNGX7lQ/oBK69SyymzbKWMj2g1KTJ6fXrq2EKOFsQITUCI4eu14hC&#10;u2lPxDamOICXM91geMuXNYqvmA/3zGES0DB2JdzhKKVBEXNClFTGff3XffTHA8FKSYPJyqn/smNO&#10;UCLfazwdUoYeuB5seqB36tZgWEfYQssTRIALsoelM+ozVmgeq8DENEetnIYe3oZuvrGCXMznyWln&#10;Xb2tugAMnmVhpdeWxzJRSm/nuwA5k8pRok6Xk3IYvST+aU3ibP/5nbwe/xpm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UbuBX1AAAAAQBAAAPAAAAAAAAAAEAIAAAACIAAABkcnMvZG93bnJldi54&#10;bWxQSwECFAAUAAAACACHTuJAfXmvVzcCAABiBAAADgAAAAAAAAABACAAAAAjAQAAZHJzL2Uyb0Rv&#10;Yy54bWxQSwUGAAAAAAYABgBZAQAAzAUAAAAA&#10;">
              <v:fill on="f" focussize="0,0"/>
              <v:stroke on="f" weight="0.5pt"/>
              <v:imagedata o:title=""/>
              <o:lock v:ext="edit" aspectratio="f"/>
              <v:textbox inset="0mm,0mm,0mm,0mm" style="mso-fit-shape-to-text:t;">
                <w:txbxContent>
                  <w:p w14:paraId="7551D1A1">
                    <w:pPr>
                      <w:pStyle w:val="19"/>
                      <w:keepNext w:val="0"/>
                      <w:keepLines w:val="0"/>
                      <w:pageBreakBefore w:val="0"/>
                      <w:widowControl w:val="0"/>
                      <w:kinsoku/>
                      <w:wordWrap/>
                      <w:overflowPunct/>
                      <w:topLinePunct w:val="0"/>
                      <w:bidi w:val="0"/>
                      <w:adjustRightInd/>
                      <w:snapToGrid w:val="0"/>
                      <w:spacing w:line="240" w:lineRule="auto"/>
                      <w:jc w:val="center"/>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67</w:t>
                    </w:r>
                    <w:r>
                      <w:rPr>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84774">
    <w:pPr>
      <w:pStyle w:val="20"/>
      <w:pBdr>
        <w:bottom w:val="none" w:color="auto" w:sz="0" w:space="1"/>
      </w:pBdr>
      <w:tabs>
        <w:tab w:val="left" w:pos="3120"/>
      </w:tabs>
      <w:spacing w:line="240" w:lineRule="auto"/>
      <w:jc w:val="right"/>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25E671">
    <w:pPr>
      <w:pStyle w:val="20"/>
      <w:pBdr>
        <w:bottom w:val="none" w:color="auto" w:sz="0" w:space="1"/>
      </w:pBdr>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EC6482"/>
    <w:multiLevelType w:val="singleLevel"/>
    <w:tmpl w:val="94EC6482"/>
    <w:lvl w:ilvl="0" w:tentative="0">
      <w:start w:val="1"/>
      <w:numFmt w:val="decimal"/>
      <w:pStyle w:val="24"/>
      <w:lvlText w:val="%1."/>
      <w:lvlJc w:val="left"/>
      <w:pPr>
        <w:tabs>
          <w:tab w:val="left" w:pos="2040"/>
        </w:tabs>
        <w:ind w:left="2040" w:hanging="360"/>
      </w:pPr>
    </w:lvl>
  </w:abstractNum>
  <w:abstractNum w:abstractNumId="1">
    <w:nsid w:val="1726F16D"/>
    <w:multiLevelType w:val="singleLevel"/>
    <w:tmpl w:val="1726F16D"/>
    <w:lvl w:ilvl="0" w:tentative="0">
      <w:start w:val="1"/>
      <w:numFmt w:val="chineseCounting"/>
      <w:suff w:val="nothing"/>
      <w:lvlText w:val="（%1）"/>
      <w:lvlJc w:val="left"/>
      <w:rPr>
        <w:rFonts w:hint="eastAsia"/>
      </w:rPr>
    </w:lvl>
  </w:abstractNum>
  <w:abstractNum w:abstractNumId="2">
    <w:nsid w:val="1C761375"/>
    <w:multiLevelType w:val="multilevel"/>
    <w:tmpl w:val="1C761375"/>
    <w:lvl w:ilvl="0" w:tentative="0">
      <w:start w:val="1"/>
      <w:numFmt w:val="decimal"/>
      <w:suff w:val="noth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F02C8C4"/>
    <w:multiLevelType w:val="singleLevel"/>
    <w:tmpl w:val="3F02C8C4"/>
    <w:lvl w:ilvl="0" w:tentative="0">
      <w:start w:val="3"/>
      <w:numFmt w:val="chineseCounting"/>
      <w:suff w:val="nothing"/>
      <w:lvlText w:val="（%1）"/>
      <w:lvlJc w:val="left"/>
      <w:rPr>
        <w:rFonts w:hint="eastAsia"/>
      </w:rPr>
    </w:lvl>
  </w:abstractNum>
  <w:abstractNum w:abstractNumId="4">
    <w:nsid w:val="461E129B"/>
    <w:multiLevelType w:val="singleLevel"/>
    <w:tmpl w:val="461E129B"/>
    <w:lvl w:ilvl="0" w:tentative="0">
      <w:start w:val="8"/>
      <w:numFmt w:val="chineseCounting"/>
      <w:suff w:val="nothing"/>
      <w:lvlText w:val="%1、"/>
      <w:lvlJc w:val="left"/>
      <w:rPr>
        <w:rFonts w:hint="eastAsia"/>
      </w:rPr>
    </w:lvl>
  </w:abstractNum>
  <w:abstractNum w:abstractNumId="5">
    <w:nsid w:val="75504026"/>
    <w:multiLevelType w:val="multilevel"/>
    <w:tmpl w:val="75504026"/>
    <w:lvl w:ilvl="0" w:tentative="0">
      <w:start w:val="1"/>
      <w:numFmt w:val="decimal"/>
      <w:suff w:val="noth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 w:numId="3">
    <w:abstractNumId w:val="3"/>
  </w:num>
  <w:num w:numId="4">
    <w:abstractNumId w:val="2"/>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DA2E46"/>
    <w:rsid w:val="00010DF5"/>
    <w:rsid w:val="0002050C"/>
    <w:rsid w:val="00031D74"/>
    <w:rsid w:val="00031EDA"/>
    <w:rsid w:val="00035FD6"/>
    <w:rsid w:val="00041275"/>
    <w:rsid w:val="00041E23"/>
    <w:rsid w:val="00057979"/>
    <w:rsid w:val="00062839"/>
    <w:rsid w:val="000640B1"/>
    <w:rsid w:val="0006527E"/>
    <w:rsid w:val="000716F8"/>
    <w:rsid w:val="000725C9"/>
    <w:rsid w:val="000751D5"/>
    <w:rsid w:val="00076791"/>
    <w:rsid w:val="00077F3F"/>
    <w:rsid w:val="00080BBF"/>
    <w:rsid w:val="00094137"/>
    <w:rsid w:val="000A301B"/>
    <w:rsid w:val="000A519B"/>
    <w:rsid w:val="000A7A3F"/>
    <w:rsid w:val="000B0E52"/>
    <w:rsid w:val="000B7490"/>
    <w:rsid w:val="000D18E4"/>
    <w:rsid w:val="000D1DA9"/>
    <w:rsid w:val="000D2926"/>
    <w:rsid w:val="000D48B5"/>
    <w:rsid w:val="0011305B"/>
    <w:rsid w:val="00115707"/>
    <w:rsid w:val="0012011D"/>
    <w:rsid w:val="0012733E"/>
    <w:rsid w:val="00127F58"/>
    <w:rsid w:val="00131A1C"/>
    <w:rsid w:val="001361D8"/>
    <w:rsid w:val="00140C6C"/>
    <w:rsid w:val="00144643"/>
    <w:rsid w:val="00160D0D"/>
    <w:rsid w:val="0016196A"/>
    <w:rsid w:val="00161FD2"/>
    <w:rsid w:val="00167161"/>
    <w:rsid w:val="0019372B"/>
    <w:rsid w:val="00197CB9"/>
    <w:rsid w:val="001D1DC9"/>
    <w:rsid w:val="001E2156"/>
    <w:rsid w:val="001F00D7"/>
    <w:rsid w:val="001F0B83"/>
    <w:rsid w:val="00214A21"/>
    <w:rsid w:val="002232D4"/>
    <w:rsid w:val="00230459"/>
    <w:rsid w:val="002416CF"/>
    <w:rsid w:val="00247842"/>
    <w:rsid w:val="002554AB"/>
    <w:rsid w:val="002629DD"/>
    <w:rsid w:val="00262A33"/>
    <w:rsid w:val="00264A6E"/>
    <w:rsid w:val="00266970"/>
    <w:rsid w:val="002746A9"/>
    <w:rsid w:val="00285085"/>
    <w:rsid w:val="00290F66"/>
    <w:rsid w:val="0029432F"/>
    <w:rsid w:val="002A1AEC"/>
    <w:rsid w:val="002A1FBA"/>
    <w:rsid w:val="002A5F16"/>
    <w:rsid w:val="002A6FAF"/>
    <w:rsid w:val="002B0E82"/>
    <w:rsid w:val="002C4B74"/>
    <w:rsid w:val="002C7C83"/>
    <w:rsid w:val="002D34F4"/>
    <w:rsid w:val="002D3A54"/>
    <w:rsid w:val="002D518A"/>
    <w:rsid w:val="002E0B52"/>
    <w:rsid w:val="002E34F0"/>
    <w:rsid w:val="002E6413"/>
    <w:rsid w:val="002E7870"/>
    <w:rsid w:val="002F0DD6"/>
    <w:rsid w:val="002F3C1F"/>
    <w:rsid w:val="003025BA"/>
    <w:rsid w:val="0030326B"/>
    <w:rsid w:val="00303828"/>
    <w:rsid w:val="00321CAC"/>
    <w:rsid w:val="00325002"/>
    <w:rsid w:val="003259BD"/>
    <w:rsid w:val="003327F2"/>
    <w:rsid w:val="00333AF9"/>
    <w:rsid w:val="0033438F"/>
    <w:rsid w:val="00343177"/>
    <w:rsid w:val="00343F73"/>
    <w:rsid w:val="00345C72"/>
    <w:rsid w:val="00345DEA"/>
    <w:rsid w:val="00346801"/>
    <w:rsid w:val="00346FB8"/>
    <w:rsid w:val="0034739D"/>
    <w:rsid w:val="00350BD8"/>
    <w:rsid w:val="00365E80"/>
    <w:rsid w:val="00381A77"/>
    <w:rsid w:val="00384C92"/>
    <w:rsid w:val="0038618F"/>
    <w:rsid w:val="003A07A4"/>
    <w:rsid w:val="003A4878"/>
    <w:rsid w:val="003B1785"/>
    <w:rsid w:val="003C4B9C"/>
    <w:rsid w:val="003C68DF"/>
    <w:rsid w:val="003E0B9F"/>
    <w:rsid w:val="003E2527"/>
    <w:rsid w:val="004017D6"/>
    <w:rsid w:val="0040190B"/>
    <w:rsid w:val="00411AB3"/>
    <w:rsid w:val="00411C17"/>
    <w:rsid w:val="00420DD8"/>
    <w:rsid w:val="00423A88"/>
    <w:rsid w:val="00425B35"/>
    <w:rsid w:val="0042756D"/>
    <w:rsid w:val="00427D0A"/>
    <w:rsid w:val="00437213"/>
    <w:rsid w:val="00443B3B"/>
    <w:rsid w:val="0044711D"/>
    <w:rsid w:val="00462EBD"/>
    <w:rsid w:val="0047182E"/>
    <w:rsid w:val="0048656E"/>
    <w:rsid w:val="00490932"/>
    <w:rsid w:val="00492077"/>
    <w:rsid w:val="00492402"/>
    <w:rsid w:val="004A5602"/>
    <w:rsid w:val="004B29A0"/>
    <w:rsid w:val="004C31F0"/>
    <w:rsid w:val="004D65D4"/>
    <w:rsid w:val="004E09FC"/>
    <w:rsid w:val="004E0CE0"/>
    <w:rsid w:val="004E5531"/>
    <w:rsid w:val="004E5E3E"/>
    <w:rsid w:val="005001D8"/>
    <w:rsid w:val="00512CBB"/>
    <w:rsid w:val="00523D61"/>
    <w:rsid w:val="00535A35"/>
    <w:rsid w:val="00543B0C"/>
    <w:rsid w:val="00552FD8"/>
    <w:rsid w:val="00555F96"/>
    <w:rsid w:val="0055725A"/>
    <w:rsid w:val="00557310"/>
    <w:rsid w:val="00561A07"/>
    <w:rsid w:val="00562895"/>
    <w:rsid w:val="00574A51"/>
    <w:rsid w:val="00582A20"/>
    <w:rsid w:val="00590283"/>
    <w:rsid w:val="00594A14"/>
    <w:rsid w:val="005A3570"/>
    <w:rsid w:val="005A7750"/>
    <w:rsid w:val="005B55AC"/>
    <w:rsid w:val="005C18C8"/>
    <w:rsid w:val="005C30DA"/>
    <w:rsid w:val="005C3DD9"/>
    <w:rsid w:val="005C7693"/>
    <w:rsid w:val="005C77AF"/>
    <w:rsid w:val="005D689D"/>
    <w:rsid w:val="005E12E8"/>
    <w:rsid w:val="005E483B"/>
    <w:rsid w:val="005E4988"/>
    <w:rsid w:val="005E77BD"/>
    <w:rsid w:val="005F5FDD"/>
    <w:rsid w:val="00601022"/>
    <w:rsid w:val="0060162F"/>
    <w:rsid w:val="00602CF4"/>
    <w:rsid w:val="0060487D"/>
    <w:rsid w:val="00615D07"/>
    <w:rsid w:val="00623DA8"/>
    <w:rsid w:val="00626D3F"/>
    <w:rsid w:val="00630151"/>
    <w:rsid w:val="0064251F"/>
    <w:rsid w:val="00643F74"/>
    <w:rsid w:val="00662692"/>
    <w:rsid w:val="006664E4"/>
    <w:rsid w:val="00666E2F"/>
    <w:rsid w:val="00675096"/>
    <w:rsid w:val="006849F1"/>
    <w:rsid w:val="00687D2D"/>
    <w:rsid w:val="00691A5B"/>
    <w:rsid w:val="006926FF"/>
    <w:rsid w:val="006A28D1"/>
    <w:rsid w:val="006C0E57"/>
    <w:rsid w:val="006C30ED"/>
    <w:rsid w:val="006D2DE3"/>
    <w:rsid w:val="006D333D"/>
    <w:rsid w:val="006D6279"/>
    <w:rsid w:val="006E05F6"/>
    <w:rsid w:val="006E6126"/>
    <w:rsid w:val="006E7A70"/>
    <w:rsid w:val="006E7AAC"/>
    <w:rsid w:val="006F0A97"/>
    <w:rsid w:val="006F1007"/>
    <w:rsid w:val="006F1D7F"/>
    <w:rsid w:val="006F37E1"/>
    <w:rsid w:val="006F5BD9"/>
    <w:rsid w:val="00710747"/>
    <w:rsid w:val="00711E45"/>
    <w:rsid w:val="00712591"/>
    <w:rsid w:val="00714959"/>
    <w:rsid w:val="00720085"/>
    <w:rsid w:val="0072447B"/>
    <w:rsid w:val="007308A0"/>
    <w:rsid w:val="00733184"/>
    <w:rsid w:val="00735F23"/>
    <w:rsid w:val="00742B38"/>
    <w:rsid w:val="007439AE"/>
    <w:rsid w:val="00744ABD"/>
    <w:rsid w:val="00752609"/>
    <w:rsid w:val="0075271A"/>
    <w:rsid w:val="007625D0"/>
    <w:rsid w:val="0078326D"/>
    <w:rsid w:val="007840EB"/>
    <w:rsid w:val="007953A3"/>
    <w:rsid w:val="007953FA"/>
    <w:rsid w:val="007A3868"/>
    <w:rsid w:val="007B0927"/>
    <w:rsid w:val="007B31D2"/>
    <w:rsid w:val="007C1714"/>
    <w:rsid w:val="007C25B6"/>
    <w:rsid w:val="007C69D0"/>
    <w:rsid w:val="007C7E56"/>
    <w:rsid w:val="007D2501"/>
    <w:rsid w:val="007D3FAB"/>
    <w:rsid w:val="007E1B6D"/>
    <w:rsid w:val="007E1F79"/>
    <w:rsid w:val="007E27BF"/>
    <w:rsid w:val="007F2F74"/>
    <w:rsid w:val="007F7C6A"/>
    <w:rsid w:val="00805604"/>
    <w:rsid w:val="00814B4D"/>
    <w:rsid w:val="008155C5"/>
    <w:rsid w:val="00816516"/>
    <w:rsid w:val="00816A64"/>
    <w:rsid w:val="0083010B"/>
    <w:rsid w:val="0083496F"/>
    <w:rsid w:val="00836A98"/>
    <w:rsid w:val="00836FF3"/>
    <w:rsid w:val="00837654"/>
    <w:rsid w:val="0083775E"/>
    <w:rsid w:val="00837818"/>
    <w:rsid w:val="00846033"/>
    <w:rsid w:val="00861791"/>
    <w:rsid w:val="00866CA2"/>
    <w:rsid w:val="0086739C"/>
    <w:rsid w:val="0087004C"/>
    <w:rsid w:val="008700B2"/>
    <w:rsid w:val="00870A31"/>
    <w:rsid w:val="008744F5"/>
    <w:rsid w:val="00875ABA"/>
    <w:rsid w:val="00875E7B"/>
    <w:rsid w:val="008849F0"/>
    <w:rsid w:val="00884D19"/>
    <w:rsid w:val="0088780F"/>
    <w:rsid w:val="00893784"/>
    <w:rsid w:val="00896666"/>
    <w:rsid w:val="008A0CEF"/>
    <w:rsid w:val="008B0233"/>
    <w:rsid w:val="008B0B41"/>
    <w:rsid w:val="008B31A7"/>
    <w:rsid w:val="008D0B3B"/>
    <w:rsid w:val="008D33D3"/>
    <w:rsid w:val="008D5158"/>
    <w:rsid w:val="008D5F39"/>
    <w:rsid w:val="008D7F29"/>
    <w:rsid w:val="008E1419"/>
    <w:rsid w:val="008F3D10"/>
    <w:rsid w:val="008F4F88"/>
    <w:rsid w:val="009166DF"/>
    <w:rsid w:val="009312E6"/>
    <w:rsid w:val="0093260C"/>
    <w:rsid w:val="00937503"/>
    <w:rsid w:val="00942B9F"/>
    <w:rsid w:val="00943319"/>
    <w:rsid w:val="0094346F"/>
    <w:rsid w:val="00947447"/>
    <w:rsid w:val="009613A1"/>
    <w:rsid w:val="0097494E"/>
    <w:rsid w:val="00976A8C"/>
    <w:rsid w:val="00977FF3"/>
    <w:rsid w:val="0098091D"/>
    <w:rsid w:val="00980D3C"/>
    <w:rsid w:val="00984CC9"/>
    <w:rsid w:val="009941A6"/>
    <w:rsid w:val="0099510C"/>
    <w:rsid w:val="009A27AF"/>
    <w:rsid w:val="009A4A48"/>
    <w:rsid w:val="009A6DC0"/>
    <w:rsid w:val="009B74C7"/>
    <w:rsid w:val="009C06EE"/>
    <w:rsid w:val="009C4C40"/>
    <w:rsid w:val="009C5078"/>
    <w:rsid w:val="009F0E95"/>
    <w:rsid w:val="009F620C"/>
    <w:rsid w:val="00A00250"/>
    <w:rsid w:val="00A009BC"/>
    <w:rsid w:val="00A03C8F"/>
    <w:rsid w:val="00A208D0"/>
    <w:rsid w:val="00A2153A"/>
    <w:rsid w:val="00A3620F"/>
    <w:rsid w:val="00A36D87"/>
    <w:rsid w:val="00A42BA3"/>
    <w:rsid w:val="00A5026C"/>
    <w:rsid w:val="00A566D5"/>
    <w:rsid w:val="00A61ADA"/>
    <w:rsid w:val="00A67B9F"/>
    <w:rsid w:val="00A80437"/>
    <w:rsid w:val="00AA0034"/>
    <w:rsid w:val="00AA4E14"/>
    <w:rsid w:val="00AC1AE7"/>
    <w:rsid w:val="00AC7E4E"/>
    <w:rsid w:val="00B03E70"/>
    <w:rsid w:val="00B0667D"/>
    <w:rsid w:val="00B075F8"/>
    <w:rsid w:val="00B10CBD"/>
    <w:rsid w:val="00B15249"/>
    <w:rsid w:val="00B22126"/>
    <w:rsid w:val="00B23B20"/>
    <w:rsid w:val="00B24932"/>
    <w:rsid w:val="00B30024"/>
    <w:rsid w:val="00B35E10"/>
    <w:rsid w:val="00B67AB7"/>
    <w:rsid w:val="00B76EBE"/>
    <w:rsid w:val="00B807B2"/>
    <w:rsid w:val="00B81261"/>
    <w:rsid w:val="00B831FD"/>
    <w:rsid w:val="00B93E93"/>
    <w:rsid w:val="00BA0002"/>
    <w:rsid w:val="00BA7887"/>
    <w:rsid w:val="00BB0695"/>
    <w:rsid w:val="00BB0AA9"/>
    <w:rsid w:val="00BB389C"/>
    <w:rsid w:val="00BB5E22"/>
    <w:rsid w:val="00BC1538"/>
    <w:rsid w:val="00BC1927"/>
    <w:rsid w:val="00BC3D6E"/>
    <w:rsid w:val="00BC43BB"/>
    <w:rsid w:val="00BD0190"/>
    <w:rsid w:val="00BD36BD"/>
    <w:rsid w:val="00BD49FC"/>
    <w:rsid w:val="00BE027C"/>
    <w:rsid w:val="00BE229C"/>
    <w:rsid w:val="00BE2BE6"/>
    <w:rsid w:val="00BE359F"/>
    <w:rsid w:val="00BE6FC4"/>
    <w:rsid w:val="00BF2390"/>
    <w:rsid w:val="00BF2E8C"/>
    <w:rsid w:val="00BF513D"/>
    <w:rsid w:val="00BF52B9"/>
    <w:rsid w:val="00C2211B"/>
    <w:rsid w:val="00C24E2A"/>
    <w:rsid w:val="00C32FB4"/>
    <w:rsid w:val="00C34601"/>
    <w:rsid w:val="00C415A9"/>
    <w:rsid w:val="00C45CBF"/>
    <w:rsid w:val="00C47234"/>
    <w:rsid w:val="00C5578E"/>
    <w:rsid w:val="00C56F38"/>
    <w:rsid w:val="00C57229"/>
    <w:rsid w:val="00C57A04"/>
    <w:rsid w:val="00C74942"/>
    <w:rsid w:val="00C808EB"/>
    <w:rsid w:val="00C8512E"/>
    <w:rsid w:val="00C87E32"/>
    <w:rsid w:val="00C9657E"/>
    <w:rsid w:val="00CA1AB8"/>
    <w:rsid w:val="00CA3606"/>
    <w:rsid w:val="00CA5E59"/>
    <w:rsid w:val="00CB4EE6"/>
    <w:rsid w:val="00CB6539"/>
    <w:rsid w:val="00CC25B9"/>
    <w:rsid w:val="00CD5867"/>
    <w:rsid w:val="00CD6536"/>
    <w:rsid w:val="00CD674A"/>
    <w:rsid w:val="00CD73E5"/>
    <w:rsid w:val="00CE2D16"/>
    <w:rsid w:val="00CE2E34"/>
    <w:rsid w:val="00CE3408"/>
    <w:rsid w:val="00CE6C2F"/>
    <w:rsid w:val="00CE6E51"/>
    <w:rsid w:val="00CF3BE6"/>
    <w:rsid w:val="00D0326E"/>
    <w:rsid w:val="00D039E3"/>
    <w:rsid w:val="00D04025"/>
    <w:rsid w:val="00D11BF3"/>
    <w:rsid w:val="00D15C83"/>
    <w:rsid w:val="00D22E42"/>
    <w:rsid w:val="00D32675"/>
    <w:rsid w:val="00D337FF"/>
    <w:rsid w:val="00D36F93"/>
    <w:rsid w:val="00D43106"/>
    <w:rsid w:val="00D43B65"/>
    <w:rsid w:val="00D4715E"/>
    <w:rsid w:val="00D50483"/>
    <w:rsid w:val="00D50FA2"/>
    <w:rsid w:val="00D51CA5"/>
    <w:rsid w:val="00D605D6"/>
    <w:rsid w:val="00D91B19"/>
    <w:rsid w:val="00D93134"/>
    <w:rsid w:val="00D95972"/>
    <w:rsid w:val="00DA19EF"/>
    <w:rsid w:val="00DA2E46"/>
    <w:rsid w:val="00DA3EA5"/>
    <w:rsid w:val="00DA4062"/>
    <w:rsid w:val="00DB07DE"/>
    <w:rsid w:val="00DB6470"/>
    <w:rsid w:val="00DB648D"/>
    <w:rsid w:val="00DD2AE9"/>
    <w:rsid w:val="00DE21E8"/>
    <w:rsid w:val="00DE279C"/>
    <w:rsid w:val="00E131D1"/>
    <w:rsid w:val="00E22CBF"/>
    <w:rsid w:val="00E24A49"/>
    <w:rsid w:val="00E3190C"/>
    <w:rsid w:val="00E33B4C"/>
    <w:rsid w:val="00E346C5"/>
    <w:rsid w:val="00E40218"/>
    <w:rsid w:val="00E44C93"/>
    <w:rsid w:val="00E6060C"/>
    <w:rsid w:val="00E637A9"/>
    <w:rsid w:val="00E67DF9"/>
    <w:rsid w:val="00E71A4E"/>
    <w:rsid w:val="00E92BA7"/>
    <w:rsid w:val="00E957E7"/>
    <w:rsid w:val="00EB4AEC"/>
    <w:rsid w:val="00ED4D5F"/>
    <w:rsid w:val="00ED6D28"/>
    <w:rsid w:val="00ED72DC"/>
    <w:rsid w:val="00EE1389"/>
    <w:rsid w:val="00EE3D1C"/>
    <w:rsid w:val="00EE3FF1"/>
    <w:rsid w:val="00EE6A89"/>
    <w:rsid w:val="00EF2CF1"/>
    <w:rsid w:val="00F02A03"/>
    <w:rsid w:val="00F16856"/>
    <w:rsid w:val="00F23C03"/>
    <w:rsid w:val="00F43B46"/>
    <w:rsid w:val="00F46C50"/>
    <w:rsid w:val="00F50DD6"/>
    <w:rsid w:val="00F517BA"/>
    <w:rsid w:val="00F538E2"/>
    <w:rsid w:val="00F76A89"/>
    <w:rsid w:val="00F8151A"/>
    <w:rsid w:val="00F822CF"/>
    <w:rsid w:val="00F93C6F"/>
    <w:rsid w:val="00F9418D"/>
    <w:rsid w:val="00F94BDC"/>
    <w:rsid w:val="00FA29A1"/>
    <w:rsid w:val="00FA7B4A"/>
    <w:rsid w:val="00FB50E5"/>
    <w:rsid w:val="00FB6912"/>
    <w:rsid w:val="00FC12AF"/>
    <w:rsid w:val="00FC1536"/>
    <w:rsid w:val="00FC2785"/>
    <w:rsid w:val="00FC4922"/>
    <w:rsid w:val="00FD19D9"/>
    <w:rsid w:val="00FD51C3"/>
    <w:rsid w:val="00FE4777"/>
    <w:rsid w:val="00FE4FF0"/>
    <w:rsid w:val="00FE551A"/>
    <w:rsid w:val="00FE60DA"/>
    <w:rsid w:val="00FE6DDE"/>
    <w:rsid w:val="00FF415F"/>
    <w:rsid w:val="00FF74A7"/>
    <w:rsid w:val="00FF75EA"/>
    <w:rsid w:val="01011432"/>
    <w:rsid w:val="01113D6B"/>
    <w:rsid w:val="011A5E25"/>
    <w:rsid w:val="012A118F"/>
    <w:rsid w:val="013C5158"/>
    <w:rsid w:val="0146637B"/>
    <w:rsid w:val="014F6641"/>
    <w:rsid w:val="01521C8D"/>
    <w:rsid w:val="015E36D9"/>
    <w:rsid w:val="01633E9B"/>
    <w:rsid w:val="0168325F"/>
    <w:rsid w:val="01A544B3"/>
    <w:rsid w:val="01AE3368"/>
    <w:rsid w:val="01D17056"/>
    <w:rsid w:val="021D673F"/>
    <w:rsid w:val="02557C87"/>
    <w:rsid w:val="02690376"/>
    <w:rsid w:val="02827BD0"/>
    <w:rsid w:val="028642E4"/>
    <w:rsid w:val="029259B2"/>
    <w:rsid w:val="02B01361"/>
    <w:rsid w:val="02C72207"/>
    <w:rsid w:val="03096D43"/>
    <w:rsid w:val="0317318F"/>
    <w:rsid w:val="03305FFE"/>
    <w:rsid w:val="033923C2"/>
    <w:rsid w:val="033C49A3"/>
    <w:rsid w:val="035937A7"/>
    <w:rsid w:val="03693FA8"/>
    <w:rsid w:val="0387014A"/>
    <w:rsid w:val="03C54999"/>
    <w:rsid w:val="03FA75D8"/>
    <w:rsid w:val="03FC180C"/>
    <w:rsid w:val="041B0A5C"/>
    <w:rsid w:val="04243DB5"/>
    <w:rsid w:val="047C774D"/>
    <w:rsid w:val="04842AA6"/>
    <w:rsid w:val="049802FF"/>
    <w:rsid w:val="04B0389B"/>
    <w:rsid w:val="04D56E5D"/>
    <w:rsid w:val="04DA4474"/>
    <w:rsid w:val="051849A5"/>
    <w:rsid w:val="05191440"/>
    <w:rsid w:val="05214D81"/>
    <w:rsid w:val="053022E6"/>
    <w:rsid w:val="053B7608"/>
    <w:rsid w:val="056F2E0E"/>
    <w:rsid w:val="05816FE5"/>
    <w:rsid w:val="05834B0B"/>
    <w:rsid w:val="05A056BD"/>
    <w:rsid w:val="05B44CC5"/>
    <w:rsid w:val="05C07B0D"/>
    <w:rsid w:val="05C80770"/>
    <w:rsid w:val="05DB04A3"/>
    <w:rsid w:val="05E530D0"/>
    <w:rsid w:val="06355613"/>
    <w:rsid w:val="065B3392"/>
    <w:rsid w:val="067B6D0F"/>
    <w:rsid w:val="067E2CDC"/>
    <w:rsid w:val="06874187"/>
    <w:rsid w:val="069C40D7"/>
    <w:rsid w:val="06A20FC1"/>
    <w:rsid w:val="06A411DD"/>
    <w:rsid w:val="06C07699"/>
    <w:rsid w:val="070E75E1"/>
    <w:rsid w:val="07577FFE"/>
    <w:rsid w:val="076B1CFB"/>
    <w:rsid w:val="076F23B6"/>
    <w:rsid w:val="07737AC6"/>
    <w:rsid w:val="07B0770E"/>
    <w:rsid w:val="07B436A2"/>
    <w:rsid w:val="07C47C51"/>
    <w:rsid w:val="07C531B9"/>
    <w:rsid w:val="07CA07CF"/>
    <w:rsid w:val="07CB4548"/>
    <w:rsid w:val="08027530"/>
    <w:rsid w:val="080D4B60"/>
    <w:rsid w:val="081952B3"/>
    <w:rsid w:val="082425D6"/>
    <w:rsid w:val="083C3D2C"/>
    <w:rsid w:val="08510EF1"/>
    <w:rsid w:val="086230FE"/>
    <w:rsid w:val="0865499C"/>
    <w:rsid w:val="08716E9D"/>
    <w:rsid w:val="08766BA9"/>
    <w:rsid w:val="088272FC"/>
    <w:rsid w:val="088C3CD7"/>
    <w:rsid w:val="08BA08C0"/>
    <w:rsid w:val="08BB45BC"/>
    <w:rsid w:val="08C913B2"/>
    <w:rsid w:val="08D51B22"/>
    <w:rsid w:val="08E81CF0"/>
    <w:rsid w:val="08FA6E92"/>
    <w:rsid w:val="08FD4BD5"/>
    <w:rsid w:val="091058D9"/>
    <w:rsid w:val="092403B3"/>
    <w:rsid w:val="092C1016"/>
    <w:rsid w:val="09492F0D"/>
    <w:rsid w:val="094C3466"/>
    <w:rsid w:val="095567BF"/>
    <w:rsid w:val="09613E33"/>
    <w:rsid w:val="09926D3D"/>
    <w:rsid w:val="09A82D92"/>
    <w:rsid w:val="09B07E99"/>
    <w:rsid w:val="09CD45A7"/>
    <w:rsid w:val="09D122E9"/>
    <w:rsid w:val="09FC4E8C"/>
    <w:rsid w:val="0A73514E"/>
    <w:rsid w:val="0A7F7F97"/>
    <w:rsid w:val="0A912C71"/>
    <w:rsid w:val="0A9E7CF1"/>
    <w:rsid w:val="0AA479FE"/>
    <w:rsid w:val="0AC0235E"/>
    <w:rsid w:val="0ACC485F"/>
    <w:rsid w:val="0ADA3F4C"/>
    <w:rsid w:val="0ADF27E4"/>
    <w:rsid w:val="0AF82734"/>
    <w:rsid w:val="0B0E131B"/>
    <w:rsid w:val="0B116715"/>
    <w:rsid w:val="0B2B5A29"/>
    <w:rsid w:val="0B48482D"/>
    <w:rsid w:val="0B5A00BC"/>
    <w:rsid w:val="0B5C3E34"/>
    <w:rsid w:val="0B9C6927"/>
    <w:rsid w:val="0BBF61BC"/>
    <w:rsid w:val="0BCB5C52"/>
    <w:rsid w:val="0BD460C1"/>
    <w:rsid w:val="0BE300B2"/>
    <w:rsid w:val="0BE856C8"/>
    <w:rsid w:val="0C01370B"/>
    <w:rsid w:val="0C01678A"/>
    <w:rsid w:val="0C085D6A"/>
    <w:rsid w:val="0C193AD3"/>
    <w:rsid w:val="0C42651E"/>
    <w:rsid w:val="0C483CD8"/>
    <w:rsid w:val="0C7B29E0"/>
    <w:rsid w:val="0C7D22B4"/>
    <w:rsid w:val="0C807FF6"/>
    <w:rsid w:val="0C9D4705"/>
    <w:rsid w:val="0CA31901"/>
    <w:rsid w:val="0CA912FB"/>
    <w:rsid w:val="0CD45BD6"/>
    <w:rsid w:val="0D166CFD"/>
    <w:rsid w:val="0D1F6EE5"/>
    <w:rsid w:val="0D2C7836"/>
    <w:rsid w:val="0D896A37"/>
    <w:rsid w:val="0D8C18C1"/>
    <w:rsid w:val="0DA85BF2"/>
    <w:rsid w:val="0DB00467"/>
    <w:rsid w:val="0DDA3736"/>
    <w:rsid w:val="0DF42353"/>
    <w:rsid w:val="0E0013EF"/>
    <w:rsid w:val="0E012A71"/>
    <w:rsid w:val="0E063117"/>
    <w:rsid w:val="0E0D74EB"/>
    <w:rsid w:val="0E1C3D4F"/>
    <w:rsid w:val="0E2B3F92"/>
    <w:rsid w:val="0E4532A6"/>
    <w:rsid w:val="0E8B67DF"/>
    <w:rsid w:val="0EB74549"/>
    <w:rsid w:val="0EC37B54"/>
    <w:rsid w:val="0EDB32C2"/>
    <w:rsid w:val="0EDB7766"/>
    <w:rsid w:val="0EE773CD"/>
    <w:rsid w:val="0EEF3211"/>
    <w:rsid w:val="0EF3685E"/>
    <w:rsid w:val="0EFB1BB6"/>
    <w:rsid w:val="0F1C6324"/>
    <w:rsid w:val="0F29227F"/>
    <w:rsid w:val="0F3B0205"/>
    <w:rsid w:val="0F4F5A5E"/>
    <w:rsid w:val="0F6634D4"/>
    <w:rsid w:val="0F7200CA"/>
    <w:rsid w:val="0F7F4595"/>
    <w:rsid w:val="0FB35FED"/>
    <w:rsid w:val="0FC401FA"/>
    <w:rsid w:val="0FE12B5A"/>
    <w:rsid w:val="102869DB"/>
    <w:rsid w:val="104F3F68"/>
    <w:rsid w:val="10520096"/>
    <w:rsid w:val="10637A13"/>
    <w:rsid w:val="10861954"/>
    <w:rsid w:val="10A36062"/>
    <w:rsid w:val="10A5627E"/>
    <w:rsid w:val="10BD35C7"/>
    <w:rsid w:val="10C54730"/>
    <w:rsid w:val="115D26B4"/>
    <w:rsid w:val="11691059"/>
    <w:rsid w:val="117B0D8C"/>
    <w:rsid w:val="11A6405B"/>
    <w:rsid w:val="11C04A7F"/>
    <w:rsid w:val="11D5049D"/>
    <w:rsid w:val="11E626AA"/>
    <w:rsid w:val="1218364A"/>
    <w:rsid w:val="12241424"/>
    <w:rsid w:val="122F22A3"/>
    <w:rsid w:val="124A70DD"/>
    <w:rsid w:val="12505D75"/>
    <w:rsid w:val="12AA36D7"/>
    <w:rsid w:val="12BB58E4"/>
    <w:rsid w:val="12C0739F"/>
    <w:rsid w:val="12F9465F"/>
    <w:rsid w:val="12FC7CAB"/>
    <w:rsid w:val="13623FB2"/>
    <w:rsid w:val="13931986"/>
    <w:rsid w:val="139A7BF0"/>
    <w:rsid w:val="13A73607"/>
    <w:rsid w:val="13C36426"/>
    <w:rsid w:val="13F54E26"/>
    <w:rsid w:val="13FB7F63"/>
    <w:rsid w:val="14045069"/>
    <w:rsid w:val="14264FE0"/>
    <w:rsid w:val="14506500"/>
    <w:rsid w:val="14520465"/>
    <w:rsid w:val="1457163D"/>
    <w:rsid w:val="14733F9D"/>
    <w:rsid w:val="147C10A3"/>
    <w:rsid w:val="1499481A"/>
    <w:rsid w:val="14B940A6"/>
    <w:rsid w:val="14C447F8"/>
    <w:rsid w:val="15115C90"/>
    <w:rsid w:val="151B4D60"/>
    <w:rsid w:val="153B2982"/>
    <w:rsid w:val="153E1881"/>
    <w:rsid w:val="155F2CB0"/>
    <w:rsid w:val="15604521"/>
    <w:rsid w:val="15932B49"/>
    <w:rsid w:val="15A52A02"/>
    <w:rsid w:val="15A9411A"/>
    <w:rsid w:val="15AF7257"/>
    <w:rsid w:val="15DF48F1"/>
    <w:rsid w:val="15E52C78"/>
    <w:rsid w:val="1606331B"/>
    <w:rsid w:val="161A0F05"/>
    <w:rsid w:val="163D4862"/>
    <w:rsid w:val="164E4CC1"/>
    <w:rsid w:val="165247B2"/>
    <w:rsid w:val="16556050"/>
    <w:rsid w:val="165A41B2"/>
    <w:rsid w:val="168164BC"/>
    <w:rsid w:val="169923E1"/>
    <w:rsid w:val="16994D22"/>
    <w:rsid w:val="169B3FD3"/>
    <w:rsid w:val="169D3553"/>
    <w:rsid w:val="16AC04CA"/>
    <w:rsid w:val="16B56AEF"/>
    <w:rsid w:val="16B84207"/>
    <w:rsid w:val="16BC7E7D"/>
    <w:rsid w:val="16EB2510"/>
    <w:rsid w:val="17081314"/>
    <w:rsid w:val="17163A31"/>
    <w:rsid w:val="172D3363"/>
    <w:rsid w:val="17326391"/>
    <w:rsid w:val="1736143B"/>
    <w:rsid w:val="174165D4"/>
    <w:rsid w:val="175956CC"/>
    <w:rsid w:val="175C6F6A"/>
    <w:rsid w:val="17800EAB"/>
    <w:rsid w:val="17A54DB5"/>
    <w:rsid w:val="17AF1790"/>
    <w:rsid w:val="17D02CF0"/>
    <w:rsid w:val="17F83137"/>
    <w:rsid w:val="180F0345"/>
    <w:rsid w:val="181810E3"/>
    <w:rsid w:val="183F0D66"/>
    <w:rsid w:val="18414ADE"/>
    <w:rsid w:val="186407CC"/>
    <w:rsid w:val="18934C0E"/>
    <w:rsid w:val="189B3AC2"/>
    <w:rsid w:val="18AE7C99"/>
    <w:rsid w:val="18D70F9E"/>
    <w:rsid w:val="18E831AB"/>
    <w:rsid w:val="19151AC7"/>
    <w:rsid w:val="191775ED"/>
    <w:rsid w:val="19406B43"/>
    <w:rsid w:val="194523AC"/>
    <w:rsid w:val="194F4FBD"/>
    <w:rsid w:val="196934AD"/>
    <w:rsid w:val="196C5B8A"/>
    <w:rsid w:val="197E58BE"/>
    <w:rsid w:val="199D21E8"/>
    <w:rsid w:val="19A277FE"/>
    <w:rsid w:val="19B80DD0"/>
    <w:rsid w:val="19E45129"/>
    <w:rsid w:val="1A240213"/>
    <w:rsid w:val="1A2E5016"/>
    <w:rsid w:val="1A2F0966"/>
    <w:rsid w:val="1A5B175B"/>
    <w:rsid w:val="1A5F124B"/>
    <w:rsid w:val="1A6920CA"/>
    <w:rsid w:val="1A705206"/>
    <w:rsid w:val="1A8D2B13"/>
    <w:rsid w:val="1AC92B69"/>
    <w:rsid w:val="1ACA63E0"/>
    <w:rsid w:val="1ADF238C"/>
    <w:rsid w:val="1AE71241"/>
    <w:rsid w:val="1AF92BB3"/>
    <w:rsid w:val="1B3A3A66"/>
    <w:rsid w:val="1B3C158C"/>
    <w:rsid w:val="1B4548E5"/>
    <w:rsid w:val="1B684130"/>
    <w:rsid w:val="1B950C9D"/>
    <w:rsid w:val="1BAE1B3B"/>
    <w:rsid w:val="1BC7354C"/>
    <w:rsid w:val="1BCA303C"/>
    <w:rsid w:val="1BFB6D69"/>
    <w:rsid w:val="1C033E58"/>
    <w:rsid w:val="1C071B9A"/>
    <w:rsid w:val="1C0C0F5F"/>
    <w:rsid w:val="1C0F6CA1"/>
    <w:rsid w:val="1C15161F"/>
    <w:rsid w:val="1C4C3A51"/>
    <w:rsid w:val="1C766D20"/>
    <w:rsid w:val="1C80194D"/>
    <w:rsid w:val="1CA76EDA"/>
    <w:rsid w:val="1CB33AD0"/>
    <w:rsid w:val="1CEE68B6"/>
    <w:rsid w:val="1CF71C0F"/>
    <w:rsid w:val="1D320E99"/>
    <w:rsid w:val="1D491D3F"/>
    <w:rsid w:val="1D77694B"/>
    <w:rsid w:val="1DA578BD"/>
    <w:rsid w:val="1DAB47A7"/>
    <w:rsid w:val="1DB96EC4"/>
    <w:rsid w:val="1DBE44DB"/>
    <w:rsid w:val="1DCA4976"/>
    <w:rsid w:val="1DD1334D"/>
    <w:rsid w:val="1DD67A76"/>
    <w:rsid w:val="1DDC5D1E"/>
    <w:rsid w:val="1DE869C3"/>
    <w:rsid w:val="1E0C793C"/>
    <w:rsid w:val="1E252D30"/>
    <w:rsid w:val="1E293FBC"/>
    <w:rsid w:val="1E2A6014"/>
    <w:rsid w:val="1E3D3153"/>
    <w:rsid w:val="1E5E7A6C"/>
    <w:rsid w:val="1E6E4153"/>
    <w:rsid w:val="1EE77A61"/>
    <w:rsid w:val="1EEE7042"/>
    <w:rsid w:val="1EFC175F"/>
    <w:rsid w:val="1F130856"/>
    <w:rsid w:val="1F413615"/>
    <w:rsid w:val="1F4C5B16"/>
    <w:rsid w:val="1FA63478"/>
    <w:rsid w:val="1FBF278C"/>
    <w:rsid w:val="1FD71884"/>
    <w:rsid w:val="1FEA5A5B"/>
    <w:rsid w:val="1FEF4E1F"/>
    <w:rsid w:val="200563F1"/>
    <w:rsid w:val="20126D60"/>
    <w:rsid w:val="201422ED"/>
    <w:rsid w:val="2032080A"/>
    <w:rsid w:val="20362A4E"/>
    <w:rsid w:val="205E01F7"/>
    <w:rsid w:val="20657A7F"/>
    <w:rsid w:val="209B0B03"/>
    <w:rsid w:val="20A35C0A"/>
    <w:rsid w:val="20D02EA3"/>
    <w:rsid w:val="211014F1"/>
    <w:rsid w:val="21254871"/>
    <w:rsid w:val="212C5BFF"/>
    <w:rsid w:val="214C2544"/>
    <w:rsid w:val="215A09BE"/>
    <w:rsid w:val="215A276C"/>
    <w:rsid w:val="215D400B"/>
    <w:rsid w:val="216B497A"/>
    <w:rsid w:val="219379D7"/>
    <w:rsid w:val="21937A2C"/>
    <w:rsid w:val="21A8155E"/>
    <w:rsid w:val="21C85928"/>
    <w:rsid w:val="21E604A4"/>
    <w:rsid w:val="21F93CE9"/>
    <w:rsid w:val="220426D8"/>
    <w:rsid w:val="22124DF5"/>
    <w:rsid w:val="224F1BA5"/>
    <w:rsid w:val="22623FCE"/>
    <w:rsid w:val="22631AF5"/>
    <w:rsid w:val="228A7081"/>
    <w:rsid w:val="228D6B72"/>
    <w:rsid w:val="22A04AF7"/>
    <w:rsid w:val="22BD2FB3"/>
    <w:rsid w:val="22C00CF5"/>
    <w:rsid w:val="22C04851"/>
    <w:rsid w:val="22CE1AC1"/>
    <w:rsid w:val="230E1A60"/>
    <w:rsid w:val="232474D6"/>
    <w:rsid w:val="23377209"/>
    <w:rsid w:val="23775858"/>
    <w:rsid w:val="239F090A"/>
    <w:rsid w:val="23B56380"/>
    <w:rsid w:val="23C72304"/>
    <w:rsid w:val="23F46EA8"/>
    <w:rsid w:val="241F37F9"/>
    <w:rsid w:val="243279D1"/>
    <w:rsid w:val="244E0315"/>
    <w:rsid w:val="24653902"/>
    <w:rsid w:val="24AA3A0B"/>
    <w:rsid w:val="24AF254A"/>
    <w:rsid w:val="24AF7273"/>
    <w:rsid w:val="24BA420C"/>
    <w:rsid w:val="24C525F3"/>
    <w:rsid w:val="24CA19B7"/>
    <w:rsid w:val="24EC5B15"/>
    <w:rsid w:val="24FA6740"/>
    <w:rsid w:val="25096983"/>
    <w:rsid w:val="25270BB7"/>
    <w:rsid w:val="2564005E"/>
    <w:rsid w:val="257858B7"/>
    <w:rsid w:val="25853B30"/>
    <w:rsid w:val="25950217"/>
    <w:rsid w:val="25A20B86"/>
    <w:rsid w:val="25A62A02"/>
    <w:rsid w:val="25AB7AE7"/>
    <w:rsid w:val="25BD32CA"/>
    <w:rsid w:val="25C40AFC"/>
    <w:rsid w:val="25CE197B"/>
    <w:rsid w:val="25D93869"/>
    <w:rsid w:val="25EE7927"/>
    <w:rsid w:val="26075543"/>
    <w:rsid w:val="2628108B"/>
    <w:rsid w:val="26490DAB"/>
    <w:rsid w:val="265C0D35"/>
    <w:rsid w:val="26667E05"/>
    <w:rsid w:val="26771661"/>
    <w:rsid w:val="26865A28"/>
    <w:rsid w:val="26881050"/>
    <w:rsid w:val="26976211"/>
    <w:rsid w:val="26A30712"/>
    <w:rsid w:val="26B3496F"/>
    <w:rsid w:val="26F64CE5"/>
    <w:rsid w:val="271B0BF0"/>
    <w:rsid w:val="271C2272"/>
    <w:rsid w:val="272F1FA5"/>
    <w:rsid w:val="2767173F"/>
    <w:rsid w:val="276E2ACE"/>
    <w:rsid w:val="279D1605"/>
    <w:rsid w:val="27AE55C0"/>
    <w:rsid w:val="27B54BA0"/>
    <w:rsid w:val="27B801ED"/>
    <w:rsid w:val="27C13D12"/>
    <w:rsid w:val="27EB6814"/>
    <w:rsid w:val="28177609"/>
    <w:rsid w:val="281A4A03"/>
    <w:rsid w:val="281C2BC6"/>
    <w:rsid w:val="281C4C20"/>
    <w:rsid w:val="28235FAE"/>
    <w:rsid w:val="283261F1"/>
    <w:rsid w:val="28327F9F"/>
    <w:rsid w:val="285F4B0C"/>
    <w:rsid w:val="28757E8C"/>
    <w:rsid w:val="28AD1D1C"/>
    <w:rsid w:val="28B22E8E"/>
    <w:rsid w:val="28D41056"/>
    <w:rsid w:val="28D9666D"/>
    <w:rsid w:val="28DC7F0B"/>
    <w:rsid w:val="28E91021"/>
    <w:rsid w:val="28F416F8"/>
    <w:rsid w:val="28F811E9"/>
    <w:rsid w:val="28F9286B"/>
    <w:rsid w:val="29001E4B"/>
    <w:rsid w:val="2920429C"/>
    <w:rsid w:val="29332221"/>
    <w:rsid w:val="293D63C7"/>
    <w:rsid w:val="294F692F"/>
    <w:rsid w:val="29707641"/>
    <w:rsid w:val="298F1421"/>
    <w:rsid w:val="299B1B74"/>
    <w:rsid w:val="29BA46F0"/>
    <w:rsid w:val="29C91AA7"/>
    <w:rsid w:val="29D62BAC"/>
    <w:rsid w:val="2A133E00"/>
    <w:rsid w:val="2A32072A"/>
    <w:rsid w:val="2A391AB9"/>
    <w:rsid w:val="2A4B359A"/>
    <w:rsid w:val="2A53244F"/>
    <w:rsid w:val="2A7B34AB"/>
    <w:rsid w:val="2AB729DE"/>
    <w:rsid w:val="2AD71AB6"/>
    <w:rsid w:val="2ADE440E"/>
    <w:rsid w:val="2AE51113"/>
    <w:rsid w:val="2AE5579D"/>
    <w:rsid w:val="2AEB08D9"/>
    <w:rsid w:val="2B147E30"/>
    <w:rsid w:val="2B397C23"/>
    <w:rsid w:val="2B3B360F"/>
    <w:rsid w:val="2B591CE7"/>
    <w:rsid w:val="2B684AE1"/>
    <w:rsid w:val="2B786611"/>
    <w:rsid w:val="2BAE3DE1"/>
    <w:rsid w:val="2BCC24B9"/>
    <w:rsid w:val="2BD25682"/>
    <w:rsid w:val="2BE27F2E"/>
    <w:rsid w:val="2BFF463C"/>
    <w:rsid w:val="2C0E487F"/>
    <w:rsid w:val="2C414C55"/>
    <w:rsid w:val="2C475FE3"/>
    <w:rsid w:val="2C646B95"/>
    <w:rsid w:val="2C7548FE"/>
    <w:rsid w:val="2CC633AC"/>
    <w:rsid w:val="2CDD374A"/>
    <w:rsid w:val="2CDE6947"/>
    <w:rsid w:val="2CEB503C"/>
    <w:rsid w:val="2CEF7A50"/>
    <w:rsid w:val="2CF16D8F"/>
    <w:rsid w:val="2D3227EF"/>
    <w:rsid w:val="2D3E2F42"/>
    <w:rsid w:val="2D6D3F12"/>
    <w:rsid w:val="2DB7418D"/>
    <w:rsid w:val="2DC773DC"/>
    <w:rsid w:val="2DD03D81"/>
    <w:rsid w:val="2E287E62"/>
    <w:rsid w:val="2E310CF9"/>
    <w:rsid w:val="2E3F6F72"/>
    <w:rsid w:val="2E497DF1"/>
    <w:rsid w:val="2E544F2A"/>
    <w:rsid w:val="2E71691D"/>
    <w:rsid w:val="2EB536D8"/>
    <w:rsid w:val="2ECD316E"/>
    <w:rsid w:val="2ED46B8A"/>
    <w:rsid w:val="2EDA313F"/>
    <w:rsid w:val="2EEE0998"/>
    <w:rsid w:val="2F0F7C3C"/>
    <w:rsid w:val="2F1C6FCF"/>
    <w:rsid w:val="2F5C7FF7"/>
    <w:rsid w:val="2F5E167A"/>
    <w:rsid w:val="2F880DEC"/>
    <w:rsid w:val="3034062C"/>
    <w:rsid w:val="3040584C"/>
    <w:rsid w:val="30536D05"/>
    <w:rsid w:val="305F1B4D"/>
    <w:rsid w:val="305F7D9F"/>
    <w:rsid w:val="30705B08"/>
    <w:rsid w:val="30766E97"/>
    <w:rsid w:val="307A6987"/>
    <w:rsid w:val="30C220DC"/>
    <w:rsid w:val="30C82535"/>
    <w:rsid w:val="30CB71E3"/>
    <w:rsid w:val="30E56588"/>
    <w:rsid w:val="30E91417"/>
    <w:rsid w:val="31101099"/>
    <w:rsid w:val="31293F09"/>
    <w:rsid w:val="314F3970"/>
    <w:rsid w:val="3159659D"/>
    <w:rsid w:val="31B41A25"/>
    <w:rsid w:val="31CD0D39"/>
    <w:rsid w:val="31D2634F"/>
    <w:rsid w:val="31DB16A7"/>
    <w:rsid w:val="320504D2"/>
    <w:rsid w:val="32094BE7"/>
    <w:rsid w:val="321B7CF6"/>
    <w:rsid w:val="323963CE"/>
    <w:rsid w:val="32513718"/>
    <w:rsid w:val="32690A61"/>
    <w:rsid w:val="326A47D9"/>
    <w:rsid w:val="32B1065A"/>
    <w:rsid w:val="32D54B9D"/>
    <w:rsid w:val="32E4458C"/>
    <w:rsid w:val="32E77BD8"/>
    <w:rsid w:val="332D26D2"/>
    <w:rsid w:val="33443C83"/>
    <w:rsid w:val="3378107E"/>
    <w:rsid w:val="337F6063"/>
    <w:rsid w:val="338F44F8"/>
    <w:rsid w:val="33997124"/>
    <w:rsid w:val="339C2C4F"/>
    <w:rsid w:val="33A0753A"/>
    <w:rsid w:val="33BC1065"/>
    <w:rsid w:val="33D95773"/>
    <w:rsid w:val="34256C0A"/>
    <w:rsid w:val="34326E31"/>
    <w:rsid w:val="344D7F0F"/>
    <w:rsid w:val="34621C0C"/>
    <w:rsid w:val="34FA3BF3"/>
    <w:rsid w:val="35213875"/>
    <w:rsid w:val="353B5F42"/>
    <w:rsid w:val="3566572C"/>
    <w:rsid w:val="356E1305"/>
    <w:rsid w:val="3571636E"/>
    <w:rsid w:val="358362DE"/>
    <w:rsid w:val="358F4AB7"/>
    <w:rsid w:val="35990AF0"/>
    <w:rsid w:val="35A63D7A"/>
    <w:rsid w:val="35C506A4"/>
    <w:rsid w:val="35C8047F"/>
    <w:rsid w:val="35D208A2"/>
    <w:rsid w:val="35FB2318"/>
    <w:rsid w:val="36021D61"/>
    <w:rsid w:val="360F7B72"/>
    <w:rsid w:val="36213401"/>
    <w:rsid w:val="36237179"/>
    <w:rsid w:val="36392E40"/>
    <w:rsid w:val="365F72F7"/>
    <w:rsid w:val="36794FEB"/>
    <w:rsid w:val="3687595A"/>
    <w:rsid w:val="368816D2"/>
    <w:rsid w:val="36A857D4"/>
    <w:rsid w:val="36AC716F"/>
    <w:rsid w:val="36B424C7"/>
    <w:rsid w:val="36D87F64"/>
    <w:rsid w:val="36F32FEF"/>
    <w:rsid w:val="371A057C"/>
    <w:rsid w:val="371B42F4"/>
    <w:rsid w:val="373A720A"/>
    <w:rsid w:val="373B6744"/>
    <w:rsid w:val="37490E61"/>
    <w:rsid w:val="3767086F"/>
    <w:rsid w:val="376822C7"/>
    <w:rsid w:val="37695060"/>
    <w:rsid w:val="376D0FF4"/>
    <w:rsid w:val="377D0B0B"/>
    <w:rsid w:val="37A662B4"/>
    <w:rsid w:val="37A97B52"/>
    <w:rsid w:val="37B207B5"/>
    <w:rsid w:val="37BE35FD"/>
    <w:rsid w:val="37C33F60"/>
    <w:rsid w:val="37D72911"/>
    <w:rsid w:val="37DF17C6"/>
    <w:rsid w:val="37EE25DC"/>
    <w:rsid w:val="3801173C"/>
    <w:rsid w:val="381E22EE"/>
    <w:rsid w:val="387E0FDF"/>
    <w:rsid w:val="388760E5"/>
    <w:rsid w:val="38C5276A"/>
    <w:rsid w:val="38DE382B"/>
    <w:rsid w:val="38F35529"/>
    <w:rsid w:val="392C27E9"/>
    <w:rsid w:val="392C2F5A"/>
    <w:rsid w:val="393B79AD"/>
    <w:rsid w:val="393D2C48"/>
    <w:rsid w:val="39D37108"/>
    <w:rsid w:val="3A15327D"/>
    <w:rsid w:val="3A1C0AAF"/>
    <w:rsid w:val="3A1D02E4"/>
    <w:rsid w:val="3A35391F"/>
    <w:rsid w:val="3A64183E"/>
    <w:rsid w:val="3A661D2A"/>
    <w:rsid w:val="3AA36ADA"/>
    <w:rsid w:val="3AAC0EF8"/>
    <w:rsid w:val="3AAE3D38"/>
    <w:rsid w:val="3AB17449"/>
    <w:rsid w:val="3AC64CBD"/>
    <w:rsid w:val="3AD76784"/>
    <w:rsid w:val="3B08242C"/>
    <w:rsid w:val="3B0F23C2"/>
    <w:rsid w:val="3B246A26"/>
    <w:rsid w:val="3B471B5C"/>
    <w:rsid w:val="3B60677A"/>
    <w:rsid w:val="3B732951"/>
    <w:rsid w:val="3B862684"/>
    <w:rsid w:val="3B8A37F6"/>
    <w:rsid w:val="3B9A1C8B"/>
    <w:rsid w:val="3BD11425"/>
    <w:rsid w:val="3BD72191"/>
    <w:rsid w:val="3BDD7DCA"/>
    <w:rsid w:val="3BE92C13"/>
    <w:rsid w:val="3BEB698B"/>
    <w:rsid w:val="3BFF33E6"/>
    <w:rsid w:val="3C005B13"/>
    <w:rsid w:val="3C033CD5"/>
    <w:rsid w:val="3C17152E"/>
    <w:rsid w:val="3C5A58BF"/>
    <w:rsid w:val="3C5E715D"/>
    <w:rsid w:val="3CA8662A"/>
    <w:rsid w:val="3CAA23A2"/>
    <w:rsid w:val="3CB72D11"/>
    <w:rsid w:val="3CBA010B"/>
    <w:rsid w:val="3CEF6007"/>
    <w:rsid w:val="3D0870C9"/>
    <w:rsid w:val="3D1141CF"/>
    <w:rsid w:val="3D2959BD"/>
    <w:rsid w:val="3D4A5E08"/>
    <w:rsid w:val="3D5B019B"/>
    <w:rsid w:val="3D69400B"/>
    <w:rsid w:val="3D7724B9"/>
    <w:rsid w:val="3D8C7CFA"/>
    <w:rsid w:val="3DAA0180"/>
    <w:rsid w:val="3DC56D68"/>
    <w:rsid w:val="3E0C1076"/>
    <w:rsid w:val="3E10092B"/>
    <w:rsid w:val="3E18333B"/>
    <w:rsid w:val="3E3E7246"/>
    <w:rsid w:val="3E4B1963"/>
    <w:rsid w:val="3E6F29AC"/>
    <w:rsid w:val="3E75253C"/>
    <w:rsid w:val="3E774506"/>
    <w:rsid w:val="3E7C7D6E"/>
    <w:rsid w:val="3E8135D7"/>
    <w:rsid w:val="3E8978EB"/>
    <w:rsid w:val="3EB94B1E"/>
    <w:rsid w:val="3EC84D62"/>
    <w:rsid w:val="3EED2A1A"/>
    <w:rsid w:val="3F2D3727"/>
    <w:rsid w:val="3F9133A5"/>
    <w:rsid w:val="3F9D61EE"/>
    <w:rsid w:val="3FA806EF"/>
    <w:rsid w:val="3FB11C9A"/>
    <w:rsid w:val="3FCE0156"/>
    <w:rsid w:val="401B1A9A"/>
    <w:rsid w:val="40580367"/>
    <w:rsid w:val="406B009A"/>
    <w:rsid w:val="40833636"/>
    <w:rsid w:val="408D0011"/>
    <w:rsid w:val="40D43E92"/>
    <w:rsid w:val="412820C7"/>
    <w:rsid w:val="41286D07"/>
    <w:rsid w:val="412A5860"/>
    <w:rsid w:val="41456B3D"/>
    <w:rsid w:val="415F6DEA"/>
    <w:rsid w:val="41766CF7"/>
    <w:rsid w:val="417B6906"/>
    <w:rsid w:val="41837E56"/>
    <w:rsid w:val="41886A2A"/>
    <w:rsid w:val="418F600A"/>
    <w:rsid w:val="41911D83"/>
    <w:rsid w:val="41AA4BF2"/>
    <w:rsid w:val="41C21F3C"/>
    <w:rsid w:val="41CA2B9F"/>
    <w:rsid w:val="41D60B78"/>
    <w:rsid w:val="41E00614"/>
    <w:rsid w:val="41EA1493"/>
    <w:rsid w:val="41FF6CEC"/>
    <w:rsid w:val="421018B7"/>
    <w:rsid w:val="421D7172"/>
    <w:rsid w:val="422B7AE1"/>
    <w:rsid w:val="42786A9F"/>
    <w:rsid w:val="427C033D"/>
    <w:rsid w:val="4286740D"/>
    <w:rsid w:val="428B4A24"/>
    <w:rsid w:val="42A87384"/>
    <w:rsid w:val="42C121F4"/>
    <w:rsid w:val="42C35F6C"/>
    <w:rsid w:val="42C66C58"/>
    <w:rsid w:val="42CF2B62"/>
    <w:rsid w:val="42E06BC9"/>
    <w:rsid w:val="42E3216A"/>
    <w:rsid w:val="42E63A08"/>
    <w:rsid w:val="431762B8"/>
    <w:rsid w:val="431C38CE"/>
    <w:rsid w:val="432A5FEB"/>
    <w:rsid w:val="43340C18"/>
    <w:rsid w:val="43544E16"/>
    <w:rsid w:val="43654948"/>
    <w:rsid w:val="43866F99"/>
    <w:rsid w:val="43B27D8E"/>
    <w:rsid w:val="43DD4E0B"/>
    <w:rsid w:val="43EA577A"/>
    <w:rsid w:val="43EC32A0"/>
    <w:rsid w:val="43FF1225"/>
    <w:rsid w:val="443133A9"/>
    <w:rsid w:val="44427364"/>
    <w:rsid w:val="444C01E3"/>
    <w:rsid w:val="447137A5"/>
    <w:rsid w:val="448C6831"/>
    <w:rsid w:val="449000D0"/>
    <w:rsid w:val="449D27EC"/>
    <w:rsid w:val="44A245C8"/>
    <w:rsid w:val="44C24001"/>
    <w:rsid w:val="44CC6C2E"/>
    <w:rsid w:val="44CD26BA"/>
    <w:rsid w:val="44CD5C33"/>
    <w:rsid w:val="44DA57EF"/>
    <w:rsid w:val="44DC50C3"/>
    <w:rsid w:val="4508235C"/>
    <w:rsid w:val="450D7972"/>
    <w:rsid w:val="45126D36"/>
    <w:rsid w:val="45140D01"/>
    <w:rsid w:val="452623BD"/>
    <w:rsid w:val="452B4BB5"/>
    <w:rsid w:val="452B604A"/>
    <w:rsid w:val="456926CF"/>
    <w:rsid w:val="457B0D80"/>
    <w:rsid w:val="45C2075D"/>
    <w:rsid w:val="45C5024D"/>
    <w:rsid w:val="46144D30"/>
    <w:rsid w:val="46477F15"/>
    <w:rsid w:val="464A2BEB"/>
    <w:rsid w:val="46511AE0"/>
    <w:rsid w:val="46752AE1"/>
    <w:rsid w:val="46DB0610"/>
    <w:rsid w:val="46E91D19"/>
    <w:rsid w:val="47164C30"/>
    <w:rsid w:val="47280A93"/>
    <w:rsid w:val="47460F19"/>
    <w:rsid w:val="474D04FA"/>
    <w:rsid w:val="47632D59"/>
    <w:rsid w:val="47637D1D"/>
    <w:rsid w:val="47854AC2"/>
    <w:rsid w:val="47857C94"/>
    <w:rsid w:val="478B4B7E"/>
    <w:rsid w:val="47A34D69"/>
    <w:rsid w:val="47A45121"/>
    <w:rsid w:val="47B73BC5"/>
    <w:rsid w:val="47B752C9"/>
    <w:rsid w:val="47BA2EFA"/>
    <w:rsid w:val="47C97977"/>
    <w:rsid w:val="47FE35A2"/>
    <w:rsid w:val="480C5CBF"/>
    <w:rsid w:val="48360BA9"/>
    <w:rsid w:val="48396CD0"/>
    <w:rsid w:val="483E7E42"/>
    <w:rsid w:val="4840005F"/>
    <w:rsid w:val="48537D92"/>
    <w:rsid w:val="48660E58"/>
    <w:rsid w:val="488241D3"/>
    <w:rsid w:val="48961A2D"/>
    <w:rsid w:val="489839F7"/>
    <w:rsid w:val="48AE321A"/>
    <w:rsid w:val="48B51737"/>
    <w:rsid w:val="48B85E47"/>
    <w:rsid w:val="48C540C0"/>
    <w:rsid w:val="48CC18F2"/>
    <w:rsid w:val="48D6451F"/>
    <w:rsid w:val="48DC4552"/>
    <w:rsid w:val="48E50503"/>
    <w:rsid w:val="48EE2BC9"/>
    <w:rsid w:val="49115557"/>
    <w:rsid w:val="4913307D"/>
    <w:rsid w:val="49325BF9"/>
    <w:rsid w:val="4933371F"/>
    <w:rsid w:val="49B06B1E"/>
    <w:rsid w:val="49B72A97"/>
    <w:rsid w:val="49C1138B"/>
    <w:rsid w:val="49C16F7D"/>
    <w:rsid w:val="49D04350"/>
    <w:rsid w:val="49E54A1A"/>
    <w:rsid w:val="49E54B4B"/>
    <w:rsid w:val="49E8275C"/>
    <w:rsid w:val="4A001853"/>
    <w:rsid w:val="4A05330E"/>
    <w:rsid w:val="4A0B36CD"/>
    <w:rsid w:val="4A1E1CDA"/>
    <w:rsid w:val="4A265380"/>
    <w:rsid w:val="4A2A68D0"/>
    <w:rsid w:val="4A331C29"/>
    <w:rsid w:val="4A45195C"/>
    <w:rsid w:val="4A510301"/>
    <w:rsid w:val="4A630034"/>
    <w:rsid w:val="4A69564B"/>
    <w:rsid w:val="4A7638C4"/>
    <w:rsid w:val="4A897A9B"/>
    <w:rsid w:val="4A902707"/>
    <w:rsid w:val="4AA05F21"/>
    <w:rsid w:val="4AA30431"/>
    <w:rsid w:val="4AAA5C63"/>
    <w:rsid w:val="4ABB39CC"/>
    <w:rsid w:val="4ADD7DE7"/>
    <w:rsid w:val="4B3A7B4E"/>
    <w:rsid w:val="4B4614E8"/>
    <w:rsid w:val="4B490FD8"/>
    <w:rsid w:val="4B52185E"/>
    <w:rsid w:val="4B555BCF"/>
    <w:rsid w:val="4B614574"/>
    <w:rsid w:val="4B62129D"/>
    <w:rsid w:val="4B771FE9"/>
    <w:rsid w:val="4B840262"/>
    <w:rsid w:val="4BCE772F"/>
    <w:rsid w:val="4C2832E3"/>
    <w:rsid w:val="4C8A5D4C"/>
    <w:rsid w:val="4C8F3363"/>
    <w:rsid w:val="4C9170DB"/>
    <w:rsid w:val="4C9A3AC9"/>
    <w:rsid w:val="4CA54934"/>
    <w:rsid w:val="4CB44B77"/>
    <w:rsid w:val="4CD6689C"/>
    <w:rsid w:val="4CFB4554"/>
    <w:rsid w:val="4CFC05E2"/>
    <w:rsid w:val="4D343C52"/>
    <w:rsid w:val="4D3A5B11"/>
    <w:rsid w:val="4D3C7046"/>
    <w:rsid w:val="4D3D691B"/>
    <w:rsid w:val="4D5C1497"/>
    <w:rsid w:val="4D6D5452"/>
    <w:rsid w:val="4DB165AE"/>
    <w:rsid w:val="4DB56DF9"/>
    <w:rsid w:val="4DB90697"/>
    <w:rsid w:val="4DD74FC1"/>
    <w:rsid w:val="4DDA685F"/>
    <w:rsid w:val="4DF72F08"/>
    <w:rsid w:val="4DFC0584"/>
    <w:rsid w:val="4E0631B0"/>
    <w:rsid w:val="4E0B07C7"/>
    <w:rsid w:val="4E2A50F1"/>
    <w:rsid w:val="4E342F84"/>
    <w:rsid w:val="4E4461D7"/>
    <w:rsid w:val="4E451263"/>
    <w:rsid w:val="4E4F7A0A"/>
    <w:rsid w:val="4E5B1854"/>
    <w:rsid w:val="4E656129"/>
    <w:rsid w:val="4E8A5B90"/>
    <w:rsid w:val="4EA76741"/>
    <w:rsid w:val="4ECB3430"/>
    <w:rsid w:val="4ED92673"/>
    <w:rsid w:val="4F391364"/>
    <w:rsid w:val="4F7F321A"/>
    <w:rsid w:val="4F8821DD"/>
    <w:rsid w:val="4F895E47"/>
    <w:rsid w:val="4F90367A"/>
    <w:rsid w:val="4F9D5D96"/>
    <w:rsid w:val="4FC24FED"/>
    <w:rsid w:val="4FF9121F"/>
    <w:rsid w:val="50033E4B"/>
    <w:rsid w:val="50062B38"/>
    <w:rsid w:val="501222E0"/>
    <w:rsid w:val="502F2E92"/>
    <w:rsid w:val="503415A0"/>
    <w:rsid w:val="5060304C"/>
    <w:rsid w:val="50621774"/>
    <w:rsid w:val="506568B4"/>
    <w:rsid w:val="507C775A"/>
    <w:rsid w:val="508B3B0A"/>
    <w:rsid w:val="50A53155"/>
    <w:rsid w:val="50B52C6C"/>
    <w:rsid w:val="50BB64D4"/>
    <w:rsid w:val="50BD049E"/>
    <w:rsid w:val="50DE6667"/>
    <w:rsid w:val="50EE68AA"/>
    <w:rsid w:val="511C43E3"/>
    <w:rsid w:val="512322CB"/>
    <w:rsid w:val="5139564B"/>
    <w:rsid w:val="515F1555"/>
    <w:rsid w:val="51894824"/>
    <w:rsid w:val="51A54A35"/>
    <w:rsid w:val="51E657D3"/>
    <w:rsid w:val="51EB4B97"/>
    <w:rsid w:val="5248023B"/>
    <w:rsid w:val="524F5CF2"/>
    <w:rsid w:val="52775DEE"/>
    <w:rsid w:val="528327E1"/>
    <w:rsid w:val="5290573F"/>
    <w:rsid w:val="52D65847"/>
    <w:rsid w:val="52D95337"/>
    <w:rsid w:val="52DD4E28"/>
    <w:rsid w:val="52E166C3"/>
    <w:rsid w:val="531620E8"/>
    <w:rsid w:val="53226CDE"/>
    <w:rsid w:val="53285977"/>
    <w:rsid w:val="532E5683"/>
    <w:rsid w:val="538C23AA"/>
    <w:rsid w:val="5396550D"/>
    <w:rsid w:val="53A304DF"/>
    <w:rsid w:val="53AB6CD4"/>
    <w:rsid w:val="53B17155"/>
    <w:rsid w:val="53B61F77"/>
    <w:rsid w:val="53E46B80"/>
    <w:rsid w:val="53E775E0"/>
    <w:rsid w:val="53EE2FD4"/>
    <w:rsid w:val="54422A68"/>
    <w:rsid w:val="544D38E7"/>
    <w:rsid w:val="544E11C2"/>
    <w:rsid w:val="5463310B"/>
    <w:rsid w:val="5472334E"/>
    <w:rsid w:val="547C241E"/>
    <w:rsid w:val="548A2B09"/>
    <w:rsid w:val="54977CE1"/>
    <w:rsid w:val="54A51975"/>
    <w:rsid w:val="54B75204"/>
    <w:rsid w:val="54F71AA5"/>
    <w:rsid w:val="55051A8B"/>
    <w:rsid w:val="55091EC3"/>
    <w:rsid w:val="551E7032"/>
    <w:rsid w:val="552C5BF2"/>
    <w:rsid w:val="555E38D2"/>
    <w:rsid w:val="55603AEE"/>
    <w:rsid w:val="55613AAD"/>
    <w:rsid w:val="55AE2AAB"/>
    <w:rsid w:val="55CA0F67"/>
    <w:rsid w:val="55EB160A"/>
    <w:rsid w:val="55F935FB"/>
    <w:rsid w:val="563805C7"/>
    <w:rsid w:val="563E0439"/>
    <w:rsid w:val="56717635"/>
    <w:rsid w:val="56BD287A"/>
    <w:rsid w:val="56D57BC4"/>
    <w:rsid w:val="56DB78D0"/>
    <w:rsid w:val="56E47D90"/>
    <w:rsid w:val="56ED7603"/>
    <w:rsid w:val="56EF512A"/>
    <w:rsid w:val="56F3629C"/>
    <w:rsid w:val="56F72230"/>
    <w:rsid w:val="56F97D56"/>
    <w:rsid w:val="56FC7846"/>
    <w:rsid w:val="575E6AC3"/>
    <w:rsid w:val="57776ECD"/>
    <w:rsid w:val="57790E97"/>
    <w:rsid w:val="577C2024"/>
    <w:rsid w:val="5794182D"/>
    <w:rsid w:val="57B343A9"/>
    <w:rsid w:val="57C57C38"/>
    <w:rsid w:val="57CC7219"/>
    <w:rsid w:val="57D1482F"/>
    <w:rsid w:val="57D53A6E"/>
    <w:rsid w:val="57D63BF4"/>
    <w:rsid w:val="582B2191"/>
    <w:rsid w:val="583C7C96"/>
    <w:rsid w:val="585A65D3"/>
    <w:rsid w:val="5875340D"/>
    <w:rsid w:val="587A0A23"/>
    <w:rsid w:val="588C69A8"/>
    <w:rsid w:val="58A27B6E"/>
    <w:rsid w:val="58A77FDA"/>
    <w:rsid w:val="58B57CAD"/>
    <w:rsid w:val="58BA19B2"/>
    <w:rsid w:val="58CD149A"/>
    <w:rsid w:val="58CD4FF7"/>
    <w:rsid w:val="58F00CE5"/>
    <w:rsid w:val="58F72073"/>
    <w:rsid w:val="58FC3B2E"/>
    <w:rsid w:val="590D1897"/>
    <w:rsid w:val="5927113E"/>
    <w:rsid w:val="593432C8"/>
    <w:rsid w:val="593B28A8"/>
    <w:rsid w:val="593E7CA2"/>
    <w:rsid w:val="5943175D"/>
    <w:rsid w:val="594D25DB"/>
    <w:rsid w:val="594E4DC3"/>
    <w:rsid w:val="59561490"/>
    <w:rsid w:val="59641C04"/>
    <w:rsid w:val="59667728"/>
    <w:rsid w:val="59705BA9"/>
    <w:rsid w:val="598B6C60"/>
    <w:rsid w:val="598F04FE"/>
    <w:rsid w:val="599B50C6"/>
    <w:rsid w:val="59B91A1F"/>
    <w:rsid w:val="59D16D68"/>
    <w:rsid w:val="5A105AE3"/>
    <w:rsid w:val="5A2A0227"/>
    <w:rsid w:val="5A382944"/>
    <w:rsid w:val="5A3B4BCC"/>
    <w:rsid w:val="5A53777D"/>
    <w:rsid w:val="5A584D94"/>
    <w:rsid w:val="5A7659B1"/>
    <w:rsid w:val="5A985916"/>
    <w:rsid w:val="5AB3021C"/>
    <w:rsid w:val="5AB9459A"/>
    <w:rsid w:val="5ABA3CA0"/>
    <w:rsid w:val="5ABC17C7"/>
    <w:rsid w:val="5AC16DDD"/>
    <w:rsid w:val="5AD36B10"/>
    <w:rsid w:val="5AEB20AC"/>
    <w:rsid w:val="5B2353A2"/>
    <w:rsid w:val="5B263672"/>
    <w:rsid w:val="5B2829B8"/>
    <w:rsid w:val="5B500161"/>
    <w:rsid w:val="5B9242D5"/>
    <w:rsid w:val="5B9938B6"/>
    <w:rsid w:val="5B9B5880"/>
    <w:rsid w:val="5BA248BB"/>
    <w:rsid w:val="5BA67D81"/>
    <w:rsid w:val="5BC32A68"/>
    <w:rsid w:val="5BED775E"/>
    <w:rsid w:val="5BF907F8"/>
    <w:rsid w:val="5BFE4D83"/>
    <w:rsid w:val="5C3F26AF"/>
    <w:rsid w:val="5C464A56"/>
    <w:rsid w:val="5C563555"/>
    <w:rsid w:val="5C6A7000"/>
    <w:rsid w:val="5C920267"/>
    <w:rsid w:val="5C9E7928"/>
    <w:rsid w:val="5CB85FBE"/>
    <w:rsid w:val="5CBA3AE4"/>
    <w:rsid w:val="5CCC1A69"/>
    <w:rsid w:val="5CF74D38"/>
    <w:rsid w:val="5D5201C0"/>
    <w:rsid w:val="5D975E94"/>
    <w:rsid w:val="5D9E6676"/>
    <w:rsid w:val="5DD10903"/>
    <w:rsid w:val="5DF254FF"/>
    <w:rsid w:val="5E0E058B"/>
    <w:rsid w:val="5E135D11"/>
    <w:rsid w:val="5E4C2B6B"/>
    <w:rsid w:val="5E5107C2"/>
    <w:rsid w:val="5E8A398A"/>
    <w:rsid w:val="5E954808"/>
    <w:rsid w:val="5E9B59CB"/>
    <w:rsid w:val="5EB10F16"/>
    <w:rsid w:val="5EEE3F19"/>
    <w:rsid w:val="5F0279C4"/>
    <w:rsid w:val="5F0C439F"/>
    <w:rsid w:val="5F313E05"/>
    <w:rsid w:val="5F645F89"/>
    <w:rsid w:val="5F8D1984"/>
    <w:rsid w:val="5F961333"/>
    <w:rsid w:val="5FC058B5"/>
    <w:rsid w:val="5FC30F01"/>
    <w:rsid w:val="602320C5"/>
    <w:rsid w:val="602B6AA7"/>
    <w:rsid w:val="60433DF0"/>
    <w:rsid w:val="604C539B"/>
    <w:rsid w:val="6065645C"/>
    <w:rsid w:val="60681AA9"/>
    <w:rsid w:val="609F196E"/>
    <w:rsid w:val="60A26D69"/>
    <w:rsid w:val="60AA3E6F"/>
    <w:rsid w:val="60B62814"/>
    <w:rsid w:val="60DD4245"/>
    <w:rsid w:val="610C4B2A"/>
    <w:rsid w:val="61504D27"/>
    <w:rsid w:val="616E30EF"/>
    <w:rsid w:val="6171498D"/>
    <w:rsid w:val="61736957"/>
    <w:rsid w:val="61811074"/>
    <w:rsid w:val="619012B7"/>
    <w:rsid w:val="619A2136"/>
    <w:rsid w:val="61A75566"/>
    <w:rsid w:val="61B64F19"/>
    <w:rsid w:val="61CD7F83"/>
    <w:rsid w:val="61D7354F"/>
    <w:rsid w:val="61ED495B"/>
    <w:rsid w:val="61EE5FDE"/>
    <w:rsid w:val="61FA0313"/>
    <w:rsid w:val="62516C98"/>
    <w:rsid w:val="626F5370"/>
    <w:rsid w:val="627B5AC3"/>
    <w:rsid w:val="62A74B0A"/>
    <w:rsid w:val="62B249B4"/>
    <w:rsid w:val="62D2118D"/>
    <w:rsid w:val="62E53885"/>
    <w:rsid w:val="630A6E47"/>
    <w:rsid w:val="632A1297"/>
    <w:rsid w:val="633F11E7"/>
    <w:rsid w:val="634B514E"/>
    <w:rsid w:val="6356208C"/>
    <w:rsid w:val="635F7193"/>
    <w:rsid w:val="63732C3E"/>
    <w:rsid w:val="63A6062F"/>
    <w:rsid w:val="63C11BFC"/>
    <w:rsid w:val="63C17E4E"/>
    <w:rsid w:val="63C94F54"/>
    <w:rsid w:val="63DE27AE"/>
    <w:rsid w:val="63F41FD1"/>
    <w:rsid w:val="640D6BEF"/>
    <w:rsid w:val="640F3F59"/>
    <w:rsid w:val="64170648"/>
    <w:rsid w:val="64356146"/>
    <w:rsid w:val="646D1D84"/>
    <w:rsid w:val="647A41FA"/>
    <w:rsid w:val="64A01811"/>
    <w:rsid w:val="64A62BA0"/>
    <w:rsid w:val="64B41760"/>
    <w:rsid w:val="652341F0"/>
    <w:rsid w:val="654E5711"/>
    <w:rsid w:val="6554084E"/>
    <w:rsid w:val="65554CF2"/>
    <w:rsid w:val="65672E18"/>
    <w:rsid w:val="657333CA"/>
    <w:rsid w:val="65907AD8"/>
    <w:rsid w:val="65984BDE"/>
    <w:rsid w:val="65B23EF2"/>
    <w:rsid w:val="65B35574"/>
    <w:rsid w:val="65B676EF"/>
    <w:rsid w:val="65C77271"/>
    <w:rsid w:val="65C854C3"/>
    <w:rsid w:val="65F91B21"/>
    <w:rsid w:val="66012783"/>
    <w:rsid w:val="660E3AE9"/>
    <w:rsid w:val="6618187B"/>
    <w:rsid w:val="662A7F2C"/>
    <w:rsid w:val="662D17CA"/>
    <w:rsid w:val="664B39FF"/>
    <w:rsid w:val="6659611C"/>
    <w:rsid w:val="66686F1D"/>
    <w:rsid w:val="666D339E"/>
    <w:rsid w:val="667E2026"/>
    <w:rsid w:val="66C37A39"/>
    <w:rsid w:val="66CF2882"/>
    <w:rsid w:val="671958AB"/>
    <w:rsid w:val="67332E10"/>
    <w:rsid w:val="67515045"/>
    <w:rsid w:val="6759039D"/>
    <w:rsid w:val="67742766"/>
    <w:rsid w:val="67BF46A4"/>
    <w:rsid w:val="67C56744"/>
    <w:rsid w:val="6804655B"/>
    <w:rsid w:val="683E2528"/>
    <w:rsid w:val="68525518"/>
    <w:rsid w:val="686D2352"/>
    <w:rsid w:val="688A2F04"/>
    <w:rsid w:val="68907DEF"/>
    <w:rsid w:val="68B8160D"/>
    <w:rsid w:val="68CA50AF"/>
    <w:rsid w:val="69004F74"/>
    <w:rsid w:val="69005532"/>
    <w:rsid w:val="69112CDD"/>
    <w:rsid w:val="69194288"/>
    <w:rsid w:val="691F185D"/>
    <w:rsid w:val="69354EFB"/>
    <w:rsid w:val="6937396B"/>
    <w:rsid w:val="697119CE"/>
    <w:rsid w:val="699A7177"/>
    <w:rsid w:val="69BD0841"/>
    <w:rsid w:val="69C75B99"/>
    <w:rsid w:val="69D16911"/>
    <w:rsid w:val="69F30635"/>
    <w:rsid w:val="6A211646"/>
    <w:rsid w:val="6A3550F2"/>
    <w:rsid w:val="6A570BC4"/>
    <w:rsid w:val="6A61050B"/>
    <w:rsid w:val="6A627569"/>
    <w:rsid w:val="6A77553B"/>
    <w:rsid w:val="6A841BD5"/>
    <w:rsid w:val="6A9516EC"/>
    <w:rsid w:val="6AB53B3C"/>
    <w:rsid w:val="6AD466B8"/>
    <w:rsid w:val="6AD548E7"/>
    <w:rsid w:val="6ADB7A47"/>
    <w:rsid w:val="6AEB3A02"/>
    <w:rsid w:val="6AF24D91"/>
    <w:rsid w:val="6AF373CF"/>
    <w:rsid w:val="6B036F9E"/>
    <w:rsid w:val="6B192264"/>
    <w:rsid w:val="6B1B6095"/>
    <w:rsid w:val="6B301415"/>
    <w:rsid w:val="6B321631"/>
    <w:rsid w:val="6B562347"/>
    <w:rsid w:val="6B631AD5"/>
    <w:rsid w:val="6B824366"/>
    <w:rsid w:val="6B882FFF"/>
    <w:rsid w:val="6B897B45"/>
    <w:rsid w:val="6BA5135B"/>
    <w:rsid w:val="6BA60A3B"/>
    <w:rsid w:val="6BCA3618"/>
    <w:rsid w:val="6BD526E8"/>
    <w:rsid w:val="6BD6020E"/>
    <w:rsid w:val="6BD66460"/>
    <w:rsid w:val="6BEF307E"/>
    <w:rsid w:val="6BF15048"/>
    <w:rsid w:val="6C3F4006"/>
    <w:rsid w:val="6C4E4249"/>
    <w:rsid w:val="6C5E0930"/>
    <w:rsid w:val="6C756915"/>
    <w:rsid w:val="6C841DBF"/>
    <w:rsid w:val="6C8C6B1F"/>
    <w:rsid w:val="6CA83959"/>
    <w:rsid w:val="6CB00A5F"/>
    <w:rsid w:val="6D0668D1"/>
    <w:rsid w:val="6D1C52DE"/>
    <w:rsid w:val="6D21195D"/>
    <w:rsid w:val="6D2C27DC"/>
    <w:rsid w:val="6D2F7BD6"/>
    <w:rsid w:val="6D501E74"/>
    <w:rsid w:val="6D527D69"/>
    <w:rsid w:val="6D6C0E2A"/>
    <w:rsid w:val="6D785A21"/>
    <w:rsid w:val="6D8C327A"/>
    <w:rsid w:val="6DA93E2C"/>
    <w:rsid w:val="6DAF51BB"/>
    <w:rsid w:val="6DB85E1E"/>
    <w:rsid w:val="6DCC7B1B"/>
    <w:rsid w:val="6DD8026E"/>
    <w:rsid w:val="6DDB7D5E"/>
    <w:rsid w:val="6DDD7632"/>
    <w:rsid w:val="6DFC6CEF"/>
    <w:rsid w:val="6E1F649C"/>
    <w:rsid w:val="6E245261"/>
    <w:rsid w:val="6E313E22"/>
    <w:rsid w:val="6E4C47B8"/>
    <w:rsid w:val="6E71421E"/>
    <w:rsid w:val="6E9668CB"/>
    <w:rsid w:val="6E9E6EEB"/>
    <w:rsid w:val="6EA6036C"/>
    <w:rsid w:val="6EA939B8"/>
    <w:rsid w:val="6EAC12BE"/>
    <w:rsid w:val="6EBF2F12"/>
    <w:rsid w:val="6EC30F1E"/>
    <w:rsid w:val="6EF015E7"/>
    <w:rsid w:val="6F0F4163"/>
    <w:rsid w:val="6F2A4AF9"/>
    <w:rsid w:val="6F4162E7"/>
    <w:rsid w:val="6F58426D"/>
    <w:rsid w:val="6F795A80"/>
    <w:rsid w:val="6F863CF9"/>
    <w:rsid w:val="6F9208F0"/>
    <w:rsid w:val="6F944668"/>
    <w:rsid w:val="6FB940CF"/>
    <w:rsid w:val="6FC52A74"/>
    <w:rsid w:val="6FE54EC4"/>
    <w:rsid w:val="6FE70FA6"/>
    <w:rsid w:val="6FE729EA"/>
    <w:rsid w:val="700A349F"/>
    <w:rsid w:val="7012394F"/>
    <w:rsid w:val="7020414E"/>
    <w:rsid w:val="70457711"/>
    <w:rsid w:val="70785D38"/>
    <w:rsid w:val="70A73F27"/>
    <w:rsid w:val="70BA245B"/>
    <w:rsid w:val="70BB28C7"/>
    <w:rsid w:val="70BD374B"/>
    <w:rsid w:val="70CB230C"/>
    <w:rsid w:val="711D41EA"/>
    <w:rsid w:val="71306613"/>
    <w:rsid w:val="713559D7"/>
    <w:rsid w:val="713C14E7"/>
    <w:rsid w:val="714F4CEB"/>
    <w:rsid w:val="71526589"/>
    <w:rsid w:val="715B3690"/>
    <w:rsid w:val="715E4F2E"/>
    <w:rsid w:val="71630796"/>
    <w:rsid w:val="716D6F1F"/>
    <w:rsid w:val="71B44B4E"/>
    <w:rsid w:val="71B763EC"/>
    <w:rsid w:val="71C254BD"/>
    <w:rsid w:val="71C50B09"/>
    <w:rsid w:val="71D13952"/>
    <w:rsid w:val="71D90A58"/>
    <w:rsid w:val="72087019"/>
    <w:rsid w:val="723E2669"/>
    <w:rsid w:val="72404633"/>
    <w:rsid w:val="72424C43"/>
    <w:rsid w:val="727367B7"/>
    <w:rsid w:val="727918F3"/>
    <w:rsid w:val="72C11AE7"/>
    <w:rsid w:val="72C9533D"/>
    <w:rsid w:val="72D54D7C"/>
    <w:rsid w:val="72D57472"/>
    <w:rsid w:val="72FD42D3"/>
    <w:rsid w:val="72FF629D"/>
    <w:rsid w:val="73104006"/>
    <w:rsid w:val="73261A7B"/>
    <w:rsid w:val="733107D8"/>
    <w:rsid w:val="73586098"/>
    <w:rsid w:val="735C724B"/>
    <w:rsid w:val="737C169B"/>
    <w:rsid w:val="739F7299"/>
    <w:rsid w:val="73FE47A6"/>
    <w:rsid w:val="740F4638"/>
    <w:rsid w:val="74367A9C"/>
    <w:rsid w:val="74450227"/>
    <w:rsid w:val="745C084D"/>
    <w:rsid w:val="745D6531"/>
    <w:rsid w:val="74600FBD"/>
    <w:rsid w:val="74744A68"/>
    <w:rsid w:val="749426E4"/>
    <w:rsid w:val="749A44CF"/>
    <w:rsid w:val="74AE3AD6"/>
    <w:rsid w:val="74CC6652"/>
    <w:rsid w:val="74DA2B1D"/>
    <w:rsid w:val="74DD362F"/>
    <w:rsid w:val="750E6C6B"/>
    <w:rsid w:val="7516167C"/>
    <w:rsid w:val="75287D2D"/>
    <w:rsid w:val="755A7479"/>
    <w:rsid w:val="75787E04"/>
    <w:rsid w:val="757A4300"/>
    <w:rsid w:val="75C30533"/>
    <w:rsid w:val="75D91027"/>
    <w:rsid w:val="760342F6"/>
    <w:rsid w:val="760D2A7F"/>
    <w:rsid w:val="761E2EDE"/>
    <w:rsid w:val="762A7AD4"/>
    <w:rsid w:val="763A4BFC"/>
    <w:rsid w:val="76437692"/>
    <w:rsid w:val="76AC673B"/>
    <w:rsid w:val="76B13B28"/>
    <w:rsid w:val="76CC0B8C"/>
    <w:rsid w:val="76FA1255"/>
    <w:rsid w:val="76FB321F"/>
    <w:rsid w:val="772067E2"/>
    <w:rsid w:val="77342D4E"/>
    <w:rsid w:val="775A6197"/>
    <w:rsid w:val="776112D4"/>
    <w:rsid w:val="77664B3C"/>
    <w:rsid w:val="77764653"/>
    <w:rsid w:val="777C4360"/>
    <w:rsid w:val="77882D05"/>
    <w:rsid w:val="77C22BE0"/>
    <w:rsid w:val="77D45F4A"/>
    <w:rsid w:val="77D8642D"/>
    <w:rsid w:val="77E37F3B"/>
    <w:rsid w:val="77EF4B32"/>
    <w:rsid w:val="77F06F99"/>
    <w:rsid w:val="77FA7033"/>
    <w:rsid w:val="77FC06C8"/>
    <w:rsid w:val="7819395D"/>
    <w:rsid w:val="78250553"/>
    <w:rsid w:val="785C1A9B"/>
    <w:rsid w:val="78746DE5"/>
    <w:rsid w:val="787853A5"/>
    <w:rsid w:val="78A21BA4"/>
    <w:rsid w:val="78A376CA"/>
    <w:rsid w:val="78C556E9"/>
    <w:rsid w:val="78C7160B"/>
    <w:rsid w:val="78D930EC"/>
    <w:rsid w:val="78EA5EF2"/>
    <w:rsid w:val="78FD2F2D"/>
    <w:rsid w:val="790E3573"/>
    <w:rsid w:val="791A5BDE"/>
    <w:rsid w:val="791B3704"/>
    <w:rsid w:val="7924080B"/>
    <w:rsid w:val="792F71B0"/>
    <w:rsid w:val="794A172E"/>
    <w:rsid w:val="795A422D"/>
    <w:rsid w:val="795F5CE7"/>
    <w:rsid w:val="79823784"/>
    <w:rsid w:val="799314ED"/>
    <w:rsid w:val="79BA191D"/>
    <w:rsid w:val="79C1605A"/>
    <w:rsid w:val="79C77685"/>
    <w:rsid w:val="79D12015"/>
    <w:rsid w:val="79E306C6"/>
    <w:rsid w:val="79F3642F"/>
    <w:rsid w:val="79F857F4"/>
    <w:rsid w:val="7A1C14E2"/>
    <w:rsid w:val="7A270B71"/>
    <w:rsid w:val="7A275176"/>
    <w:rsid w:val="7A320D06"/>
    <w:rsid w:val="7A61783D"/>
    <w:rsid w:val="7A6548DF"/>
    <w:rsid w:val="7A772BBC"/>
    <w:rsid w:val="7A805F15"/>
    <w:rsid w:val="7AA64929"/>
    <w:rsid w:val="7AAA4D40"/>
    <w:rsid w:val="7AAF7244"/>
    <w:rsid w:val="7ABC197E"/>
    <w:rsid w:val="7ACF29F8"/>
    <w:rsid w:val="7AD149C3"/>
    <w:rsid w:val="7ADD6868"/>
    <w:rsid w:val="7B0459CB"/>
    <w:rsid w:val="7B0A68E9"/>
    <w:rsid w:val="7B0B7991"/>
    <w:rsid w:val="7B227779"/>
    <w:rsid w:val="7B3B1E3C"/>
    <w:rsid w:val="7B5771E6"/>
    <w:rsid w:val="7B727E9F"/>
    <w:rsid w:val="7B89704B"/>
    <w:rsid w:val="7BAF7740"/>
    <w:rsid w:val="7C0C5586"/>
    <w:rsid w:val="7C240B22"/>
    <w:rsid w:val="7C286864"/>
    <w:rsid w:val="7C4E50B3"/>
    <w:rsid w:val="7C605FFE"/>
    <w:rsid w:val="7C694787"/>
    <w:rsid w:val="7C8415C1"/>
    <w:rsid w:val="7CAB4D9F"/>
    <w:rsid w:val="7CBE4AD3"/>
    <w:rsid w:val="7CC55E61"/>
    <w:rsid w:val="7CD460A4"/>
    <w:rsid w:val="7D0E5A5A"/>
    <w:rsid w:val="7D2B02D8"/>
    <w:rsid w:val="7D366D5F"/>
    <w:rsid w:val="7D393486"/>
    <w:rsid w:val="7D397EFB"/>
    <w:rsid w:val="7D586CD5"/>
    <w:rsid w:val="7D6722A4"/>
    <w:rsid w:val="7D6C3B66"/>
    <w:rsid w:val="7D735482"/>
    <w:rsid w:val="7D8555F0"/>
    <w:rsid w:val="7DA4016C"/>
    <w:rsid w:val="7DB61C4E"/>
    <w:rsid w:val="7DB879A9"/>
    <w:rsid w:val="7DE40569"/>
    <w:rsid w:val="7E114D79"/>
    <w:rsid w:val="7E1F3C97"/>
    <w:rsid w:val="7E2B6198"/>
    <w:rsid w:val="7E350DC4"/>
    <w:rsid w:val="7E590F57"/>
    <w:rsid w:val="7E65740D"/>
    <w:rsid w:val="7E7A2C7B"/>
    <w:rsid w:val="7E90249F"/>
    <w:rsid w:val="7E92445B"/>
    <w:rsid w:val="7EBC14E6"/>
    <w:rsid w:val="7EED306E"/>
    <w:rsid w:val="7F032C71"/>
    <w:rsid w:val="7F0D7F93"/>
    <w:rsid w:val="7F1B445E"/>
    <w:rsid w:val="7F21759B"/>
    <w:rsid w:val="7F2B657D"/>
    <w:rsid w:val="7F511C2E"/>
    <w:rsid w:val="7F8567C3"/>
    <w:rsid w:val="7F86582B"/>
    <w:rsid w:val="7F8D4BB9"/>
    <w:rsid w:val="7F9B559F"/>
    <w:rsid w:val="7FA77AA0"/>
    <w:rsid w:val="7FDC1B3C"/>
    <w:rsid w:val="7FE72592"/>
    <w:rsid w:val="7FF6458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qFormat="1"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2">
    <w:name w:val="heading 1"/>
    <w:basedOn w:val="3"/>
    <w:next w:val="1"/>
    <w:link w:val="44"/>
    <w:qFormat/>
    <w:uiPriority w:val="9"/>
    <w:pPr>
      <w:keepNext/>
      <w:keepLines/>
      <w:spacing w:before="340" w:after="330" w:line="578" w:lineRule="auto"/>
      <w:jc w:val="center"/>
      <w:outlineLvl w:val="0"/>
    </w:pPr>
    <w:rPr>
      <w:rFonts w:eastAsia="黑体"/>
      <w:kern w:val="44"/>
      <w:sz w:val="44"/>
      <w:szCs w:val="44"/>
    </w:rPr>
  </w:style>
  <w:style w:type="paragraph" w:styleId="4">
    <w:name w:val="heading 2"/>
    <w:basedOn w:val="1"/>
    <w:next w:val="1"/>
    <w:link w:val="46"/>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5">
    <w:name w:val="heading 3"/>
    <w:basedOn w:val="1"/>
    <w:next w:val="1"/>
    <w:link w:val="55"/>
    <w:unhideWhenUsed/>
    <w:qFormat/>
    <w:uiPriority w:val="9"/>
    <w:pPr>
      <w:keepNext/>
      <w:keepLines/>
      <w:spacing w:before="260" w:after="260" w:line="416" w:lineRule="auto"/>
      <w:outlineLvl w:val="2"/>
    </w:pPr>
    <w:rPr>
      <w:b/>
      <w:bCs/>
      <w:sz w:val="32"/>
      <w:szCs w:val="32"/>
    </w:rPr>
  </w:style>
  <w:style w:type="paragraph" w:styleId="6">
    <w:name w:val="heading 4"/>
    <w:basedOn w:val="1"/>
    <w:next w:val="1"/>
    <w:link w:val="56"/>
    <w:unhideWhenUsed/>
    <w:qFormat/>
    <w:uiPriority w:val="9"/>
    <w:pPr>
      <w:keepNext/>
      <w:keepLines/>
      <w:spacing w:before="280" w:after="290" w:line="376" w:lineRule="auto"/>
      <w:outlineLvl w:val="3"/>
    </w:pPr>
    <w:rPr>
      <w:rFonts w:asciiTheme="majorHAnsi" w:hAnsiTheme="majorHAnsi" w:cstheme="majorBidi"/>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3">
    <w:name w:val="Title"/>
    <w:basedOn w:val="1"/>
    <w:next w:val="1"/>
    <w:link w:val="94"/>
    <w:qFormat/>
    <w:uiPriority w:val="10"/>
    <w:pPr>
      <w:spacing w:before="60" w:after="60"/>
      <w:jc w:val="center"/>
      <w:outlineLvl w:val="0"/>
    </w:pPr>
    <w:rPr>
      <w:rFonts w:ascii="Cambria" w:hAnsi="Cambria" w:cs="Times New Roman"/>
      <w:b/>
      <w:bCs/>
      <w:szCs w:val="32"/>
    </w:rPr>
  </w:style>
  <w:style w:type="paragraph" w:styleId="7">
    <w:name w:val="toc 7"/>
    <w:basedOn w:val="1"/>
    <w:next w:val="1"/>
    <w:unhideWhenUsed/>
    <w:qFormat/>
    <w:uiPriority w:val="39"/>
    <w:pPr>
      <w:ind w:left="1440"/>
    </w:pPr>
    <w:rPr>
      <w:rFonts w:asciiTheme="minorHAnsi" w:eastAsiaTheme="minorHAnsi"/>
      <w:sz w:val="18"/>
      <w:szCs w:val="18"/>
    </w:rPr>
  </w:style>
  <w:style w:type="paragraph" w:styleId="8">
    <w:name w:val="Normal Indent"/>
    <w:basedOn w:val="1"/>
    <w:next w:val="1"/>
    <w:unhideWhenUsed/>
    <w:qFormat/>
    <w:uiPriority w:val="0"/>
    <w:pPr>
      <w:ind w:firstLine="420" w:firstLineChars="200"/>
    </w:pPr>
    <w:rPr>
      <w:rFonts w:ascii="Calibri" w:hAnsi="Calibri"/>
      <w:szCs w:val="22"/>
    </w:rPr>
  </w:style>
  <w:style w:type="paragraph" w:styleId="9">
    <w:name w:val="List Bullet"/>
    <w:basedOn w:val="1"/>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0">
    <w:name w:val="annotation text"/>
    <w:basedOn w:val="1"/>
    <w:link w:val="53"/>
    <w:qFormat/>
    <w:uiPriority w:val="0"/>
    <w:pPr>
      <w:spacing w:line="240" w:lineRule="auto"/>
    </w:pPr>
    <w:rPr>
      <w:rFonts w:asciiTheme="minorHAnsi" w:hAnsiTheme="minorHAnsi" w:eastAsiaTheme="minorEastAsia"/>
      <w:sz w:val="21"/>
      <w:szCs w:val="24"/>
    </w:rPr>
  </w:style>
  <w:style w:type="paragraph" w:styleId="11">
    <w:name w:val="Body Text 3"/>
    <w:basedOn w:val="1"/>
    <w:link w:val="49"/>
    <w:semiHidden/>
    <w:unhideWhenUsed/>
    <w:qFormat/>
    <w:uiPriority w:val="99"/>
    <w:pPr>
      <w:spacing w:after="120"/>
    </w:pPr>
    <w:rPr>
      <w:sz w:val="16"/>
      <w:szCs w:val="16"/>
    </w:rPr>
  </w:style>
  <w:style w:type="paragraph" w:styleId="12">
    <w:name w:val="Body Text"/>
    <w:basedOn w:val="1"/>
    <w:link w:val="48"/>
    <w:unhideWhenUsed/>
    <w:qFormat/>
    <w:uiPriority w:val="99"/>
    <w:pPr>
      <w:spacing w:after="120" w:line="240" w:lineRule="auto"/>
      <w:jc w:val="both"/>
    </w:pPr>
    <w:rPr>
      <w:rFonts w:ascii="Times New Roman" w:hAnsi="Times New Roman" w:cs="Times New Roman"/>
      <w:kern w:val="0"/>
      <w:sz w:val="20"/>
      <w:szCs w:val="20"/>
    </w:rPr>
  </w:style>
  <w:style w:type="paragraph" w:styleId="13">
    <w:name w:val="Body Text Indent"/>
    <w:basedOn w:val="1"/>
    <w:unhideWhenUsed/>
    <w:qFormat/>
    <w:uiPriority w:val="0"/>
    <w:pPr>
      <w:ind w:firstLine="630"/>
    </w:pPr>
    <w:rPr>
      <w:rFonts w:eastAsia="仿宋_GB2312"/>
      <w:kern w:val="0"/>
      <w:sz w:val="32"/>
      <w:szCs w:val="20"/>
    </w:rPr>
  </w:style>
  <w:style w:type="paragraph" w:styleId="14">
    <w:name w:val="toc 5"/>
    <w:basedOn w:val="1"/>
    <w:next w:val="1"/>
    <w:unhideWhenUsed/>
    <w:qFormat/>
    <w:uiPriority w:val="39"/>
    <w:pPr>
      <w:ind w:left="960"/>
    </w:pPr>
    <w:rPr>
      <w:rFonts w:asciiTheme="minorHAnsi" w:eastAsiaTheme="minorHAnsi"/>
      <w:sz w:val="18"/>
      <w:szCs w:val="18"/>
    </w:rPr>
  </w:style>
  <w:style w:type="paragraph" w:styleId="15">
    <w:name w:val="toc 3"/>
    <w:basedOn w:val="1"/>
    <w:next w:val="1"/>
    <w:unhideWhenUsed/>
    <w:qFormat/>
    <w:uiPriority w:val="39"/>
    <w:pPr>
      <w:ind w:left="480"/>
    </w:pPr>
    <w:rPr>
      <w:rFonts w:asciiTheme="minorHAnsi" w:eastAsiaTheme="minorHAnsi"/>
      <w:i/>
      <w:iCs/>
      <w:sz w:val="20"/>
      <w:szCs w:val="20"/>
    </w:rPr>
  </w:style>
  <w:style w:type="paragraph" w:styleId="16">
    <w:name w:val="Plain Text"/>
    <w:basedOn w:val="1"/>
    <w:unhideWhenUsed/>
    <w:qFormat/>
    <w:uiPriority w:val="0"/>
    <w:rPr>
      <w:rFonts w:ascii="宋体" w:hAnsi="Courier New"/>
      <w:kern w:val="0"/>
      <w:sz w:val="20"/>
      <w:szCs w:val="20"/>
    </w:rPr>
  </w:style>
  <w:style w:type="paragraph" w:styleId="17">
    <w:name w:val="toc 8"/>
    <w:basedOn w:val="1"/>
    <w:next w:val="1"/>
    <w:unhideWhenUsed/>
    <w:qFormat/>
    <w:uiPriority w:val="39"/>
    <w:pPr>
      <w:ind w:left="1680"/>
    </w:pPr>
    <w:rPr>
      <w:rFonts w:asciiTheme="minorHAnsi" w:eastAsiaTheme="minorHAnsi"/>
      <w:sz w:val="18"/>
      <w:szCs w:val="18"/>
    </w:rPr>
  </w:style>
  <w:style w:type="paragraph" w:styleId="18">
    <w:name w:val="Date"/>
    <w:basedOn w:val="1"/>
    <w:next w:val="1"/>
    <w:qFormat/>
    <w:uiPriority w:val="0"/>
    <w:pPr>
      <w:ind w:left="100" w:leftChars="2500"/>
    </w:pPr>
  </w:style>
  <w:style w:type="paragraph" w:styleId="19">
    <w:name w:val="footer"/>
    <w:basedOn w:val="1"/>
    <w:link w:val="43"/>
    <w:unhideWhenUsed/>
    <w:qFormat/>
    <w:uiPriority w:val="99"/>
    <w:pPr>
      <w:tabs>
        <w:tab w:val="center" w:pos="4153"/>
        <w:tab w:val="right" w:pos="8306"/>
      </w:tabs>
      <w:snapToGrid w:val="0"/>
    </w:pPr>
    <w:rPr>
      <w:sz w:val="18"/>
      <w:szCs w:val="18"/>
    </w:rPr>
  </w:style>
  <w:style w:type="paragraph" w:styleId="20">
    <w:name w:val="header"/>
    <w:basedOn w:val="1"/>
    <w:link w:val="42"/>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pPr>
      <w:spacing w:before="120" w:after="120"/>
    </w:pPr>
    <w:rPr>
      <w:rFonts w:asciiTheme="minorHAnsi" w:eastAsiaTheme="minorHAnsi"/>
      <w:b/>
      <w:bCs/>
      <w:caps/>
      <w:sz w:val="20"/>
      <w:szCs w:val="20"/>
    </w:rPr>
  </w:style>
  <w:style w:type="paragraph" w:styleId="22">
    <w:name w:val="toc 4"/>
    <w:basedOn w:val="1"/>
    <w:next w:val="1"/>
    <w:unhideWhenUsed/>
    <w:qFormat/>
    <w:uiPriority w:val="39"/>
    <w:pPr>
      <w:ind w:left="720"/>
    </w:pPr>
    <w:rPr>
      <w:rFonts w:asciiTheme="minorHAnsi" w:eastAsiaTheme="minorHAnsi"/>
      <w:sz w:val="18"/>
      <w:szCs w:val="18"/>
    </w:rPr>
  </w:style>
  <w:style w:type="paragraph" w:styleId="23">
    <w:name w:val="Subtitle"/>
    <w:basedOn w:val="1"/>
    <w:next w:val="1"/>
    <w:link w:val="95"/>
    <w:qFormat/>
    <w:uiPriority w:val="11"/>
    <w:pPr>
      <w:spacing w:before="240" w:after="60" w:line="312" w:lineRule="auto"/>
      <w:jc w:val="center"/>
      <w:outlineLvl w:val="1"/>
    </w:pPr>
    <w:rPr>
      <w:rFonts w:ascii="Calibri Light" w:hAnsi="Calibri Light" w:cs="Times New Roman"/>
      <w:b/>
      <w:bCs/>
      <w:kern w:val="28"/>
      <w:sz w:val="32"/>
      <w:szCs w:val="32"/>
    </w:rPr>
  </w:style>
  <w:style w:type="paragraph" w:styleId="24">
    <w:name w:val="List Number 5"/>
    <w:basedOn w:val="1"/>
    <w:semiHidden/>
    <w:unhideWhenUsed/>
    <w:qFormat/>
    <w:uiPriority w:val="99"/>
    <w:pPr>
      <w:numPr>
        <w:ilvl w:val="0"/>
        <w:numId w:val="1"/>
      </w:numPr>
    </w:pPr>
  </w:style>
  <w:style w:type="paragraph" w:styleId="25">
    <w:name w:val="footnote text"/>
    <w:basedOn w:val="1"/>
    <w:qFormat/>
    <w:uiPriority w:val="0"/>
    <w:pPr>
      <w:widowControl/>
      <w:jc w:val="left"/>
    </w:pPr>
    <w:rPr>
      <w:kern w:val="0"/>
      <w:sz w:val="20"/>
      <w:szCs w:val="20"/>
      <w:lang w:val="de-DE"/>
    </w:rPr>
  </w:style>
  <w:style w:type="paragraph" w:styleId="26">
    <w:name w:val="toc 6"/>
    <w:basedOn w:val="1"/>
    <w:next w:val="1"/>
    <w:unhideWhenUsed/>
    <w:qFormat/>
    <w:uiPriority w:val="39"/>
    <w:pPr>
      <w:ind w:left="1200"/>
    </w:pPr>
    <w:rPr>
      <w:rFonts w:asciiTheme="minorHAnsi" w:eastAsiaTheme="minorHAnsi"/>
      <w:sz w:val="18"/>
      <w:szCs w:val="18"/>
    </w:rPr>
  </w:style>
  <w:style w:type="paragraph" w:styleId="27">
    <w:name w:val="Body Text Indent 3"/>
    <w:basedOn w:val="1"/>
    <w:qFormat/>
    <w:uiPriority w:val="0"/>
    <w:pPr>
      <w:ind w:firstLine="858" w:firstLineChars="268"/>
    </w:pPr>
    <w:rPr>
      <w:rFonts w:eastAsia="楷体_GB2312"/>
      <w:sz w:val="32"/>
      <w:szCs w:val="24"/>
    </w:rPr>
  </w:style>
  <w:style w:type="paragraph" w:styleId="28">
    <w:name w:val="toc 2"/>
    <w:basedOn w:val="1"/>
    <w:next w:val="1"/>
    <w:unhideWhenUsed/>
    <w:qFormat/>
    <w:uiPriority w:val="39"/>
    <w:pPr>
      <w:ind w:left="240"/>
    </w:pPr>
    <w:rPr>
      <w:rFonts w:asciiTheme="minorHAnsi" w:eastAsiaTheme="minorHAnsi"/>
      <w:smallCaps/>
      <w:sz w:val="20"/>
      <w:szCs w:val="20"/>
    </w:rPr>
  </w:style>
  <w:style w:type="paragraph" w:styleId="29">
    <w:name w:val="toc 9"/>
    <w:basedOn w:val="1"/>
    <w:next w:val="1"/>
    <w:unhideWhenUsed/>
    <w:qFormat/>
    <w:uiPriority w:val="39"/>
    <w:pPr>
      <w:ind w:left="1920"/>
    </w:pPr>
    <w:rPr>
      <w:rFonts w:asciiTheme="minorHAnsi" w:eastAsiaTheme="minorHAnsi"/>
      <w:sz w:val="18"/>
      <w:szCs w:val="18"/>
    </w:rPr>
  </w:style>
  <w:style w:type="paragraph" w:styleId="30">
    <w:name w:val="Normal (Web)"/>
    <w:basedOn w:val="1"/>
    <w:qFormat/>
    <w:uiPriority w:val="0"/>
    <w:pPr>
      <w:widowControl/>
      <w:spacing w:before="100" w:beforeAutospacing="1" w:after="100" w:afterAutospacing="1" w:line="240" w:lineRule="auto"/>
    </w:pPr>
    <w:rPr>
      <w:rFonts w:cs="宋体"/>
      <w:kern w:val="0"/>
      <w:szCs w:val="20"/>
    </w:rPr>
  </w:style>
  <w:style w:type="paragraph" w:styleId="31">
    <w:name w:val="annotation subject"/>
    <w:basedOn w:val="10"/>
    <w:next w:val="10"/>
    <w:link w:val="58"/>
    <w:semiHidden/>
    <w:unhideWhenUsed/>
    <w:qFormat/>
    <w:uiPriority w:val="99"/>
    <w:pPr>
      <w:spacing w:line="360" w:lineRule="auto"/>
    </w:pPr>
    <w:rPr>
      <w:rFonts w:ascii="宋体" w:hAnsi="宋体" w:eastAsia="宋体"/>
      <w:b/>
      <w:bCs/>
      <w:sz w:val="24"/>
      <w:szCs w:val="22"/>
    </w:rPr>
  </w:style>
  <w:style w:type="table" w:styleId="33">
    <w:name w:val="Table Grid"/>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bCs/>
    </w:rPr>
  </w:style>
  <w:style w:type="character" w:styleId="36">
    <w:name w:val="page number"/>
    <w:basedOn w:val="34"/>
    <w:qFormat/>
    <w:uiPriority w:val="0"/>
  </w:style>
  <w:style w:type="character" w:styleId="37">
    <w:name w:val="Hyperlink"/>
    <w:basedOn w:val="34"/>
    <w:unhideWhenUsed/>
    <w:qFormat/>
    <w:uiPriority w:val="99"/>
    <w:rPr>
      <w:color w:val="0563C1" w:themeColor="hyperlink"/>
      <w:u w:val="single"/>
      <w14:textFill>
        <w14:solidFill>
          <w14:schemeClr w14:val="hlink"/>
        </w14:solidFill>
      </w14:textFill>
    </w:rPr>
  </w:style>
  <w:style w:type="character" w:styleId="38">
    <w:name w:val="annotation reference"/>
    <w:basedOn w:val="34"/>
    <w:semiHidden/>
    <w:unhideWhenUsed/>
    <w:qFormat/>
    <w:uiPriority w:val="99"/>
    <w:rPr>
      <w:sz w:val="21"/>
      <w:szCs w:val="21"/>
    </w:rPr>
  </w:style>
  <w:style w:type="paragraph" w:customStyle="1" w:styleId="39">
    <w:name w:val="正文首行缩进 21"/>
    <w:basedOn w:val="13"/>
    <w:next w:val="16"/>
    <w:unhideWhenUsed/>
    <w:qFormat/>
    <w:uiPriority w:val="99"/>
    <w:pPr>
      <w:ind w:firstLine="420" w:firstLineChars="200"/>
    </w:pPr>
  </w:style>
  <w:style w:type="paragraph" w:customStyle="1" w:styleId="40">
    <w:name w:val="样式 10 磅13"/>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1">
    <w:name w:val="正文缩进2"/>
    <w:basedOn w:val="1"/>
    <w:qFormat/>
    <w:uiPriority w:val="0"/>
    <w:pPr>
      <w:wordWrap w:val="0"/>
      <w:ind w:firstLine="200" w:firstLineChars="200"/>
    </w:pPr>
  </w:style>
  <w:style w:type="character" w:customStyle="1" w:styleId="42">
    <w:name w:val="页眉 字符"/>
    <w:basedOn w:val="34"/>
    <w:link w:val="20"/>
    <w:qFormat/>
    <w:uiPriority w:val="99"/>
    <w:rPr>
      <w:rFonts w:eastAsia="宋体"/>
      <w:sz w:val="18"/>
      <w:szCs w:val="18"/>
    </w:rPr>
  </w:style>
  <w:style w:type="character" w:customStyle="1" w:styleId="43">
    <w:name w:val="页脚 字符"/>
    <w:basedOn w:val="34"/>
    <w:link w:val="19"/>
    <w:qFormat/>
    <w:uiPriority w:val="99"/>
    <w:rPr>
      <w:rFonts w:eastAsia="宋体"/>
      <w:sz w:val="18"/>
      <w:szCs w:val="18"/>
    </w:rPr>
  </w:style>
  <w:style w:type="character" w:customStyle="1" w:styleId="44">
    <w:name w:val="标题 1 字符"/>
    <w:basedOn w:val="34"/>
    <w:link w:val="2"/>
    <w:qFormat/>
    <w:uiPriority w:val="9"/>
    <w:rPr>
      <w:rFonts w:ascii="宋体" w:hAnsi="宋体" w:eastAsia="黑体"/>
      <w:b/>
      <w:bCs/>
      <w:kern w:val="44"/>
      <w:sz w:val="44"/>
      <w:szCs w:val="44"/>
    </w:rPr>
  </w:style>
  <w:style w:type="paragraph" w:styleId="45">
    <w:name w:val="List Paragraph"/>
    <w:basedOn w:val="1"/>
    <w:link w:val="54"/>
    <w:qFormat/>
    <w:uiPriority w:val="34"/>
    <w:pPr>
      <w:ind w:firstLine="420" w:firstLineChars="200"/>
    </w:pPr>
  </w:style>
  <w:style w:type="character" w:customStyle="1" w:styleId="46">
    <w:name w:val="标题 2 字符"/>
    <w:basedOn w:val="34"/>
    <w:link w:val="4"/>
    <w:qFormat/>
    <w:uiPriority w:val="9"/>
    <w:rPr>
      <w:rFonts w:eastAsia="宋体" w:asciiTheme="majorHAnsi" w:hAnsiTheme="majorHAnsi" w:cstheme="majorBidi"/>
      <w:b/>
      <w:bCs/>
      <w:sz w:val="32"/>
      <w:szCs w:val="32"/>
    </w:rPr>
  </w:style>
  <w:style w:type="character" w:customStyle="1" w:styleId="47">
    <w:name w:val="未处理的提及1"/>
    <w:basedOn w:val="34"/>
    <w:semiHidden/>
    <w:unhideWhenUsed/>
    <w:qFormat/>
    <w:uiPriority w:val="99"/>
    <w:rPr>
      <w:color w:val="605E5C"/>
      <w:shd w:val="clear" w:color="auto" w:fill="E1DFDD"/>
    </w:rPr>
  </w:style>
  <w:style w:type="character" w:customStyle="1" w:styleId="48">
    <w:name w:val="正文文本 字符"/>
    <w:basedOn w:val="34"/>
    <w:link w:val="12"/>
    <w:qFormat/>
    <w:uiPriority w:val="99"/>
    <w:rPr>
      <w:rFonts w:ascii="Times New Roman" w:hAnsi="Times New Roman" w:eastAsia="宋体" w:cs="Times New Roman"/>
      <w:kern w:val="0"/>
      <w:sz w:val="20"/>
      <w:szCs w:val="20"/>
    </w:rPr>
  </w:style>
  <w:style w:type="character" w:customStyle="1" w:styleId="49">
    <w:name w:val="正文文本 3 字符"/>
    <w:basedOn w:val="34"/>
    <w:link w:val="11"/>
    <w:semiHidden/>
    <w:qFormat/>
    <w:uiPriority w:val="99"/>
    <w:rPr>
      <w:rFonts w:ascii="宋体" w:hAnsi="宋体" w:eastAsia="宋体"/>
      <w:sz w:val="16"/>
      <w:szCs w:val="16"/>
    </w:rPr>
  </w:style>
  <w:style w:type="paragraph" w:customStyle="1" w:styleId="50">
    <w:name w:val="Default"/>
    <w:basedOn w:val="3"/>
    <w:next w:val="2"/>
    <w:link w:val="51"/>
    <w:qFormat/>
    <w:uiPriority w:val="0"/>
    <w:pPr>
      <w:widowControl w:val="0"/>
      <w:autoSpaceDE w:val="0"/>
      <w:autoSpaceDN w:val="0"/>
      <w:adjustRightInd w:val="0"/>
    </w:pPr>
    <w:rPr>
      <w:rFonts w:ascii=".." w:hAnsi="Times New Roman" w:eastAsia=".." w:cs="Times New Roman"/>
      <w:color w:val="000000"/>
      <w:sz w:val="24"/>
      <w:szCs w:val="24"/>
      <w:lang w:val="en-US" w:eastAsia="zh-CN" w:bidi="ar-SA"/>
    </w:rPr>
  </w:style>
  <w:style w:type="character" w:customStyle="1" w:styleId="51">
    <w:name w:val="Default Char Char"/>
    <w:link w:val="50"/>
    <w:qFormat/>
    <w:uiPriority w:val="0"/>
    <w:rPr>
      <w:rFonts w:ascii=".." w:hAnsi="Times New Roman" w:eastAsia=".." w:cs="Times New Roman"/>
      <w:color w:val="000000"/>
      <w:kern w:val="0"/>
      <w:sz w:val="24"/>
      <w:szCs w:val="24"/>
    </w:rPr>
  </w:style>
  <w:style w:type="paragraph" w:styleId="52">
    <w:name w:val="No Spacing"/>
    <w:link w:val="57"/>
    <w:qFormat/>
    <w:uiPriority w:val="1"/>
    <w:pPr>
      <w:widowControl w:val="0"/>
    </w:pPr>
    <w:rPr>
      <w:rFonts w:ascii="宋体" w:hAnsi="宋体" w:eastAsia="宋体" w:cstheme="minorBidi"/>
      <w:kern w:val="2"/>
      <w:sz w:val="21"/>
      <w:szCs w:val="22"/>
      <w:lang w:val="en-US" w:eastAsia="zh-CN" w:bidi="ar-SA"/>
    </w:rPr>
  </w:style>
  <w:style w:type="character" w:customStyle="1" w:styleId="53">
    <w:name w:val="批注文字 字符"/>
    <w:basedOn w:val="34"/>
    <w:link w:val="10"/>
    <w:qFormat/>
    <w:uiPriority w:val="0"/>
    <w:rPr>
      <w:szCs w:val="24"/>
    </w:rPr>
  </w:style>
  <w:style w:type="character" w:customStyle="1" w:styleId="54">
    <w:name w:val="列表段落 字符"/>
    <w:link w:val="45"/>
    <w:qFormat/>
    <w:uiPriority w:val="34"/>
    <w:rPr>
      <w:rFonts w:ascii="宋体" w:hAnsi="宋体" w:eastAsia="宋体"/>
      <w:sz w:val="24"/>
    </w:rPr>
  </w:style>
  <w:style w:type="character" w:customStyle="1" w:styleId="55">
    <w:name w:val="标题 3 字符"/>
    <w:basedOn w:val="34"/>
    <w:link w:val="5"/>
    <w:qFormat/>
    <w:uiPriority w:val="9"/>
    <w:rPr>
      <w:rFonts w:ascii="宋体" w:hAnsi="宋体" w:eastAsia="宋体"/>
      <w:b/>
      <w:bCs/>
      <w:sz w:val="32"/>
      <w:szCs w:val="32"/>
    </w:rPr>
  </w:style>
  <w:style w:type="character" w:customStyle="1" w:styleId="56">
    <w:name w:val="标题 4 字符"/>
    <w:basedOn w:val="34"/>
    <w:link w:val="6"/>
    <w:qFormat/>
    <w:uiPriority w:val="9"/>
    <w:rPr>
      <w:rFonts w:eastAsia="宋体" w:asciiTheme="majorHAnsi" w:hAnsiTheme="majorHAnsi" w:cstheme="majorBidi"/>
      <w:b/>
      <w:bCs/>
      <w:sz w:val="28"/>
      <w:szCs w:val="28"/>
    </w:rPr>
  </w:style>
  <w:style w:type="character" w:customStyle="1" w:styleId="57">
    <w:name w:val="无间隔 字符"/>
    <w:link w:val="52"/>
    <w:qFormat/>
    <w:uiPriority w:val="1"/>
    <w:rPr>
      <w:rFonts w:ascii="宋体" w:hAnsi="宋体" w:eastAsia="宋体"/>
    </w:rPr>
  </w:style>
  <w:style w:type="character" w:customStyle="1" w:styleId="58">
    <w:name w:val="批注主题 字符"/>
    <w:basedOn w:val="53"/>
    <w:link w:val="31"/>
    <w:semiHidden/>
    <w:qFormat/>
    <w:uiPriority w:val="99"/>
    <w:rPr>
      <w:rFonts w:ascii="宋体" w:hAnsi="宋体" w:eastAsia="宋体"/>
      <w:b/>
      <w:bCs/>
      <w:kern w:val="2"/>
      <w:sz w:val="24"/>
      <w:szCs w:val="22"/>
    </w:rPr>
  </w:style>
  <w:style w:type="paragraph" w:customStyle="1" w:styleId="59">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60">
    <w:name w:val="正文_1_1"/>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1">
    <w:name w:val="正文1"/>
    <w:qFormat/>
    <w:uiPriority w:val="0"/>
    <w:pPr>
      <w:widowControl w:val="0"/>
      <w:jc w:val="both"/>
    </w:pPr>
    <w:rPr>
      <w:rFonts w:ascii="Calibri" w:hAnsi="Calibri" w:eastAsia="宋体" w:cs="Times New Roman"/>
      <w:lang w:val="en-US" w:eastAsia="zh-CN" w:bidi="ar-SA"/>
    </w:rPr>
  </w:style>
  <w:style w:type="paragraph" w:customStyle="1" w:styleId="62">
    <w:name w:val="正文_2"/>
    <w:qFormat/>
    <w:uiPriority w:val="0"/>
    <w:pPr>
      <w:widowControl w:val="0"/>
      <w:jc w:val="both"/>
    </w:pPr>
    <w:rPr>
      <w:rFonts w:ascii="Calibri" w:hAnsi="Calibri" w:eastAsia="宋体" w:cs="Times New Roman"/>
      <w:lang w:val="en-US" w:eastAsia="zh-CN" w:bidi="ar-SA"/>
    </w:rPr>
  </w:style>
  <w:style w:type="paragraph" w:customStyle="1" w:styleId="63">
    <w:name w:val="Normal"/>
    <w:qFormat/>
    <w:uiPriority w:val="0"/>
    <w:pPr>
      <w:widowControl w:val="0"/>
      <w:jc w:val="both"/>
    </w:pPr>
    <w:rPr>
      <w:rFonts w:ascii="Times New Roman" w:hAnsi="Times New Roman" w:eastAsia="Times New Roman" w:cs="Times New Roman"/>
      <w:lang w:val="en-US" w:eastAsia="zh-CN" w:bidi="ar-SA"/>
    </w:rPr>
  </w:style>
  <w:style w:type="paragraph" w:customStyle="1" w:styleId="64">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xl31"/>
    <w:basedOn w:val="1"/>
    <w:qFormat/>
    <w:uiPriority w:val="0"/>
    <w:pPr>
      <w:widowControl/>
      <w:spacing w:before="100" w:beforeAutospacing="1" w:after="100" w:afterAutospacing="1"/>
      <w:jc w:val="center"/>
    </w:pPr>
    <w:rPr>
      <w:b/>
      <w:bCs/>
      <w:kern w:val="0"/>
      <w:sz w:val="28"/>
      <w:szCs w:val="28"/>
    </w:rPr>
  </w:style>
  <w:style w:type="paragraph" w:customStyle="1" w:styleId="66">
    <w:name w:val="列出段落1"/>
    <w:basedOn w:val="1"/>
    <w:qFormat/>
    <w:uiPriority w:val="0"/>
    <w:pPr>
      <w:ind w:firstLine="420" w:firstLineChars="200"/>
    </w:pPr>
    <w:rPr>
      <w:szCs w:val="21"/>
    </w:rPr>
  </w:style>
  <w:style w:type="paragraph" w:customStyle="1" w:styleId="67">
    <w:name w:val="Normal_22"/>
    <w:qFormat/>
    <w:uiPriority w:val="0"/>
    <w:rPr>
      <w:rFonts w:ascii="Times New Roman" w:hAnsi="Times New Roman" w:eastAsia="Times New Roman" w:cs="Times New Roman"/>
      <w:sz w:val="24"/>
      <w:szCs w:val="24"/>
      <w:lang w:bidi="ar-SA"/>
    </w:rPr>
  </w:style>
  <w:style w:type="paragraph" w:customStyle="1" w:styleId="68">
    <w:name w:val="Char Char Char Char Char Char Char1 Char"/>
    <w:basedOn w:val="1"/>
    <w:qFormat/>
    <w:uiPriority w:val="0"/>
    <w:rPr>
      <w:rFonts w:ascii="Arial" w:hAnsi="Arial" w:eastAsia="宋体" w:cs="Arial"/>
      <w:sz w:val="24"/>
    </w:rPr>
  </w:style>
  <w:style w:type="paragraph" w:customStyle="1" w:styleId="69">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paragraph" w:customStyle="1" w:styleId="70">
    <w:name w:val="正"/>
    <w:basedOn w:val="64"/>
    <w:qFormat/>
    <w:uiPriority w:val="0"/>
    <w:pPr>
      <w:tabs>
        <w:tab w:val="left" w:pos="-120"/>
      </w:tabs>
      <w:spacing w:line="560" w:lineRule="exact"/>
      <w:ind w:firstLine="600"/>
      <w:textAlignment w:val="baseline"/>
    </w:pPr>
    <w:rPr>
      <w:rFonts w:ascii="仿宋_GB2312" w:hAnsi="仿宋_GB2312" w:eastAsia="仿宋_GB2312" w:cs="仿宋_GB2312"/>
      <w:color w:val="000000"/>
      <w:spacing w:val="20"/>
      <w:kern w:val="0"/>
    </w:rPr>
  </w:style>
  <w:style w:type="paragraph" w:customStyle="1" w:styleId="71">
    <w:name w:val="默认"/>
    <w:qFormat/>
    <w:uiPriority w:val="0"/>
    <w:pPr>
      <w:framePr w:wrap="around" w:vAnchor="margin" w:hAnchor="text" w:yAlign="top"/>
    </w:pPr>
    <w:rPr>
      <w:rFonts w:hint="eastAsia" w:ascii="Arial Unicode MS" w:hAnsi="Arial Unicode MS" w:eastAsia="Helvetica Neue" w:cs="Arial Unicode MS"/>
      <w:color w:val="000000"/>
      <w:kern w:val="0"/>
      <w:sz w:val="22"/>
      <w:szCs w:val="22"/>
      <w:lang w:val="zh-TW" w:eastAsia="zh-TW" w:bidi="ar-SA"/>
    </w:rPr>
  </w:style>
  <w:style w:type="paragraph" w:customStyle="1" w:styleId="72">
    <w:name w:val="Normal_1"/>
    <w:qFormat/>
    <w:uiPriority w:val="0"/>
    <w:rPr>
      <w:rFonts w:ascii="黑体" w:hAnsi="黑体" w:eastAsia="黑体" w:cs="Times New Roman"/>
      <w:b/>
      <w:sz w:val="32"/>
      <w:szCs w:val="24"/>
      <w:lang w:val="en-US" w:eastAsia="zh-CN" w:bidi="ar-SA"/>
    </w:rPr>
  </w:style>
  <w:style w:type="character" w:customStyle="1" w:styleId="73">
    <w:name w:val="font11"/>
    <w:basedOn w:val="34"/>
    <w:qFormat/>
    <w:uiPriority w:val="0"/>
    <w:rPr>
      <w:rFonts w:hint="eastAsia" w:ascii="宋体" w:hAnsi="宋体" w:eastAsia="宋体" w:cs="宋体"/>
      <w:color w:val="000000"/>
      <w:sz w:val="22"/>
      <w:szCs w:val="22"/>
      <w:u w:val="none"/>
    </w:rPr>
  </w:style>
  <w:style w:type="paragraph" w:customStyle="1" w:styleId="74">
    <w:name w:val="Normal_3"/>
    <w:qFormat/>
    <w:uiPriority w:val="0"/>
    <w:rPr>
      <w:rFonts w:ascii="黑体" w:hAnsi="黑体" w:eastAsia="黑体" w:cs="Times New Roman"/>
      <w:b/>
      <w:sz w:val="32"/>
      <w:szCs w:val="24"/>
      <w:lang w:val="en-US" w:eastAsia="zh-CN" w:bidi="ar-SA"/>
    </w:rPr>
  </w:style>
  <w:style w:type="paragraph" w:customStyle="1" w:styleId="75">
    <w:name w:val="正文_0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76">
    <w:name w:val="正文_0_0_1"/>
    <w:qFormat/>
    <w:uiPriority w:val="0"/>
    <w:pPr>
      <w:widowControl w:val="0"/>
      <w:jc w:val="both"/>
    </w:pPr>
    <w:rPr>
      <w:rFonts w:ascii="Calibri" w:hAnsi="Calibri" w:eastAsia="宋体" w:cs="Times New Roman"/>
      <w:kern w:val="2"/>
      <w:sz w:val="28"/>
      <w:szCs w:val="22"/>
      <w:lang w:val="en-US" w:eastAsia="zh-CN" w:bidi="ar-SA"/>
    </w:rPr>
  </w:style>
  <w:style w:type="paragraph" w:customStyle="1" w:styleId="77">
    <w:name w:val="正文_1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78">
    <w:name w:val="正文_0_0_0"/>
    <w:qFormat/>
    <w:uiPriority w:val="0"/>
    <w:pPr>
      <w:widowControl w:val="0"/>
      <w:jc w:val="both"/>
    </w:pPr>
    <w:rPr>
      <w:rFonts w:ascii="Calibri" w:hAnsi="Calibri" w:eastAsia="宋体" w:cs="Times New Roman"/>
      <w:kern w:val="2"/>
      <w:sz w:val="28"/>
      <w:szCs w:val="22"/>
      <w:lang w:val="en-US" w:eastAsia="zh-CN" w:bidi="ar-SA"/>
    </w:rPr>
  </w:style>
  <w:style w:type="paragraph" w:customStyle="1" w:styleId="79">
    <w:name w:val="LO-Normal"/>
    <w:qFormat/>
    <w:uiPriority w:val="0"/>
    <w:pPr>
      <w:suppressAutoHyphens/>
    </w:pPr>
    <w:rPr>
      <w:rFonts w:ascii="Times New Roman" w:hAnsi="Times New Roman" w:eastAsia="宋体" w:cs="Times New Roman"/>
      <w:sz w:val="24"/>
      <w:szCs w:val="24"/>
      <w:lang w:val="en-US" w:eastAsia="zh-CN" w:bidi="ar-SA"/>
    </w:rPr>
  </w:style>
  <w:style w:type="paragraph" w:customStyle="1" w:styleId="80">
    <w:name w:val="石墨文档正文"/>
    <w:qFormat/>
    <w:uiPriority w:val="0"/>
    <w:rPr>
      <w:rFonts w:ascii="微软雅黑" w:hAnsi="微软雅黑" w:eastAsia="微软雅黑" w:cs="微软雅黑"/>
      <w:sz w:val="22"/>
      <w:szCs w:val="22"/>
      <w:lang w:val="en-US" w:eastAsia="zh-CN" w:bidi="ar-SA"/>
    </w:rPr>
  </w:style>
  <w:style w:type="paragraph" w:customStyle="1" w:styleId="81">
    <w:name w:val="FootnoteText"/>
    <w:basedOn w:val="1"/>
    <w:autoRedefine/>
    <w:qFormat/>
    <w:uiPriority w:val="0"/>
    <w:pPr>
      <w:snapToGrid w:val="0"/>
      <w:jc w:val="left"/>
    </w:pPr>
    <w:rPr>
      <w:sz w:val="18"/>
    </w:rPr>
  </w:style>
  <w:style w:type="paragraph" w:customStyle="1" w:styleId="82">
    <w:name w:val="Default Text"/>
    <w:qFormat/>
    <w:uiPriority w:val="0"/>
    <w:pPr>
      <w:widowControl w:val="0"/>
      <w:suppressAutoHyphens/>
      <w:autoSpaceDE w:val="0"/>
    </w:pPr>
    <w:rPr>
      <w:rFonts w:ascii="Times New Roman" w:hAnsi="Times New Roman" w:eastAsia="宋体;SimSun" w:cs="Times New Roman"/>
      <w:color w:val="000000"/>
      <w:sz w:val="24"/>
      <w:szCs w:val="24"/>
      <w:lang w:val="en-US" w:eastAsia="zh-CN" w:bidi="ar-SA"/>
    </w:rPr>
  </w:style>
  <w:style w:type="paragraph" w:customStyle="1" w:styleId="83">
    <w:name w:val="_Style 98"/>
    <w:basedOn w:val="1"/>
    <w:next w:val="45"/>
    <w:qFormat/>
    <w:uiPriority w:val="34"/>
    <w:pPr>
      <w:ind w:firstLine="420" w:firstLineChars="200"/>
    </w:pPr>
    <w:rPr>
      <w:rFonts w:ascii="Calibri" w:hAnsi="Calibri"/>
      <w:szCs w:val="22"/>
    </w:rPr>
  </w:style>
  <w:style w:type="paragraph" w:customStyle="1" w:styleId="84">
    <w:name w:val="正文_4_0"/>
    <w:qFormat/>
    <w:uiPriority w:val="0"/>
    <w:pPr>
      <w:widowControl w:val="0"/>
      <w:suppressAutoHyphens/>
      <w:jc w:val="both"/>
    </w:pPr>
    <w:rPr>
      <w:rFonts w:ascii="Calibri" w:hAnsi="Calibri" w:eastAsia="宋体;SimSun" w:cs="Calibri"/>
      <w:kern w:val="2"/>
      <w:sz w:val="21"/>
      <w:szCs w:val="21"/>
      <w:lang w:val="en-US" w:eastAsia="zh-CN" w:bidi="ar-SA"/>
    </w:rPr>
  </w:style>
  <w:style w:type="paragraph" w:customStyle="1" w:styleId="85">
    <w:name w:val="正文_0_0_2"/>
    <w:qFormat/>
    <w:uiPriority w:val="0"/>
    <w:pPr>
      <w:widowControl w:val="0"/>
      <w:jc w:val="both"/>
    </w:pPr>
    <w:rPr>
      <w:rFonts w:ascii="Calibri" w:hAnsi="Calibri" w:eastAsia="宋体" w:cs="Times New Roman"/>
      <w:kern w:val="2"/>
      <w:sz w:val="28"/>
      <w:szCs w:val="22"/>
      <w:lang w:val="en-US" w:eastAsia="zh-CN" w:bidi="ar-SA"/>
    </w:rPr>
  </w:style>
  <w:style w:type="paragraph" w:customStyle="1" w:styleId="86">
    <w:name w:val="Normal_16"/>
    <w:autoRedefine/>
    <w:qFormat/>
    <w:uiPriority w:val="0"/>
    <w:rPr>
      <w:rFonts w:ascii="黑体" w:hAnsi="黑体" w:eastAsia="黑体" w:cs="Times New Roman"/>
      <w:b/>
      <w:sz w:val="32"/>
      <w:szCs w:val="24"/>
      <w:lang w:val="en-US" w:eastAsia="zh-CN" w:bidi="ar-SA"/>
    </w:rPr>
  </w:style>
  <w:style w:type="paragraph" w:customStyle="1" w:styleId="87">
    <w:name w:val="正文_10"/>
    <w:qFormat/>
    <w:uiPriority w:val="0"/>
    <w:pPr>
      <w:widowControl w:val="0"/>
      <w:jc w:val="both"/>
    </w:pPr>
    <w:rPr>
      <w:rFonts w:ascii="Calibri" w:hAnsi="Calibri" w:eastAsia="宋体" w:cs="Times New Roman"/>
      <w:kern w:val="2"/>
      <w:sz w:val="21"/>
      <w:szCs w:val="22"/>
      <w:lang w:val="en-US" w:eastAsia="zh-CN" w:bidi="ar-SA"/>
    </w:rPr>
  </w:style>
  <w:style w:type="paragraph" w:customStyle="1" w:styleId="88">
    <w:name w:val="Normal_4"/>
    <w:qFormat/>
    <w:uiPriority w:val="0"/>
    <w:rPr>
      <w:rFonts w:ascii="黑体" w:hAnsi="黑体" w:eastAsia="黑体" w:cs="Times New Roman"/>
      <w:b/>
      <w:sz w:val="32"/>
      <w:szCs w:val="24"/>
      <w:lang w:val="en-US" w:eastAsia="zh-CN" w:bidi="ar-SA"/>
    </w:rPr>
  </w:style>
  <w:style w:type="paragraph" w:customStyle="1" w:styleId="89">
    <w:name w:val="Normal_5"/>
    <w:qFormat/>
    <w:uiPriority w:val="0"/>
    <w:rPr>
      <w:rFonts w:ascii="黑体" w:hAnsi="黑体" w:eastAsia="黑体" w:cs="Times New Roman"/>
      <w:b/>
      <w:sz w:val="32"/>
      <w:szCs w:val="24"/>
      <w:lang w:val="en-US" w:eastAsia="zh-CN" w:bidi="ar-SA"/>
    </w:rPr>
  </w:style>
  <w:style w:type="paragraph" w:customStyle="1" w:styleId="90">
    <w:name w:val="zhang"/>
    <w:basedOn w:val="1"/>
    <w:qFormat/>
    <w:uiPriority w:val="0"/>
    <w:pPr>
      <w:spacing w:before="100" w:beforeLines="0" w:beforeAutospacing="1" w:after="100" w:afterLines="0" w:afterAutospacing="1"/>
    </w:pPr>
    <w:rPr>
      <w:b/>
      <w:bCs/>
      <w:smallCaps/>
      <w:color w:val="000000"/>
      <w:sz w:val="20"/>
      <w:szCs w:val="20"/>
    </w:rPr>
  </w:style>
  <w:style w:type="paragraph" w:customStyle="1" w:styleId="91">
    <w:name w:val="_Style 4"/>
    <w:basedOn w:val="2"/>
    <w:next w:val="1"/>
    <w:qFormat/>
    <w:uiPriority w:val="0"/>
    <w:pPr>
      <w:widowControl w:val="0"/>
      <w:spacing w:line="576" w:lineRule="auto"/>
      <w:jc w:val="both"/>
      <w:outlineLvl w:val="9"/>
    </w:pPr>
    <w:rPr>
      <w:rFonts w:ascii="Calibri" w:hAnsi="Calibri" w:cs="Times New Roman"/>
    </w:rPr>
  </w:style>
  <w:style w:type="paragraph" w:customStyle="1" w:styleId="92">
    <w:name w:val="p0"/>
    <w:basedOn w:val="1"/>
    <w:qFormat/>
    <w:uiPriority w:val="0"/>
    <w:pPr>
      <w:jc w:val="both"/>
    </w:pPr>
    <w:rPr>
      <w:rFonts w:ascii="Times New Roman" w:hAnsi="Times New Roman" w:cs="Times New Roman"/>
      <w:sz w:val="21"/>
      <w:szCs w:val="21"/>
    </w:rPr>
  </w:style>
  <w:style w:type="character" w:customStyle="1" w:styleId="93">
    <w:name w:val="15"/>
    <w:qFormat/>
    <w:uiPriority w:val="0"/>
    <w:rPr>
      <w:rFonts w:hint="default" w:ascii="Times New Roman" w:hAnsi="Times New Roman" w:cs="Times New Roman"/>
      <w:color w:val="464445"/>
      <w:u w:val="none"/>
    </w:rPr>
  </w:style>
  <w:style w:type="character" w:customStyle="1" w:styleId="94">
    <w:name w:val="标题 字符"/>
    <w:link w:val="3"/>
    <w:qFormat/>
    <w:uiPriority w:val="10"/>
    <w:rPr>
      <w:rFonts w:ascii="Cambria" w:hAnsi="Cambria" w:cs="Times New Roman"/>
      <w:b/>
      <w:bCs/>
      <w:szCs w:val="32"/>
    </w:rPr>
  </w:style>
  <w:style w:type="character" w:customStyle="1" w:styleId="95">
    <w:name w:val="副标题 字符"/>
    <w:link w:val="23"/>
    <w:qFormat/>
    <w:uiPriority w:val="11"/>
    <w:rPr>
      <w:rFonts w:ascii="Calibri Light" w:hAnsi="Calibri Light" w:cs="Times New Roman"/>
      <w:b/>
      <w:bCs/>
      <w:kern w:val="28"/>
      <w:sz w:val="32"/>
      <w:szCs w:val="32"/>
    </w:rPr>
  </w:style>
  <w:style w:type="paragraph" w:customStyle="1" w:styleId="96">
    <w:name w:val="Table Paragraph"/>
    <w:basedOn w:val="1"/>
    <w:qFormat/>
    <w:uiPriority w:val="1"/>
  </w:style>
  <w:style w:type="paragraph" w:customStyle="1" w:styleId="97">
    <w:name w:val="5）标书正文 首行缩进2字符"/>
    <w:basedOn w:val="1"/>
    <w:qFormat/>
    <w:uiPriority w:val="0"/>
    <w:pPr>
      <w:spacing w:line="480" w:lineRule="exact"/>
      <w:ind w:firstLine="200" w:firstLineChars="200"/>
    </w:pPr>
    <w:rPr>
      <w:rFonts w:ascii="仿宋_GB2312" w:eastAsia="仿宋_GB2312"/>
      <w:sz w:val="28"/>
      <w:szCs w:val="20"/>
    </w:rPr>
  </w:style>
  <w:style w:type="paragraph" w:customStyle="1" w:styleId="98">
    <w:name w:val="_Style 20"/>
    <w:basedOn w:val="1"/>
    <w:qFormat/>
    <w:uiPriority w:val="0"/>
    <w:rPr>
      <w:rFonts w:ascii="Tahoma" w:hAnsi="Tahoma"/>
      <w:sz w:val="24"/>
      <w:szCs w:val="20"/>
    </w:rPr>
  </w:style>
  <w:style w:type="paragraph" w:customStyle="1" w:styleId="99">
    <w:name w:val="正文缩进1"/>
    <w:basedOn w:val="1"/>
    <w:qFormat/>
    <w:uiPriority w:val="0"/>
    <w:pPr>
      <w:autoSpaceDE w:val="0"/>
      <w:autoSpaceDN w:val="0"/>
      <w:adjustRightInd w:val="0"/>
      <w:ind w:firstLine="420"/>
      <w:jc w:val="left"/>
    </w:pPr>
    <w:rPr>
      <w:rFonts w:ascii="宋体" w:hAnsi="Times New Roman" w:eastAsia="宋体" w:cs="Times New Roman"/>
      <w:kern w:val="0"/>
      <w:sz w:val="24"/>
      <w:szCs w:val="20"/>
    </w:rPr>
  </w:style>
  <w:style w:type="paragraph" w:customStyle="1" w:styleId="100">
    <w:name w:val="索引 11"/>
    <w:basedOn w:val="1"/>
    <w:next w:val="1"/>
    <w:qFormat/>
    <w:uiPriority w:val="0"/>
    <w:pPr>
      <w:spacing w:line="360" w:lineRule="auto"/>
    </w:pPr>
    <w:rPr>
      <w:rFonts w:ascii="仿宋_GB2312" w:hAnsi="Times New Roman" w:eastAsia="仿宋_GB2312" w:cs="Times New Roman"/>
      <w:sz w:val="24"/>
      <w:szCs w:val="20"/>
    </w:rPr>
  </w:style>
  <w:style w:type="paragraph" w:customStyle="1" w:styleId="101">
    <w:name w:val="纯文本1"/>
    <w:basedOn w:val="1"/>
    <w:qFormat/>
    <w:uiPriority w:val="0"/>
    <w:rPr>
      <w:rFonts w:ascii="宋体" w:hAnsi="Courier New" w:eastAsia="宋体" w:cs="Times New Roman"/>
      <w:kern w:val="0"/>
      <w:sz w:val="20"/>
      <w:szCs w:val="20"/>
    </w:rPr>
  </w:style>
  <w:style w:type="table" w:customStyle="1" w:styleId="102">
    <w:name w:val="Table Normal"/>
    <w:semiHidden/>
    <w:unhideWhenUsed/>
    <w:qFormat/>
    <w:uiPriority w:val="0"/>
    <w:rPr>
      <w:rFonts w:asciiTheme="minorHAnsi" w:hAnsiTheme="minorHAnsi" w:eastAsiaTheme="minorEastAsia" w:cstheme="minorBidi"/>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118</Pages>
  <Words>18004</Words>
  <Characters>19627</Characters>
  <Lines>294</Lines>
  <Paragraphs>82</Paragraphs>
  <TotalTime>1</TotalTime>
  <ScaleCrop>false</ScaleCrop>
  <LinksUpToDate>false</LinksUpToDate>
  <CharactersWithSpaces>20209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2024-02-04T06:30:00Z</dcterms:created>
  <dc:creator>admin</dc:creator>
  <cp:lastModifiedBy>三</cp:lastModifiedBy>
  <cp:lastPrinted>2026-04-13T08:15:00Z</cp:lastPrinted>
  <dcterms:modified xsi:type="dcterms:W3CDTF">2026-04-29T11:25:19Z</dcterms:modified>
  <cp:revision>397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820218C6ACFC43A184396E478E31957A_13</vt:lpwstr>
  </property>
  <property fmtid="{D5CDD505-2E9C-101B-9397-08002B2CF9AE}" pid="4" name="KSOTemplateDocerSaveRecord">
    <vt:lpwstr>eyJoZGlkIjoiOWQ1YTU2MzZiNDExYzNjODU0YTNmNGNkZTZlNzNlMzQiLCJ1c2VySWQiOiIyNTMwMjYxNzEifQ==</vt:lpwstr>
  </property>
</Properties>
</file>