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4242">
      <w:pPr>
        <w:pStyle w:val="12"/>
        <w:jc w:val="left"/>
        <w:rPr>
          <w:rFonts w:hint="eastAsia" w:ascii="仿宋" w:hAnsi="仿宋" w:eastAsia="仿宋" w:cs="仿宋"/>
          <w:b/>
          <w:bCs/>
          <w:color w:val="auto"/>
          <w:sz w:val="48"/>
          <w:szCs w:val="48"/>
          <w:highlight w:val="none"/>
        </w:rPr>
      </w:pPr>
      <w:r>
        <w:rPr>
          <w:rFonts w:hint="eastAsia" w:ascii="仿宋" w:hAnsi="仿宋" w:eastAsia="仿宋" w:cs="仿宋"/>
          <w:b/>
          <w:color w:val="auto"/>
          <w:sz w:val="48"/>
          <w:szCs w:val="48"/>
          <w:highlight w:val="none"/>
        </w:rPr>
        <w:drawing>
          <wp:inline distT="0" distB="0" distL="0" distR="0">
            <wp:extent cx="1285875" cy="1195705"/>
            <wp:effectExtent l="0" t="0" r="9525" b="2540"/>
            <wp:docPr id="4" name="图片 4" descr="说明: 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公司标志"/>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85875" cy="1195705"/>
                    </a:xfrm>
                    <a:prstGeom prst="rect">
                      <a:avLst/>
                    </a:prstGeom>
                    <a:noFill/>
                    <a:ln>
                      <a:noFill/>
                    </a:ln>
                  </pic:spPr>
                </pic:pic>
              </a:graphicData>
            </a:graphic>
          </wp:inline>
        </w:drawing>
      </w:r>
      <w:r>
        <w:rPr>
          <w:rFonts w:hint="eastAsia" w:ascii="仿宋" w:hAnsi="仿宋" w:eastAsia="仿宋" w:cs="仿宋"/>
          <w:b/>
          <w:color w:val="auto"/>
          <w:sz w:val="48"/>
          <w:szCs w:val="48"/>
          <w:highlight w:val="none"/>
        </w:rPr>
        <w:t xml:space="preserve">  </w:t>
      </w:r>
    </w:p>
    <w:p w14:paraId="74BB0A15">
      <w:pPr>
        <w:pStyle w:val="12"/>
        <w:jc w:val="center"/>
        <w:rPr>
          <w:rFonts w:hint="eastAsia" w:ascii="仿宋" w:hAnsi="仿宋" w:eastAsia="仿宋" w:cs="仿宋"/>
          <w:b/>
          <w:bCs/>
          <w:color w:val="auto"/>
          <w:sz w:val="48"/>
          <w:szCs w:val="48"/>
          <w:highlight w:val="none"/>
        </w:rPr>
      </w:pPr>
    </w:p>
    <w:p w14:paraId="1E487FCF">
      <w:pPr>
        <w:jc w:val="center"/>
        <w:rPr>
          <w:rFonts w:hint="eastAsia" w:ascii="仿宋" w:hAnsi="仿宋" w:eastAsia="仿宋" w:cs="仿宋"/>
          <w:color w:val="auto"/>
          <w:highlight w:val="none"/>
          <w:lang w:eastAsia="zh-CN"/>
        </w:rPr>
      </w:pPr>
      <w:r>
        <w:rPr>
          <w:rFonts w:hint="eastAsia" w:ascii="仿宋" w:hAnsi="仿宋" w:eastAsia="仿宋" w:cs="仿宋"/>
          <w:b/>
          <w:bCs/>
          <w:color w:val="auto"/>
          <w:sz w:val="48"/>
          <w:szCs w:val="48"/>
          <w:highlight w:val="none"/>
          <w:lang w:eastAsia="zh-CN"/>
        </w:rPr>
        <w:t>新疆维吾尔自治区地质局昌吉地质大队2026年机械租赁服务项目（槽探开挖及回填、道路平整及维护）</w:t>
      </w:r>
    </w:p>
    <w:p w14:paraId="739B3005">
      <w:pPr>
        <w:pStyle w:val="12"/>
        <w:rPr>
          <w:rFonts w:hint="eastAsia" w:ascii="仿宋" w:hAnsi="仿宋" w:eastAsia="仿宋" w:cs="仿宋"/>
          <w:color w:val="auto"/>
          <w:highlight w:val="none"/>
        </w:rPr>
      </w:pPr>
    </w:p>
    <w:p w14:paraId="19DE3385">
      <w:pPr>
        <w:rPr>
          <w:rFonts w:hint="eastAsia" w:ascii="仿宋" w:hAnsi="仿宋" w:eastAsia="仿宋" w:cs="仿宋"/>
          <w:color w:val="auto"/>
          <w:highlight w:val="none"/>
        </w:rPr>
      </w:pPr>
    </w:p>
    <w:p w14:paraId="4948C886">
      <w:pPr>
        <w:rPr>
          <w:rFonts w:hint="eastAsia" w:ascii="仿宋" w:hAnsi="仿宋" w:eastAsia="仿宋" w:cs="仿宋"/>
          <w:color w:val="auto"/>
          <w:highlight w:val="none"/>
        </w:rPr>
      </w:pPr>
    </w:p>
    <w:p w14:paraId="0E1FCCD6">
      <w:pPr>
        <w:pStyle w:val="12"/>
        <w:rPr>
          <w:rFonts w:hint="eastAsia" w:ascii="仿宋" w:hAnsi="仿宋" w:eastAsia="仿宋" w:cs="仿宋"/>
          <w:color w:val="auto"/>
          <w:highlight w:val="none"/>
        </w:rPr>
      </w:pPr>
    </w:p>
    <w:p w14:paraId="6BC5586D">
      <w:pPr>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招 标 文 件</w:t>
      </w:r>
    </w:p>
    <w:p w14:paraId="496B24D6">
      <w:pPr>
        <w:adjustRightInd w:val="0"/>
        <w:snapToGrid w:val="0"/>
        <w:spacing w:line="360" w:lineRule="auto"/>
        <w:jc w:val="center"/>
        <w:rPr>
          <w:rFonts w:hint="eastAsia" w:ascii="仿宋" w:hAnsi="仿宋" w:eastAsia="仿宋" w:cs="仿宋"/>
          <w:b/>
          <w:color w:val="auto"/>
          <w:sz w:val="28"/>
          <w:szCs w:val="18"/>
          <w:highlight w:val="none"/>
        </w:rPr>
      </w:pPr>
      <w:r>
        <w:rPr>
          <w:rFonts w:hint="eastAsia" w:ascii="仿宋" w:hAnsi="仿宋" w:eastAsia="仿宋" w:cs="仿宋"/>
          <w:b/>
          <w:color w:val="auto"/>
          <w:sz w:val="28"/>
          <w:szCs w:val="18"/>
          <w:highlight w:val="none"/>
        </w:rPr>
        <w:t>（项目编号：</w:t>
      </w:r>
      <w:r>
        <w:rPr>
          <w:rFonts w:hint="eastAsia" w:ascii="仿宋" w:hAnsi="仿宋" w:eastAsia="仿宋" w:cs="仿宋"/>
          <w:b/>
          <w:color w:val="auto"/>
          <w:sz w:val="28"/>
          <w:szCs w:val="18"/>
          <w:highlight w:val="none"/>
          <w:lang w:val="en-US" w:eastAsia="zh-CN"/>
        </w:rPr>
        <w:t xml:space="preserve">XJXSJ-2026(ZC)-191 </w:t>
      </w:r>
      <w:r>
        <w:rPr>
          <w:rFonts w:hint="eastAsia" w:ascii="仿宋" w:hAnsi="仿宋" w:eastAsia="仿宋" w:cs="仿宋"/>
          <w:b/>
          <w:color w:val="auto"/>
          <w:sz w:val="28"/>
          <w:szCs w:val="18"/>
          <w:highlight w:val="none"/>
        </w:rPr>
        <w:t>）</w:t>
      </w:r>
    </w:p>
    <w:p w14:paraId="430C25DB">
      <w:pPr>
        <w:adjustRightInd w:val="0"/>
        <w:snapToGrid w:val="0"/>
        <w:spacing w:line="360" w:lineRule="auto"/>
        <w:rPr>
          <w:rFonts w:hint="eastAsia" w:ascii="仿宋" w:hAnsi="仿宋" w:eastAsia="仿宋" w:cs="仿宋"/>
          <w:b/>
          <w:color w:val="auto"/>
          <w:sz w:val="32"/>
          <w:highlight w:val="none"/>
        </w:rPr>
      </w:pPr>
      <w:r>
        <w:rPr>
          <w:rFonts w:hint="eastAsia" w:ascii="仿宋" w:hAnsi="仿宋" w:eastAsia="仿宋" w:cs="仿宋"/>
          <w:b/>
          <w:color w:val="auto"/>
          <w:sz w:val="32"/>
          <w:highlight w:val="none"/>
        </w:rPr>
        <w:t xml:space="preserve">     </w:t>
      </w:r>
    </w:p>
    <w:p w14:paraId="7BF5F135">
      <w:pPr>
        <w:pStyle w:val="12"/>
        <w:rPr>
          <w:rFonts w:hint="eastAsia" w:ascii="仿宋" w:hAnsi="仿宋" w:eastAsia="仿宋" w:cs="仿宋"/>
          <w:color w:val="auto"/>
          <w:highlight w:val="none"/>
        </w:rPr>
      </w:pPr>
    </w:p>
    <w:p w14:paraId="2DC0825C">
      <w:pPr>
        <w:ind w:firstLine="420"/>
        <w:rPr>
          <w:rFonts w:hint="eastAsia" w:ascii="仿宋" w:hAnsi="仿宋" w:eastAsia="仿宋" w:cs="仿宋"/>
          <w:color w:val="auto"/>
          <w:sz w:val="28"/>
          <w:szCs w:val="28"/>
          <w:highlight w:val="none"/>
        </w:rPr>
      </w:pPr>
    </w:p>
    <w:tbl>
      <w:tblPr>
        <w:tblStyle w:val="42"/>
        <w:tblpPr w:leftFromText="180" w:rightFromText="180" w:vertAnchor="text" w:horzAnchor="margin" w:tblpY="400"/>
        <w:tblW w:w="9399" w:type="dxa"/>
        <w:tblInd w:w="0" w:type="dxa"/>
        <w:tblLayout w:type="fixed"/>
        <w:tblCellMar>
          <w:top w:w="0" w:type="dxa"/>
          <w:left w:w="108" w:type="dxa"/>
          <w:bottom w:w="0" w:type="dxa"/>
          <w:right w:w="108" w:type="dxa"/>
        </w:tblCellMar>
      </w:tblPr>
      <w:tblGrid>
        <w:gridCol w:w="1756"/>
        <w:gridCol w:w="7643"/>
      </w:tblGrid>
      <w:tr w14:paraId="60DED848">
        <w:tblPrEx>
          <w:tblCellMar>
            <w:top w:w="0" w:type="dxa"/>
            <w:left w:w="108" w:type="dxa"/>
            <w:bottom w:w="0" w:type="dxa"/>
            <w:right w:w="108" w:type="dxa"/>
          </w:tblCellMar>
        </w:tblPrEx>
        <w:trPr>
          <w:trHeight w:val="1459" w:hRule="atLeast"/>
        </w:trPr>
        <w:tc>
          <w:tcPr>
            <w:tcW w:w="1756" w:type="dxa"/>
            <w:vAlign w:val="center"/>
          </w:tcPr>
          <w:p w14:paraId="7AC67508">
            <w:pPr>
              <w:tabs>
                <w:tab w:val="left" w:pos="8504"/>
              </w:tabs>
              <w:spacing w:line="360" w:lineRule="auto"/>
              <w:rPr>
                <w:rFonts w:hint="eastAsia" w:ascii="仿宋" w:hAnsi="仿宋" w:eastAsia="仿宋" w:cs="仿宋"/>
                <w:b/>
                <w:color w:val="auto"/>
                <w:spacing w:val="14"/>
                <w:sz w:val="28"/>
                <w:szCs w:val="28"/>
                <w:highlight w:val="none"/>
              </w:rPr>
            </w:pPr>
            <w:r>
              <w:rPr>
                <w:rFonts w:hint="eastAsia" w:ascii="仿宋" w:hAnsi="仿宋" w:eastAsia="仿宋" w:cs="仿宋"/>
                <w:b/>
                <w:color w:val="auto"/>
                <w:spacing w:val="14"/>
                <w:sz w:val="28"/>
                <w:szCs w:val="28"/>
                <w:highlight w:val="none"/>
              </w:rPr>
              <w:t>采 购 人：</w:t>
            </w:r>
          </w:p>
          <w:p w14:paraId="2B9205AF">
            <w:pPr>
              <w:tabs>
                <w:tab w:val="left" w:pos="8504"/>
              </w:tabs>
              <w:spacing w:line="360" w:lineRule="auto"/>
              <w:rPr>
                <w:rFonts w:hint="eastAsia" w:ascii="仿宋" w:hAnsi="仿宋" w:eastAsia="仿宋" w:cs="仿宋"/>
                <w:b/>
                <w:color w:val="auto"/>
                <w:spacing w:val="14"/>
                <w:sz w:val="28"/>
                <w:szCs w:val="28"/>
                <w:highlight w:val="none"/>
              </w:rPr>
            </w:pPr>
            <w:r>
              <w:rPr>
                <w:rFonts w:hint="eastAsia" w:ascii="仿宋" w:hAnsi="仿宋" w:eastAsia="仿宋" w:cs="仿宋"/>
                <w:b/>
                <w:color w:val="auto"/>
                <w:spacing w:val="14"/>
                <w:sz w:val="28"/>
                <w:szCs w:val="28"/>
                <w:highlight w:val="none"/>
              </w:rPr>
              <w:t>采购代理：</w:t>
            </w:r>
          </w:p>
        </w:tc>
        <w:tc>
          <w:tcPr>
            <w:tcW w:w="7643" w:type="dxa"/>
            <w:vAlign w:val="center"/>
          </w:tcPr>
          <w:p w14:paraId="509307CB">
            <w:pPr>
              <w:tabs>
                <w:tab w:val="left" w:pos="8504"/>
              </w:tabs>
              <w:spacing w:line="360" w:lineRule="auto"/>
              <w:rPr>
                <w:rFonts w:hint="eastAsia" w:ascii="仿宋" w:hAnsi="仿宋" w:eastAsia="仿宋" w:cs="仿宋"/>
                <w:b/>
                <w:color w:val="auto"/>
                <w:spacing w:val="14"/>
                <w:sz w:val="28"/>
                <w:szCs w:val="28"/>
                <w:highlight w:val="none"/>
                <w:lang w:eastAsia="zh-CN"/>
              </w:rPr>
            </w:pPr>
            <w:r>
              <w:rPr>
                <w:rFonts w:hint="eastAsia" w:ascii="仿宋" w:hAnsi="仿宋" w:eastAsia="仿宋" w:cs="仿宋"/>
                <w:b/>
                <w:color w:val="auto"/>
                <w:spacing w:val="14"/>
                <w:sz w:val="28"/>
                <w:szCs w:val="28"/>
                <w:highlight w:val="none"/>
                <w:lang w:eastAsia="zh-CN"/>
              </w:rPr>
              <w:t>新疆维吾尔自治区地质局昌吉地质大队</w:t>
            </w:r>
          </w:p>
          <w:p w14:paraId="11BDC5EA">
            <w:pPr>
              <w:tabs>
                <w:tab w:val="left" w:pos="8504"/>
              </w:tabs>
              <w:spacing w:line="360" w:lineRule="auto"/>
              <w:rPr>
                <w:rFonts w:hint="eastAsia" w:ascii="仿宋" w:hAnsi="仿宋" w:eastAsia="仿宋" w:cs="仿宋"/>
                <w:color w:val="auto"/>
                <w:highlight w:val="none"/>
              </w:rPr>
            </w:pPr>
            <w:r>
              <w:rPr>
                <w:rFonts w:hint="eastAsia" w:ascii="仿宋" w:hAnsi="仿宋" w:eastAsia="仿宋" w:cs="仿宋"/>
                <w:b/>
                <w:color w:val="auto"/>
                <w:spacing w:val="14"/>
                <w:sz w:val="28"/>
                <w:szCs w:val="28"/>
                <w:highlight w:val="none"/>
              </w:rPr>
              <w:t>新疆新世纪招标有限公司</w:t>
            </w:r>
          </w:p>
        </w:tc>
      </w:tr>
    </w:tbl>
    <w:p w14:paraId="5119DED0">
      <w:pPr>
        <w:spacing w:line="360" w:lineRule="atLeast"/>
        <w:ind w:firstLine="3514" w:firstLineChars="1250"/>
        <w:rPr>
          <w:rFonts w:hint="eastAsia" w:ascii="仿宋" w:hAnsi="仿宋" w:eastAsia="仿宋" w:cs="仿宋"/>
          <w:b/>
          <w:color w:val="auto"/>
          <w:sz w:val="28"/>
          <w:szCs w:val="28"/>
          <w:highlight w:val="none"/>
        </w:rPr>
      </w:pPr>
    </w:p>
    <w:p w14:paraId="6684C207">
      <w:pPr>
        <w:spacing w:line="360" w:lineRule="atLeast"/>
        <w:ind w:firstLine="3514" w:firstLineChars="1250"/>
        <w:rPr>
          <w:rFonts w:hint="eastAsia" w:ascii="仿宋" w:hAnsi="仿宋" w:eastAsia="仿宋" w:cs="仿宋"/>
          <w:b/>
          <w:color w:val="auto"/>
          <w:sz w:val="28"/>
          <w:szCs w:val="28"/>
          <w:highlight w:val="none"/>
        </w:rPr>
      </w:pPr>
    </w:p>
    <w:p w14:paraId="584BCD31">
      <w:pPr>
        <w:spacing w:line="360" w:lineRule="atLeast"/>
        <w:ind w:firstLine="3514" w:firstLineChars="1250"/>
        <w:rPr>
          <w:rFonts w:hint="eastAsia" w:ascii="仿宋" w:hAnsi="仿宋" w:eastAsia="仿宋" w:cs="仿宋"/>
          <w:color w:val="auto"/>
          <w:sz w:val="48"/>
          <w:szCs w:val="48"/>
          <w:highlight w:val="none"/>
        </w:rPr>
      </w:pPr>
      <w:r>
        <w:rPr>
          <w:rFonts w:hint="eastAsia" w:ascii="仿宋" w:hAnsi="仿宋" w:eastAsia="仿宋" w:cs="仿宋"/>
          <w:b/>
          <w:color w:val="auto"/>
          <w:sz w:val="28"/>
          <w:szCs w:val="28"/>
          <w:highlight w:val="none"/>
        </w:rPr>
        <w:t>二〇二</w:t>
      </w: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月</w:t>
      </w:r>
    </w:p>
    <w:p w14:paraId="68DC9547">
      <w:pPr>
        <w:adjustRightInd w:val="0"/>
        <w:snapToGrid w:val="0"/>
        <w:spacing w:line="480" w:lineRule="exact"/>
        <w:rPr>
          <w:rFonts w:hint="eastAsia" w:ascii="仿宋" w:hAnsi="仿宋" w:eastAsia="仿宋" w:cs="仿宋"/>
          <w:bCs/>
          <w:color w:val="auto"/>
          <w:sz w:val="32"/>
          <w:szCs w:val="32"/>
          <w:highlight w:val="none"/>
        </w:rPr>
      </w:pPr>
    </w:p>
    <w:p w14:paraId="258C071D">
      <w:pPr>
        <w:widowControl/>
        <w:jc w:val="left"/>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br w:type="page"/>
      </w:r>
    </w:p>
    <w:p w14:paraId="7F985402">
      <w:pPr>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目录</w:t>
      </w:r>
    </w:p>
    <w:p w14:paraId="42DA609D">
      <w:pPr>
        <w:pStyle w:val="26"/>
        <w:tabs>
          <w:tab w:val="right" w:leader="dot" w:pos="9354"/>
        </w:tabs>
        <w:rPr>
          <w:rStyle w:val="52"/>
          <w:rFonts w:hint="eastAsia" w:ascii="仿宋" w:hAnsi="仿宋" w:eastAsia="宋体" w:cs="仿宋"/>
          <w:b/>
          <w:color w:val="auto"/>
          <w:sz w:val="24"/>
          <w:highlight w:val="none"/>
          <w:lang w:eastAsia="zh-CN"/>
        </w:rPr>
      </w:pPr>
      <w:r>
        <w:rPr>
          <w:rFonts w:hint="eastAsia" w:ascii="仿宋" w:hAnsi="仿宋" w:eastAsia="仿宋" w:cs="仿宋"/>
          <w:color w:val="auto"/>
          <w:szCs w:val="28"/>
          <w:highlight w:val="none"/>
        </w:rPr>
        <w:t>公开招标公告</w:t>
      </w:r>
      <w:r>
        <w:rPr>
          <w:color w:val="auto"/>
          <w:highlight w:val="none"/>
        </w:rPr>
        <w:tab/>
      </w:r>
      <w:r>
        <w:rPr>
          <w:rFonts w:hint="eastAsia"/>
          <w:color w:val="auto"/>
          <w:highlight w:val="none"/>
          <w:lang w:val="en-US" w:eastAsia="zh-CN"/>
        </w:rPr>
        <w:t>1</w:t>
      </w:r>
    </w:p>
    <w:p w14:paraId="6C90A4B1">
      <w:pPr>
        <w:pStyle w:val="26"/>
        <w:tabs>
          <w:tab w:val="right" w:leader="dot" w:pos="9354"/>
        </w:tabs>
        <w:rPr>
          <w:color w:val="auto"/>
          <w:highlight w:val="none"/>
        </w:rPr>
      </w:pPr>
      <w:r>
        <w:rPr>
          <w:rStyle w:val="52"/>
          <w:rFonts w:hint="eastAsia" w:ascii="仿宋" w:hAnsi="仿宋" w:eastAsia="仿宋" w:cs="仿宋"/>
          <w:b/>
          <w:color w:val="auto"/>
          <w:sz w:val="24"/>
          <w:highlight w:val="none"/>
        </w:rPr>
        <w:fldChar w:fldCharType="begin"/>
      </w:r>
      <w:r>
        <w:rPr>
          <w:rStyle w:val="52"/>
          <w:rFonts w:hint="eastAsia" w:ascii="仿宋" w:hAnsi="仿宋" w:eastAsia="仿宋" w:cs="仿宋"/>
          <w:b/>
          <w:color w:val="auto"/>
          <w:sz w:val="24"/>
          <w:highlight w:val="none"/>
        </w:rPr>
        <w:instrText xml:space="preserve">TOC \o "1-3" \h \u </w:instrText>
      </w:r>
      <w:r>
        <w:rPr>
          <w:rStyle w:val="52"/>
          <w:rFonts w:hint="eastAsia" w:ascii="仿宋" w:hAnsi="仿宋" w:eastAsia="仿宋" w:cs="仿宋"/>
          <w:b/>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_Toc16640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_Toc16640 \h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eastAsia="仿宋" w:cs="仿宋"/>
          <w:color w:val="auto"/>
          <w:highlight w:val="none"/>
        </w:rPr>
        <w:fldChar w:fldCharType="end"/>
      </w:r>
    </w:p>
    <w:p w14:paraId="0A741573">
      <w:pPr>
        <w:pStyle w:val="26"/>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_Toc13492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_Toc13492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highlight w:val="none"/>
        </w:rPr>
        <w:fldChar w:fldCharType="end"/>
      </w:r>
    </w:p>
    <w:p w14:paraId="1C2E9257">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_Toc4941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1．总则</w:t>
      </w:r>
      <w:r>
        <w:rPr>
          <w:color w:val="auto"/>
          <w:highlight w:val="none"/>
        </w:rPr>
        <w:tab/>
      </w:r>
      <w:r>
        <w:rPr>
          <w:color w:val="auto"/>
          <w:highlight w:val="none"/>
        </w:rPr>
        <w:fldChar w:fldCharType="begin"/>
      </w:r>
      <w:r>
        <w:rPr>
          <w:color w:val="auto"/>
          <w:highlight w:val="none"/>
        </w:rPr>
        <w:instrText xml:space="preserve"> PAGEREF _Toc4941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eastAsia="仿宋" w:cs="仿宋"/>
          <w:color w:val="auto"/>
          <w:highlight w:val="none"/>
        </w:rPr>
        <w:fldChar w:fldCharType="end"/>
      </w:r>
    </w:p>
    <w:p w14:paraId="61E35F8E">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_Toc20119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2．招标文件</w:t>
      </w:r>
      <w:r>
        <w:rPr>
          <w:color w:val="auto"/>
          <w:highlight w:val="none"/>
        </w:rPr>
        <w:tab/>
      </w:r>
      <w:r>
        <w:rPr>
          <w:color w:val="auto"/>
          <w:highlight w:val="none"/>
        </w:rPr>
        <w:fldChar w:fldCharType="begin"/>
      </w:r>
      <w:r>
        <w:rPr>
          <w:color w:val="auto"/>
          <w:highlight w:val="none"/>
        </w:rPr>
        <w:instrText xml:space="preserve"> PAGEREF _Toc20119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color w:val="auto"/>
          <w:highlight w:val="none"/>
        </w:rPr>
        <w:fldChar w:fldCharType="end"/>
      </w:r>
    </w:p>
    <w:p w14:paraId="6D4428E1">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_Toc19174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3．投标文件</w:t>
      </w:r>
      <w:r>
        <w:rPr>
          <w:color w:val="auto"/>
          <w:highlight w:val="none"/>
        </w:rPr>
        <w:tab/>
      </w:r>
      <w:r>
        <w:rPr>
          <w:color w:val="auto"/>
          <w:highlight w:val="none"/>
        </w:rPr>
        <w:fldChar w:fldCharType="begin"/>
      </w:r>
      <w:r>
        <w:rPr>
          <w:color w:val="auto"/>
          <w:highlight w:val="none"/>
        </w:rPr>
        <w:instrText xml:space="preserve"> PAGEREF _Toc19174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highlight w:val="none"/>
        </w:rPr>
        <w:fldChar w:fldCharType="end"/>
      </w:r>
    </w:p>
    <w:p w14:paraId="61B34922">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_Toc28962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4．投标</w:t>
      </w:r>
      <w:r>
        <w:rPr>
          <w:color w:val="auto"/>
          <w:highlight w:val="none"/>
        </w:rPr>
        <w:tab/>
      </w:r>
      <w:r>
        <w:rPr>
          <w:color w:val="auto"/>
          <w:highlight w:val="none"/>
        </w:rPr>
        <w:fldChar w:fldCharType="begin"/>
      </w:r>
      <w:r>
        <w:rPr>
          <w:color w:val="auto"/>
          <w:highlight w:val="none"/>
        </w:rPr>
        <w:instrText xml:space="preserve"> PAGEREF _Toc28962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highlight w:val="none"/>
        </w:rPr>
        <w:fldChar w:fldCharType="end"/>
      </w:r>
    </w:p>
    <w:p w14:paraId="22DA5585">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_Toc31720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5．开标</w:t>
      </w:r>
      <w:r>
        <w:rPr>
          <w:color w:val="auto"/>
          <w:highlight w:val="none"/>
        </w:rPr>
        <w:tab/>
      </w:r>
      <w:r>
        <w:rPr>
          <w:color w:val="auto"/>
          <w:highlight w:val="none"/>
        </w:rPr>
        <w:fldChar w:fldCharType="begin"/>
      </w:r>
      <w:r>
        <w:rPr>
          <w:color w:val="auto"/>
          <w:highlight w:val="none"/>
        </w:rPr>
        <w:instrText xml:space="preserve"> PAGEREF _Toc31720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3760F563">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_Toc13908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6．评标</w:t>
      </w:r>
      <w:r>
        <w:rPr>
          <w:color w:val="auto"/>
          <w:highlight w:val="none"/>
        </w:rPr>
        <w:tab/>
      </w:r>
      <w:r>
        <w:rPr>
          <w:color w:val="auto"/>
          <w:highlight w:val="none"/>
        </w:rPr>
        <w:fldChar w:fldCharType="begin"/>
      </w:r>
      <w:r>
        <w:rPr>
          <w:color w:val="auto"/>
          <w:highlight w:val="none"/>
        </w:rPr>
        <w:instrText xml:space="preserve"> PAGEREF _Toc13908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14D26FEA">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_Toc15685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7．定标及合同授予</w:t>
      </w:r>
      <w:r>
        <w:rPr>
          <w:color w:val="auto"/>
          <w:highlight w:val="none"/>
        </w:rPr>
        <w:tab/>
      </w:r>
      <w:r>
        <w:rPr>
          <w:color w:val="auto"/>
          <w:highlight w:val="none"/>
        </w:rPr>
        <w:fldChar w:fldCharType="begin"/>
      </w:r>
      <w:r>
        <w:rPr>
          <w:color w:val="auto"/>
          <w:highlight w:val="none"/>
        </w:rPr>
        <w:instrText xml:space="preserve"> PAGEREF _Toc15685 \h </w:instrText>
      </w:r>
      <w:r>
        <w:rPr>
          <w:color w:val="auto"/>
          <w:highlight w:val="none"/>
        </w:rPr>
        <w:fldChar w:fldCharType="separate"/>
      </w:r>
      <w:r>
        <w:rPr>
          <w:color w:val="auto"/>
          <w:highlight w:val="none"/>
        </w:rPr>
        <w:t>17</w:t>
      </w:r>
      <w:r>
        <w:rPr>
          <w:color w:val="auto"/>
          <w:highlight w:val="none"/>
        </w:rPr>
        <w:fldChar w:fldCharType="end"/>
      </w:r>
      <w:r>
        <w:rPr>
          <w:rFonts w:hint="eastAsia" w:ascii="仿宋" w:hAnsi="仿宋" w:eastAsia="仿宋" w:cs="仿宋"/>
          <w:color w:val="auto"/>
          <w:highlight w:val="none"/>
        </w:rPr>
        <w:fldChar w:fldCharType="end"/>
      </w:r>
    </w:p>
    <w:p w14:paraId="4C3768E3">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_Toc29318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8．纪律和监督</w:t>
      </w:r>
      <w:r>
        <w:rPr>
          <w:color w:val="auto"/>
          <w:highlight w:val="none"/>
        </w:rPr>
        <w:tab/>
      </w:r>
      <w:r>
        <w:rPr>
          <w:color w:val="auto"/>
          <w:highlight w:val="none"/>
        </w:rPr>
        <w:fldChar w:fldCharType="begin"/>
      </w:r>
      <w:r>
        <w:rPr>
          <w:color w:val="auto"/>
          <w:highlight w:val="none"/>
        </w:rPr>
        <w:instrText xml:space="preserve"> PAGEREF _Toc29318 \h </w:instrText>
      </w:r>
      <w:r>
        <w:rPr>
          <w:color w:val="auto"/>
          <w:highlight w:val="none"/>
        </w:rPr>
        <w:fldChar w:fldCharType="separate"/>
      </w:r>
      <w:r>
        <w:rPr>
          <w:color w:val="auto"/>
          <w:highlight w:val="none"/>
        </w:rPr>
        <w:t>18</w:t>
      </w:r>
      <w:r>
        <w:rPr>
          <w:color w:val="auto"/>
          <w:highlight w:val="none"/>
        </w:rPr>
        <w:fldChar w:fldCharType="end"/>
      </w:r>
      <w:r>
        <w:rPr>
          <w:rFonts w:hint="eastAsia" w:ascii="仿宋" w:hAnsi="仿宋" w:eastAsia="仿宋" w:cs="仿宋"/>
          <w:color w:val="auto"/>
          <w:highlight w:val="none"/>
        </w:rPr>
        <w:fldChar w:fldCharType="end"/>
      </w:r>
    </w:p>
    <w:p w14:paraId="54FFABD1">
      <w:pPr>
        <w:pStyle w:val="26"/>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_Toc28275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第二章 评标办法</w:t>
      </w:r>
      <w:r>
        <w:rPr>
          <w:color w:val="auto"/>
          <w:highlight w:val="none"/>
        </w:rPr>
        <w:tab/>
      </w:r>
      <w:r>
        <w:rPr>
          <w:color w:val="auto"/>
          <w:highlight w:val="none"/>
        </w:rPr>
        <w:fldChar w:fldCharType="begin"/>
      </w:r>
      <w:r>
        <w:rPr>
          <w:color w:val="auto"/>
          <w:highlight w:val="none"/>
        </w:rPr>
        <w:instrText xml:space="preserve"> PAGEREF _Toc28275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highlight w:val="none"/>
        </w:rPr>
        <w:fldChar w:fldCharType="end"/>
      </w:r>
    </w:p>
    <w:p w14:paraId="5DA7D761">
      <w:pPr>
        <w:pStyle w:val="18"/>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_Toc31184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8"/>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_Toc31184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highlight w:val="none"/>
        </w:rPr>
        <w:fldChar w:fldCharType="end"/>
      </w:r>
    </w:p>
    <w:p w14:paraId="52D78FD4">
      <w:pPr>
        <w:pStyle w:val="18"/>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_Toc9150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1. 评标方法</w:t>
      </w:r>
      <w:r>
        <w:rPr>
          <w:color w:val="auto"/>
          <w:highlight w:val="none"/>
        </w:rPr>
        <w:tab/>
      </w:r>
      <w:r>
        <w:rPr>
          <w:color w:val="auto"/>
          <w:highlight w:val="none"/>
        </w:rPr>
        <w:fldChar w:fldCharType="begin"/>
      </w:r>
      <w:r>
        <w:rPr>
          <w:color w:val="auto"/>
          <w:highlight w:val="none"/>
        </w:rPr>
        <w:instrText xml:space="preserve"> PAGEREF _Toc9150 \h </w:instrText>
      </w:r>
      <w:r>
        <w:rPr>
          <w:color w:val="auto"/>
          <w:highlight w:val="none"/>
        </w:rPr>
        <w:fldChar w:fldCharType="separate"/>
      </w:r>
      <w:r>
        <w:rPr>
          <w:color w:val="auto"/>
          <w:highlight w:val="none"/>
        </w:rPr>
        <w:t>22</w:t>
      </w:r>
      <w:r>
        <w:rPr>
          <w:color w:val="auto"/>
          <w:highlight w:val="none"/>
        </w:rPr>
        <w:fldChar w:fldCharType="end"/>
      </w:r>
      <w:r>
        <w:rPr>
          <w:rFonts w:hint="eastAsia" w:ascii="仿宋" w:hAnsi="仿宋" w:eastAsia="仿宋" w:cs="仿宋"/>
          <w:color w:val="auto"/>
          <w:highlight w:val="none"/>
        </w:rPr>
        <w:fldChar w:fldCharType="end"/>
      </w:r>
    </w:p>
    <w:p w14:paraId="61E4A94E">
      <w:pPr>
        <w:pStyle w:val="18"/>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_Toc9620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2. 评标标准</w:t>
      </w:r>
      <w:r>
        <w:rPr>
          <w:color w:val="auto"/>
          <w:highlight w:val="none"/>
        </w:rPr>
        <w:tab/>
      </w:r>
      <w:r>
        <w:rPr>
          <w:color w:val="auto"/>
          <w:highlight w:val="none"/>
        </w:rPr>
        <w:fldChar w:fldCharType="begin"/>
      </w:r>
      <w:r>
        <w:rPr>
          <w:color w:val="auto"/>
          <w:highlight w:val="none"/>
        </w:rPr>
        <w:instrText xml:space="preserve"> PAGEREF _Toc9620 \h </w:instrText>
      </w:r>
      <w:r>
        <w:rPr>
          <w:color w:val="auto"/>
          <w:highlight w:val="none"/>
        </w:rPr>
        <w:fldChar w:fldCharType="separate"/>
      </w:r>
      <w:r>
        <w:rPr>
          <w:color w:val="auto"/>
          <w:highlight w:val="none"/>
        </w:rPr>
        <w:t>22</w:t>
      </w:r>
      <w:r>
        <w:rPr>
          <w:color w:val="auto"/>
          <w:highlight w:val="none"/>
        </w:rPr>
        <w:fldChar w:fldCharType="end"/>
      </w:r>
      <w:r>
        <w:rPr>
          <w:rFonts w:hint="eastAsia" w:ascii="仿宋" w:hAnsi="仿宋" w:eastAsia="仿宋" w:cs="仿宋"/>
          <w:color w:val="auto"/>
          <w:highlight w:val="none"/>
        </w:rPr>
        <w:fldChar w:fldCharType="end"/>
      </w:r>
    </w:p>
    <w:p w14:paraId="46A5731C">
      <w:pPr>
        <w:pStyle w:val="18"/>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_Toc13856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3. 评标程序</w:t>
      </w:r>
      <w:r>
        <w:rPr>
          <w:color w:val="auto"/>
          <w:highlight w:val="none"/>
        </w:rPr>
        <w:tab/>
      </w:r>
      <w:r>
        <w:rPr>
          <w:color w:val="auto"/>
          <w:highlight w:val="none"/>
        </w:rPr>
        <w:fldChar w:fldCharType="begin"/>
      </w:r>
      <w:r>
        <w:rPr>
          <w:color w:val="auto"/>
          <w:highlight w:val="none"/>
        </w:rPr>
        <w:instrText xml:space="preserve"> PAGEREF _Toc13856 \h </w:instrText>
      </w:r>
      <w:r>
        <w:rPr>
          <w:color w:val="auto"/>
          <w:highlight w:val="none"/>
        </w:rPr>
        <w:fldChar w:fldCharType="separate"/>
      </w:r>
      <w:r>
        <w:rPr>
          <w:color w:val="auto"/>
          <w:highlight w:val="none"/>
        </w:rPr>
        <w:t>23</w:t>
      </w:r>
      <w:r>
        <w:rPr>
          <w:color w:val="auto"/>
          <w:highlight w:val="none"/>
        </w:rPr>
        <w:fldChar w:fldCharType="end"/>
      </w:r>
      <w:r>
        <w:rPr>
          <w:rFonts w:hint="eastAsia" w:ascii="仿宋" w:hAnsi="仿宋" w:eastAsia="仿宋" w:cs="仿宋"/>
          <w:color w:val="auto"/>
          <w:highlight w:val="none"/>
        </w:rPr>
        <w:fldChar w:fldCharType="end"/>
      </w:r>
    </w:p>
    <w:p w14:paraId="6469097A">
      <w:pPr>
        <w:pStyle w:val="26"/>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_Toc17281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Cs w:val="24"/>
          <w:highlight w:val="none"/>
          <w:lang w:val="en-US" w:eastAsia="zh-CN" w:bidi="ar-SA"/>
        </w:rPr>
        <w:t>第三章 合同条款</w:t>
      </w:r>
      <w:r>
        <w:rPr>
          <w:color w:val="auto"/>
          <w:highlight w:val="none"/>
        </w:rPr>
        <w:tab/>
      </w:r>
      <w:r>
        <w:rPr>
          <w:color w:val="auto"/>
          <w:highlight w:val="none"/>
        </w:rPr>
        <w:fldChar w:fldCharType="begin"/>
      </w:r>
      <w:r>
        <w:rPr>
          <w:color w:val="auto"/>
          <w:highlight w:val="none"/>
        </w:rPr>
        <w:instrText xml:space="preserve"> PAGEREF _Toc17281 \h </w:instrText>
      </w:r>
      <w:r>
        <w:rPr>
          <w:color w:val="auto"/>
          <w:highlight w:val="none"/>
        </w:rPr>
        <w:fldChar w:fldCharType="separate"/>
      </w:r>
      <w:r>
        <w:rPr>
          <w:color w:val="auto"/>
          <w:highlight w:val="none"/>
        </w:rPr>
        <w:t>30</w:t>
      </w:r>
      <w:r>
        <w:rPr>
          <w:color w:val="auto"/>
          <w:highlight w:val="none"/>
        </w:rPr>
        <w:fldChar w:fldCharType="end"/>
      </w:r>
      <w:r>
        <w:rPr>
          <w:rFonts w:hint="eastAsia" w:ascii="仿宋" w:hAnsi="仿宋" w:eastAsia="仿宋" w:cs="仿宋"/>
          <w:color w:val="auto"/>
          <w:highlight w:val="none"/>
        </w:rPr>
        <w:fldChar w:fldCharType="end"/>
      </w:r>
    </w:p>
    <w:p w14:paraId="66FFF873">
      <w:pPr>
        <w:pStyle w:val="26"/>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_Toc6849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第四章 服务标准和要求</w:t>
      </w:r>
      <w:r>
        <w:rPr>
          <w:color w:val="auto"/>
          <w:highlight w:val="none"/>
        </w:rPr>
        <w:tab/>
      </w:r>
      <w:r>
        <w:rPr>
          <w:color w:val="auto"/>
          <w:highlight w:val="none"/>
        </w:rPr>
        <w:fldChar w:fldCharType="begin"/>
      </w:r>
      <w:r>
        <w:rPr>
          <w:color w:val="auto"/>
          <w:highlight w:val="none"/>
        </w:rPr>
        <w:instrText xml:space="preserve"> PAGEREF _Toc6849 \h </w:instrText>
      </w:r>
      <w:r>
        <w:rPr>
          <w:color w:val="auto"/>
          <w:highlight w:val="none"/>
        </w:rPr>
        <w:fldChar w:fldCharType="separate"/>
      </w:r>
      <w:r>
        <w:rPr>
          <w:color w:val="auto"/>
          <w:highlight w:val="none"/>
        </w:rPr>
        <w:t>41</w:t>
      </w:r>
      <w:r>
        <w:rPr>
          <w:color w:val="auto"/>
          <w:highlight w:val="none"/>
        </w:rPr>
        <w:fldChar w:fldCharType="end"/>
      </w:r>
      <w:r>
        <w:rPr>
          <w:rFonts w:hint="eastAsia" w:ascii="仿宋" w:hAnsi="仿宋" w:eastAsia="仿宋" w:cs="仿宋"/>
          <w:color w:val="auto"/>
          <w:highlight w:val="none"/>
        </w:rPr>
        <w:fldChar w:fldCharType="end"/>
      </w:r>
    </w:p>
    <w:p w14:paraId="06988624">
      <w:pPr>
        <w:pStyle w:val="26"/>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_Toc8583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_Toc8583 \h </w:instrText>
      </w:r>
      <w:r>
        <w:rPr>
          <w:color w:val="auto"/>
          <w:highlight w:val="none"/>
        </w:rPr>
        <w:fldChar w:fldCharType="separate"/>
      </w:r>
      <w:r>
        <w:rPr>
          <w:color w:val="auto"/>
          <w:highlight w:val="none"/>
        </w:rPr>
        <w:t>51</w:t>
      </w:r>
      <w:r>
        <w:rPr>
          <w:color w:val="auto"/>
          <w:highlight w:val="none"/>
        </w:rPr>
        <w:fldChar w:fldCharType="end"/>
      </w:r>
      <w:r>
        <w:rPr>
          <w:rFonts w:hint="eastAsia" w:ascii="仿宋" w:hAnsi="仿宋" w:eastAsia="仿宋" w:cs="仿宋"/>
          <w:color w:val="auto"/>
          <w:highlight w:val="none"/>
        </w:rPr>
        <w:fldChar w:fldCharType="end"/>
      </w:r>
    </w:p>
    <w:p w14:paraId="65F55089">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目录</w:t>
      </w:r>
      <w:r>
        <w:rPr>
          <w:color w:val="auto"/>
          <w:highlight w:val="none"/>
        </w:rPr>
        <w:tab/>
      </w:r>
      <w:r>
        <w:rPr>
          <w:color w:val="auto"/>
          <w:highlight w:val="none"/>
        </w:rPr>
        <w:fldChar w:fldCharType="begin"/>
      </w:r>
      <w:r>
        <w:rPr>
          <w:color w:val="auto"/>
          <w:highlight w:val="none"/>
        </w:rPr>
        <w:instrText xml:space="preserve"> PAGEREF _Toc1937 \h </w:instrText>
      </w:r>
      <w:r>
        <w:rPr>
          <w:color w:val="auto"/>
          <w:highlight w:val="none"/>
        </w:rPr>
        <w:fldChar w:fldCharType="separate"/>
      </w:r>
      <w:r>
        <w:rPr>
          <w:color w:val="auto"/>
          <w:highlight w:val="none"/>
        </w:rPr>
        <w:t>52</w:t>
      </w:r>
      <w:r>
        <w:rPr>
          <w:color w:val="auto"/>
          <w:highlight w:val="none"/>
        </w:rPr>
        <w:fldChar w:fldCharType="end"/>
      </w:r>
      <w:r>
        <w:rPr>
          <w:rFonts w:hint="eastAsia" w:ascii="仿宋" w:hAnsi="仿宋" w:eastAsia="仿宋" w:cs="仿宋"/>
          <w:color w:val="auto"/>
          <w:highlight w:val="none"/>
        </w:rPr>
        <w:fldChar w:fldCharType="end"/>
      </w:r>
    </w:p>
    <w:p w14:paraId="5CEC11E5">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_Toc18067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一、投标函</w:t>
      </w:r>
      <w:r>
        <w:rPr>
          <w:color w:val="auto"/>
          <w:highlight w:val="none"/>
        </w:rPr>
        <w:tab/>
      </w:r>
      <w:r>
        <w:rPr>
          <w:color w:val="auto"/>
          <w:highlight w:val="none"/>
        </w:rPr>
        <w:fldChar w:fldCharType="begin"/>
      </w:r>
      <w:r>
        <w:rPr>
          <w:color w:val="auto"/>
          <w:highlight w:val="none"/>
        </w:rPr>
        <w:instrText xml:space="preserve"> PAGEREF _Toc18067 \h </w:instrText>
      </w:r>
      <w:r>
        <w:rPr>
          <w:color w:val="auto"/>
          <w:highlight w:val="none"/>
        </w:rPr>
        <w:fldChar w:fldCharType="separate"/>
      </w:r>
      <w:r>
        <w:rPr>
          <w:color w:val="auto"/>
          <w:highlight w:val="none"/>
        </w:rPr>
        <w:t>53</w:t>
      </w:r>
      <w:r>
        <w:rPr>
          <w:color w:val="auto"/>
          <w:highlight w:val="none"/>
        </w:rPr>
        <w:fldChar w:fldCharType="end"/>
      </w:r>
      <w:r>
        <w:rPr>
          <w:rFonts w:hint="eastAsia" w:ascii="仿宋" w:hAnsi="仿宋" w:eastAsia="仿宋" w:cs="仿宋"/>
          <w:color w:val="auto"/>
          <w:highlight w:val="none"/>
        </w:rPr>
        <w:fldChar w:fldCharType="end"/>
      </w:r>
    </w:p>
    <w:p w14:paraId="431C353B">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_Toc21913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二、开标一览表</w:t>
      </w:r>
      <w:r>
        <w:rPr>
          <w:color w:val="auto"/>
          <w:highlight w:val="none"/>
        </w:rPr>
        <w:tab/>
      </w:r>
      <w:r>
        <w:rPr>
          <w:color w:val="auto"/>
          <w:highlight w:val="none"/>
        </w:rPr>
        <w:fldChar w:fldCharType="begin"/>
      </w:r>
      <w:r>
        <w:rPr>
          <w:color w:val="auto"/>
          <w:highlight w:val="none"/>
        </w:rPr>
        <w:instrText xml:space="preserve"> PAGEREF _Toc21913 \h </w:instrText>
      </w:r>
      <w:r>
        <w:rPr>
          <w:color w:val="auto"/>
          <w:highlight w:val="none"/>
        </w:rPr>
        <w:fldChar w:fldCharType="separate"/>
      </w:r>
      <w:r>
        <w:rPr>
          <w:color w:val="auto"/>
          <w:highlight w:val="none"/>
        </w:rPr>
        <w:t>54</w:t>
      </w:r>
      <w:r>
        <w:rPr>
          <w:color w:val="auto"/>
          <w:highlight w:val="none"/>
        </w:rPr>
        <w:fldChar w:fldCharType="end"/>
      </w:r>
      <w:r>
        <w:rPr>
          <w:rFonts w:hint="eastAsia" w:ascii="仿宋" w:hAnsi="仿宋" w:eastAsia="仿宋" w:cs="仿宋"/>
          <w:color w:val="auto"/>
          <w:highlight w:val="none"/>
        </w:rPr>
        <w:fldChar w:fldCharType="end"/>
      </w:r>
    </w:p>
    <w:p w14:paraId="106A8060">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_Toc9746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三、投标价格明细表</w:t>
      </w:r>
      <w:r>
        <w:rPr>
          <w:color w:val="auto"/>
          <w:highlight w:val="none"/>
        </w:rPr>
        <w:tab/>
      </w:r>
      <w:r>
        <w:rPr>
          <w:color w:val="auto"/>
          <w:highlight w:val="none"/>
        </w:rPr>
        <w:fldChar w:fldCharType="begin"/>
      </w:r>
      <w:r>
        <w:rPr>
          <w:color w:val="auto"/>
          <w:highlight w:val="none"/>
        </w:rPr>
        <w:instrText xml:space="preserve"> PAGEREF _Toc9746 \h </w:instrText>
      </w:r>
      <w:r>
        <w:rPr>
          <w:color w:val="auto"/>
          <w:highlight w:val="none"/>
        </w:rPr>
        <w:fldChar w:fldCharType="separate"/>
      </w:r>
      <w:r>
        <w:rPr>
          <w:color w:val="auto"/>
          <w:highlight w:val="none"/>
        </w:rPr>
        <w:t>55</w:t>
      </w:r>
      <w:r>
        <w:rPr>
          <w:color w:val="auto"/>
          <w:highlight w:val="none"/>
        </w:rPr>
        <w:fldChar w:fldCharType="end"/>
      </w:r>
      <w:r>
        <w:rPr>
          <w:rFonts w:hint="eastAsia" w:ascii="仿宋" w:hAnsi="仿宋" w:eastAsia="仿宋" w:cs="仿宋"/>
          <w:color w:val="auto"/>
          <w:highlight w:val="none"/>
        </w:rPr>
        <w:fldChar w:fldCharType="end"/>
      </w:r>
    </w:p>
    <w:p w14:paraId="1F21BCCB">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_Toc22264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四、商务条款偏离表</w:t>
      </w:r>
      <w:r>
        <w:rPr>
          <w:color w:val="auto"/>
          <w:highlight w:val="none"/>
        </w:rPr>
        <w:tab/>
      </w:r>
      <w:r>
        <w:rPr>
          <w:color w:val="auto"/>
          <w:highlight w:val="none"/>
        </w:rPr>
        <w:fldChar w:fldCharType="begin"/>
      </w:r>
      <w:r>
        <w:rPr>
          <w:color w:val="auto"/>
          <w:highlight w:val="none"/>
        </w:rPr>
        <w:instrText xml:space="preserve"> PAGEREF _Toc22264 \h </w:instrText>
      </w:r>
      <w:r>
        <w:rPr>
          <w:color w:val="auto"/>
          <w:highlight w:val="none"/>
        </w:rPr>
        <w:fldChar w:fldCharType="separate"/>
      </w:r>
      <w:r>
        <w:rPr>
          <w:color w:val="auto"/>
          <w:highlight w:val="none"/>
        </w:rPr>
        <w:t>56</w:t>
      </w:r>
      <w:r>
        <w:rPr>
          <w:color w:val="auto"/>
          <w:highlight w:val="none"/>
        </w:rPr>
        <w:fldChar w:fldCharType="end"/>
      </w:r>
      <w:r>
        <w:rPr>
          <w:rFonts w:hint="eastAsia" w:ascii="仿宋" w:hAnsi="仿宋" w:eastAsia="仿宋" w:cs="仿宋"/>
          <w:color w:val="auto"/>
          <w:highlight w:val="none"/>
        </w:rPr>
        <w:fldChar w:fldCharType="end"/>
      </w:r>
    </w:p>
    <w:p w14:paraId="0ECD57E7">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_Toc19585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五、技术条款偏离表</w:t>
      </w:r>
      <w:r>
        <w:rPr>
          <w:color w:val="auto"/>
          <w:highlight w:val="none"/>
        </w:rPr>
        <w:tab/>
      </w:r>
      <w:r>
        <w:rPr>
          <w:color w:val="auto"/>
          <w:highlight w:val="none"/>
        </w:rPr>
        <w:fldChar w:fldCharType="begin"/>
      </w:r>
      <w:r>
        <w:rPr>
          <w:color w:val="auto"/>
          <w:highlight w:val="none"/>
        </w:rPr>
        <w:instrText xml:space="preserve"> PAGEREF _Toc19585 \h </w:instrText>
      </w:r>
      <w:r>
        <w:rPr>
          <w:color w:val="auto"/>
          <w:highlight w:val="none"/>
        </w:rPr>
        <w:fldChar w:fldCharType="separate"/>
      </w:r>
      <w:r>
        <w:rPr>
          <w:color w:val="auto"/>
          <w:highlight w:val="none"/>
        </w:rPr>
        <w:t>57</w:t>
      </w:r>
      <w:r>
        <w:rPr>
          <w:color w:val="auto"/>
          <w:highlight w:val="none"/>
        </w:rPr>
        <w:fldChar w:fldCharType="end"/>
      </w:r>
      <w:r>
        <w:rPr>
          <w:rFonts w:hint="eastAsia" w:ascii="仿宋" w:hAnsi="仿宋" w:eastAsia="仿宋" w:cs="仿宋"/>
          <w:color w:val="auto"/>
          <w:highlight w:val="none"/>
        </w:rPr>
        <w:fldChar w:fldCharType="end"/>
      </w:r>
    </w:p>
    <w:p w14:paraId="0660BD6F">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_Toc17833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六、法定代表人身份证明书</w:t>
      </w:r>
      <w:r>
        <w:rPr>
          <w:color w:val="auto"/>
          <w:highlight w:val="none"/>
        </w:rPr>
        <w:tab/>
      </w:r>
      <w:r>
        <w:rPr>
          <w:color w:val="auto"/>
          <w:highlight w:val="none"/>
        </w:rPr>
        <w:fldChar w:fldCharType="begin"/>
      </w:r>
      <w:r>
        <w:rPr>
          <w:color w:val="auto"/>
          <w:highlight w:val="none"/>
        </w:rPr>
        <w:instrText xml:space="preserve"> PAGEREF _Toc17833 \h </w:instrText>
      </w:r>
      <w:r>
        <w:rPr>
          <w:color w:val="auto"/>
          <w:highlight w:val="none"/>
        </w:rPr>
        <w:fldChar w:fldCharType="separate"/>
      </w:r>
      <w:r>
        <w:rPr>
          <w:color w:val="auto"/>
          <w:highlight w:val="none"/>
        </w:rPr>
        <w:t>58</w:t>
      </w:r>
      <w:r>
        <w:rPr>
          <w:color w:val="auto"/>
          <w:highlight w:val="none"/>
        </w:rPr>
        <w:fldChar w:fldCharType="end"/>
      </w:r>
      <w:r>
        <w:rPr>
          <w:rFonts w:hint="eastAsia" w:ascii="仿宋" w:hAnsi="仿宋" w:eastAsia="仿宋" w:cs="仿宋"/>
          <w:color w:val="auto"/>
          <w:highlight w:val="none"/>
        </w:rPr>
        <w:fldChar w:fldCharType="end"/>
      </w:r>
    </w:p>
    <w:p w14:paraId="096E7319">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_Toc13722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七、法定代表人授权委托书</w:t>
      </w:r>
      <w:r>
        <w:rPr>
          <w:color w:val="auto"/>
          <w:highlight w:val="none"/>
        </w:rPr>
        <w:tab/>
      </w:r>
      <w:r>
        <w:rPr>
          <w:color w:val="auto"/>
          <w:highlight w:val="none"/>
        </w:rPr>
        <w:fldChar w:fldCharType="begin"/>
      </w:r>
      <w:r>
        <w:rPr>
          <w:color w:val="auto"/>
          <w:highlight w:val="none"/>
        </w:rPr>
        <w:instrText xml:space="preserve"> PAGEREF _Toc13722 \h </w:instrText>
      </w:r>
      <w:r>
        <w:rPr>
          <w:color w:val="auto"/>
          <w:highlight w:val="none"/>
        </w:rPr>
        <w:fldChar w:fldCharType="separate"/>
      </w:r>
      <w:r>
        <w:rPr>
          <w:color w:val="auto"/>
          <w:highlight w:val="none"/>
        </w:rPr>
        <w:t>59</w:t>
      </w:r>
      <w:r>
        <w:rPr>
          <w:color w:val="auto"/>
          <w:highlight w:val="none"/>
        </w:rPr>
        <w:fldChar w:fldCharType="end"/>
      </w:r>
      <w:r>
        <w:rPr>
          <w:rFonts w:hint="eastAsia" w:ascii="仿宋" w:hAnsi="仿宋" w:eastAsia="仿宋" w:cs="仿宋"/>
          <w:color w:val="auto"/>
          <w:highlight w:val="none"/>
        </w:rPr>
        <w:fldChar w:fldCharType="end"/>
      </w:r>
    </w:p>
    <w:p w14:paraId="68C18AD8">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_Toc22909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八、投标人基本情况</w:t>
      </w:r>
      <w:r>
        <w:rPr>
          <w:color w:val="auto"/>
          <w:highlight w:val="none"/>
        </w:rPr>
        <w:tab/>
      </w:r>
      <w:r>
        <w:rPr>
          <w:color w:val="auto"/>
          <w:highlight w:val="none"/>
        </w:rPr>
        <w:fldChar w:fldCharType="begin"/>
      </w:r>
      <w:r>
        <w:rPr>
          <w:color w:val="auto"/>
          <w:highlight w:val="none"/>
        </w:rPr>
        <w:instrText xml:space="preserve"> PAGEREF _Toc22909 \h </w:instrText>
      </w:r>
      <w:r>
        <w:rPr>
          <w:color w:val="auto"/>
          <w:highlight w:val="none"/>
        </w:rPr>
        <w:fldChar w:fldCharType="separate"/>
      </w:r>
      <w:r>
        <w:rPr>
          <w:color w:val="auto"/>
          <w:highlight w:val="none"/>
        </w:rPr>
        <w:t>60</w:t>
      </w:r>
      <w:r>
        <w:rPr>
          <w:color w:val="auto"/>
          <w:highlight w:val="none"/>
        </w:rPr>
        <w:fldChar w:fldCharType="end"/>
      </w:r>
      <w:r>
        <w:rPr>
          <w:rFonts w:hint="eastAsia" w:ascii="仿宋" w:hAnsi="仿宋" w:eastAsia="仿宋" w:cs="仿宋"/>
          <w:color w:val="auto"/>
          <w:highlight w:val="none"/>
        </w:rPr>
        <w:fldChar w:fldCharType="end"/>
      </w:r>
    </w:p>
    <w:p w14:paraId="0C5D3CB0">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_Toc16611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8.1法人或者其他组织的营业执照等证明文件，自然人的身份证明</w:t>
      </w:r>
      <w:r>
        <w:rPr>
          <w:color w:val="auto"/>
          <w:highlight w:val="none"/>
        </w:rPr>
        <w:tab/>
      </w:r>
      <w:r>
        <w:rPr>
          <w:color w:val="auto"/>
          <w:highlight w:val="none"/>
        </w:rPr>
        <w:fldChar w:fldCharType="begin"/>
      </w:r>
      <w:r>
        <w:rPr>
          <w:color w:val="auto"/>
          <w:highlight w:val="none"/>
        </w:rPr>
        <w:instrText xml:space="preserve"> PAGEREF _Toc16611 \h </w:instrText>
      </w:r>
      <w:r>
        <w:rPr>
          <w:color w:val="auto"/>
          <w:highlight w:val="none"/>
        </w:rPr>
        <w:fldChar w:fldCharType="separate"/>
      </w:r>
      <w:r>
        <w:rPr>
          <w:color w:val="auto"/>
          <w:highlight w:val="none"/>
        </w:rPr>
        <w:t>61</w:t>
      </w:r>
      <w:r>
        <w:rPr>
          <w:color w:val="auto"/>
          <w:highlight w:val="none"/>
        </w:rPr>
        <w:fldChar w:fldCharType="end"/>
      </w:r>
      <w:r>
        <w:rPr>
          <w:rFonts w:hint="eastAsia" w:ascii="仿宋" w:hAnsi="仿宋" w:eastAsia="仿宋" w:cs="仿宋"/>
          <w:color w:val="auto"/>
          <w:highlight w:val="none"/>
        </w:rPr>
        <w:fldChar w:fldCharType="end"/>
      </w:r>
    </w:p>
    <w:p w14:paraId="6D7E3548">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_Toc18165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8.2财务状况报告，依法缴纳税收和社会保障资金的相关材料</w:t>
      </w:r>
      <w:r>
        <w:rPr>
          <w:color w:val="auto"/>
          <w:highlight w:val="none"/>
        </w:rPr>
        <w:tab/>
      </w:r>
      <w:r>
        <w:rPr>
          <w:color w:val="auto"/>
          <w:highlight w:val="none"/>
        </w:rPr>
        <w:fldChar w:fldCharType="begin"/>
      </w:r>
      <w:r>
        <w:rPr>
          <w:color w:val="auto"/>
          <w:highlight w:val="none"/>
        </w:rPr>
        <w:instrText xml:space="preserve"> PAGEREF _Toc18165 \h </w:instrText>
      </w:r>
      <w:r>
        <w:rPr>
          <w:color w:val="auto"/>
          <w:highlight w:val="none"/>
        </w:rPr>
        <w:fldChar w:fldCharType="separate"/>
      </w:r>
      <w:r>
        <w:rPr>
          <w:color w:val="auto"/>
          <w:highlight w:val="none"/>
        </w:rPr>
        <w:t>62</w:t>
      </w:r>
      <w:r>
        <w:rPr>
          <w:color w:val="auto"/>
          <w:highlight w:val="none"/>
        </w:rPr>
        <w:fldChar w:fldCharType="end"/>
      </w:r>
      <w:r>
        <w:rPr>
          <w:rFonts w:hint="eastAsia" w:ascii="仿宋" w:hAnsi="仿宋" w:eastAsia="仿宋" w:cs="仿宋"/>
          <w:color w:val="auto"/>
          <w:highlight w:val="none"/>
        </w:rPr>
        <w:fldChar w:fldCharType="end"/>
      </w:r>
    </w:p>
    <w:p w14:paraId="3A60A4AD">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_Toc8098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8.3具备履行合同所必需的设备和专业技术能力的证明材料</w:t>
      </w:r>
      <w:r>
        <w:rPr>
          <w:color w:val="auto"/>
          <w:highlight w:val="none"/>
        </w:rPr>
        <w:tab/>
      </w:r>
      <w:r>
        <w:rPr>
          <w:color w:val="auto"/>
          <w:highlight w:val="none"/>
        </w:rPr>
        <w:fldChar w:fldCharType="begin"/>
      </w:r>
      <w:r>
        <w:rPr>
          <w:color w:val="auto"/>
          <w:highlight w:val="none"/>
        </w:rPr>
        <w:instrText xml:space="preserve"> PAGEREF _Toc8098 \h </w:instrText>
      </w:r>
      <w:r>
        <w:rPr>
          <w:color w:val="auto"/>
          <w:highlight w:val="none"/>
        </w:rPr>
        <w:fldChar w:fldCharType="separate"/>
      </w:r>
      <w:r>
        <w:rPr>
          <w:color w:val="auto"/>
          <w:highlight w:val="none"/>
        </w:rPr>
        <w:t>63</w:t>
      </w:r>
      <w:r>
        <w:rPr>
          <w:color w:val="auto"/>
          <w:highlight w:val="none"/>
        </w:rPr>
        <w:fldChar w:fldCharType="end"/>
      </w:r>
      <w:r>
        <w:rPr>
          <w:rFonts w:hint="eastAsia" w:ascii="仿宋" w:hAnsi="仿宋" w:eastAsia="仿宋" w:cs="仿宋"/>
          <w:color w:val="auto"/>
          <w:highlight w:val="none"/>
        </w:rPr>
        <w:fldChar w:fldCharType="end"/>
      </w:r>
    </w:p>
    <w:p w14:paraId="48F8F34F">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_Toc13792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8.4参加政府采购活动前3年内在经营活动中没有重大违法记录的书面声明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_Toc13792 \h </w:instrText>
      </w:r>
      <w:r>
        <w:rPr>
          <w:color w:val="auto"/>
          <w:highlight w:val="none"/>
        </w:rPr>
        <w:fldChar w:fldCharType="separate"/>
      </w:r>
      <w:r>
        <w:rPr>
          <w:color w:val="auto"/>
          <w:highlight w:val="none"/>
        </w:rPr>
        <w:t>64</w:t>
      </w:r>
      <w:r>
        <w:rPr>
          <w:color w:val="auto"/>
          <w:highlight w:val="none"/>
        </w:rPr>
        <w:fldChar w:fldCharType="end"/>
      </w:r>
      <w:r>
        <w:rPr>
          <w:rFonts w:hint="eastAsia" w:ascii="仿宋" w:hAnsi="仿宋" w:eastAsia="仿宋" w:cs="仿宋"/>
          <w:color w:val="auto"/>
          <w:highlight w:val="none"/>
        </w:rPr>
        <w:fldChar w:fldCharType="end"/>
      </w:r>
    </w:p>
    <w:p w14:paraId="316141BA">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_Toc12167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8.5具备法律、行政法规规定的其他条件的证明材料</w:t>
      </w:r>
      <w:r>
        <w:rPr>
          <w:color w:val="auto"/>
          <w:highlight w:val="none"/>
        </w:rPr>
        <w:tab/>
      </w:r>
      <w:r>
        <w:rPr>
          <w:color w:val="auto"/>
          <w:highlight w:val="none"/>
        </w:rPr>
        <w:fldChar w:fldCharType="begin"/>
      </w:r>
      <w:r>
        <w:rPr>
          <w:color w:val="auto"/>
          <w:highlight w:val="none"/>
        </w:rPr>
        <w:instrText xml:space="preserve"> PAGEREF _Toc12167 \h </w:instrText>
      </w:r>
      <w:r>
        <w:rPr>
          <w:color w:val="auto"/>
          <w:highlight w:val="none"/>
        </w:rPr>
        <w:fldChar w:fldCharType="separate"/>
      </w:r>
      <w:r>
        <w:rPr>
          <w:color w:val="auto"/>
          <w:highlight w:val="none"/>
        </w:rPr>
        <w:t>65</w:t>
      </w:r>
      <w:r>
        <w:rPr>
          <w:color w:val="auto"/>
          <w:highlight w:val="none"/>
        </w:rPr>
        <w:fldChar w:fldCharType="end"/>
      </w:r>
      <w:r>
        <w:rPr>
          <w:rFonts w:hint="eastAsia" w:ascii="仿宋" w:hAnsi="仿宋" w:eastAsia="仿宋" w:cs="仿宋"/>
          <w:color w:val="auto"/>
          <w:highlight w:val="none"/>
        </w:rPr>
        <w:fldChar w:fldCharType="end"/>
      </w:r>
    </w:p>
    <w:p w14:paraId="3E3039DE">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_Toc30180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九、</w:t>
      </w:r>
      <w:r>
        <w:rPr>
          <w:rFonts w:hint="eastAsia" w:ascii="仿宋" w:hAnsi="仿宋" w:eastAsia="仿宋" w:cs="仿宋"/>
          <w:bCs/>
          <w:color w:val="auto"/>
          <w:szCs w:val="24"/>
          <w:highlight w:val="none"/>
          <w:shd w:val="clear" w:color="auto" w:fill="FFFFFF" w:themeFill="background1"/>
        </w:rPr>
        <w:t>投标人近三年类似项目业绩表</w:t>
      </w:r>
      <w:r>
        <w:rPr>
          <w:color w:val="auto"/>
          <w:highlight w:val="none"/>
        </w:rPr>
        <w:tab/>
      </w:r>
      <w:r>
        <w:rPr>
          <w:color w:val="auto"/>
          <w:highlight w:val="none"/>
        </w:rPr>
        <w:fldChar w:fldCharType="begin"/>
      </w:r>
      <w:r>
        <w:rPr>
          <w:color w:val="auto"/>
          <w:highlight w:val="none"/>
        </w:rPr>
        <w:instrText xml:space="preserve"> PAGEREF _Toc30180 \h </w:instrText>
      </w:r>
      <w:r>
        <w:rPr>
          <w:color w:val="auto"/>
          <w:highlight w:val="none"/>
        </w:rPr>
        <w:fldChar w:fldCharType="separate"/>
      </w:r>
      <w:r>
        <w:rPr>
          <w:color w:val="auto"/>
          <w:highlight w:val="none"/>
        </w:rPr>
        <w:t>68</w:t>
      </w:r>
      <w:r>
        <w:rPr>
          <w:color w:val="auto"/>
          <w:highlight w:val="none"/>
        </w:rPr>
        <w:fldChar w:fldCharType="end"/>
      </w:r>
      <w:r>
        <w:rPr>
          <w:rFonts w:hint="eastAsia" w:ascii="仿宋" w:hAnsi="仿宋" w:eastAsia="仿宋" w:cs="仿宋"/>
          <w:color w:val="auto"/>
          <w:highlight w:val="none"/>
        </w:rPr>
        <w:fldChar w:fldCharType="end"/>
      </w:r>
    </w:p>
    <w:p w14:paraId="5183445A">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_Toc3975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w:t>
      </w:r>
      <w:r>
        <w:rPr>
          <w:rFonts w:hint="eastAsia" w:ascii="仿宋" w:hAnsi="仿宋" w:eastAsia="仿宋" w:cs="仿宋"/>
          <w:bCs/>
          <w:color w:val="auto"/>
          <w:szCs w:val="24"/>
          <w:highlight w:val="none"/>
          <w:shd w:val="clear" w:color="auto" w:fill="FFFFFF" w:themeFill="background1"/>
        </w:rPr>
        <w:t>项目负责人简历表</w:t>
      </w:r>
      <w:r>
        <w:rPr>
          <w:color w:val="auto"/>
          <w:highlight w:val="none"/>
        </w:rPr>
        <w:tab/>
      </w:r>
      <w:r>
        <w:rPr>
          <w:color w:val="auto"/>
          <w:highlight w:val="none"/>
        </w:rPr>
        <w:fldChar w:fldCharType="begin"/>
      </w:r>
      <w:r>
        <w:rPr>
          <w:color w:val="auto"/>
          <w:highlight w:val="none"/>
        </w:rPr>
        <w:instrText xml:space="preserve"> PAGEREF _Toc3975 \h </w:instrText>
      </w:r>
      <w:r>
        <w:rPr>
          <w:color w:val="auto"/>
          <w:highlight w:val="none"/>
        </w:rPr>
        <w:fldChar w:fldCharType="separate"/>
      </w:r>
      <w:r>
        <w:rPr>
          <w:color w:val="auto"/>
          <w:highlight w:val="none"/>
        </w:rPr>
        <w:t>69</w:t>
      </w:r>
      <w:r>
        <w:rPr>
          <w:color w:val="auto"/>
          <w:highlight w:val="none"/>
        </w:rPr>
        <w:fldChar w:fldCharType="end"/>
      </w:r>
      <w:r>
        <w:rPr>
          <w:rFonts w:hint="eastAsia" w:ascii="仿宋" w:hAnsi="仿宋" w:eastAsia="仿宋" w:cs="仿宋"/>
          <w:color w:val="auto"/>
          <w:highlight w:val="none"/>
        </w:rPr>
        <w:fldChar w:fldCharType="end"/>
      </w:r>
    </w:p>
    <w:p w14:paraId="5A402350">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_Toc10335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shd w:val="clear" w:color="auto" w:fill="FFFFFF" w:themeFill="background1"/>
        </w:rPr>
        <w:t>十一、拟派本项目服务人员情况表</w:t>
      </w:r>
      <w:r>
        <w:rPr>
          <w:color w:val="auto"/>
          <w:highlight w:val="none"/>
        </w:rPr>
        <w:tab/>
      </w:r>
      <w:r>
        <w:rPr>
          <w:color w:val="auto"/>
          <w:highlight w:val="none"/>
        </w:rPr>
        <w:fldChar w:fldCharType="begin"/>
      </w:r>
      <w:r>
        <w:rPr>
          <w:color w:val="auto"/>
          <w:highlight w:val="none"/>
        </w:rPr>
        <w:instrText xml:space="preserve"> PAGEREF _Toc10335 \h </w:instrText>
      </w:r>
      <w:r>
        <w:rPr>
          <w:color w:val="auto"/>
          <w:highlight w:val="none"/>
        </w:rPr>
        <w:fldChar w:fldCharType="separate"/>
      </w:r>
      <w:r>
        <w:rPr>
          <w:color w:val="auto"/>
          <w:highlight w:val="none"/>
        </w:rPr>
        <w:t>70</w:t>
      </w:r>
      <w:r>
        <w:rPr>
          <w:color w:val="auto"/>
          <w:highlight w:val="none"/>
        </w:rPr>
        <w:fldChar w:fldCharType="end"/>
      </w:r>
      <w:r>
        <w:rPr>
          <w:rFonts w:hint="eastAsia" w:ascii="仿宋" w:hAnsi="仿宋" w:eastAsia="仿宋" w:cs="仿宋"/>
          <w:color w:val="auto"/>
          <w:highlight w:val="none"/>
        </w:rPr>
        <w:fldChar w:fldCharType="end"/>
      </w:r>
    </w:p>
    <w:p w14:paraId="7DE54E42">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_Toc26818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十二、</w:t>
      </w:r>
      <w:r>
        <w:rPr>
          <w:rFonts w:hint="eastAsia" w:ascii="仿宋" w:hAnsi="仿宋" w:eastAsia="仿宋" w:cs="仿宋"/>
          <w:bCs/>
          <w:color w:val="auto"/>
          <w:szCs w:val="24"/>
          <w:highlight w:val="none"/>
          <w:shd w:val="clear" w:color="auto" w:fill="FFFFFF" w:themeFill="background1"/>
        </w:rPr>
        <w:t>服务方案</w:t>
      </w:r>
      <w:r>
        <w:rPr>
          <w:color w:val="auto"/>
          <w:highlight w:val="none"/>
        </w:rPr>
        <w:tab/>
      </w:r>
      <w:r>
        <w:rPr>
          <w:color w:val="auto"/>
          <w:highlight w:val="none"/>
        </w:rPr>
        <w:fldChar w:fldCharType="begin"/>
      </w:r>
      <w:r>
        <w:rPr>
          <w:color w:val="auto"/>
          <w:highlight w:val="none"/>
        </w:rPr>
        <w:instrText xml:space="preserve"> PAGEREF _Toc26818 \h </w:instrText>
      </w:r>
      <w:r>
        <w:rPr>
          <w:color w:val="auto"/>
          <w:highlight w:val="none"/>
        </w:rPr>
        <w:fldChar w:fldCharType="separate"/>
      </w:r>
      <w:r>
        <w:rPr>
          <w:color w:val="auto"/>
          <w:highlight w:val="none"/>
        </w:rPr>
        <w:t>71</w:t>
      </w:r>
      <w:r>
        <w:rPr>
          <w:color w:val="auto"/>
          <w:highlight w:val="none"/>
        </w:rPr>
        <w:fldChar w:fldCharType="end"/>
      </w:r>
      <w:r>
        <w:rPr>
          <w:rFonts w:hint="eastAsia" w:ascii="仿宋" w:hAnsi="仿宋" w:eastAsia="仿宋" w:cs="仿宋"/>
          <w:color w:val="auto"/>
          <w:highlight w:val="none"/>
        </w:rPr>
        <w:fldChar w:fldCharType="end"/>
      </w:r>
    </w:p>
    <w:p w14:paraId="2A29F2A8">
      <w:pPr>
        <w:pStyle w:val="3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_Toc4676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十三、其他需要提交的资料</w:t>
      </w:r>
      <w:r>
        <w:rPr>
          <w:color w:val="auto"/>
          <w:highlight w:val="none"/>
        </w:rPr>
        <w:tab/>
      </w:r>
      <w:r>
        <w:rPr>
          <w:color w:val="auto"/>
          <w:highlight w:val="none"/>
        </w:rPr>
        <w:fldChar w:fldCharType="begin"/>
      </w:r>
      <w:r>
        <w:rPr>
          <w:color w:val="auto"/>
          <w:highlight w:val="none"/>
        </w:rPr>
        <w:instrText xml:space="preserve"> PAGEREF _Toc4676 \h </w:instrText>
      </w:r>
      <w:r>
        <w:rPr>
          <w:color w:val="auto"/>
          <w:highlight w:val="none"/>
        </w:rPr>
        <w:fldChar w:fldCharType="separate"/>
      </w:r>
      <w:r>
        <w:rPr>
          <w:color w:val="auto"/>
          <w:highlight w:val="none"/>
        </w:rPr>
        <w:t>71</w:t>
      </w:r>
      <w:r>
        <w:rPr>
          <w:color w:val="auto"/>
          <w:highlight w:val="none"/>
        </w:rPr>
        <w:fldChar w:fldCharType="end"/>
      </w:r>
      <w:r>
        <w:rPr>
          <w:rFonts w:hint="eastAsia" w:ascii="仿宋" w:hAnsi="仿宋" w:eastAsia="仿宋" w:cs="仿宋"/>
          <w:color w:val="auto"/>
          <w:highlight w:val="none"/>
        </w:rPr>
        <w:fldChar w:fldCharType="end"/>
      </w:r>
    </w:p>
    <w:p w14:paraId="26DAA57B">
      <w:pPr>
        <w:pStyle w:val="26"/>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_Toc29549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color w:val="auto"/>
          <w:highlight w:val="none"/>
        </w:rPr>
        <w:tab/>
      </w:r>
      <w:r>
        <w:rPr>
          <w:color w:val="auto"/>
          <w:highlight w:val="none"/>
        </w:rPr>
        <w:fldChar w:fldCharType="begin"/>
      </w:r>
      <w:r>
        <w:rPr>
          <w:color w:val="auto"/>
          <w:highlight w:val="none"/>
        </w:rPr>
        <w:instrText xml:space="preserve"> PAGEREF _Toc29549 \h </w:instrText>
      </w:r>
      <w:r>
        <w:rPr>
          <w:color w:val="auto"/>
          <w:highlight w:val="none"/>
        </w:rPr>
        <w:fldChar w:fldCharType="separate"/>
      </w:r>
      <w:r>
        <w:rPr>
          <w:color w:val="auto"/>
          <w:highlight w:val="none"/>
        </w:rPr>
        <w:t>72</w:t>
      </w:r>
      <w:r>
        <w:rPr>
          <w:color w:val="auto"/>
          <w:highlight w:val="none"/>
        </w:rPr>
        <w:fldChar w:fldCharType="end"/>
      </w:r>
      <w:r>
        <w:rPr>
          <w:rFonts w:hint="eastAsia" w:ascii="仿宋" w:hAnsi="仿宋" w:eastAsia="仿宋" w:cs="仿宋"/>
          <w:color w:val="auto"/>
          <w:highlight w:val="none"/>
        </w:rPr>
        <w:fldChar w:fldCharType="end"/>
      </w:r>
    </w:p>
    <w:p w14:paraId="72589406">
      <w:pPr>
        <w:pStyle w:val="26"/>
        <w:tabs>
          <w:tab w:val="right" w:leader="dot" w:pos="9344"/>
        </w:tabs>
        <w:spacing w:line="276" w:lineRule="auto"/>
        <w:rPr>
          <w:rFonts w:hint="eastAsia" w:ascii="仿宋" w:hAnsi="仿宋" w:eastAsia="仿宋" w:cs="仿宋"/>
          <w:b/>
          <w:bCs/>
          <w:color w:val="auto"/>
          <w:highlight w:val="none"/>
        </w:rPr>
        <w:sectPr>
          <w:footerReference r:id="rId6" w:type="first"/>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color w:val="auto"/>
          <w:highlight w:val="none"/>
        </w:rPr>
        <w:fldChar w:fldCharType="end"/>
      </w:r>
    </w:p>
    <w:p w14:paraId="7A518CD3">
      <w:pPr>
        <w:keepNext/>
        <w:widowControl/>
        <w:spacing w:after="120" w:afterLines="50"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新疆维吾尔自治区地质局昌吉地质大队2026年机械租赁服务项目（槽探开挖及回填、道路平整及维护）</w:t>
      </w:r>
      <w:r>
        <w:rPr>
          <w:rFonts w:hint="eastAsia" w:ascii="仿宋" w:hAnsi="仿宋" w:eastAsia="仿宋" w:cs="仿宋"/>
          <w:b/>
          <w:bCs/>
          <w:color w:val="auto"/>
          <w:sz w:val="28"/>
          <w:szCs w:val="28"/>
          <w:highlight w:val="none"/>
        </w:rPr>
        <w:t>公开招标公告</w:t>
      </w:r>
    </w:p>
    <w:p w14:paraId="1A38DB6B">
      <w:pPr>
        <w:widowControl/>
        <w:spacing w:before="60" w:after="6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项目概况</w:t>
      </w:r>
    </w:p>
    <w:p w14:paraId="78B16DD9">
      <w:pPr>
        <w:keepNext w:val="0"/>
        <w:keepLines w:val="0"/>
        <w:pageBreakBefore w:val="0"/>
        <w:widowControl/>
        <w:kinsoku/>
        <w:wordWrap w:val="0"/>
        <w:overflowPunct/>
        <w:topLinePunct w:val="0"/>
        <w:autoSpaceDE/>
        <w:autoSpaceDN/>
        <w:bidi w:val="0"/>
        <w:adjustRightInd/>
        <w:snapToGrid/>
        <w:spacing w:before="60" w:after="60"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新疆维吾尔自治区地质局昌吉地质大队2026年机械租赁服务项目（槽探开挖及回填、道路平整及维护）</w:t>
      </w:r>
      <w:r>
        <w:rPr>
          <w:rFonts w:hint="eastAsia" w:ascii="仿宋" w:hAnsi="仿宋" w:eastAsia="仿宋" w:cs="仿宋"/>
          <w:color w:val="auto"/>
          <w:kern w:val="0"/>
          <w:sz w:val="24"/>
          <w:szCs w:val="24"/>
          <w:highlight w:val="none"/>
        </w:rPr>
        <w:t xml:space="preserve"> 招标项目的潜在投标人应在政采云平台http://www.zcygov.cn获取招标文件，并于</w:t>
      </w:r>
      <w:r>
        <w:rPr>
          <w:rFonts w:hint="eastAsia" w:ascii="仿宋" w:hAnsi="仿宋" w:eastAsia="仿宋" w:cs="仿宋"/>
          <w:color w:val="FF0000"/>
          <w:kern w:val="0"/>
          <w:sz w:val="24"/>
          <w:szCs w:val="24"/>
          <w:highlight w:val="none"/>
          <w:lang w:eastAsia="zh-CN"/>
        </w:rPr>
        <w:t>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lang w:eastAsia="zh-CN"/>
        </w:rPr>
        <w:t>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13</w:t>
      </w:r>
      <w:r>
        <w:rPr>
          <w:rFonts w:hint="eastAsia" w:ascii="仿宋" w:hAnsi="仿宋" w:eastAsia="仿宋" w:cs="仿宋"/>
          <w:color w:val="FF0000"/>
          <w:kern w:val="0"/>
          <w:sz w:val="24"/>
          <w:szCs w:val="24"/>
          <w:highlight w:val="none"/>
          <w:lang w:eastAsia="zh-CN"/>
        </w:rPr>
        <w:t>日11:00（北京时间）</w:t>
      </w:r>
      <w:r>
        <w:rPr>
          <w:rFonts w:hint="eastAsia" w:ascii="仿宋" w:hAnsi="仿宋" w:eastAsia="仿宋" w:cs="仿宋"/>
          <w:color w:val="auto"/>
          <w:kern w:val="0"/>
          <w:sz w:val="24"/>
          <w:szCs w:val="24"/>
          <w:highlight w:val="none"/>
        </w:rPr>
        <w:t>前递交投标文件。</w:t>
      </w:r>
    </w:p>
    <w:p w14:paraId="359659DB">
      <w:pPr>
        <w:widowControl/>
        <w:spacing w:before="60" w:after="60"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一、项目基本情况</w:t>
      </w:r>
    </w:p>
    <w:p w14:paraId="777A13B6">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招标方式：公开招标</w:t>
      </w:r>
    </w:p>
    <w:p w14:paraId="4ECCDB28">
      <w:pPr>
        <w:widowControl/>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项目编号：</w:t>
      </w:r>
      <w:r>
        <w:rPr>
          <w:rFonts w:hint="eastAsia" w:ascii="仿宋" w:hAnsi="仿宋" w:eastAsia="仿宋" w:cs="仿宋"/>
          <w:color w:val="auto"/>
          <w:kern w:val="0"/>
          <w:sz w:val="24"/>
          <w:szCs w:val="24"/>
          <w:highlight w:val="none"/>
          <w:lang w:val="en-US" w:eastAsia="zh-CN"/>
        </w:rPr>
        <w:t xml:space="preserve">XJXSJ-2026(ZC)-191 </w:t>
      </w:r>
    </w:p>
    <w:p w14:paraId="4AA1351C">
      <w:pPr>
        <w:widowControl/>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kern w:val="0"/>
          <w:sz w:val="24"/>
          <w:szCs w:val="24"/>
          <w:highlight w:val="none"/>
          <w:lang w:eastAsia="zh-CN"/>
        </w:rPr>
        <w:t>新疆维吾尔自治区地质局昌吉地质大队2026年机械租赁服务项目（槽探开挖及回填、道路平整及维护）</w:t>
      </w:r>
    </w:p>
    <w:p w14:paraId="51F57397">
      <w:pPr>
        <w:widowControl/>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预算金额（元）：</w:t>
      </w:r>
      <w:r>
        <w:rPr>
          <w:rFonts w:hint="eastAsia" w:ascii="仿宋" w:hAnsi="仿宋" w:eastAsia="仿宋" w:cs="仿宋"/>
          <w:color w:val="auto"/>
          <w:kern w:val="0"/>
          <w:sz w:val="24"/>
          <w:szCs w:val="24"/>
          <w:highlight w:val="none"/>
          <w:lang w:val="en-US" w:eastAsia="zh-CN"/>
        </w:rPr>
        <w:t>1747700</w:t>
      </w:r>
    </w:p>
    <w:p w14:paraId="7AFCBB91">
      <w:pPr>
        <w:widowControl/>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最高限价（元）：</w:t>
      </w:r>
      <w:r>
        <w:rPr>
          <w:rFonts w:hint="eastAsia" w:ascii="仿宋" w:hAnsi="仿宋" w:eastAsia="仿宋" w:cs="仿宋"/>
          <w:color w:val="auto"/>
          <w:kern w:val="0"/>
          <w:sz w:val="24"/>
          <w:szCs w:val="24"/>
          <w:highlight w:val="none"/>
          <w:lang w:val="en-US" w:eastAsia="zh-CN"/>
        </w:rPr>
        <w:t>1177900、569800；</w:t>
      </w:r>
    </w:p>
    <w:p w14:paraId="4452C106">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采购需求：</w:t>
      </w:r>
    </w:p>
    <w:p w14:paraId="4B58211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
          <w:bCs/>
          <w:kern w:val="0"/>
          <w:sz w:val="24"/>
          <w:szCs w:val="24"/>
          <w:highlight w:val="none"/>
        </w:rPr>
        <w:t>标项</w:t>
      </w:r>
      <w:r>
        <w:rPr>
          <w:rFonts w:hint="eastAsia" w:ascii="仿宋" w:hAnsi="仿宋" w:eastAsia="仿宋" w:cs="仿宋"/>
          <w:b/>
          <w:bCs/>
          <w:kern w:val="0"/>
          <w:sz w:val="24"/>
          <w:szCs w:val="24"/>
          <w:highlight w:val="none"/>
          <w:lang w:val="en-US" w:eastAsia="zh-CN"/>
        </w:rPr>
        <w:t>一</w:t>
      </w:r>
      <w:r>
        <w:rPr>
          <w:rFonts w:hint="eastAsia" w:ascii="仿宋" w:hAnsi="仿宋" w:eastAsia="仿宋" w:cs="仿宋"/>
          <w:color w:val="auto"/>
          <w:kern w:val="0"/>
          <w:sz w:val="24"/>
          <w:szCs w:val="24"/>
          <w:highlight w:val="none"/>
        </w:rPr>
        <w:tab/>
      </w:r>
    </w:p>
    <w:p w14:paraId="6D8C217B">
      <w:pPr>
        <w:widowControl/>
        <w:tabs>
          <w:tab w:val="left" w:pos="7125"/>
        </w:tabs>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标项名称:</w:t>
      </w:r>
      <w:r>
        <w:rPr>
          <w:rFonts w:hint="eastAsia" w:ascii="仿宋" w:hAnsi="仿宋" w:eastAsia="仿宋" w:cs="仿宋"/>
          <w:color w:val="auto"/>
          <w:kern w:val="0"/>
          <w:sz w:val="24"/>
          <w:szCs w:val="24"/>
          <w:highlight w:val="none"/>
          <w:lang w:eastAsia="zh-CN"/>
        </w:rPr>
        <w:t>新疆维吾尔自治区地质局昌吉地质大队2026年机械租赁服务项目（槽探开挖及回填、道路平整及维护）</w:t>
      </w:r>
      <w:r>
        <w:rPr>
          <w:rFonts w:hint="eastAsia" w:ascii="仿宋" w:hAnsi="仿宋" w:eastAsia="仿宋" w:cs="仿宋"/>
          <w:color w:val="auto"/>
          <w:kern w:val="0"/>
          <w:sz w:val="24"/>
          <w:szCs w:val="24"/>
          <w:highlight w:val="none"/>
          <w:lang w:val="en-US" w:eastAsia="zh-CN"/>
        </w:rPr>
        <w:t>第1包</w:t>
      </w:r>
    </w:p>
    <w:p w14:paraId="2713A2B4">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数量:不限</w:t>
      </w:r>
    </w:p>
    <w:p w14:paraId="5466C7D6">
      <w:pPr>
        <w:widowControl/>
        <w:tabs>
          <w:tab w:val="left" w:pos="7125"/>
        </w:tabs>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预算金额（元）: </w:t>
      </w:r>
      <w:r>
        <w:rPr>
          <w:rFonts w:hint="eastAsia" w:ascii="仿宋" w:hAnsi="仿宋" w:eastAsia="仿宋" w:cs="仿宋"/>
          <w:color w:val="auto"/>
          <w:kern w:val="0"/>
          <w:sz w:val="24"/>
          <w:szCs w:val="24"/>
          <w:highlight w:val="none"/>
          <w:lang w:val="en-US" w:eastAsia="zh-CN"/>
        </w:rPr>
        <w:t>1177900</w:t>
      </w:r>
    </w:p>
    <w:p w14:paraId="5F2A848E">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简要规格描述或项目基本概况介绍、用途：</w:t>
      </w:r>
      <w:r>
        <w:rPr>
          <w:rFonts w:hint="eastAsia" w:ascii="仿宋" w:hAnsi="仿宋" w:eastAsia="仿宋" w:cs="仿宋"/>
          <w:kern w:val="0"/>
          <w:sz w:val="24"/>
          <w:szCs w:val="24"/>
          <w:highlight w:val="none"/>
          <w:lang w:bidi="ar"/>
        </w:rPr>
        <w:t>新疆</w:t>
      </w:r>
      <w:r>
        <w:rPr>
          <w:rFonts w:hint="eastAsia" w:ascii="仿宋" w:hAnsi="仿宋" w:eastAsia="仿宋" w:cs="仿宋"/>
          <w:kern w:val="0"/>
          <w:sz w:val="24"/>
          <w:szCs w:val="24"/>
          <w:highlight w:val="none"/>
          <w:lang w:val="en-US" w:eastAsia="zh-CN" w:bidi="ar"/>
        </w:rPr>
        <w:t>和静县乌龙沟一带铜锌矿</w:t>
      </w:r>
      <w:r>
        <w:rPr>
          <w:rFonts w:hint="eastAsia" w:ascii="仿宋" w:hAnsi="仿宋" w:eastAsia="仿宋" w:cs="仿宋"/>
          <w:kern w:val="0"/>
          <w:sz w:val="24"/>
          <w:szCs w:val="24"/>
          <w:highlight w:val="none"/>
          <w:lang w:bidi="ar"/>
        </w:rPr>
        <w:t>普查</w:t>
      </w:r>
      <w:r>
        <w:rPr>
          <w:rFonts w:hint="eastAsia" w:ascii="仿宋" w:hAnsi="仿宋" w:eastAsia="仿宋" w:cs="仿宋"/>
          <w:kern w:val="0"/>
          <w:sz w:val="24"/>
          <w:szCs w:val="24"/>
          <w:highlight w:val="none"/>
          <w:lang w:eastAsia="zh-CN" w:bidi="ar"/>
        </w:rPr>
        <w:t>、</w:t>
      </w:r>
      <w:r>
        <w:rPr>
          <w:rFonts w:hint="eastAsia" w:ascii="仿宋" w:hAnsi="仿宋" w:eastAsia="仿宋" w:cs="仿宋"/>
          <w:kern w:val="0"/>
          <w:sz w:val="24"/>
          <w:szCs w:val="24"/>
          <w:lang w:bidi="ar"/>
        </w:rPr>
        <w:t>新疆和静县-托克逊县乌拉苏-阿拉沟一带金铜多金属矿普查</w:t>
      </w: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highlight w:val="none"/>
          <w:lang w:bidi="ar"/>
        </w:rPr>
        <w:t>新疆</w:t>
      </w:r>
      <w:r>
        <w:rPr>
          <w:rFonts w:hint="eastAsia" w:ascii="仿宋" w:hAnsi="仿宋" w:eastAsia="仿宋" w:cs="仿宋"/>
          <w:kern w:val="0"/>
          <w:sz w:val="24"/>
          <w:szCs w:val="24"/>
          <w:highlight w:val="none"/>
          <w:lang w:eastAsia="zh-CN" w:bidi="ar"/>
        </w:rPr>
        <w:t>民丰县硝尔库勒</w:t>
      </w:r>
      <w:r>
        <w:rPr>
          <w:rFonts w:hint="eastAsia" w:ascii="仿宋" w:hAnsi="仿宋" w:eastAsia="仿宋" w:cs="仿宋"/>
          <w:kern w:val="0"/>
          <w:sz w:val="24"/>
          <w:szCs w:val="24"/>
          <w:highlight w:val="none"/>
          <w:lang w:val="en-US" w:eastAsia="zh-CN" w:bidi="ar"/>
        </w:rPr>
        <w:t>-红土滩外围锑矿</w:t>
      </w:r>
      <w:r>
        <w:rPr>
          <w:rFonts w:hint="eastAsia" w:ascii="仿宋" w:hAnsi="仿宋" w:eastAsia="仿宋" w:cs="仿宋"/>
          <w:kern w:val="0"/>
          <w:sz w:val="24"/>
          <w:szCs w:val="24"/>
          <w:highlight w:val="none"/>
          <w:lang w:bidi="ar"/>
        </w:rPr>
        <w:t>普查</w:t>
      </w:r>
      <w:r>
        <w:rPr>
          <w:rFonts w:hint="eastAsia" w:ascii="仿宋" w:hAnsi="仿宋" w:eastAsia="仿宋" w:cs="仿宋"/>
          <w:color w:val="auto"/>
          <w:kern w:val="0"/>
          <w:sz w:val="24"/>
          <w:szCs w:val="24"/>
          <w:highlight w:val="none"/>
          <w:lang w:eastAsia="zh-CN"/>
        </w:rPr>
        <w:t>。</w:t>
      </w:r>
    </w:p>
    <w:p w14:paraId="1C71B7DF">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p w14:paraId="3307B622">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
          <w:bCs/>
          <w:kern w:val="0"/>
          <w:sz w:val="24"/>
          <w:szCs w:val="24"/>
          <w:highlight w:val="none"/>
        </w:rPr>
        <w:t>标项</w:t>
      </w:r>
      <w:r>
        <w:rPr>
          <w:rFonts w:hint="eastAsia" w:ascii="仿宋" w:hAnsi="仿宋" w:eastAsia="仿宋" w:cs="仿宋"/>
          <w:b/>
          <w:bCs/>
          <w:kern w:val="0"/>
          <w:sz w:val="24"/>
          <w:szCs w:val="24"/>
          <w:highlight w:val="none"/>
          <w:lang w:val="en-US" w:eastAsia="zh-CN"/>
        </w:rPr>
        <w:t>二</w:t>
      </w:r>
      <w:r>
        <w:rPr>
          <w:rFonts w:hint="eastAsia" w:ascii="仿宋" w:hAnsi="仿宋" w:eastAsia="仿宋" w:cs="仿宋"/>
          <w:color w:val="auto"/>
          <w:kern w:val="0"/>
          <w:sz w:val="24"/>
          <w:szCs w:val="24"/>
          <w:highlight w:val="none"/>
        </w:rPr>
        <w:tab/>
      </w:r>
    </w:p>
    <w:p w14:paraId="7A13F429">
      <w:pPr>
        <w:widowControl/>
        <w:tabs>
          <w:tab w:val="left" w:pos="7125"/>
        </w:tabs>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标项名称:</w:t>
      </w:r>
      <w:r>
        <w:rPr>
          <w:rFonts w:hint="eastAsia" w:ascii="仿宋" w:hAnsi="仿宋" w:eastAsia="仿宋" w:cs="仿宋"/>
          <w:color w:val="auto"/>
          <w:kern w:val="0"/>
          <w:sz w:val="24"/>
          <w:szCs w:val="24"/>
          <w:highlight w:val="none"/>
          <w:lang w:eastAsia="zh-CN"/>
        </w:rPr>
        <w:t>新疆维吾尔自治区地质局昌吉地质大队2026年机械租赁服务项目（槽探开挖及回填、道路平整及维护）</w:t>
      </w:r>
      <w:r>
        <w:rPr>
          <w:rFonts w:hint="eastAsia" w:ascii="仿宋" w:hAnsi="仿宋" w:eastAsia="仿宋" w:cs="仿宋"/>
          <w:color w:val="auto"/>
          <w:kern w:val="0"/>
          <w:sz w:val="24"/>
          <w:szCs w:val="24"/>
          <w:highlight w:val="none"/>
          <w:lang w:val="en-US" w:eastAsia="zh-CN"/>
        </w:rPr>
        <w:t>第2包</w:t>
      </w:r>
    </w:p>
    <w:p w14:paraId="66E7A071">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数量:不限</w:t>
      </w:r>
    </w:p>
    <w:p w14:paraId="0EAF27D0">
      <w:pPr>
        <w:widowControl/>
        <w:tabs>
          <w:tab w:val="left" w:pos="7125"/>
        </w:tabs>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预算金额（元）: </w:t>
      </w:r>
      <w:r>
        <w:rPr>
          <w:rFonts w:hint="eastAsia" w:ascii="仿宋" w:hAnsi="仿宋" w:eastAsia="仿宋" w:cs="仿宋"/>
          <w:color w:val="auto"/>
          <w:kern w:val="0"/>
          <w:sz w:val="24"/>
          <w:szCs w:val="24"/>
          <w:highlight w:val="none"/>
          <w:lang w:val="en-US" w:eastAsia="zh-CN"/>
        </w:rPr>
        <w:t>569800</w:t>
      </w:r>
    </w:p>
    <w:p w14:paraId="5418ADFA">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简要规格描述或项目基本概况介绍、用途：</w:t>
      </w:r>
      <w:r>
        <w:rPr>
          <w:rFonts w:hint="eastAsia" w:ascii="仿宋" w:hAnsi="仿宋" w:eastAsia="仿宋" w:cs="仿宋"/>
          <w:kern w:val="0"/>
          <w:sz w:val="24"/>
          <w:szCs w:val="24"/>
          <w:lang w:bidi="ar"/>
        </w:rPr>
        <w:t>新疆博乐市阿拉山口西钨锡矿普查探槽施工及回填</w:t>
      </w:r>
      <w:r>
        <w:rPr>
          <w:rFonts w:hint="eastAsia" w:ascii="仿宋" w:hAnsi="仿宋" w:eastAsia="仿宋" w:cs="仿宋"/>
          <w:kern w:val="0"/>
          <w:sz w:val="24"/>
          <w:szCs w:val="24"/>
          <w:lang w:eastAsia="zh-CN" w:bidi="ar"/>
        </w:rPr>
        <w:t>、新疆阿图什市喀拉别勒所一带铜矿调查评价</w:t>
      </w:r>
      <w:r>
        <w:rPr>
          <w:rFonts w:hint="eastAsia" w:ascii="仿宋" w:hAnsi="仿宋" w:eastAsia="仿宋" w:cs="仿宋"/>
          <w:color w:val="auto"/>
          <w:kern w:val="0"/>
          <w:sz w:val="24"/>
          <w:szCs w:val="24"/>
          <w:highlight w:val="none"/>
          <w:lang w:eastAsia="zh-CN"/>
        </w:rPr>
        <w:t>。</w:t>
      </w:r>
    </w:p>
    <w:p w14:paraId="74E9E2C8">
      <w:pPr>
        <w:widowControl/>
        <w:tabs>
          <w:tab w:val="left" w:pos="7125"/>
        </w:tabs>
        <w:spacing w:before="60" w:after="60" w:line="360" w:lineRule="auto"/>
        <w:ind w:firstLine="480"/>
        <w:jc w:val="left"/>
        <w:rPr>
          <w:rFonts w:hint="default" w:ascii="仿宋" w:hAnsi="仿宋" w:eastAsia="仿宋" w:cs="仿宋"/>
          <w:kern w:val="0"/>
          <w:sz w:val="24"/>
          <w:szCs w:val="24"/>
          <w:highlight w:val="none"/>
          <w:lang w:val="en-US" w:eastAsia="zh-CN" w:bidi="ar"/>
        </w:rPr>
      </w:pPr>
      <w:r>
        <w:rPr>
          <w:rFonts w:hint="eastAsia" w:ascii="仿宋" w:hAnsi="仿宋" w:eastAsia="仿宋" w:cs="仿宋"/>
          <w:color w:val="auto"/>
          <w:kern w:val="0"/>
          <w:sz w:val="24"/>
          <w:szCs w:val="24"/>
          <w:highlight w:val="none"/>
        </w:rPr>
        <w:t>合同履约期限：</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标项1】1、</w:t>
      </w:r>
      <w:r>
        <w:rPr>
          <w:rFonts w:hint="eastAsia" w:ascii="仿宋" w:hAnsi="仿宋" w:eastAsia="仿宋" w:cs="仿宋"/>
          <w:color w:val="auto"/>
          <w:kern w:val="0"/>
          <w:sz w:val="24"/>
          <w:szCs w:val="24"/>
          <w:highlight w:val="none"/>
          <w:lang w:eastAsia="zh-CN"/>
        </w:rPr>
        <w:t>新疆</w:t>
      </w:r>
      <w:r>
        <w:rPr>
          <w:rFonts w:hint="eastAsia" w:ascii="仿宋" w:hAnsi="仿宋" w:eastAsia="仿宋" w:cs="仿宋"/>
          <w:color w:val="auto"/>
          <w:kern w:val="0"/>
          <w:sz w:val="24"/>
          <w:szCs w:val="24"/>
          <w:highlight w:val="none"/>
          <w:lang w:val="en-US" w:eastAsia="zh-CN"/>
        </w:rPr>
        <w:t>和静县乌龙沟一带铜锌矿</w:t>
      </w:r>
      <w:r>
        <w:rPr>
          <w:rFonts w:hint="eastAsia" w:ascii="仿宋" w:hAnsi="仿宋" w:eastAsia="仿宋" w:cs="仿宋"/>
          <w:color w:val="auto"/>
          <w:kern w:val="0"/>
          <w:sz w:val="24"/>
          <w:szCs w:val="24"/>
          <w:highlight w:val="none"/>
          <w:lang w:eastAsia="zh-CN"/>
        </w:rPr>
        <w:t>普查：挖机</w:t>
      </w:r>
      <w:r>
        <w:rPr>
          <w:rFonts w:hint="eastAsia" w:ascii="仿宋" w:hAnsi="仿宋" w:eastAsia="仿宋" w:cs="仿宋"/>
          <w:color w:val="auto"/>
          <w:kern w:val="0"/>
          <w:sz w:val="24"/>
          <w:szCs w:val="24"/>
          <w:highlight w:val="none"/>
          <w:lang w:val="en-US" w:eastAsia="zh-CN"/>
        </w:rPr>
        <w:t>2026年0</w:t>
      </w:r>
      <w:r>
        <w:rPr>
          <w:rFonts w:hint="eastAsia" w:ascii="仿宋" w:hAnsi="仿宋" w:eastAsia="仿宋" w:cs="仿宋"/>
          <w:color w:val="auto"/>
          <w:kern w:val="0"/>
          <w:sz w:val="24"/>
          <w:szCs w:val="24"/>
          <w:highlight w:val="none"/>
          <w:lang w:eastAsia="zh-CN"/>
        </w:rPr>
        <w:t>7月</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lang w:val="en-US" w:eastAsia="zh-CN"/>
        </w:rPr>
        <w:t>日至2026年0</w:t>
      </w:r>
      <w:r>
        <w:rPr>
          <w:rFonts w:hint="eastAsia" w:ascii="仿宋" w:hAnsi="仿宋" w:eastAsia="仿宋" w:cs="仿宋"/>
          <w:color w:val="auto"/>
          <w:kern w:val="0"/>
          <w:sz w:val="24"/>
          <w:szCs w:val="24"/>
          <w:highlight w:val="none"/>
          <w:lang w:eastAsia="zh-CN"/>
        </w:rPr>
        <w:t>9月30</w:t>
      </w:r>
      <w:r>
        <w:rPr>
          <w:rFonts w:hint="eastAsia" w:ascii="仿宋" w:hAnsi="仿宋" w:eastAsia="仿宋" w:cs="仿宋"/>
          <w:color w:val="auto"/>
          <w:kern w:val="0"/>
          <w:sz w:val="24"/>
          <w:szCs w:val="24"/>
          <w:highlight w:val="none"/>
          <w:lang w:val="en-US" w:eastAsia="zh-CN"/>
        </w:rPr>
        <w:t>日</w:t>
      </w:r>
      <w:r>
        <w:rPr>
          <w:rFonts w:hint="eastAsia" w:ascii="仿宋" w:hAnsi="仿宋" w:eastAsia="仿宋" w:cs="仿宋"/>
          <w:color w:val="auto"/>
          <w:kern w:val="0"/>
          <w:sz w:val="24"/>
          <w:szCs w:val="24"/>
          <w:highlight w:val="none"/>
          <w:lang w:eastAsia="zh-CN"/>
        </w:rPr>
        <w:t>、铲车</w:t>
      </w:r>
      <w:r>
        <w:rPr>
          <w:rFonts w:hint="eastAsia" w:ascii="仿宋" w:hAnsi="仿宋" w:eastAsia="仿宋" w:cs="仿宋"/>
          <w:color w:val="auto"/>
          <w:kern w:val="0"/>
          <w:sz w:val="24"/>
          <w:szCs w:val="24"/>
          <w:highlight w:val="none"/>
          <w:lang w:val="en-US" w:eastAsia="zh-CN"/>
        </w:rPr>
        <w:t>2026年0</w:t>
      </w:r>
      <w:r>
        <w:rPr>
          <w:rFonts w:hint="eastAsia" w:ascii="仿宋" w:hAnsi="仿宋" w:eastAsia="仿宋" w:cs="仿宋"/>
          <w:color w:val="auto"/>
          <w:kern w:val="0"/>
          <w:sz w:val="24"/>
          <w:szCs w:val="24"/>
          <w:highlight w:val="none"/>
          <w:lang w:eastAsia="zh-CN"/>
        </w:rPr>
        <w:t>6月</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lang w:val="en-US" w:eastAsia="zh-CN"/>
        </w:rPr>
        <w:t>日</w:t>
      </w:r>
      <w:r>
        <w:rPr>
          <w:rFonts w:hint="eastAsia" w:ascii="仿宋" w:hAnsi="仿宋" w:eastAsia="仿宋" w:cs="仿宋"/>
          <w:color w:val="auto"/>
          <w:kern w:val="0"/>
          <w:sz w:val="24"/>
          <w:szCs w:val="24"/>
          <w:highlight w:val="none"/>
          <w:lang w:eastAsia="zh-CN"/>
        </w:rPr>
        <w:t>至</w:t>
      </w:r>
      <w:r>
        <w:rPr>
          <w:rFonts w:hint="eastAsia" w:ascii="仿宋" w:hAnsi="仿宋" w:eastAsia="仿宋" w:cs="仿宋"/>
          <w:color w:val="auto"/>
          <w:kern w:val="0"/>
          <w:sz w:val="24"/>
          <w:szCs w:val="24"/>
          <w:highlight w:val="none"/>
          <w:lang w:val="en-US" w:eastAsia="zh-CN"/>
        </w:rPr>
        <w:t>2026年0</w:t>
      </w:r>
      <w:r>
        <w:rPr>
          <w:rFonts w:hint="eastAsia" w:ascii="仿宋" w:hAnsi="仿宋" w:eastAsia="仿宋" w:cs="仿宋"/>
          <w:color w:val="auto"/>
          <w:kern w:val="0"/>
          <w:sz w:val="24"/>
          <w:szCs w:val="24"/>
          <w:highlight w:val="none"/>
          <w:lang w:eastAsia="zh-CN"/>
        </w:rPr>
        <w:t>7月30</w:t>
      </w:r>
      <w:r>
        <w:rPr>
          <w:rFonts w:hint="eastAsia" w:ascii="仿宋" w:hAnsi="仿宋" w:eastAsia="仿宋" w:cs="仿宋"/>
          <w:color w:val="auto"/>
          <w:kern w:val="0"/>
          <w:sz w:val="24"/>
          <w:szCs w:val="24"/>
          <w:highlight w:val="none"/>
          <w:lang w:val="en-US" w:eastAsia="zh-CN"/>
        </w:rPr>
        <w:t>日；2、</w:t>
      </w:r>
      <w:r>
        <w:rPr>
          <w:rFonts w:hint="eastAsia" w:ascii="仿宋" w:hAnsi="仿宋" w:eastAsia="仿宋" w:cs="仿宋"/>
          <w:kern w:val="0"/>
          <w:sz w:val="24"/>
          <w:szCs w:val="24"/>
          <w:highlight w:val="none"/>
          <w:lang w:bidi="ar"/>
        </w:rPr>
        <w:t>新疆和静县-托克逊县乌拉苏-阿拉沟一带金铜多金属矿普查</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2026年0</w:t>
      </w:r>
      <w:r>
        <w:rPr>
          <w:rFonts w:hint="eastAsia" w:ascii="仿宋" w:hAnsi="仿宋" w:eastAsia="仿宋" w:cs="仿宋"/>
          <w:color w:val="auto"/>
          <w:kern w:val="0"/>
          <w:sz w:val="24"/>
          <w:szCs w:val="24"/>
          <w:highlight w:val="none"/>
          <w:lang w:eastAsia="zh-CN"/>
        </w:rPr>
        <w:t>6月</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lang w:val="en-US" w:eastAsia="zh-CN"/>
        </w:rPr>
        <w:t>日至2026年09</w:t>
      </w:r>
      <w:r>
        <w:rPr>
          <w:rFonts w:hint="eastAsia" w:ascii="仿宋" w:hAnsi="仿宋" w:eastAsia="仿宋" w:cs="仿宋"/>
          <w:color w:val="auto"/>
          <w:kern w:val="0"/>
          <w:sz w:val="24"/>
          <w:szCs w:val="24"/>
          <w:highlight w:val="none"/>
          <w:lang w:eastAsia="zh-CN"/>
        </w:rPr>
        <w:t>月</w:t>
      </w:r>
      <w:r>
        <w:rPr>
          <w:rFonts w:hint="eastAsia" w:ascii="仿宋" w:hAnsi="仿宋" w:eastAsia="仿宋" w:cs="仿宋"/>
          <w:color w:val="auto"/>
          <w:kern w:val="0"/>
          <w:sz w:val="24"/>
          <w:szCs w:val="24"/>
          <w:highlight w:val="none"/>
          <w:lang w:val="en-US" w:eastAsia="zh-CN"/>
        </w:rPr>
        <w:t>30日；3、</w:t>
      </w:r>
      <w:r>
        <w:rPr>
          <w:rFonts w:hint="eastAsia" w:ascii="仿宋" w:hAnsi="仿宋" w:eastAsia="仿宋" w:cs="仿宋"/>
          <w:kern w:val="0"/>
          <w:sz w:val="24"/>
          <w:szCs w:val="24"/>
          <w:highlight w:val="none"/>
          <w:lang w:bidi="ar"/>
        </w:rPr>
        <w:t>新疆</w:t>
      </w:r>
      <w:r>
        <w:rPr>
          <w:rFonts w:hint="eastAsia" w:ascii="仿宋" w:hAnsi="仿宋" w:eastAsia="仿宋" w:cs="仿宋"/>
          <w:kern w:val="0"/>
          <w:sz w:val="24"/>
          <w:szCs w:val="24"/>
          <w:highlight w:val="none"/>
          <w:lang w:eastAsia="zh-CN" w:bidi="ar"/>
        </w:rPr>
        <w:t>民丰县硝尔库勒</w:t>
      </w:r>
      <w:r>
        <w:rPr>
          <w:rFonts w:hint="eastAsia" w:ascii="仿宋" w:hAnsi="仿宋" w:eastAsia="仿宋" w:cs="仿宋"/>
          <w:kern w:val="0"/>
          <w:sz w:val="24"/>
          <w:szCs w:val="24"/>
          <w:highlight w:val="none"/>
          <w:lang w:val="en-US" w:eastAsia="zh-CN" w:bidi="ar"/>
        </w:rPr>
        <w:t>-红土滩外围锑矿</w:t>
      </w:r>
      <w:r>
        <w:rPr>
          <w:rFonts w:hint="eastAsia" w:ascii="仿宋" w:hAnsi="仿宋" w:eastAsia="仿宋" w:cs="仿宋"/>
          <w:kern w:val="0"/>
          <w:sz w:val="24"/>
          <w:szCs w:val="24"/>
          <w:highlight w:val="none"/>
          <w:lang w:bidi="ar"/>
        </w:rPr>
        <w:t>普查</w:t>
      </w:r>
      <w:r>
        <w:rPr>
          <w:rFonts w:hint="eastAsia" w:ascii="仿宋" w:hAnsi="仿宋" w:eastAsia="仿宋" w:cs="仿宋"/>
          <w:kern w:val="0"/>
          <w:sz w:val="24"/>
          <w:szCs w:val="24"/>
          <w:highlight w:val="none"/>
          <w:lang w:eastAsia="zh-CN" w:bidi="ar"/>
        </w:rPr>
        <w:t>：2026年</w:t>
      </w:r>
      <w:r>
        <w:rPr>
          <w:rFonts w:hint="eastAsia" w:ascii="仿宋" w:hAnsi="仿宋" w:eastAsia="仿宋" w:cs="仿宋"/>
          <w:kern w:val="0"/>
          <w:sz w:val="24"/>
          <w:szCs w:val="24"/>
          <w:highlight w:val="none"/>
          <w:lang w:val="en-US" w:eastAsia="zh-CN" w:bidi="ar"/>
        </w:rPr>
        <w:t>0</w:t>
      </w:r>
      <w:r>
        <w:rPr>
          <w:rFonts w:hint="eastAsia" w:ascii="仿宋" w:hAnsi="仿宋" w:eastAsia="仿宋" w:cs="仿宋"/>
          <w:kern w:val="0"/>
          <w:sz w:val="24"/>
          <w:szCs w:val="24"/>
          <w:highlight w:val="none"/>
          <w:lang w:eastAsia="zh-CN" w:bidi="ar"/>
        </w:rPr>
        <w:t>6月</w:t>
      </w:r>
      <w:r>
        <w:rPr>
          <w:rFonts w:hint="eastAsia" w:ascii="仿宋" w:hAnsi="仿宋" w:eastAsia="仿宋" w:cs="仿宋"/>
          <w:kern w:val="0"/>
          <w:sz w:val="24"/>
          <w:szCs w:val="24"/>
          <w:highlight w:val="none"/>
          <w:lang w:val="en-US" w:eastAsia="zh-CN" w:bidi="ar"/>
        </w:rPr>
        <w:t>0</w:t>
      </w:r>
      <w:r>
        <w:rPr>
          <w:rFonts w:hint="eastAsia" w:ascii="仿宋" w:hAnsi="仿宋" w:eastAsia="仿宋" w:cs="仿宋"/>
          <w:kern w:val="0"/>
          <w:sz w:val="24"/>
          <w:szCs w:val="24"/>
          <w:highlight w:val="none"/>
          <w:lang w:eastAsia="zh-CN" w:bidi="ar"/>
        </w:rPr>
        <w:t>1日</w:t>
      </w:r>
      <w:r>
        <w:rPr>
          <w:rFonts w:hint="eastAsia" w:ascii="仿宋" w:hAnsi="仿宋" w:eastAsia="仿宋" w:cs="仿宋"/>
          <w:kern w:val="0"/>
          <w:sz w:val="24"/>
          <w:szCs w:val="24"/>
          <w:highlight w:val="none"/>
          <w:lang w:val="en-US" w:eastAsia="zh-CN" w:bidi="ar"/>
        </w:rPr>
        <w:t>至2026年0</w:t>
      </w:r>
      <w:r>
        <w:rPr>
          <w:rFonts w:hint="eastAsia" w:ascii="仿宋" w:hAnsi="仿宋" w:eastAsia="仿宋" w:cs="仿宋"/>
          <w:kern w:val="0"/>
          <w:sz w:val="24"/>
          <w:szCs w:val="24"/>
          <w:highlight w:val="none"/>
          <w:lang w:eastAsia="zh-CN" w:bidi="ar"/>
        </w:rPr>
        <w:t>8月30日。【</w:t>
      </w:r>
      <w:r>
        <w:rPr>
          <w:rFonts w:hint="eastAsia" w:ascii="仿宋" w:hAnsi="仿宋" w:eastAsia="仿宋" w:cs="仿宋"/>
          <w:kern w:val="0"/>
          <w:sz w:val="24"/>
          <w:szCs w:val="24"/>
          <w:highlight w:val="none"/>
          <w:lang w:val="en-US" w:eastAsia="zh-CN" w:bidi="ar"/>
        </w:rPr>
        <w:t>标项2</w:t>
      </w:r>
      <w:r>
        <w:rPr>
          <w:rFonts w:hint="eastAsia" w:ascii="仿宋" w:hAnsi="仿宋" w:eastAsia="仿宋" w:cs="仿宋"/>
          <w:kern w:val="0"/>
          <w:sz w:val="24"/>
          <w:szCs w:val="24"/>
          <w:highlight w:val="none"/>
          <w:lang w:eastAsia="zh-CN" w:bidi="ar"/>
        </w:rPr>
        <w:t>】</w:t>
      </w:r>
      <w:r>
        <w:rPr>
          <w:rFonts w:hint="eastAsia" w:ascii="仿宋" w:hAnsi="仿宋" w:eastAsia="仿宋" w:cs="仿宋"/>
          <w:kern w:val="0"/>
          <w:sz w:val="24"/>
          <w:szCs w:val="24"/>
          <w:highlight w:val="none"/>
          <w:lang w:val="en-US" w:eastAsia="zh-CN" w:bidi="ar"/>
        </w:rPr>
        <w:t>1、</w:t>
      </w:r>
      <w:r>
        <w:rPr>
          <w:rFonts w:hint="eastAsia" w:ascii="仿宋" w:hAnsi="仿宋" w:eastAsia="仿宋" w:cs="仿宋"/>
          <w:kern w:val="0"/>
          <w:sz w:val="24"/>
          <w:szCs w:val="24"/>
          <w:highlight w:val="none"/>
          <w:lang w:bidi="ar"/>
        </w:rPr>
        <w:t>新疆博乐市阿拉山口西钨锡矿普查探槽施工及回填</w:t>
      </w:r>
      <w:r>
        <w:rPr>
          <w:rFonts w:hint="eastAsia" w:ascii="仿宋" w:hAnsi="仿宋" w:eastAsia="仿宋" w:cs="仿宋"/>
          <w:kern w:val="0"/>
          <w:sz w:val="24"/>
          <w:szCs w:val="24"/>
          <w:highlight w:val="none"/>
          <w:lang w:eastAsia="zh-CN" w:bidi="ar"/>
        </w:rPr>
        <w:t>：</w:t>
      </w:r>
      <w:r>
        <w:rPr>
          <w:rFonts w:hint="eastAsia" w:ascii="仿宋" w:hAnsi="仿宋" w:eastAsia="仿宋" w:cs="仿宋"/>
          <w:kern w:val="0"/>
          <w:sz w:val="24"/>
          <w:szCs w:val="24"/>
          <w:highlight w:val="none"/>
          <w:lang w:val="en-US" w:eastAsia="zh-CN" w:bidi="ar"/>
        </w:rPr>
        <w:t>自合同签订之日起至2026年09月30日；2、</w:t>
      </w:r>
      <w:r>
        <w:rPr>
          <w:rFonts w:hint="eastAsia" w:ascii="仿宋" w:hAnsi="仿宋" w:eastAsia="仿宋" w:cs="仿宋"/>
          <w:kern w:val="0"/>
          <w:sz w:val="24"/>
          <w:szCs w:val="24"/>
          <w:highlight w:val="none"/>
          <w:lang w:eastAsia="zh-CN" w:bidi="ar"/>
        </w:rPr>
        <w:t>新疆阿图什市喀拉别勒所一带铜矿调查评价：</w:t>
      </w:r>
      <w:r>
        <w:rPr>
          <w:rFonts w:hint="eastAsia" w:ascii="仿宋" w:hAnsi="仿宋" w:eastAsia="仿宋" w:cs="仿宋"/>
          <w:kern w:val="0"/>
          <w:sz w:val="24"/>
          <w:szCs w:val="24"/>
          <w:highlight w:val="none"/>
          <w:lang w:val="en-US" w:eastAsia="zh-CN" w:bidi="ar"/>
        </w:rPr>
        <w:t>自合同签订之日起至2026年07月30日。</w:t>
      </w:r>
    </w:p>
    <w:p w14:paraId="4457565C">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本项目不接受联合体投标。</w:t>
      </w:r>
    </w:p>
    <w:p w14:paraId="2A61264B">
      <w:pPr>
        <w:widowControl/>
        <w:spacing w:before="60" w:after="60"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二、申请人的资格要求：</w:t>
      </w:r>
    </w:p>
    <w:p w14:paraId="1FB5FF22">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1.满足《中华人民共和国政府采购法》第二十二条规定；</w:t>
      </w:r>
    </w:p>
    <w:p w14:paraId="467E9372">
      <w:pPr>
        <w:widowControl/>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2.落实政府采购政策需满足的资格要求：符合促进中小企业发展政策的，依据规定给予评审优惠。</w:t>
      </w:r>
    </w:p>
    <w:p w14:paraId="7FE0406A">
      <w:pPr>
        <w:widowControl/>
        <w:spacing w:before="60" w:after="60" w:line="36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3.本项目的特定资格要求：</w:t>
      </w:r>
      <w:r>
        <w:rPr>
          <w:rFonts w:hint="eastAsia" w:ascii="仿宋" w:hAnsi="仿宋" w:eastAsia="仿宋" w:cs="仿宋"/>
          <w:color w:val="auto"/>
          <w:kern w:val="0"/>
          <w:sz w:val="24"/>
          <w:highlight w:val="none"/>
          <w:lang w:eastAsia="zh-CN"/>
        </w:rPr>
        <w:t>投标人</w:t>
      </w:r>
      <w:r>
        <w:rPr>
          <w:rFonts w:hint="eastAsia" w:ascii="仿宋" w:hAnsi="仿宋" w:eastAsia="仿宋" w:cs="仿宋"/>
          <w:color w:val="auto"/>
          <w:kern w:val="0"/>
          <w:sz w:val="24"/>
          <w:highlight w:val="none"/>
        </w:rPr>
        <w:t>如在“信用中国”网站（www.creditchina.gov.cn）、中国政府采购网（www.ccgp.gov.cn）等渠道被列入失信被执行人、重大税收违法失信主体、政府采购严重违法失信行为记录名单及其它不符合《中华人民共和国政府采购法》第二十二条规定条件的</w:t>
      </w:r>
      <w:r>
        <w:rPr>
          <w:rFonts w:hint="eastAsia" w:ascii="仿宋" w:hAnsi="仿宋" w:eastAsia="仿宋" w:cs="仿宋"/>
          <w:color w:val="auto"/>
          <w:kern w:val="0"/>
          <w:sz w:val="24"/>
          <w:highlight w:val="none"/>
          <w:lang w:eastAsia="zh-CN"/>
        </w:rPr>
        <w:t>投标人</w:t>
      </w:r>
      <w:r>
        <w:rPr>
          <w:rFonts w:hint="eastAsia" w:ascii="仿宋" w:hAnsi="仿宋" w:eastAsia="仿宋" w:cs="仿宋"/>
          <w:color w:val="auto"/>
          <w:kern w:val="0"/>
          <w:sz w:val="24"/>
          <w:highlight w:val="none"/>
        </w:rPr>
        <w:t>，尚在处罚期内的将被拒绝参加本次</w:t>
      </w:r>
      <w:r>
        <w:rPr>
          <w:rFonts w:hint="eastAsia" w:ascii="仿宋" w:hAnsi="仿宋" w:eastAsia="仿宋" w:cs="仿宋"/>
          <w:color w:val="auto"/>
          <w:kern w:val="0"/>
          <w:sz w:val="24"/>
          <w:highlight w:val="none"/>
          <w:lang w:eastAsia="zh-CN"/>
        </w:rPr>
        <w:t>招标</w:t>
      </w:r>
      <w:r>
        <w:rPr>
          <w:rFonts w:hint="eastAsia" w:ascii="仿宋" w:hAnsi="仿宋" w:eastAsia="仿宋" w:cs="仿宋"/>
          <w:color w:val="auto"/>
          <w:kern w:val="0"/>
          <w:sz w:val="24"/>
          <w:highlight w:val="none"/>
        </w:rPr>
        <w:t>活动。</w:t>
      </w:r>
    </w:p>
    <w:p w14:paraId="2CBE7F40">
      <w:pPr>
        <w:widowControl/>
        <w:spacing w:before="60" w:after="60"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三、获取招标文件</w:t>
      </w:r>
    </w:p>
    <w:p w14:paraId="087BA461">
      <w:pPr>
        <w:widowControl/>
        <w:spacing w:before="60" w:after="60" w:line="360" w:lineRule="auto"/>
        <w:ind w:firstLine="480"/>
        <w:jc w:val="left"/>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时间：</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04月20</w:t>
      </w:r>
      <w:r>
        <w:rPr>
          <w:rFonts w:hint="eastAsia" w:ascii="仿宋" w:hAnsi="仿宋" w:eastAsia="仿宋" w:cs="仿宋"/>
          <w:color w:val="FF0000"/>
          <w:kern w:val="0"/>
          <w:sz w:val="24"/>
          <w:szCs w:val="24"/>
          <w:highlight w:val="none"/>
        </w:rPr>
        <w:t>日至</w:t>
      </w:r>
      <w:r>
        <w:rPr>
          <w:rFonts w:hint="eastAsia" w:ascii="仿宋" w:hAnsi="仿宋" w:eastAsia="仿宋" w:cs="仿宋"/>
          <w:color w:val="FF0000"/>
          <w:kern w:val="0"/>
          <w:sz w:val="24"/>
          <w:szCs w:val="24"/>
          <w:highlight w:val="none"/>
          <w:lang w:eastAsia="zh-CN"/>
        </w:rPr>
        <w:t>2026</w:t>
      </w:r>
      <w:r>
        <w:rPr>
          <w:rFonts w:hint="eastAsia" w:ascii="仿宋" w:hAnsi="仿宋" w:eastAsia="仿宋" w:cs="仿宋"/>
          <w:color w:val="FF0000"/>
          <w:kern w:val="0"/>
          <w:sz w:val="24"/>
          <w:szCs w:val="24"/>
          <w:highlight w:val="none"/>
          <w:lang w:val="en-US" w:eastAsia="zh-CN"/>
        </w:rPr>
        <w:t>年04月27</w:t>
      </w:r>
      <w:r>
        <w:rPr>
          <w:rFonts w:hint="eastAsia" w:ascii="仿宋" w:hAnsi="仿宋" w:eastAsia="仿宋" w:cs="仿宋"/>
          <w:color w:val="FF0000"/>
          <w:kern w:val="0"/>
          <w:sz w:val="24"/>
          <w:szCs w:val="24"/>
          <w:highlight w:val="none"/>
        </w:rPr>
        <w:t>日，每天上午00:00至1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:00，下午1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:00至23:59（北京时间，法定节假日除外）</w:t>
      </w:r>
    </w:p>
    <w:p w14:paraId="11C86AA9">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地点：政采云平台http://www.zcygov.cn</w:t>
      </w:r>
    </w:p>
    <w:p w14:paraId="41EE59B8">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方式：免费获取，</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登录政采云账户（网址：https://www.zcygov.cn/）,在线申请获取招标文件</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登录政府采购云平台→采购项目→获取采购文件→申请，审核通过后可下载招标文件，如有操作性问题，可与政采云在线客服进行咨询，咨询电话：95763</w:t>
      </w:r>
      <w:r>
        <w:rPr>
          <w:rFonts w:hint="eastAsia" w:ascii="仿宋" w:hAnsi="仿宋" w:eastAsia="仿宋" w:cs="仿宋"/>
          <w:color w:val="auto"/>
          <w:kern w:val="0"/>
          <w:sz w:val="24"/>
          <w:szCs w:val="24"/>
          <w:highlight w:val="none"/>
          <w:lang w:eastAsia="zh-CN"/>
        </w:rPr>
        <w:t>。</w:t>
      </w:r>
    </w:p>
    <w:p w14:paraId="179FC21A">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售价（元）：0</w:t>
      </w:r>
    </w:p>
    <w:p w14:paraId="778EE0C3">
      <w:pPr>
        <w:widowControl/>
        <w:spacing w:before="60" w:after="60"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四、提交投标文件截止时间、开标时间和地点</w:t>
      </w:r>
    </w:p>
    <w:p w14:paraId="73728197">
      <w:pPr>
        <w:widowControl/>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提交投标文件截止时间：</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13</w:t>
      </w:r>
      <w:r>
        <w:rPr>
          <w:rFonts w:hint="eastAsia" w:ascii="仿宋" w:hAnsi="仿宋" w:eastAsia="仿宋" w:cs="仿宋"/>
          <w:color w:val="FF0000"/>
          <w:kern w:val="0"/>
          <w:sz w:val="24"/>
          <w:szCs w:val="24"/>
          <w:highlight w:val="none"/>
          <w:lang w:eastAsia="zh-CN"/>
        </w:rPr>
        <w:t>日11:00（北京时间）</w:t>
      </w:r>
    </w:p>
    <w:p w14:paraId="0B4FC5A7">
      <w:pPr>
        <w:widowControl/>
        <w:spacing w:before="60" w:after="60" w:line="360" w:lineRule="auto"/>
        <w:ind w:firstLine="480"/>
        <w:jc w:val="left"/>
        <w:rPr>
          <w:rStyle w:val="214"/>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投标地点：</w:t>
      </w:r>
      <w:bookmarkStart w:id="0" w:name="_Hlk129254397"/>
      <w:r>
        <w:rPr>
          <w:rStyle w:val="214"/>
          <w:rFonts w:hint="eastAsia" w:ascii="仿宋" w:hAnsi="仿宋" w:eastAsia="仿宋" w:cs="仿宋"/>
          <w:color w:val="auto"/>
          <w:sz w:val="24"/>
          <w:szCs w:val="24"/>
          <w:highlight w:val="none"/>
          <w:lang w:eastAsia="zh-CN"/>
        </w:rPr>
        <w:t>投标人</w:t>
      </w:r>
      <w:r>
        <w:rPr>
          <w:rStyle w:val="214"/>
          <w:rFonts w:hint="eastAsia" w:ascii="仿宋" w:hAnsi="仿宋" w:eastAsia="仿宋" w:cs="仿宋"/>
          <w:color w:val="auto"/>
          <w:sz w:val="24"/>
          <w:szCs w:val="24"/>
          <w:highlight w:val="none"/>
        </w:rPr>
        <w:t>应在此之前将加密的投标文件上传至政采云平台对应位置 (逾期送达或不符合规定的投标文件将被拒绝接收)。</w:t>
      </w:r>
      <w:bookmarkEnd w:id="0"/>
    </w:p>
    <w:p w14:paraId="2B613935">
      <w:pPr>
        <w:widowControl/>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开标时间：</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13</w:t>
      </w:r>
      <w:r>
        <w:rPr>
          <w:rFonts w:hint="eastAsia" w:ascii="仿宋" w:hAnsi="仿宋" w:eastAsia="仿宋" w:cs="仿宋"/>
          <w:color w:val="FF0000"/>
          <w:kern w:val="0"/>
          <w:sz w:val="24"/>
          <w:szCs w:val="24"/>
          <w:highlight w:val="none"/>
          <w:lang w:eastAsia="zh-CN"/>
        </w:rPr>
        <w:t>日11:00（北京时间）</w:t>
      </w:r>
    </w:p>
    <w:p w14:paraId="331C87B4">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开标地点：</w:t>
      </w:r>
      <w:r>
        <w:rPr>
          <w:rStyle w:val="214"/>
          <w:rFonts w:hint="eastAsia" w:ascii="仿宋" w:hAnsi="仿宋" w:eastAsia="仿宋" w:cs="仿宋"/>
          <w:color w:val="auto"/>
          <w:sz w:val="24"/>
          <w:szCs w:val="24"/>
          <w:highlight w:val="none"/>
        </w:rPr>
        <w:t>政采云平台https://www.zcygov.cn/不见面开标大厅</w:t>
      </w:r>
    </w:p>
    <w:p w14:paraId="0968F2A0">
      <w:pPr>
        <w:widowControl/>
        <w:spacing w:before="60" w:after="60"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五、公告期限</w:t>
      </w:r>
    </w:p>
    <w:p w14:paraId="50EB0326">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p w14:paraId="4C74D264">
      <w:pPr>
        <w:widowControl/>
        <w:spacing w:before="60" w:after="60"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六、其他补充事宜</w:t>
      </w:r>
    </w:p>
    <w:p w14:paraId="0BA5642E">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1.本项目实行电子招投标，</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须登录政采云平台申请获取采购文件，并需要使用CA锁，登录政采云电子投标客户端制作投标文件，若</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参与投标,自行承担与投标有关的一切费用。</w:t>
      </w:r>
    </w:p>
    <w:p w14:paraId="7769A20C">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2.各</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应在开标前确保是新疆维吾尔自治区政府采购网正式注册入库的</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，并完成CA数字证书申领。因未注册入库、未办理CA数字证书等原因造成无法投标或投标失败等后果的由</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自行承担</w:t>
      </w:r>
    </w:p>
    <w:p w14:paraId="308C2351">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可前往新疆政府采购网（http://www.ccgp-xinjiang.gov.cn/）下载专区，下载政采云电子投标客户端，安装完成后，可通过账号密码或CA登录客户端进行投标文件制作。</w:t>
      </w:r>
    </w:p>
    <w:p w14:paraId="3375C79F">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在开标时须携带制作加密电子投标文件所使用的CA锁，电脑须提前配置好浏览器，以便开标时在线解密。</w:t>
      </w:r>
    </w:p>
    <w:p w14:paraId="4B2D5703">
      <w:pPr>
        <w:widowControl/>
        <w:tabs>
          <w:tab w:val="left" w:pos="7125"/>
        </w:tabs>
        <w:spacing w:before="60" w:after="60" w:line="360" w:lineRule="auto"/>
        <w:ind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应当在投标截止时间前，将生成的“电子加密投标文件”上传递交至“政府采购云平台”，投标截止时间以后上传递交的投标文件将被“政府采购云平台”拒收。</w:t>
      </w:r>
      <w:r>
        <w:rPr>
          <w:rFonts w:hint="eastAsia" w:ascii="仿宋" w:hAnsi="仿宋" w:eastAsia="仿宋" w:cs="仿宋"/>
          <w:color w:val="auto"/>
          <w:highlight w:val="none"/>
        </w:rPr>
        <w:br w:type="textWrapping"/>
      </w:r>
      <w:r>
        <w:rPr>
          <w:rFonts w:hint="eastAsia" w:ascii="仿宋" w:hAnsi="仿宋" w:eastAsia="仿宋" w:cs="仿宋"/>
          <w:b/>
          <w:bCs/>
          <w:color w:val="auto"/>
          <w:kern w:val="0"/>
          <w:sz w:val="24"/>
          <w:szCs w:val="24"/>
          <w:highlight w:val="none"/>
        </w:rPr>
        <w:t>七、对本次采购提出询问，请按以下方式联系</w:t>
      </w:r>
    </w:p>
    <w:p w14:paraId="09782B9B">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1.采购人信息</w:t>
      </w:r>
    </w:p>
    <w:p w14:paraId="7A09F18E">
      <w:pPr>
        <w:widowControl/>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名 称：</w:t>
      </w:r>
      <w:r>
        <w:rPr>
          <w:rFonts w:hint="eastAsia" w:ascii="仿宋" w:hAnsi="仿宋" w:eastAsia="仿宋" w:cs="仿宋"/>
          <w:color w:val="auto"/>
          <w:kern w:val="0"/>
          <w:sz w:val="24"/>
          <w:szCs w:val="24"/>
          <w:highlight w:val="none"/>
          <w:lang w:eastAsia="zh-CN"/>
        </w:rPr>
        <w:t>新疆维吾尔自治区地质局昌吉地质大队</w:t>
      </w:r>
    </w:p>
    <w:p w14:paraId="695C603C">
      <w:pPr>
        <w:widowControl/>
        <w:spacing w:before="60" w:after="60" w:line="360" w:lineRule="auto"/>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地址：</w:t>
      </w:r>
      <w:r>
        <w:rPr>
          <w:rFonts w:hint="eastAsia" w:ascii="仿宋" w:hAnsi="仿宋" w:eastAsia="仿宋" w:cs="仿宋"/>
          <w:color w:val="auto"/>
          <w:kern w:val="0"/>
          <w:sz w:val="24"/>
          <w:szCs w:val="24"/>
          <w:highlight w:val="none"/>
          <w:lang w:eastAsia="zh-CN"/>
        </w:rPr>
        <w:t>昌吉回族自治州昌吉市北京南路14号地质村办公大楼</w:t>
      </w:r>
    </w:p>
    <w:p w14:paraId="77B981A6">
      <w:pPr>
        <w:widowControl/>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项目联系人：武家慧</w:t>
      </w:r>
    </w:p>
    <w:p w14:paraId="60C4452C">
      <w:pPr>
        <w:widowControl/>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项目联系方式：13909949707</w:t>
      </w:r>
    </w:p>
    <w:p w14:paraId="6713E224">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2.采购代理机构信息</w:t>
      </w:r>
    </w:p>
    <w:p w14:paraId="539A1AE4">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名称：新疆新世纪招标有限公司</w:t>
      </w:r>
    </w:p>
    <w:p w14:paraId="2A3A58BA">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地址：乌鲁木齐市新兴街20号凤凰科技大厦五楼</w:t>
      </w:r>
    </w:p>
    <w:p w14:paraId="32FD51FD">
      <w:pPr>
        <w:widowControl/>
        <w:spacing w:before="60" w:after="60" w:line="360" w:lineRule="auto"/>
        <w:ind w:firstLine="480"/>
        <w:jc w:val="left"/>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联系方式：</w:t>
      </w:r>
      <w:r>
        <w:rPr>
          <w:rFonts w:hint="eastAsia" w:ascii="仿宋" w:hAnsi="仿宋" w:eastAsia="仿宋" w:cs="仿宋"/>
          <w:color w:val="auto"/>
          <w:kern w:val="0"/>
          <w:sz w:val="24"/>
          <w:szCs w:val="24"/>
          <w:highlight w:val="none"/>
          <w:lang w:val="en-US" w:eastAsia="zh-CN"/>
        </w:rPr>
        <w:t>19190107263、17609941920</w:t>
      </w:r>
    </w:p>
    <w:p w14:paraId="79CDA967">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3.项目联系方式</w:t>
      </w:r>
    </w:p>
    <w:p w14:paraId="6C23A6E1">
      <w:pPr>
        <w:widowControl/>
        <w:spacing w:before="60" w:after="60" w:line="360" w:lineRule="auto"/>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项目联系人：</w:t>
      </w:r>
      <w:r>
        <w:rPr>
          <w:rFonts w:hint="eastAsia" w:ascii="仿宋" w:hAnsi="仿宋" w:eastAsia="仿宋" w:cs="仿宋"/>
          <w:color w:val="auto"/>
          <w:kern w:val="0"/>
          <w:sz w:val="24"/>
          <w:szCs w:val="24"/>
          <w:highlight w:val="none"/>
          <w:lang w:val="en-US" w:eastAsia="zh-CN"/>
        </w:rPr>
        <w:t>陈泉旭、闵俊瑀</w:t>
      </w:r>
    </w:p>
    <w:p w14:paraId="7A2E1E4B">
      <w:pPr>
        <w:widowControl/>
        <w:spacing w:before="60" w:after="60" w:line="360" w:lineRule="auto"/>
        <w:ind w:firstLine="48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项目联系方式：</w:t>
      </w:r>
      <w:r>
        <w:rPr>
          <w:rFonts w:hint="eastAsia" w:ascii="仿宋" w:hAnsi="仿宋" w:eastAsia="仿宋" w:cs="仿宋"/>
          <w:color w:val="auto"/>
          <w:kern w:val="0"/>
          <w:sz w:val="24"/>
          <w:szCs w:val="24"/>
          <w:highlight w:val="none"/>
          <w:lang w:val="en-US" w:eastAsia="zh-CN"/>
        </w:rPr>
        <w:t>19190107263、17609941920</w:t>
      </w:r>
    </w:p>
    <w:p w14:paraId="73EDD95A">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B3EA91D">
      <w:pPr>
        <w:spacing w:line="440" w:lineRule="exact"/>
        <w:jc w:val="center"/>
        <w:outlineLvl w:val="0"/>
        <w:rPr>
          <w:rFonts w:hint="eastAsia" w:ascii="仿宋" w:hAnsi="仿宋" w:eastAsia="仿宋" w:cs="仿宋"/>
          <w:b/>
          <w:color w:val="auto"/>
          <w:sz w:val="28"/>
          <w:szCs w:val="28"/>
          <w:highlight w:val="none"/>
        </w:rPr>
      </w:pPr>
      <w:bookmarkStart w:id="1" w:name="_Toc16640"/>
      <w:r>
        <w:rPr>
          <w:rFonts w:hint="eastAsia" w:ascii="仿宋" w:hAnsi="仿宋" w:eastAsia="仿宋" w:cs="仿宋"/>
          <w:b/>
          <w:color w:val="auto"/>
          <w:sz w:val="28"/>
          <w:szCs w:val="28"/>
          <w:highlight w:val="none"/>
        </w:rPr>
        <w:t>投标人须知前附表</w:t>
      </w:r>
      <w:bookmarkEnd w:id="1"/>
    </w:p>
    <w:tbl>
      <w:tblPr>
        <w:tblStyle w:val="43"/>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7"/>
        <w:gridCol w:w="1633"/>
        <w:gridCol w:w="6850"/>
      </w:tblGrid>
      <w:tr w14:paraId="22CA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tcBorders>
              <w:top w:val="single" w:color="auto" w:sz="4" w:space="0"/>
              <w:left w:val="single" w:color="auto" w:sz="4" w:space="0"/>
              <w:bottom w:val="single" w:color="auto" w:sz="4" w:space="0"/>
              <w:right w:val="single" w:color="auto" w:sz="4" w:space="0"/>
            </w:tcBorders>
            <w:shd w:val="clear" w:color="auto" w:fill="FFFFFF"/>
            <w:vAlign w:val="center"/>
          </w:tcPr>
          <w:p w14:paraId="07834A4D">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项号</w:t>
            </w:r>
          </w:p>
        </w:tc>
        <w:tc>
          <w:tcPr>
            <w:tcW w:w="84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FC6E70B">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编列内容</w:t>
            </w:r>
          </w:p>
        </w:tc>
      </w:tr>
      <w:tr w14:paraId="263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tcBorders>
              <w:top w:val="single" w:color="auto" w:sz="4" w:space="0"/>
            </w:tcBorders>
            <w:shd w:val="clear" w:color="auto" w:fill="FFFFFF"/>
            <w:vAlign w:val="center"/>
          </w:tcPr>
          <w:p w14:paraId="335463E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33" w:type="dxa"/>
            <w:tcBorders>
              <w:top w:val="single" w:color="auto" w:sz="4" w:space="0"/>
            </w:tcBorders>
            <w:shd w:val="clear" w:color="auto" w:fill="FFFFFF"/>
            <w:vAlign w:val="center"/>
          </w:tcPr>
          <w:p w14:paraId="6889571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850" w:type="dxa"/>
            <w:tcBorders>
              <w:top w:val="single" w:color="auto" w:sz="4" w:space="0"/>
            </w:tcBorders>
            <w:shd w:val="clear" w:color="auto" w:fill="FFFFFF"/>
            <w:vAlign w:val="center"/>
          </w:tcPr>
          <w:p w14:paraId="5282097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新疆维吾尔自治区地质局昌吉地质大队2026年机械租赁服务项目（槽探开挖及回填、道路平整及维护）</w:t>
            </w:r>
          </w:p>
        </w:tc>
      </w:tr>
      <w:tr w14:paraId="4BCA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049B2DB4">
            <w:pPr>
              <w:spacing w:line="360" w:lineRule="auto"/>
              <w:jc w:val="center"/>
              <w:rPr>
                <w:rFonts w:hint="eastAsia" w:ascii="仿宋" w:hAnsi="仿宋" w:eastAsia="仿宋" w:cs="仿宋"/>
                <w:color w:val="auto"/>
                <w:sz w:val="24"/>
                <w:szCs w:val="24"/>
                <w:highlight w:val="none"/>
              </w:rPr>
            </w:pPr>
          </w:p>
        </w:tc>
        <w:tc>
          <w:tcPr>
            <w:tcW w:w="1633" w:type="dxa"/>
            <w:shd w:val="clear" w:color="auto" w:fill="FFFFFF"/>
            <w:vAlign w:val="center"/>
          </w:tcPr>
          <w:p w14:paraId="0773DC3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6850" w:type="dxa"/>
            <w:shd w:val="clear" w:color="auto" w:fill="FFFFFF"/>
            <w:vAlign w:val="center"/>
          </w:tcPr>
          <w:p w14:paraId="14CDD530">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XJXSJ-2026(ZC)-191</w:t>
            </w:r>
          </w:p>
        </w:tc>
      </w:tr>
      <w:tr w14:paraId="0460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5C6F5437">
            <w:pPr>
              <w:spacing w:line="360" w:lineRule="auto"/>
              <w:jc w:val="center"/>
              <w:rPr>
                <w:rFonts w:hint="eastAsia" w:ascii="仿宋" w:hAnsi="仿宋" w:eastAsia="仿宋" w:cs="仿宋"/>
                <w:color w:val="auto"/>
                <w:sz w:val="24"/>
                <w:szCs w:val="24"/>
                <w:highlight w:val="none"/>
              </w:rPr>
            </w:pPr>
          </w:p>
        </w:tc>
        <w:tc>
          <w:tcPr>
            <w:tcW w:w="1633" w:type="dxa"/>
            <w:shd w:val="clear" w:color="auto" w:fill="FFFFFF"/>
            <w:vAlign w:val="center"/>
          </w:tcPr>
          <w:p w14:paraId="1072E787">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w:t>
            </w:r>
          </w:p>
        </w:tc>
        <w:tc>
          <w:tcPr>
            <w:tcW w:w="6850" w:type="dxa"/>
            <w:shd w:val="clear" w:color="auto" w:fill="FFFFFF"/>
            <w:vAlign w:val="center"/>
          </w:tcPr>
          <w:p w14:paraId="698A714A">
            <w:pPr>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标项一：</w:t>
            </w:r>
            <w:r>
              <w:rPr>
                <w:rFonts w:hint="eastAsia" w:ascii="仿宋" w:hAnsi="仿宋" w:eastAsia="仿宋" w:cs="仿宋"/>
                <w:color w:val="auto"/>
                <w:sz w:val="24"/>
                <w:szCs w:val="24"/>
                <w:highlight w:val="none"/>
                <w:lang w:eastAsia="zh-CN"/>
              </w:rPr>
              <w:t>新疆维吾尔自治区地质局昌吉地质大队2026年机械租赁服务项目（槽探开挖及回填、道路平整及维护）</w:t>
            </w:r>
            <w:r>
              <w:rPr>
                <w:rFonts w:hint="eastAsia" w:ascii="仿宋" w:hAnsi="仿宋" w:eastAsia="仿宋" w:cs="仿宋"/>
                <w:color w:val="auto"/>
                <w:sz w:val="24"/>
                <w:szCs w:val="24"/>
                <w:highlight w:val="none"/>
                <w:lang w:val="en-US" w:eastAsia="zh-CN"/>
              </w:rPr>
              <w:t>第1包</w:t>
            </w:r>
          </w:p>
          <w:p w14:paraId="305EBC60">
            <w:pPr>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标项二：</w:t>
            </w:r>
            <w:r>
              <w:rPr>
                <w:rFonts w:hint="eastAsia" w:ascii="仿宋" w:hAnsi="仿宋" w:eastAsia="仿宋" w:cs="仿宋"/>
                <w:color w:val="auto"/>
                <w:sz w:val="24"/>
                <w:szCs w:val="24"/>
                <w:highlight w:val="none"/>
                <w:lang w:eastAsia="zh-CN"/>
              </w:rPr>
              <w:t>新疆维吾尔自治区地质局昌吉地质大队2026年机械租赁服务项目（槽探开挖及回填、道路平整及维护）</w:t>
            </w:r>
            <w:r>
              <w:rPr>
                <w:rFonts w:hint="eastAsia" w:ascii="仿宋" w:hAnsi="仿宋" w:eastAsia="仿宋" w:cs="仿宋"/>
                <w:color w:val="auto"/>
                <w:sz w:val="24"/>
                <w:szCs w:val="24"/>
                <w:highlight w:val="none"/>
                <w:lang w:val="en-US" w:eastAsia="zh-CN"/>
              </w:rPr>
              <w:t>第2包</w:t>
            </w:r>
          </w:p>
        </w:tc>
      </w:tr>
      <w:tr w14:paraId="394D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148EDDB0">
            <w:pPr>
              <w:spacing w:line="360" w:lineRule="auto"/>
              <w:jc w:val="center"/>
              <w:rPr>
                <w:rFonts w:hint="eastAsia" w:ascii="仿宋" w:hAnsi="仿宋" w:eastAsia="仿宋" w:cs="仿宋"/>
                <w:color w:val="auto"/>
                <w:sz w:val="24"/>
                <w:szCs w:val="24"/>
                <w:highlight w:val="none"/>
              </w:rPr>
            </w:pPr>
          </w:p>
        </w:tc>
        <w:tc>
          <w:tcPr>
            <w:tcW w:w="1633" w:type="dxa"/>
            <w:shd w:val="clear" w:color="auto" w:fill="FFFFFF"/>
            <w:vAlign w:val="center"/>
          </w:tcPr>
          <w:p w14:paraId="44B81D1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850" w:type="dxa"/>
            <w:shd w:val="clear" w:color="auto" w:fill="FFFFFF"/>
            <w:vAlign w:val="center"/>
          </w:tcPr>
          <w:p w14:paraId="3BE1BB6F">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新疆维吾尔自治区地质局昌吉地质大队</w:t>
            </w:r>
          </w:p>
        </w:tc>
      </w:tr>
      <w:tr w14:paraId="569A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4ADEC214">
            <w:pPr>
              <w:spacing w:line="360" w:lineRule="auto"/>
              <w:jc w:val="center"/>
              <w:rPr>
                <w:rFonts w:hint="eastAsia" w:ascii="仿宋" w:hAnsi="仿宋" w:eastAsia="仿宋" w:cs="仿宋"/>
                <w:color w:val="auto"/>
                <w:sz w:val="24"/>
                <w:szCs w:val="24"/>
                <w:highlight w:val="none"/>
              </w:rPr>
            </w:pPr>
          </w:p>
        </w:tc>
        <w:tc>
          <w:tcPr>
            <w:tcW w:w="1633" w:type="dxa"/>
            <w:shd w:val="clear" w:color="auto" w:fill="FFFFFF"/>
            <w:vAlign w:val="center"/>
          </w:tcPr>
          <w:p w14:paraId="0774439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850" w:type="dxa"/>
            <w:shd w:val="clear" w:color="auto" w:fill="FFFFFF"/>
            <w:vAlign w:val="center"/>
          </w:tcPr>
          <w:p w14:paraId="5D85233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新疆新世纪招标有限公司</w:t>
            </w:r>
          </w:p>
        </w:tc>
      </w:tr>
      <w:tr w14:paraId="1E62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393187D7">
            <w:pPr>
              <w:spacing w:line="360" w:lineRule="auto"/>
              <w:jc w:val="center"/>
              <w:rPr>
                <w:rFonts w:hint="eastAsia" w:ascii="仿宋" w:hAnsi="仿宋" w:eastAsia="仿宋" w:cs="仿宋"/>
                <w:color w:val="auto"/>
                <w:sz w:val="24"/>
                <w:szCs w:val="24"/>
                <w:highlight w:val="none"/>
              </w:rPr>
            </w:pPr>
          </w:p>
        </w:tc>
        <w:tc>
          <w:tcPr>
            <w:tcW w:w="1633" w:type="dxa"/>
            <w:shd w:val="clear" w:color="auto" w:fill="FFFFFF"/>
            <w:vAlign w:val="center"/>
          </w:tcPr>
          <w:p w14:paraId="48A902A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6850" w:type="dxa"/>
            <w:shd w:val="clear" w:color="auto" w:fill="FFFFFF"/>
            <w:vAlign w:val="center"/>
          </w:tcPr>
          <w:p w14:paraId="7BC12CC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财政资金</w:t>
            </w:r>
          </w:p>
        </w:tc>
      </w:tr>
      <w:tr w14:paraId="55AE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3E3AD518">
            <w:pPr>
              <w:spacing w:line="360" w:lineRule="auto"/>
              <w:jc w:val="center"/>
              <w:rPr>
                <w:rFonts w:hint="eastAsia" w:ascii="仿宋" w:hAnsi="仿宋" w:eastAsia="仿宋" w:cs="仿宋"/>
                <w:color w:val="auto"/>
                <w:sz w:val="24"/>
                <w:szCs w:val="24"/>
                <w:highlight w:val="none"/>
              </w:rPr>
            </w:pPr>
          </w:p>
        </w:tc>
        <w:tc>
          <w:tcPr>
            <w:tcW w:w="1633" w:type="dxa"/>
            <w:shd w:val="clear" w:color="auto" w:fill="FFFFFF"/>
            <w:vAlign w:val="center"/>
          </w:tcPr>
          <w:p w14:paraId="2E97303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采购预算金额</w:t>
            </w:r>
          </w:p>
        </w:tc>
        <w:tc>
          <w:tcPr>
            <w:tcW w:w="6850" w:type="dxa"/>
            <w:shd w:val="clear" w:color="auto" w:fill="FFFFFF"/>
            <w:vAlign w:val="center"/>
          </w:tcPr>
          <w:p w14:paraId="21454250">
            <w:pPr>
              <w:widowControl/>
              <w:spacing w:line="360" w:lineRule="auto"/>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标项一：</w:t>
            </w:r>
            <w:r>
              <w:rPr>
                <w:rFonts w:hint="eastAsia" w:ascii="仿宋" w:hAnsi="仿宋" w:eastAsia="仿宋" w:cs="仿宋"/>
                <w:color w:val="auto"/>
                <w:kern w:val="0"/>
                <w:sz w:val="24"/>
                <w:szCs w:val="24"/>
                <w:highlight w:val="none"/>
                <w:lang w:val="en-US" w:eastAsia="zh-CN"/>
              </w:rPr>
              <w:t>117.79</w:t>
            </w:r>
            <w:r>
              <w:rPr>
                <w:rFonts w:hint="eastAsia" w:ascii="仿宋" w:hAnsi="仿宋" w:eastAsia="仿宋" w:cs="仿宋"/>
                <w:color w:val="000000"/>
                <w:sz w:val="24"/>
                <w:szCs w:val="24"/>
                <w:highlight w:val="none"/>
                <w:lang w:val="en-US" w:eastAsia="zh-CN"/>
              </w:rPr>
              <w:t>万元</w:t>
            </w:r>
          </w:p>
          <w:p w14:paraId="348BEAB3">
            <w:pPr>
              <w:widowControl/>
              <w:spacing w:line="360" w:lineRule="auto"/>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标项二：</w:t>
            </w:r>
            <w:r>
              <w:rPr>
                <w:rFonts w:hint="eastAsia" w:ascii="仿宋" w:hAnsi="仿宋" w:eastAsia="仿宋" w:cs="仿宋"/>
                <w:color w:val="auto"/>
                <w:kern w:val="0"/>
                <w:sz w:val="24"/>
                <w:szCs w:val="24"/>
                <w:highlight w:val="none"/>
                <w:lang w:val="en-US" w:eastAsia="zh-CN"/>
              </w:rPr>
              <w:t>56.98</w:t>
            </w:r>
            <w:r>
              <w:rPr>
                <w:rFonts w:hint="eastAsia" w:ascii="仿宋" w:hAnsi="仿宋" w:eastAsia="仿宋" w:cs="仿宋"/>
                <w:color w:val="000000"/>
                <w:sz w:val="24"/>
                <w:szCs w:val="24"/>
                <w:highlight w:val="none"/>
                <w:lang w:val="en-US" w:eastAsia="zh-CN"/>
              </w:rPr>
              <w:t>万元</w:t>
            </w:r>
          </w:p>
          <w:p w14:paraId="77B2C2C6">
            <w:pPr>
              <w:pStyle w:val="15"/>
              <w:spacing w:line="360" w:lineRule="auto"/>
              <w:rPr>
                <w:rFonts w:hint="default"/>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注：投标</w:t>
            </w:r>
            <w:r>
              <w:rPr>
                <w:rFonts w:hint="eastAsia" w:ascii="仿宋" w:hAnsi="仿宋" w:eastAsia="仿宋" w:cs="仿宋"/>
                <w:b/>
                <w:bCs/>
                <w:color w:val="000000" w:themeColor="text1"/>
                <w:kern w:val="0"/>
                <w:szCs w:val="24"/>
                <w:highlight w:val="none"/>
                <w14:textFill>
                  <w14:solidFill>
                    <w14:schemeClr w14:val="tx1"/>
                  </w14:solidFill>
                </w14:textFill>
              </w:rPr>
              <w:t>价格不得超过</w:t>
            </w:r>
            <w:r>
              <w:rPr>
                <w:rFonts w:hint="eastAsia" w:ascii="仿宋" w:hAnsi="仿宋" w:eastAsia="仿宋" w:cs="仿宋"/>
                <w:b/>
                <w:bCs/>
                <w:color w:val="000000" w:themeColor="text1"/>
                <w:kern w:val="0"/>
                <w:szCs w:val="24"/>
                <w:highlight w:val="none"/>
                <w:lang w:val="en-US" w:eastAsia="zh-CN"/>
                <w14:textFill>
                  <w14:solidFill>
                    <w14:schemeClr w14:val="tx1"/>
                  </w14:solidFill>
                </w14:textFill>
              </w:rPr>
              <w:t>最高限价及</w:t>
            </w:r>
            <w:r>
              <w:rPr>
                <w:rFonts w:hint="eastAsia" w:ascii="仿宋" w:hAnsi="仿宋" w:eastAsia="仿宋" w:cs="仿宋"/>
                <w:b/>
                <w:bCs/>
                <w:color w:val="000000" w:themeColor="text1"/>
                <w:kern w:val="0"/>
                <w:szCs w:val="24"/>
                <w:highlight w:val="none"/>
                <w14:textFill>
                  <w14:solidFill>
                    <w14:schemeClr w14:val="tx1"/>
                  </w14:solidFill>
                </w14:textFill>
              </w:rPr>
              <w:t>第四章</w:t>
            </w:r>
            <w:r>
              <w:rPr>
                <w:rFonts w:hint="eastAsia" w:ascii="仿宋" w:hAnsi="仿宋" w:eastAsia="仿宋" w:cs="仿宋"/>
                <w:b/>
                <w:bCs/>
                <w:color w:val="000000" w:themeColor="text1"/>
                <w:kern w:val="0"/>
                <w:szCs w:val="24"/>
                <w:highlight w:val="none"/>
                <w:lang w:val="en-US" w:eastAsia="zh-CN"/>
                <w14:textFill>
                  <w14:solidFill>
                    <w14:schemeClr w14:val="tx1"/>
                  </w14:solidFill>
                </w14:textFill>
              </w:rPr>
              <w:t>服务标准</w:t>
            </w:r>
            <w:r>
              <w:rPr>
                <w:rFonts w:hint="eastAsia" w:ascii="仿宋" w:hAnsi="仿宋" w:eastAsia="仿宋" w:cs="仿宋"/>
                <w:b/>
                <w:bCs/>
                <w:color w:val="000000" w:themeColor="text1"/>
                <w:kern w:val="0"/>
                <w:szCs w:val="24"/>
                <w:highlight w:val="none"/>
                <w14:textFill>
                  <w14:solidFill>
                    <w14:schemeClr w14:val="tx1"/>
                  </w14:solidFill>
                </w14:textFill>
              </w:rPr>
              <w:t>和要求中的单</w:t>
            </w:r>
            <w:r>
              <w:rPr>
                <w:rFonts w:hint="eastAsia" w:ascii="仿宋" w:hAnsi="仿宋" w:eastAsia="仿宋" w:cs="仿宋"/>
                <w:b/>
                <w:bCs/>
                <w:color w:val="000000" w:themeColor="text1"/>
                <w:kern w:val="0"/>
                <w:szCs w:val="24"/>
                <w:highlight w:val="none"/>
                <w:lang w:val="en-US" w:eastAsia="zh-CN"/>
                <w14:textFill>
                  <w14:solidFill>
                    <w14:schemeClr w14:val="tx1"/>
                  </w14:solidFill>
                </w14:textFill>
              </w:rPr>
              <w:t>项目</w:t>
            </w:r>
            <w:r>
              <w:rPr>
                <w:rFonts w:hint="eastAsia" w:ascii="仿宋" w:hAnsi="仿宋" w:eastAsia="仿宋" w:cs="仿宋"/>
                <w:b/>
                <w:bCs/>
                <w:color w:val="000000" w:themeColor="text1"/>
                <w:kern w:val="0"/>
                <w:szCs w:val="24"/>
                <w:highlight w:val="none"/>
                <w14:textFill>
                  <w14:solidFill>
                    <w14:schemeClr w14:val="tx1"/>
                  </w14:solidFill>
                </w14:textFill>
              </w:rPr>
              <w:t>限价。</w:t>
            </w:r>
          </w:p>
        </w:tc>
      </w:tr>
      <w:tr w14:paraId="3FD3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515BB944">
            <w:pPr>
              <w:spacing w:line="360" w:lineRule="auto"/>
              <w:jc w:val="center"/>
              <w:rPr>
                <w:rFonts w:hint="eastAsia" w:ascii="仿宋" w:hAnsi="仿宋" w:eastAsia="仿宋" w:cs="仿宋"/>
                <w:color w:val="auto"/>
                <w:sz w:val="24"/>
                <w:szCs w:val="24"/>
                <w:highlight w:val="none"/>
              </w:rPr>
            </w:pPr>
          </w:p>
        </w:tc>
        <w:tc>
          <w:tcPr>
            <w:tcW w:w="1633" w:type="dxa"/>
            <w:shd w:val="clear" w:color="auto" w:fill="FFFFFF"/>
            <w:vAlign w:val="center"/>
          </w:tcPr>
          <w:p w14:paraId="6D8EA3F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服务周期</w:t>
            </w:r>
          </w:p>
        </w:tc>
        <w:tc>
          <w:tcPr>
            <w:tcW w:w="6850" w:type="dxa"/>
            <w:shd w:val="clear" w:color="auto" w:fill="FFFFFF"/>
            <w:vAlign w:val="center"/>
          </w:tcPr>
          <w:p w14:paraId="272C8C4E">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标项一：</w:t>
            </w:r>
          </w:p>
          <w:p w14:paraId="51CAF5F9">
            <w:pPr>
              <w:widowControl/>
              <w:numPr>
                <w:ilvl w:val="0"/>
                <w:numId w:val="0"/>
              </w:numPr>
              <w:spacing w:line="360" w:lineRule="auto"/>
              <w:jc w:val="left"/>
              <w:rPr>
                <w:rFonts w:hint="eastAsia" w:ascii="仿宋" w:hAnsi="仿宋" w:eastAsia="仿宋" w:cs="仿宋"/>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eastAsia="zh-CN"/>
              </w:rPr>
              <w:t>新疆</w:t>
            </w:r>
            <w:r>
              <w:rPr>
                <w:rFonts w:hint="eastAsia" w:ascii="仿宋" w:hAnsi="仿宋" w:eastAsia="仿宋" w:cs="仿宋"/>
                <w:color w:val="auto"/>
                <w:kern w:val="0"/>
                <w:sz w:val="24"/>
                <w:szCs w:val="24"/>
                <w:highlight w:val="none"/>
                <w:lang w:val="en-US" w:eastAsia="zh-CN"/>
              </w:rPr>
              <w:t>和静县乌龙沟一带铜锌矿</w:t>
            </w:r>
            <w:r>
              <w:rPr>
                <w:rFonts w:hint="eastAsia" w:ascii="仿宋" w:hAnsi="仿宋" w:eastAsia="仿宋" w:cs="仿宋"/>
                <w:color w:val="auto"/>
                <w:kern w:val="0"/>
                <w:sz w:val="24"/>
                <w:szCs w:val="24"/>
                <w:highlight w:val="none"/>
                <w:lang w:eastAsia="zh-CN"/>
              </w:rPr>
              <w:t>普查：挖机</w:t>
            </w:r>
            <w:r>
              <w:rPr>
                <w:rFonts w:hint="eastAsia" w:ascii="仿宋" w:hAnsi="仿宋" w:eastAsia="仿宋" w:cs="仿宋"/>
                <w:color w:val="auto"/>
                <w:kern w:val="0"/>
                <w:sz w:val="24"/>
                <w:szCs w:val="24"/>
                <w:highlight w:val="none"/>
                <w:lang w:val="en-US" w:eastAsia="zh-CN"/>
              </w:rPr>
              <w:t>2026年0</w:t>
            </w:r>
            <w:r>
              <w:rPr>
                <w:rFonts w:hint="eastAsia" w:ascii="仿宋" w:hAnsi="仿宋" w:eastAsia="仿宋" w:cs="仿宋"/>
                <w:color w:val="auto"/>
                <w:kern w:val="0"/>
                <w:sz w:val="24"/>
                <w:szCs w:val="24"/>
                <w:highlight w:val="none"/>
                <w:lang w:eastAsia="zh-CN"/>
              </w:rPr>
              <w:t>7月</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lang w:val="en-US" w:eastAsia="zh-CN"/>
              </w:rPr>
              <w:t>日至2026年0</w:t>
            </w:r>
            <w:r>
              <w:rPr>
                <w:rFonts w:hint="eastAsia" w:ascii="仿宋" w:hAnsi="仿宋" w:eastAsia="仿宋" w:cs="仿宋"/>
                <w:color w:val="auto"/>
                <w:kern w:val="0"/>
                <w:sz w:val="24"/>
                <w:szCs w:val="24"/>
                <w:highlight w:val="none"/>
                <w:lang w:eastAsia="zh-CN"/>
              </w:rPr>
              <w:t>9月30</w:t>
            </w:r>
            <w:r>
              <w:rPr>
                <w:rFonts w:hint="eastAsia" w:ascii="仿宋" w:hAnsi="仿宋" w:eastAsia="仿宋" w:cs="仿宋"/>
                <w:color w:val="auto"/>
                <w:kern w:val="0"/>
                <w:sz w:val="24"/>
                <w:szCs w:val="24"/>
                <w:highlight w:val="none"/>
                <w:lang w:val="en-US" w:eastAsia="zh-CN"/>
              </w:rPr>
              <w:t>日</w:t>
            </w:r>
            <w:r>
              <w:rPr>
                <w:rFonts w:hint="eastAsia" w:ascii="仿宋" w:hAnsi="仿宋" w:eastAsia="仿宋" w:cs="仿宋"/>
                <w:color w:val="auto"/>
                <w:kern w:val="0"/>
                <w:sz w:val="24"/>
                <w:szCs w:val="24"/>
                <w:highlight w:val="none"/>
                <w:lang w:eastAsia="zh-CN"/>
              </w:rPr>
              <w:t>、铲车</w:t>
            </w:r>
            <w:r>
              <w:rPr>
                <w:rFonts w:hint="eastAsia" w:ascii="仿宋" w:hAnsi="仿宋" w:eastAsia="仿宋" w:cs="仿宋"/>
                <w:color w:val="auto"/>
                <w:kern w:val="0"/>
                <w:sz w:val="24"/>
                <w:szCs w:val="24"/>
                <w:highlight w:val="none"/>
                <w:lang w:val="en-US" w:eastAsia="zh-CN"/>
              </w:rPr>
              <w:t>2026年0</w:t>
            </w:r>
            <w:r>
              <w:rPr>
                <w:rFonts w:hint="eastAsia" w:ascii="仿宋" w:hAnsi="仿宋" w:eastAsia="仿宋" w:cs="仿宋"/>
                <w:color w:val="auto"/>
                <w:kern w:val="0"/>
                <w:sz w:val="24"/>
                <w:szCs w:val="24"/>
                <w:highlight w:val="none"/>
                <w:lang w:eastAsia="zh-CN"/>
              </w:rPr>
              <w:t>6月</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lang w:val="en-US" w:eastAsia="zh-CN"/>
              </w:rPr>
              <w:t>日</w:t>
            </w:r>
            <w:r>
              <w:rPr>
                <w:rFonts w:hint="eastAsia" w:ascii="仿宋" w:hAnsi="仿宋" w:eastAsia="仿宋" w:cs="仿宋"/>
                <w:color w:val="auto"/>
                <w:kern w:val="0"/>
                <w:sz w:val="24"/>
                <w:szCs w:val="24"/>
                <w:highlight w:val="none"/>
                <w:lang w:eastAsia="zh-CN"/>
              </w:rPr>
              <w:t>至</w:t>
            </w:r>
            <w:r>
              <w:rPr>
                <w:rFonts w:hint="eastAsia" w:ascii="仿宋" w:hAnsi="仿宋" w:eastAsia="仿宋" w:cs="仿宋"/>
                <w:color w:val="auto"/>
                <w:kern w:val="0"/>
                <w:sz w:val="24"/>
                <w:szCs w:val="24"/>
                <w:highlight w:val="none"/>
                <w:lang w:val="en-US" w:eastAsia="zh-CN"/>
              </w:rPr>
              <w:t>2026年0</w:t>
            </w:r>
            <w:r>
              <w:rPr>
                <w:rFonts w:hint="eastAsia" w:ascii="仿宋" w:hAnsi="仿宋" w:eastAsia="仿宋" w:cs="仿宋"/>
                <w:color w:val="auto"/>
                <w:kern w:val="0"/>
                <w:sz w:val="24"/>
                <w:szCs w:val="24"/>
                <w:highlight w:val="none"/>
                <w:lang w:eastAsia="zh-CN"/>
              </w:rPr>
              <w:t>7月30</w:t>
            </w:r>
            <w:r>
              <w:rPr>
                <w:rFonts w:hint="eastAsia" w:ascii="仿宋" w:hAnsi="仿宋" w:eastAsia="仿宋" w:cs="仿宋"/>
                <w:color w:val="auto"/>
                <w:kern w:val="0"/>
                <w:sz w:val="24"/>
                <w:szCs w:val="24"/>
                <w:highlight w:val="none"/>
                <w:lang w:val="en-US" w:eastAsia="zh-CN"/>
              </w:rPr>
              <w:t>日；2、</w:t>
            </w:r>
            <w:r>
              <w:rPr>
                <w:rFonts w:hint="eastAsia" w:ascii="仿宋" w:hAnsi="仿宋" w:eastAsia="仿宋" w:cs="仿宋"/>
                <w:kern w:val="0"/>
                <w:sz w:val="24"/>
                <w:szCs w:val="24"/>
                <w:highlight w:val="none"/>
                <w:lang w:bidi="ar"/>
              </w:rPr>
              <w:t>新疆和静县-托克逊县乌拉苏-阿拉沟一带金铜多金属矿普查</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2026年0</w:t>
            </w:r>
            <w:r>
              <w:rPr>
                <w:rFonts w:hint="eastAsia" w:ascii="仿宋" w:hAnsi="仿宋" w:eastAsia="仿宋" w:cs="仿宋"/>
                <w:color w:val="auto"/>
                <w:kern w:val="0"/>
                <w:sz w:val="24"/>
                <w:szCs w:val="24"/>
                <w:highlight w:val="none"/>
                <w:lang w:eastAsia="zh-CN"/>
              </w:rPr>
              <w:t>6月</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lang w:val="en-US" w:eastAsia="zh-CN"/>
              </w:rPr>
              <w:t>日至2026年09</w:t>
            </w:r>
            <w:r>
              <w:rPr>
                <w:rFonts w:hint="eastAsia" w:ascii="仿宋" w:hAnsi="仿宋" w:eastAsia="仿宋" w:cs="仿宋"/>
                <w:color w:val="auto"/>
                <w:kern w:val="0"/>
                <w:sz w:val="24"/>
                <w:szCs w:val="24"/>
                <w:highlight w:val="none"/>
                <w:lang w:eastAsia="zh-CN"/>
              </w:rPr>
              <w:t>月</w:t>
            </w:r>
            <w:r>
              <w:rPr>
                <w:rFonts w:hint="eastAsia" w:ascii="仿宋" w:hAnsi="仿宋" w:eastAsia="仿宋" w:cs="仿宋"/>
                <w:color w:val="auto"/>
                <w:kern w:val="0"/>
                <w:sz w:val="24"/>
                <w:szCs w:val="24"/>
                <w:highlight w:val="none"/>
                <w:lang w:val="en-US" w:eastAsia="zh-CN"/>
              </w:rPr>
              <w:t>30日；3、</w:t>
            </w:r>
            <w:r>
              <w:rPr>
                <w:rFonts w:hint="eastAsia" w:ascii="仿宋" w:hAnsi="仿宋" w:eastAsia="仿宋" w:cs="仿宋"/>
                <w:kern w:val="0"/>
                <w:sz w:val="24"/>
                <w:szCs w:val="24"/>
                <w:highlight w:val="none"/>
                <w:lang w:bidi="ar"/>
              </w:rPr>
              <w:t>新疆</w:t>
            </w:r>
            <w:r>
              <w:rPr>
                <w:rFonts w:hint="eastAsia" w:ascii="仿宋" w:hAnsi="仿宋" w:eastAsia="仿宋" w:cs="仿宋"/>
                <w:kern w:val="0"/>
                <w:sz w:val="24"/>
                <w:szCs w:val="24"/>
                <w:highlight w:val="none"/>
                <w:lang w:eastAsia="zh-CN" w:bidi="ar"/>
              </w:rPr>
              <w:t>民丰县硝尔库勒</w:t>
            </w:r>
            <w:r>
              <w:rPr>
                <w:rFonts w:hint="eastAsia" w:ascii="仿宋" w:hAnsi="仿宋" w:eastAsia="仿宋" w:cs="仿宋"/>
                <w:kern w:val="0"/>
                <w:sz w:val="24"/>
                <w:szCs w:val="24"/>
                <w:highlight w:val="none"/>
                <w:lang w:val="en-US" w:eastAsia="zh-CN" w:bidi="ar"/>
              </w:rPr>
              <w:t>-红土滩外围锑矿</w:t>
            </w:r>
            <w:r>
              <w:rPr>
                <w:rFonts w:hint="eastAsia" w:ascii="仿宋" w:hAnsi="仿宋" w:eastAsia="仿宋" w:cs="仿宋"/>
                <w:kern w:val="0"/>
                <w:sz w:val="24"/>
                <w:szCs w:val="24"/>
                <w:highlight w:val="none"/>
                <w:lang w:bidi="ar"/>
              </w:rPr>
              <w:t>普查</w:t>
            </w:r>
            <w:r>
              <w:rPr>
                <w:rFonts w:hint="eastAsia" w:ascii="仿宋" w:hAnsi="仿宋" w:eastAsia="仿宋" w:cs="仿宋"/>
                <w:kern w:val="0"/>
                <w:sz w:val="24"/>
                <w:szCs w:val="24"/>
                <w:highlight w:val="none"/>
                <w:lang w:eastAsia="zh-CN" w:bidi="ar"/>
              </w:rPr>
              <w:t>：2026年</w:t>
            </w:r>
            <w:r>
              <w:rPr>
                <w:rFonts w:hint="eastAsia" w:ascii="仿宋" w:hAnsi="仿宋" w:eastAsia="仿宋" w:cs="仿宋"/>
                <w:kern w:val="0"/>
                <w:sz w:val="24"/>
                <w:szCs w:val="24"/>
                <w:highlight w:val="none"/>
                <w:lang w:val="en-US" w:eastAsia="zh-CN" w:bidi="ar"/>
              </w:rPr>
              <w:t>0</w:t>
            </w:r>
            <w:r>
              <w:rPr>
                <w:rFonts w:hint="eastAsia" w:ascii="仿宋" w:hAnsi="仿宋" w:eastAsia="仿宋" w:cs="仿宋"/>
                <w:kern w:val="0"/>
                <w:sz w:val="24"/>
                <w:szCs w:val="24"/>
                <w:highlight w:val="none"/>
                <w:lang w:eastAsia="zh-CN" w:bidi="ar"/>
              </w:rPr>
              <w:t>6月</w:t>
            </w:r>
            <w:r>
              <w:rPr>
                <w:rFonts w:hint="eastAsia" w:ascii="仿宋" w:hAnsi="仿宋" w:eastAsia="仿宋" w:cs="仿宋"/>
                <w:kern w:val="0"/>
                <w:sz w:val="24"/>
                <w:szCs w:val="24"/>
                <w:highlight w:val="none"/>
                <w:lang w:val="en-US" w:eastAsia="zh-CN" w:bidi="ar"/>
              </w:rPr>
              <w:t>0</w:t>
            </w:r>
            <w:r>
              <w:rPr>
                <w:rFonts w:hint="eastAsia" w:ascii="仿宋" w:hAnsi="仿宋" w:eastAsia="仿宋" w:cs="仿宋"/>
                <w:kern w:val="0"/>
                <w:sz w:val="24"/>
                <w:szCs w:val="24"/>
                <w:highlight w:val="none"/>
                <w:lang w:eastAsia="zh-CN" w:bidi="ar"/>
              </w:rPr>
              <w:t>1日</w:t>
            </w:r>
            <w:r>
              <w:rPr>
                <w:rFonts w:hint="eastAsia" w:ascii="仿宋" w:hAnsi="仿宋" w:eastAsia="仿宋" w:cs="仿宋"/>
                <w:kern w:val="0"/>
                <w:sz w:val="24"/>
                <w:szCs w:val="24"/>
                <w:highlight w:val="none"/>
                <w:lang w:val="en-US" w:eastAsia="zh-CN" w:bidi="ar"/>
              </w:rPr>
              <w:t>至2026年0</w:t>
            </w:r>
            <w:r>
              <w:rPr>
                <w:rFonts w:hint="eastAsia" w:ascii="仿宋" w:hAnsi="仿宋" w:eastAsia="仿宋" w:cs="仿宋"/>
                <w:kern w:val="0"/>
                <w:sz w:val="24"/>
                <w:szCs w:val="24"/>
                <w:highlight w:val="none"/>
                <w:lang w:eastAsia="zh-CN" w:bidi="ar"/>
              </w:rPr>
              <w:t>8月30日。</w:t>
            </w:r>
          </w:p>
          <w:p w14:paraId="59A68BA7">
            <w:pPr>
              <w:widowControl/>
              <w:spacing w:line="360" w:lineRule="auto"/>
              <w:jc w:val="left"/>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标项2：</w:t>
            </w:r>
          </w:p>
          <w:p w14:paraId="605E46F5">
            <w:pPr>
              <w:widowControl/>
              <w:numPr>
                <w:ilvl w:val="0"/>
                <w:numId w:val="0"/>
              </w:numPr>
              <w:spacing w:line="360" w:lineRule="auto"/>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kern w:val="0"/>
                <w:sz w:val="24"/>
                <w:szCs w:val="24"/>
                <w:highlight w:val="none"/>
                <w:lang w:val="en-US" w:eastAsia="zh-CN" w:bidi="ar"/>
              </w:rPr>
              <w:t>1、</w:t>
            </w:r>
            <w:r>
              <w:rPr>
                <w:rFonts w:hint="eastAsia" w:ascii="仿宋" w:hAnsi="仿宋" w:eastAsia="仿宋" w:cs="仿宋"/>
                <w:kern w:val="0"/>
                <w:sz w:val="24"/>
                <w:szCs w:val="24"/>
                <w:highlight w:val="none"/>
                <w:lang w:bidi="ar"/>
              </w:rPr>
              <w:t>新疆博乐市阿拉山口西钨锡矿普查探槽施工及回填</w:t>
            </w:r>
            <w:r>
              <w:rPr>
                <w:rFonts w:hint="eastAsia" w:ascii="仿宋" w:hAnsi="仿宋" w:eastAsia="仿宋" w:cs="仿宋"/>
                <w:kern w:val="0"/>
                <w:sz w:val="24"/>
                <w:szCs w:val="24"/>
                <w:highlight w:val="none"/>
                <w:lang w:eastAsia="zh-CN" w:bidi="ar"/>
              </w:rPr>
              <w:t>：</w:t>
            </w:r>
            <w:r>
              <w:rPr>
                <w:rFonts w:hint="eastAsia" w:ascii="仿宋" w:hAnsi="仿宋" w:eastAsia="仿宋" w:cs="仿宋"/>
                <w:kern w:val="0"/>
                <w:sz w:val="24"/>
                <w:szCs w:val="24"/>
                <w:highlight w:val="none"/>
                <w:lang w:val="en-US" w:eastAsia="zh-CN" w:bidi="ar"/>
              </w:rPr>
              <w:t>自合同签订之日起至2026年0</w:t>
            </w:r>
            <w:r>
              <w:rPr>
                <w:rFonts w:hint="eastAsia" w:ascii="仿宋" w:hAnsi="仿宋" w:eastAsia="仿宋" w:cs="仿宋"/>
                <w:kern w:val="0"/>
                <w:sz w:val="24"/>
                <w:szCs w:val="24"/>
                <w:highlight w:val="none"/>
                <w:lang w:eastAsia="zh-CN" w:bidi="ar"/>
              </w:rPr>
              <w:t>9月30</w:t>
            </w:r>
            <w:r>
              <w:rPr>
                <w:rFonts w:hint="eastAsia" w:ascii="仿宋" w:hAnsi="仿宋" w:eastAsia="仿宋" w:cs="仿宋"/>
                <w:kern w:val="0"/>
                <w:sz w:val="24"/>
                <w:szCs w:val="24"/>
                <w:highlight w:val="none"/>
                <w:lang w:val="en-US" w:eastAsia="zh-CN" w:bidi="ar"/>
              </w:rPr>
              <w:t>日；2、</w:t>
            </w:r>
            <w:r>
              <w:rPr>
                <w:rFonts w:hint="eastAsia" w:ascii="仿宋" w:hAnsi="仿宋" w:eastAsia="仿宋" w:cs="仿宋"/>
                <w:kern w:val="0"/>
                <w:sz w:val="24"/>
                <w:szCs w:val="24"/>
                <w:highlight w:val="none"/>
                <w:lang w:eastAsia="zh-CN" w:bidi="ar"/>
              </w:rPr>
              <w:t>新疆阿图什市喀拉别勒所一带铜矿调查评价：</w:t>
            </w:r>
            <w:r>
              <w:rPr>
                <w:rFonts w:hint="eastAsia" w:ascii="仿宋" w:hAnsi="仿宋" w:eastAsia="仿宋" w:cs="仿宋"/>
                <w:kern w:val="0"/>
                <w:sz w:val="24"/>
                <w:szCs w:val="24"/>
                <w:highlight w:val="none"/>
                <w:lang w:val="en-US" w:eastAsia="zh-CN" w:bidi="ar"/>
              </w:rPr>
              <w:t>自合同签订之日起至2026年0</w:t>
            </w:r>
            <w:r>
              <w:rPr>
                <w:rFonts w:hint="eastAsia" w:ascii="仿宋" w:hAnsi="仿宋" w:eastAsia="仿宋" w:cs="仿宋"/>
                <w:kern w:val="0"/>
                <w:sz w:val="24"/>
                <w:szCs w:val="24"/>
                <w:highlight w:val="none"/>
                <w:lang w:eastAsia="zh-CN" w:bidi="ar"/>
              </w:rPr>
              <w:t>7月30</w:t>
            </w:r>
            <w:r>
              <w:rPr>
                <w:rFonts w:hint="eastAsia" w:ascii="仿宋" w:hAnsi="仿宋" w:eastAsia="仿宋" w:cs="仿宋"/>
                <w:kern w:val="0"/>
                <w:sz w:val="24"/>
                <w:szCs w:val="24"/>
                <w:highlight w:val="none"/>
                <w:lang w:val="en-US" w:eastAsia="zh-CN" w:bidi="ar"/>
              </w:rPr>
              <w:t>日。</w:t>
            </w:r>
          </w:p>
        </w:tc>
      </w:tr>
      <w:tr w14:paraId="7858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3F4E8E3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633" w:type="dxa"/>
            <w:shd w:val="clear" w:color="auto" w:fill="FFFFFF"/>
            <w:vAlign w:val="center"/>
          </w:tcPr>
          <w:p w14:paraId="78B9DAA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采购范围</w:t>
            </w:r>
          </w:p>
        </w:tc>
        <w:tc>
          <w:tcPr>
            <w:tcW w:w="6850" w:type="dxa"/>
            <w:shd w:val="clear" w:color="auto" w:fill="FFFFFF"/>
            <w:vAlign w:val="center"/>
          </w:tcPr>
          <w:p w14:paraId="41ECC7C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新疆维吾尔自治区地质局昌吉地质大队2026年机械租赁服务项目（槽探开挖及回填、道路平整及维护）</w:t>
            </w:r>
            <w:r>
              <w:rPr>
                <w:rFonts w:hint="eastAsia" w:ascii="仿宋" w:hAnsi="仿宋" w:eastAsia="仿宋" w:cs="仿宋"/>
                <w:color w:val="auto"/>
                <w:sz w:val="24"/>
                <w:szCs w:val="24"/>
                <w:highlight w:val="none"/>
              </w:rPr>
              <w:t>范围内的所有工作内容，关于采购范围的详细说明见招标文件第四章“服务标准和要求”。</w:t>
            </w:r>
          </w:p>
        </w:tc>
      </w:tr>
      <w:tr w14:paraId="0787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FFFFFF"/>
            <w:vAlign w:val="center"/>
          </w:tcPr>
          <w:p w14:paraId="1FAA192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633" w:type="dxa"/>
            <w:shd w:val="clear" w:color="auto" w:fill="FFFFFF"/>
            <w:vAlign w:val="center"/>
          </w:tcPr>
          <w:p w14:paraId="7F04EB1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p>
        </w:tc>
        <w:tc>
          <w:tcPr>
            <w:tcW w:w="6850" w:type="dxa"/>
            <w:shd w:val="clear" w:color="auto" w:fill="FFFFFF"/>
            <w:vAlign w:val="center"/>
          </w:tcPr>
          <w:p w14:paraId="5816F96D">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公开招标</w:t>
            </w:r>
          </w:p>
        </w:tc>
      </w:tr>
      <w:tr w14:paraId="3A5F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6DEE2808">
            <w:pPr>
              <w:spacing w:line="360" w:lineRule="auto"/>
              <w:jc w:val="center"/>
              <w:rPr>
                <w:rFonts w:hint="eastAsia" w:ascii="仿宋" w:hAnsi="仿宋" w:eastAsia="仿宋" w:cs="仿宋"/>
                <w:color w:val="auto"/>
                <w:sz w:val="24"/>
                <w:szCs w:val="24"/>
                <w:highlight w:val="none"/>
              </w:rPr>
            </w:pPr>
          </w:p>
        </w:tc>
        <w:tc>
          <w:tcPr>
            <w:tcW w:w="1633" w:type="dxa"/>
            <w:shd w:val="clear" w:color="auto" w:fill="FFFFFF"/>
            <w:vAlign w:val="center"/>
          </w:tcPr>
          <w:p w14:paraId="36ABE80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资格审查方式</w:t>
            </w:r>
          </w:p>
        </w:tc>
        <w:tc>
          <w:tcPr>
            <w:tcW w:w="6850" w:type="dxa"/>
            <w:shd w:val="clear" w:color="auto" w:fill="FFFFFF"/>
            <w:vAlign w:val="center"/>
          </w:tcPr>
          <w:p w14:paraId="0E0F5A7D">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资格后审</w:t>
            </w:r>
          </w:p>
        </w:tc>
      </w:tr>
      <w:tr w14:paraId="6B63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FFFFFF"/>
            <w:vAlign w:val="center"/>
          </w:tcPr>
          <w:p w14:paraId="0F3BA69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633" w:type="dxa"/>
            <w:shd w:val="clear" w:color="auto" w:fill="FFFFFF"/>
            <w:vAlign w:val="center"/>
          </w:tcPr>
          <w:p w14:paraId="221C1A8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w:t>
            </w:r>
          </w:p>
        </w:tc>
        <w:tc>
          <w:tcPr>
            <w:tcW w:w="6850" w:type="dxa"/>
            <w:shd w:val="clear" w:color="auto" w:fill="FFFFFF"/>
            <w:vAlign w:val="center"/>
          </w:tcPr>
          <w:p w14:paraId="2BA53C9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612D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6A8930B4">
            <w:pPr>
              <w:spacing w:line="360" w:lineRule="auto"/>
              <w:jc w:val="center"/>
              <w:rPr>
                <w:rFonts w:hint="eastAsia" w:ascii="仿宋" w:hAnsi="仿宋" w:eastAsia="仿宋" w:cs="仿宋"/>
                <w:color w:val="auto"/>
                <w:sz w:val="24"/>
                <w:szCs w:val="24"/>
                <w:highlight w:val="none"/>
              </w:rPr>
            </w:pPr>
          </w:p>
        </w:tc>
        <w:tc>
          <w:tcPr>
            <w:tcW w:w="1633" w:type="dxa"/>
            <w:shd w:val="clear" w:color="auto" w:fill="FFFFFF"/>
            <w:vAlign w:val="center"/>
          </w:tcPr>
          <w:p w14:paraId="51D2A8A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定标方法</w:t>
            </w:r>
          </w:p>
        </w:tc>
        <w:tc>
          <w:tcPr>
            <w:tcW w:w="6850" w:type="dxa"/>
            <w:shd w:val="clear" w:color="auto" w:fill="FFFFFF"/>
            <w:vAlign w:val="center"/>
          </w:tcPr>
          <w:p w14:paraId="0215F0ED">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评标小组推荐三名中标候选人</w:t>
            </w:r>
          </w:p>
        </w:tc>
      </w:tr>
      <w:tr w14:paraId="72E2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BD53AF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633" w:type="dxa"/>
            <w:shd w:val="clear" w:color="auto" w:fill="FFFFFF"/>
            <w:vAlign w:val="center"/>
          </w:tcPr>
          <w:p w14:paraId="019D25C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投标人最低资格条件和能力</w:t>
            </w:r>
          </w:p>
        </w:tc>
        <w:tc>
          <w:tcPr>
            <w:tcW w:w="6850" w:type="dxa"/>
            <w:shd w:val="clear" w:color="auto" w:fill="FFFFFF"/>
            <w:vAlign w:val="center"/>
          </w:tcPr>
          <w:p w14:paraId="4A0420F5">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01DF7FE6">
            <w:pPr>
              <w:widowControl/>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kern w:val="0"/>
                <w:sz w:val="24"/>
                <w:szCs w:val="24"/>
                <w:highlight w:val="none"/>
              </w:rPr>
              <w:t>符合促进中小企业发展政策的，依据规定给予评审优惠。</w:t>
            </w:r>
          </w:p>
          <w:p w14:paraId="08E04527">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tc>
      </w:tr>
      <w:tr w14:paraId="2009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D048D7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633" w:type="dxa"/>
            <w:shd w:val="clear" w:color="auto" w:fill="FFFFFF"/>
            <w:vAlign w:val="center"/>
          </w:tcPr>
          <w:p w14:paraId="2C4A3DB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招标文件费</w:t>
            </w:r>
          </w:p>
        </w:tc>
        <w:tc>
          <w:tcPr>
            <w:tcW w:w="6850" w:type="dxa"/>
            <w:shd w:val="clear" w:color="auto" w:fill="FFFFFF"/>
            <w:vAlign w:val="center"/>
          </w:tcPr>
          <w:p w14:paraId="35A0CB5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0元/份</w:t>
            </w:r>
          </w:p>
        </w:tc>
      </w:tr>
      <w:tr w14:paraId="6AFB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0033255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633" w:type="dxa"/>
            <w:shd w:val="clear" w:color="auto" w:fill="FFFFFF"/>
            <w:vAlign w:val="center"/>
          </w:tcPr>
          <w:p w14:paraId="7AB13DC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6850" w:type="dxa"/>
            <w:shd w:val="clear" w:color="auto" w:fill="FFFFFF"/>
            <w:vAlign w:val="center"/>
          </w:tcPr>
          <w:p w14:paraId="143179CC">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标项一：23501元整</w:t>
            </w:r>
          </w:p>
          <w:p w14:paraId="3552659C">
            <w:pPr>
              <w:widowControl/>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标项二：11302元整</w:t>
            </w:r>
          </w:p>
          <w:p w14:paraId="4606FE70">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（详见第一章3.4.2条）</w:t>
            </w:r>
          </w:p>
        </w:tc>
      </w:tr>
      <w:tr w14:paraId="0F0E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45A6A54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633" w:type="dxa"/>
            <w:shd w:val="clear" w:color="auto" w:fill="FFFFFF"/>
            <w:vAlign w:val="center"/>
          </w:tcPr>
          <w:p w14:paraId="4DF26BAB">
            <w:pPr>
              <w:keepNext/>
              <w:widowControl/>
              <w:spacing w:line="360" w:lineRule="auto"/>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现场踏勘</w:t>
            </w:r>
          </w:p>
        </w:tc>
        <w:tc>
          <w:tcPr>
            <w:tcW w:w="6850" w:type="dxa"/>
            <w:shd w:val="clear" w:color="auto" w:fill="FFFFFF"/>
            <w:vAlign w:val="center"/>
          </w:tcPr>
          <w:p w14:paraId="70C7AAC4">
            <w:pPr>
              <w:keepNext/>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p w14:paraId="42CCA43B">
            <w:pPr>
              <w:keepNext/>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□统一组织</w:t>
            </w:r>
          </w:p>
        </w:tc>
      </w:tr>
      <w:tr w14:paraId="6626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0C2E8AB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633" w:type="dxa"/>
            <w:shd w:val="clear" w:color="auto" w:fill="FFFFFF"/>
            <w:vAlign w:val="center"/>
          </w:tcPr>
          <w:p w14:paraId="39CF021E">
            <w:pPr>
              <w:keepNext/>
              <w:widowControl/>
              <w:spacing w:line="360" w:lineRule="auto"/>
              <w:jc w:val="distribut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是否允许联合体投标</w:t>
            </w:r>
          </w:p>
        </w:tc>
        <w:tc>
          <w:tcPr>
            <w:tcW w:w="6850" w:type="dxa"/>
            <w:shd w:val="clear" w:color="auto" w:fill="FFFFFF"/>
            <w:vAlign w:val="center"/>
          </w:tcPr>
          <w:p w14:paraId="1B4FDED5">
            <w:pPr>
              <w:keepNext/>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p w14:paraId="2BF9489B">
            <w:pPr>
              <w:keepNext/>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w:t>
            </w:r>
          </w:p>
        </w:tc>
      </w:tr>
      <w:tr w14:paraId="7486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8758C1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633" w:type="dxa"/>
            <w:shd w:val="clear" w:color="auto" w:fill="FFFFFF"/>
            <w:vAlign w:val="center"/>
          </w:tcPr>
          <w:p w14:paraId="7580D57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招标答疑</w:t>
            </w:r>
          </w:p>
        </w:tc>
        <w:tc>
          <w:tcPr>
            <w:tcW w:w="6850" w:type="dxa"/>
            <w:shd w:val="clear" w:color="auto" w:fill="FFFFFF"/>
            <w:vAlign w:val="center"/>
          </w:tcPr>
          <w:p w14:paraId="10201B7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提出询问的，应当在投标文件递交截止时间15日前以书面形式（加盖公章）递交至新疆新世纪招标有限公司，否则采购人不</w:t>
            </w:r>
            <w:r>
              <w:rPr>
                <w:rFonts w:hint="eastAsia" w:ascii="仿宋" w:hAnsi="仿宋" w:eastAsia="仿宋" w:cs="仿宋"/>
                <w:color w:val="auto"/>
                <w:sz w:val="24"/>
                <w:szCs w:val="24"/>
                <w:highlight w:val="none"/>
                <w:lang w:val="en-US" w:eastAsia="zh-CN"/>
              </w:rPr>
              <w:t>做</w:t>
            </w:r>
            <w:r>
              <w:rPr>
                <w:rFonts w:hint="eastAsia" w:ascii="仿宋" w:hAnsi="仿宋" w:eastAsia="仿宋" w:cs="仿宋"/>
                <w:color w:val="auto"/>
                <w:sz w:val="24"/>
                <w:szCs w:val="24"/>
                <w:highlight w:val="none"/>
              </w:rPr>
              <w:t>任何解释。</w:t>
            </w:r>
          </w:p>
          <w:p w14:paraId="0606C3E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提出质疑的，应当在获取招标文件或者招标公告期限届满之日起7个工作日内一次性以书面形式（按照财政部制定的质疑函范本编写）提出并递交至采购代理机构。</w:t>
            </w:r>
          </w:p>
          <w:p w14:paraId="2AC56547">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质疑接收人：</w:t>
            </w:r>
            <w:r>
              <w:rPr>
                <w:rFonts w:hint="eastAsia" w:ascii="仿宋" w:hAnsi="仿宋" w:eastAsia="仿宋" w:cs="仿宋"/>
                <w:color w:val="auto"/>
                <w:sz w:val="24"/>
                <w:szCs w:val="24"/>
                <w:highlight w:val="none"/>
                <w:lang w:val="en-US" w:eastAsia="zh-CN"/>
              </w:rPr>
              <w:t>陈泉旭</w:t>
            </w: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19190107263</w:t>
            </w:r>
            <w:r>
              <w:rPr>
                <w:rFonts w:hint="eastAsia" w:ascii="仿宋" w:hAnsi="仿宋" w:eastAsia="仿宋" w:cs="仿宋"/>
                <w:color w:val="auto"/>
                <w:sz w:val="24"/>
                <w:szCs w:val="24"/>
                <w:highlight w:val="none"/>
              </w:rPr>
              <w:t>。</w:t>
            </w:r>
          </w:p>
          <w:p w14:paraId="400DB9B1">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14:paraId="7416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42C5479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633" w:type="dxa"/>
            <w:shd w:val="clear" w:color="auto" w:fill="FFFFFF"/>
            <w:vAlign w:val="center"/>
          </w:tcPr>
          <w:p w14:paraId="058A2D2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w:t>
            </w:r>
          </w:p>
        </w:tc>
        <w:tc>
          <w:tcPr>
            <w:tcW w:w="6850" w:type="dxa"/>
            <w:shd w:val="clear" w:color="auto" w:fill="FFFFFF"/>
            <w:vAlign w:val="center"/>
          </w:tcPr>
          <w:p w14:paraId="2C10935C">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1、本次采购采用电子交易方式，电子交易平台为“政采云平台（https://www.zcygov.cn/）”。投标人参与本项目电子交易活动前，应注册成为政府采购云平台正式投标人。编制电子投标文件前还需申领CA证书并绑定</w:t>
            </w:r>
            <w:r>
              <w:rPr>
                <w:rFonts w:hint="eastAsia" w:ascii="仿宋" w:hAnsi="仿宋" w:eastAsia="仿宋" w:cs="仿宋"/>
                <w:color w:val="auto"/>
                <w:sz w:val="24"/>
                <w:szCs w:val="24"/>
                <w:highlight w:val="none"/>
                <w:lang w:eastAsia="zh-CN"/>
              </w:rPr>
              <w:t>账号</w:t>
            </w:r>
            <w:r>
              <w:rPr>
                <w:rFonts w:hint="eastAsia" w:ascii="仿宋" w:hAnsi="仿宋" w:eastAsia="仿宋" w:cs="仿宋"/>
                <w:color w:val="auto"/>
                <w:sz w:val="24"/>
                <w:szCs w:val="24"/>
                <w:highlight w:val="none"/>
              </w:rPr>
              <w:t>。投标人应充分考虑完成平台注册、申领CA证书等所需的时间。因未注册入库、未办理CA数字证书等原因造成无法投标或投标失败等后果由投标人自行承担。</w:t>
            </w:r>
          </w:p>
          <w:p w14:paraId="6118B16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0C90514B">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3、加密的电子投标文件应在投标文件递交截止时间前通过政采云平台上传完成。逾期上传或者未上传指定地点的投标文件，不予受理。</w:t>
            </w:r>
          </w:p>
          <w:p w14:paraId="0331C17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0EB15BA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5、如遇“政采云平台（https://www.zcygov.cn/）”电子交易规则调整，以最新要求为准。</w:t>
            </w:r>
          </w:p>
        </w:tc>
      </w:tr>
      <w:tr w14:paraId="0407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744A78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1633" w:type="dxa"/>
            <w:shd w:val="clear" w:color="auto" w:fill="FFFFFF"/>
            <w:vAlign w:val="center"/>
          </w:tcPr>
          <w:p w14:paraId="665E8A1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投标文件递交</w:t>
            </w:r>
          </w:p>
        </w:tc>
        <w:tc>
          <w:tcPr>
            <w:tcW w:w="6850" w:type="dxa"/>
            <w:shd w:val="clear" w:color="auto" w:fill="FFFFFF"/>
            <w:vAlign w:val="center"/>
          </w:tcPr>
          <w:p w14:paraId="25BB7E40">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截止时间：</w:t>
            </w:r>
            <w:r>
              <w:rPr>
                <w:rFonts w:hint="eastAsia" w:ascii="仿宋" w:hAnsi="仿宋" w:eastAsia="仿宋" w:cs="仿宋"/>
                <w:color w:val="FF0000"/>
                <w:sz w:val="24"/>
                <w:szCs w:val="24"/>
                <w:highlight w:val="none"/>
                <w:u w:val="single"/>
                <w:lang w:eastAsia="zh-CN"/>
              </w:rPr>
              <w:t>2026年</w:t>
            </w:r>
            <w:r>
              <w:rPr>
                <w:rFonts w:hint="eastAsia" w:ascii="仿宋" w:hAnsi="仿宋" w:eastAsia="仿宋" w:cs="仿宋"/>
                <w:color w:val="FF0000"/>
                <w:sz w:val="24"/>
                <w:szCs w:val="24"/>
                <w:highlight w:val="none"/>
                <w:u w:val="single"/>
                <w:lang w:val="en-US" w:eastAsia="zh-CN"/>
              </w:rPr>
              <w:t>05</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13</w:t>
            </w:r>
            <w:r>
              <w:rPr>
                <w:rFonts w:hint="eastAsia" w:ascii="仿宋" w:hAnsi="仿宋" w:eastAsia="仿宋" w:cs="仿宋"/>
                <w:color w:val="FF0000"/>
                <w:sz w:val="24"/>
                <w:szCs w:val="24"/>
                <w:highlight w:val="none"/>
                <w:u w:val="single"/>
                <w:lang w:eastAsia="zh-CN"/>
              </w:rPr>
              <w:t>日11:00（北京时间）</w:t>
            </w:r>
          </w:p>
          <w:p w14:paraId="5ADD8315">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递交地点：加密的电子响应文件（.jmbs格式）应在投标文件递交截止时间前通过政采云平台上传完成。</w:t>
            </w:r>
          </w:p>
        </w:tc>
      </w:tr>
      <w:tr w14:paraId="631D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7A0B03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633" w:type="dxa"/>
            <w:shd w:val="clear" w:color="auto" w:fill="FFFFFF"/>
            <w:vAlign w:val="center"/>
          </w:tcPr>
          <w:p w14:paraId="3050556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w:t>
            </w:r>
          </w:p>
        </w:tc>
        <w:tc>
          <w:tcPr>
            <w:tcW w:w="6850" w:type="dxa"/>
            <w:shd w:val="clear" w:color="auto" w:fill="FFFFFF"/>
            <w:vAlign w:val="center"/>
          </w:tcPr>
          <w:p w14:paraId="2FD18443">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w:t>
            </w:r>
            <w:r>
              <w:rPr>
                <w:rFonts w:hint="eastAsia" w:ascii="仿宋" w:hAnsi="仿宋" w:eastAsia="仿宋" w:cs="仿宋"/>
                <w:color w:val="FF0000"/>
                <w:sz w:val="24"/>
                <w:szCs w:val="24"/>
                <w:highlight w:val="none"/>
                <w:u w:val="single"/>
                <w:lang w:eastAsia="zh-CN"/>
              </w:rPr>
              <w:t>2026年</w:t>
            </w:r>
            <w:r>
              <w:rPr>
                <w:rFonts w:hint="eastAsia" w:ascii="仿宋" w:hAnsi="仿宋" w:eastAsia="仿宋" w:cs="仿宋"/>
                <w:color w:val="FF0000"/>
                <w:sz w:val="24"/>
                <w:szCs w:val="24"/>
                <w:highlight w:val="none"/>
                <w:u w:val="single"/>
                <w:lang w:val="en-US" w:eastAsia="zh-CN"/>
              </w:rPr>
              <w:t>05</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13</w:t>
            </w:r>
            <w:r>
              <w:rPr>
                <w:rFonts w:hint="eastAsia" w:ascii="仿宋" w:hAnsi="仿宋" w:eastAsia="仿宋" w:cs="仿宋"/>
                <w:color w:val="FF0000"/>
                <w:sz w:val="24"/>
                <w:szCs w:val="24"/>
                <w:highlight w:val="none"/>
                <w:u w:val="single"/>
                <w:lang w:eastAsia="zh-CN"/>
              </w:rPr>
              <w:t>日11:00（北京时间）</w:t>
            </w:r>
          </w:p>
          <w:p w14:paraId="5A56E2AD">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政采云平台（https://www.zcygov.cn/）</w:t>
            </w:r>
          </w:p>
        </w:tc>
      </w:tr>
      <w:tr w14:paraId="7A39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4DD892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633" w:type="dxa"/>
            <w:shd w:val="clear" w:color="auto" w:fill="FFFFFF"/>
            <w:vAlign w:val="center"/>
          </w:tcPr>
          <w:p w14:paraId="041DCF0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850" w:type="dxa"/>
            <w:shd w:val="clear" w:color="auto" w:fill="FFFFFF"/>
            <w:vAlign w:val="center"/>
          </w:tcPr>
          <w:p w14:paraId="79738C83">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自投标截止之日90日历日</w:t>
            </w:r>
          </w:p>
        </w:tc>
      </w:tr>
      <w:tr w14:paraId="3CEF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16BC41C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633" w:type="dxa"/>
            <w:shd w:val="clear" w:color="auto" w:fill="FFFFFF"/>
            <w:vAlign w:val="center"/>
          </w:tcPr>
          <w:p w14:paraId="1E64D1B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公告发布媒体</w:t>
            </w:r>
          </w:p>
        </w:tc>
        <w:tc>
          <w:tcPr>
            <w:tcW w:w="6850" w:type="dxa"/>
            <w:shd w:val="clear" w:color="auto" w:fill="FFFFFF"/>
            <w:vAlign w:val="center"/>
          </w:tcPr>
          <w:p w14:paraId="1065C571">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新疆政府采购网(http://www.ccgp-xinjiang.gov.cn/)</w:t>
            </w:r>
          </w:p>
        </w:tc>
      </w:tr>
      <w:tr w14:paraId="137A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D6494F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1633" w:type="dxa"/>
            <w:shd w:val="clear" w:color="auto" w:fill="FFFFFF"/>
            <w:vAlign w:val="center"/>
          </w:tcPr>
          <w:p w14:paraId="4B19344B">
            <w:pPr>
              <w:keepNext/>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履约保证金</w:t>
            </w:r>
          </w:p>
        </w:tc>
        <w:tc>
          <w:tcPr>
            <w:tcW w:w="6850" w:type="dxa"/>
            <w:shd w:val="clear" w:color="auto" w:fill="FFFFFF"/>
            <w:vAlign w:val="center"/>
          </w:tcPr>
          <w:p w14:paraId="420D3229">
            <w:pPr>
              <w:keepNext/>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☑不交纳</w:t>
            </w:r>
          </w:p>
          <w:p w14:paraId="64D2F2E6">
            <w:pPr>
              <w:keepNext/>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□交纳</w:t>
            </w:r>
          </w:p>
        </w:tc>
      </w:tr>
      <w:tr w14:paraId="2A4E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BEC917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1633" w:type="dxa"/>
            <w:shd w:val="clear" w:color="auto" w:fill="FFFFFF"/>
            <w:vAlign w:val="center"/>
          </w:tcPr>
          <w:p w14:paraId="3C386B0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中小企业政策说明</w:t>
            </w:r>
          </w:p>
        </w:tc>
        <w:tc>
          <w:tcPr>
            <w:tcW w:w="6850" w:type="dxa"/>
            <w:shd w:val="clear" w:color="auto" w:fill="FFFFFF"/>
            <w:vAlign w:val="center"/>
          </w:tcPr>
          <w:p w14:paraId="51BA4A34">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DEA75F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B8D63C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3、在货物采购项目中，投标人提供的货物既有中小企业制造货物，也有大型企业制造货物的，不享受本办法规定的中小企业扶持政策。</w:t>
            </w:r>
          </w:p>
          <w:p w14:paraId="408E17B1">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4、以联合体形式参加政府采购活动，联合体各方均为中小企业的，联合体视同中小企业。其中，联合体各方均为小微企业的，联合体视同小微企业。</w:t>
            </w:r>
          </w:p>
          <w:p w14:paraId="033F459C">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5、投标人经享受扶持政策获得政府采购合同的，小微企业不得将合同分包给大中型企业，中型企业不得将合同分包给大型企业；</w:t>
            </w:r>
          </w:p>
          <w:p w14:paraId="3276221E">
            <w:pPr>
              <w:spacing w:line="36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6、本项目中小企业扶持政策：①、符合政府采购优先(节约能源、保护环境) 采购政策及促进中小企业(监狱企业、残疾人福利性单位) 发展政策的，依据规定给予评审优惠。②、因落实政府采购政策对小微企业、残疾人福利性单位、监狱企业的价格给予10%价格扣除；以扣除后的价格参与评审，不重复享受价格扣除政策。</w:t>
            </w:r>
          </w:p>
          <w:p w14:paraId="4AEBEB7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7、根据“关于印发中小企业划型标准规定的通知(工信部联企业〔2011〕300号)”等有关规定，本项目标的所属行业为</w:t>
            </w:r>
            <w:r>
              <w:rPr>
                <w:rFonts w:hint="eastAsia" w:ascii="仿宋" w:hAnsi="仿宋" w:eastAsia="仿宋" w:cs="仿宋"/>
                <w:b/>
                <w:bCs/>
                <w:color w:val="auto"/>
                <w:sz w:val="24"/>
                <w:szCs w:val="24"/>
                <w:highlight w:val="none"/>
                <w:u w:val="single"/>
              </w:rPr>
              <w:t>租赁和商务服务业</w:t>
            </w:r>
            <w:r>
              <w:rPr>
                <w:rFonts w:hint="eastAsia" w:ascii="仿宋" w:hAnsi="仿宋" w:eastAsia="仿宋" w:cs="仿宋"/>
                <w:b/>
                <w:bCs/>
                <w:color w:val="auto"/>
                <w:kern w:val="0"/>
                <w:sz w:val="24"/>
                <w:szCs w:val="24"/>
                <w:highlight w:val="none"/>
                <w:u w:val="single"/>
              </w:rPr>
              <w:t>。</w:t>
            </w:r>
          </w:p>
        </w:tc>
      </w:tr>
      <w:tr w14:paraId="52B3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4C9EC7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1633" w:type="dxa"/>
            <w:shd w:val="clear" w:color="auto" w:fill="FFFFFF"/>
            <w:vAlign w:val="center"/>
          </w:tcPr>
          <w:p w14:paraId="380F500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招标代理费</w:t>
            </w:r>
          </w:p>
        </w:tc>
        <w:tc>
          <w:tcPr>
            <w:tcW w:w="6850" w:type="dxa"/>
            <w:shd w:val="clear" w:color="auto" w:fill="FFFFFF"/>
            <w:vAlign w:val="center"/>
          </w:tcPr>
          <w:p w14:paraId="35B8E208">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中标单位在收到中标通知书前，以中标价格为基准，计算标准和方法参照国家计委《招标代理服务费管理暂行办法》的通知(计价格[2002]1980号)下浮</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%，由中标单位向新疆新世纪招标有限公司支付代理服务费。</w:t>
            </w:r>
          </w:p>
        </w:tc>
      </w:tr>
      <w:tr w14:paraId="605D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52FA519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1633" w:type="dxa"/>
            <w:shd w:val="clear" w:color="auto" w:fill="FFFFFF"/>
            <w:vAlign w:val="center"/>
          </w:tcPr>
          <w:p w14:paraId="0CA4DD9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tc>
        <w:tc>
          <w:tcPr>
            <w:tcW w:w="6850" w:type="dxa"/>
            <w:shd w:val="clear" w:color="auto" w:fill="FFFFFF"/>
            <w:vAlign w:val="center"/>
          </w:tcPr>
          <w:p w14:paraId="59408AC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1、付款币种：本次招标所述的项目资金均以人民币支付。</w:t>
            </w:r>
          </w:p>
          <w:p w14:paraId="06BCCD90">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2、付款方式：最终付款方式以后期与甲方签订合同为准。</w:t>
            </w:r>
          </w:p>
        </w:tc>
      </w:tr>
      <w:tr w14:paraId="5930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69EDE77">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633" w:type="dxa"/>
            <w:shd w:val="clear" w:color="auto" w:fill="FFFFFF"/>
            <w:vAlign w:val="center"/>
          </w:tcPr>
          <w:p w14:paraId="24318A7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6850" w:type="dxa"/>
            <w:shd w:val="clear" w:color="auto" w:fill="FFFFFF"/>
            <w:vAlign w:val="center"/>
          </w:tcPr>
          <w:p w14:paraId="0F45858B">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本表内容如与后文内容不一致处，以本表为准。</w:t>
            </w:r>
          </w:p>
        </w:tc>
      </w:tr>
    </w:tbl>
    <w:p w14:paraId="344E556C">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FFC1C28">
      <w:pPr>
        <w:spacing w:line="360" w:lineRule="auto"/>
        <w:jc w:val="center"/>
        <w:outlineLvl w:val="0"/>
        <w:rPr>
          <w:rFonts w:hint="eastAsia" w:ascii="仿宋" w:hAnsi="仿宋" w:eastAsia="仿宋" w:cs="仿宋"/>
          <w:b/>
          <w:color w:val="auto"/>
          <w:sz w:val="28"/>
          <w:szCs w:val="28"/>
          <w:highlight w:val="none"/>
        </w:rPr>
      </w:pPr>
      <w:bookmarkStart w:id="2" w:name="_Toc13492"/>
      <w:r>
        <w:rPr>
          <w:rFonts w:hint="eastAsia" w:ascii="仿宋" w:hAnsi="仿宋" w:eastAsia="仿宋" w:cs="仿宋"/>
          <w:b/>
          <w:color w:val="auto"/>
          <w:sz w:val="28"/>
          <w:szCs w:val="28"/>
          <w:highlight w:val="none"/>
        </w:rPr>
        <w:t>第一章 投标人须知</w:t>
      </w:r>
      <w:bookmarkEnd w:id="2"/>
      <w:bookmarkStart w:id="3" w:name="_BookMark_2"/>
      <w:bookmarkEnd w:id="3"/>
    </w:p>
    <w:p w14:paraId="7EDE3CD7">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 w:name="_Toc4941"/>
      <w:bookmarkStart w:id="5" w:name="_Toc535592195"/>
      <w:r>
        <w:rPr>
          <w:rFonts w:hint="eastAsia" w:ascii="仿宋" w:hAnsi="仿宋" w:eastAsia="仿宋" w:cs="仿宋"/>
          <w:b/>
          <w:color w:val="auto"/>
          <w:sz w:val="24"/>
          <w:szCs w:val="24"/>
          <w:highlight w:val="none"/>
        </w:rPr>
        <w:t>1．总则</w:t>
      </w:r>
      <w:bookmarkEnd w:id="4"/>
      <w:bookmarkEnd w:id="5"/>
    </w:p>
    <w:p w14:paraId="306B9A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 招标项目概况</w:t>
      </w:r>
    </w:p>
    <w:p w14:paraId="79BF9F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1.1.1项目名称：详见投标人须知前附表。</w:t>
      </w:r>
    </w:p>
    <w:p w14:paraId="509380B4">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1.1.2标项名称</w:t>
      </w:r>
      <w:r>
        <w:rPr>
          <w:rFonts w:hint="eastAsia" w:ascii="仿宋" w:hAnsi="仿宋" w:eastAsia="仿宋" w:cs="仿宋"/>
          <w:color w:val="auto"/>
          <w:kern w:val="0"/>
          <w:sz w:val="24"/>
          <w:szCs w:val="24"/>
          <w:highlight w:val="none"/>
        </w:rPr>
        <w:t>：详见投标人须知前附表。</w:t>
      </w:r>
    </w:p>
    <w:p w14:paraId="496026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项目编号：详见投标人须知前附表。</w:t>
      </w:r>
    </w:p>
    <w:p w14:paraId="09D035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采购人：详见投标人须知前附表。</w:t>
      </w:r>
    </w:p>
    <w:p w14:paraId="2513F6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采购代理机构：详见投标人须知前附表。</w:t>
      </w:r>
    </w:p>
    <w:p w14:paraId="4223BB1C">
      <w:pPr>
        <w:pStyle w:val="14"/>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1.1.</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资金来源：详见投标人须知前附表。</w:t>
      </w:r>
    </w:p>
    <w:p w14:paraId="361A06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采购预算金额：详见投标人须知前附表。</w:t>
      </w:r>
    </w:p>
    <w:p w14:paraId="3D579D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服务周期：详见投标人须知前附表。</w:t>
      </w:r>
    </w:p>
    <w:p w14:paraId="6F15296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1.2采购范围：详见投标人须知前附表。</w:t>
      </w:r>
    </w:p>
    <w:p w14:paraId="0C751C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 采购方式和资格审查方式</w:t>
      </w:r>
    </w:p>
    <w:p w14:paraId="083D83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 采购方式：详见投标人须知前附表。</w:t>
      </w:r>
    </w:p>
    <w:p w14:paraId="0CFAFE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 资格审查方式：详见投标人须知前附表。</w:t>
      </w:r>
    </w:p>
    <w:p w14:paraId="53E474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评标办法及定标方法</w:t>
      </w:r>
    </w:p>
    <w:p w14:paraId="4712A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 评标办法：详见投标人须知前附表。</w:t>
      </w:r>
    </w:p>
    <w:p w14:paraId="0BF3D8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 定标方法：详见投标人须知前附表。</w:t>
      </w:r>
    </w:p>
    <w:p w14:paraId="7D6023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 投标人资格条件</w:t>
      </w:r>
    </w:p>
    <w:p w14:paraId="4B6088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 投标人应具备承担本招标项目的资格条件，具体要求详见投标人须知前附表。</w:t>
      </w:r>
    </w:p>
    <w:p w14:paraId="1EF7F4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753C7A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1.5.3 投标人不得存在下列情形之一，否则相关投标均应被否决：</w:t>
      </w:r>
    </w:p>
    <w:p w14:paraId="3BA72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（1）与采购人存在利害关系可能影响招标公正性的法人、其他组织或者个人的；</w:t>
      </w:r>
    </w:p>
    <w:p w14:paraId="18139F6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（2）单位负责人为同一人或者存在控股、管理关系的不同单位，参加同一标段投标或者未划分标段的同一招标项目投标的；</w:t>
      </w:r>
    </w:p>
    <w:p w14:paraId="2F265B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（3）法定代表人为同一个人的两个及两个以上法人，母公司、全资子公司及其控股公司，参加同一标段投标或者未划分标段的同一招标项目投标的；</w:t>
      </w:r>
    </w:p>
    <w:p w14:paraId="6CB16C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（4）被责令停业的； </w:t>
      </w:r>
    </w:p>
    <w:p w14:paraId="1BC8EB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（5）被暂停或取消投标资格的； </w:t>
      </w:r>
    </w:p>
    <w:p w14:paraId="7005C93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（6）财产被接管或冻结的；</w:t>
      </w:r>
    </w:p>
    <w:p w14:paraId="3C4A78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（7）在最近三年内有骗取中标或严重违约或重大质量问题的；</w:t>
      </w:r>
    </w:p>
    <w:p w14:paraId="5E6FED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（8）法律规定的其他情形。</w:t>
      </w:r>
      <w:bookmarkStart w:id="6" w:name="_BookMark_5"/>
      <w:bookmarkEnd w:id="6"/>
    </w:p>
    <w:p w14:paraId="3BC41B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1.6费用承担</w:t>
      </w:r>
    </w:p>
    <w:p w14:paraId="68C8E7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1.6.1招标文件费：详见投标人须知前附表。</w:t>
      </w:r>
    </w:p>
    <w:p w14:paraId="7C10D9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1.6.2投标人应承担其编制投标文件与递交投标文件所涉及的一切费用，无论投标结果如何，采购人及采购代理机构对上述费用不作任何补偿。采购代理咨询费由中标人支付。</w:t>
      </w:r>
    </w:p>
    <w:p w14:paraId="51295D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1.7投标保证金：详见投标人须知前附表。</w:t>
      </w:r>
    </w:p>
    <w:p w14:paraId="3EC55E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1.8踏勘现场</w:t>
      </w:r>
    </w:p>
    <w:p w14:paraId="00E9BC2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1.8.1 投标人须知前附表规定组织踏勘现场的，采购人或采购代理机构按投标人须知前附表规定的时间、地点组织投标人踏勘项目现场。 </w:t>
      </w:r>
    </w:p>
    <w:p w14:paraId="5C1CEF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1.8.2 投标人踏勘现场发生的费用自理。</w:t>
      </w:r>
    </w:p>
    <w:p w14:paraId="087AD1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1.8.3 除采购人或采购代理机构的原因外，投标人自行负责在踏勘现场中所发生的人员伤亡和财产损失。</w:t>
      </w:r>
    </w:p>
    <w:p w14:paraId="2FAC45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1.8.4 采购人或采购代理机构在踏勘现场中介绍的项目有关情况，供投标人在编制投标文件时参考，采购人或采购代理机构不对投标人据此作出的判断和决策负责。</w:t>
      </w:r>
    </w:p>
    <w:p w14:paraId="64AAE6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 是否允许联合体投标：详见投标人须知前附表。</w:t>
      </w:r>
    </w:p>
    <w:p w14:paraId="38EB63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 招标答疑会和招标澄清答疑要求</w:t>
      </w:r>
    </w:p>
    <w:p w14:paraId="4091AB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 投标人若有疑问，应按投标人须知前附表规定的时间、方式向采购人或采购代理机构提出，要求采购人对招标文件予以澄清。</w:t>
      </w:r>
    </w:p>
    <w:p w14:paraId="2FCB34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1.10.2 采购人或采购代理机构将按照投标人须知前附表规定的时间方式对投标人的疑问作出统一的解答。</w:t>
      </w:r>
    </w:p>
    <w:p w14:paraId="2F5F83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1.11投标文件：详见投标人须知前附表。</w:t>
      </w:r>
    </w:p>
    <w:p w14:paraId="11B749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1.12投标文件递交：详见投标人须知前附表。</w:t>
      </w:r>
    </w:p>
    <w:p w14:paraId="133DB1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1.13开标：详见投标人须知前附表。</w:t>
      </w:r>
    </w:p>
    <w:p w14:paraId="56CD37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1.14投标有效期：详见投标人须知前附表。</w:t>
      </w:r>
    </w:p>
    <w:p w14:paraId="4171FC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1.15公告发布媒体：详见投标人须知前附表。</w:t>
      </w:r>
    </w:p>
    <w:p w14:paraId="7449FC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1.16履约保证金：详见投标人须知前附表。</w:t>
      </w:r>
    </w:p>
    <w:p w14:paraId="6D9950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1.17中小企业政策说明：详见投标人须知前附表。</w:t>
      </w:r>
    </w:p>
    <w:p w14:paraId="29C549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w:t>
      </w:r>
      <w:r>
        <w:rPr>
          <w:rFonts w:hint="eastAsia" w:ascii="仿宋" w:hAnsi="仿宋" w:eastAsia="仿宋" w:cs="仿宋"/>
          <w:color w:val="auto"/>
          <w:sz w:val="24"/>
          <w:szCs w:val="24"/>
          <w:highlight w:val="none"/>
        </w:rPr>
        <w:t>招标代理费</w:t>
      </w:r>
      <w:r>
        <w:rPr>
          <w:rFonts w:hint="eastAsia" w:ascii="仿宋" w:hAnsi="仿宋" w:eastAsia="仿宋" w:cs="仿宋"/>
          <w:color w:val="auto"/>
          <w:kern w:val="0"/>
          <w:sz w:val="24"/>
          <w:szCs w:val="24"/>
          <w:highlight w:val="none"/>
        </w:rPr>
        <w:t>：详见投标人须知前附表。</w:t>
      </w:r>
    </w:p>
    <w:p w14:paraId="437B54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w:t>
      </w:r>
      <w:r>
        <w:rPr>
          <w:rFonts w:hint="eastAsia" w:ascii="仿宋" w:hAnsi="仿宋" w:eastAsia="仿宋" w:cs="仿宋"/>
          <w:color w:val="auto"/>
          <w:sz w:val="24"/>
          <w:szCs w:val="24"/>
          <w:highlight w:val="none"/>
        </w:rPr>
        <w:t>付款方式</w:t>
      </w:r>
      <w:r>
        <w:rPr>
          <w:rFonts w:hint="eastAsia" w:ascii="仿宋" w:hAnsi="仿宋" w:eastAsia="仿宋" w:cs="仿宋"/>
          <w:color w:val="auto"/>
          <w:kern w:val="0"/>
          <w:sz w:val="24"/>
          <w:szCs w:val="24"/>
          <w:highlight w:val="none"/>
        </w:rPr>
        <w:t>：详见投标人须知前附表。</w:t>
      </w:r>
    </w:p>
    <w:p w14:paraId="6F6CCA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1.20保密</w:t>
      </w:r>
    </w:p>
    <w:p w14:paraId="1F3D7C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7BF5E2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1.21语言文字</w:t>
      </w:r>
    </w:p>
    <w:p w14:paraId="63E5EC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43884F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1.22计量单位</w:t>
      </w:r>
    </w:p>
    <w:p w14:paraId="4069D49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0556A9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1.23偏离</w:t>
      </w:r>
    </w:p>
    <w:p w14:paraId="67F1A3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投标文件与招标文件某些要求产生偏离的，偏离应当符合招标文件规定的偏离范围和幅度。</w:t>
      </w:r>
    </w:p>
    <w:p w14:paraId="2EAEBD1B">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7" w:name="_Toc20119"/>
      <w:bookmarkStart w:id="8" w:name="_Toc535592196"/>
      <w:r>
        <w:rPr>
          <w:rFonts w:hint="eastAsia" w:ascii="仿宋" w:hAnsi="仿宋" w:eastAsia="仿宋" w:cs="仿宋"/>
          <w:b/>
          <w:color w:val="auto"/>
          <w:sz w:val="24"/>
          <w:szCs w:val="24"/>
          <w:highlight w:val="none"/>
        </w:rPr>
        <w:t>2．招标文件</w:t>
      </w:r>
      <w:bookmarkEnd w:id="7"/>
      <w:bookmarkEnd w:id="8"/>
    </w:p>
    <w:p w14:paraId="498563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680F63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（1）投标人须知；</w:t>
      </w:r>
    </w:p>
    <w:p w14:paraId="49275C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（2）评标办法；</w:t>
      </w:r>
    </w:p>
    <w:p w14:paraId="3E758A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（3）合同条款；</w:t>
      </w:r>
    </w:p>
    <w:p w14:paraId="4785B1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（4）服务标准和要求；</w:t>
      </w:r>
    </w:p>
    <w:p w14:paraId="31B367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（5）投标文件格式；</w:t>
      </w:r>
    </w:p>
    <w:p w14:paraId="35317E4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（6）补充条款。</w:t>
      </w:r>
    </w:p>
    <w:p w14:paraId="3F9EB5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根据本章第2.4款和第2.5款对招标文件所作的澄清、修改，构成招标文件的组成部分。</w:t>
      </w:r>
    </w:p>
    <w:p w14:paraId="119FF0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 招标文件的获取</w:t>
      </w:r>
    </w:p>
    <w:p w14:paraId="1FCE2A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凡有意参加并符合投标人须知前附表“投标人资格条件和能力”的投标人，均可在采购代理机构获取招标文件。</w:t>
      </w:r>
    </w:p>
    <w:p w14:paraId="59FF43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招标文件的澄清</w:t>
      </w:r>
    </w:p>
    <w:p w14:paraId="2F9983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2FE5C5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5CB0D8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2CCE1D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4A9ABB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在投标人须知前附表规定的截止时间前，无论出于何种原因，采购代理机构和采购人可主动地或在解答潜在投标人提出的澄清问题时对招标文件进行修改。</w:t>
      </w:r>
    </w:p>
    <w:p w14:paraId="5B0151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244368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为使投标人准备投标时有充分时间对招标文件的修改部分进行研究，采购人可适当推迟投标截止期。</w:t>
      </w:r>
    </w:p>
    <w:p w14:paraId="2687378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当采购人发放的招标文件及招标文件的答疑文件、修改文件、补充文件前后不一致，发生矛盾情况时，以最后发出的为准。</w:t>
      </w:r>
    </w:p>
    <w:p w14:paraId="08DB48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2.4.6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E843EA4">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9" w:name="_BookMark_6"/>
      <w:bookmarkEnd w:id="9"/>
      <w:bookmarkStart w:id="10" w:name="_Toc19174"/>
      <w:bookmarkStart w:id="11" w:name="_Toc535592197"/>
      <w:r>
        <w:rPr>
          <w:rFonts w:hint="eastAsia" w:ascii="仿宋" w:hAnsi="仿宋" w:eastAsia="仿宋" w:cs="仿宋"/>
          <w:b/>
          <w:color w:val="auto"/>
          <w:sz w:val="24"/>
          <w:szCs w:val="24"/>
          <w:highlight w:val="none"/>
        </w:rPr>
        <w:t>3．投标文件</w:t>
      </w:r>
      <w:bookmarkEnd w:id="10"/>
      <w:bookmarkEnd w:id="11"/>
    </w:p>
    <w:p w14:paraId="0C4C5A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0332686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3.1.1投标文件应包括下列内容：</w:t>
      </w:r>
    </w:p>
    <w:p w14:paraId="6DCDC6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投标函</w:t>
      </w:r>
      <w:r>
        <w:rPr>
          <w:rFonts w:hint="eastAsia" w:ascii="仿宋" w:hAnsi="仿宋" w:eastAsia="仿宋" w:cs="仿宋"/>
          <w:color w:val="auto"/>
          <w:kern w:val="0"/>
          <w:sz w:val="24"/>
          <w:szCs w:val="24"/>
          <w:highlight w:val="none"/>
          <w:lang w:eastAsia="zh-CN"/>
        </w:rPr>
        <w:t>；</w:t>
      </w:r>
    </w:p>
    <w:p w14:paraId="589B6F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开标一览表</w:t>
      </w:r>
      <w:r>
        <w:rPr>
          <w:rFonts w:hint="eastAsia" w:ascii="仿宋" w:hAnsi="仿宋" w:eastAsia="仿宋" w:cs="仿宋"/>
          <w:color w:val="auto"/>
          <w:kern w:val="0"/>
          <w:sz w:val="24"/>
          <w:szCs w:val="24"/>
          <w:highlight w:val="none"/>
          <w:lang w:eastAsia="zh-CN"/>
        </w:rPr>
        <w:t>；</w:t>
      </w:r>
    </w:p>
    <w:p w14:paraId="2937CF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投标价格明细表</w:t>
      </w:r>
      <w:r>
        <w:rPr>
          <w:rFonts w:hint="eastAsia" w:ascii="仿宋" w:hAnsi="仿宋" w:eastAsia="仿宋" w:cs="仿宋"/>
          <w:color w:val="auto"/>
          <w:kern w:val="0"/>
          <w:sz w:val="24"/>
          <w:szCs w:val="24"/>
          <w:highlight w:val="none"/>
          <w:lang w:eastAsia="zh-CN"/>
        </w:rPr>
        <w:t>；</w:t>
      </w:r>
    </w:p>
    <w:p w14:paraId="4A3A7C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商务条款偏离表</w:t>
      </w:r>
      <w:r>
        <w:rPr>
          <w:rFonts w:hint="eastAsia" w:ascii="仿宋" w:hAnsi="仿宋" w:eastAsia="仿宋" w:cs="仿宋"/>
          <w:color w:val="auto"/>
          <w:kern w:val="0"/>
          <w:sz w:val="24"/>
          <w:szCs w:val="24"/>
          <w:highlight w:val="none"/>
          <w:lang w:eastAsia="zh-CN"/>
        </w:rPr>
        <w:t>；</w:t>
      </w:r>
    </w:p>
    <w:p w14:paraId="1B59A9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技术条款偏离表</w:t>
      </w:r>
      <w:r>
        <w:rPr>
          <w:rFonts w:hint="eastAsia" w:ascii="仿宋" w:hAnsi="仿宋" w:eastAsia="仿宋" w:cs="仿宋"/>
          <w:color w:val="auto"/>
          <w:kern w:val="0"/>
          <w:sz w:val="24"/>
          <w:szCs w:val="24"/>
          <w:highlight w:val="none"/>
          <w:lang w:eastAsia="zh-CN"/>
        </w:rPr>
        <w:t>；</w:t>
      </w:r>
    </w:p>
    <w:p w14:paraId="77F687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法定代表人身份证明书</w:t>
      </w:r>
      <w:r>
        <w:rPr>
          <w:rFonts w:hint="eastAsia" w:ascii="仿宋" w:hAnsi="仿宋" w:eastAsia="仿宋" w:cs="仿宋"/>
          <w:color w:val="auto"/>
          <w:kern w:val="0"/>
          <w:sz w:val="24"/>
          <w:szCs w:val="24"/>
          <w:highlight w:val="none"/>
          <w:lang w:eastAsia="zh-CN"/>
        </w:rPr>
        <w:t>；</w:t>
      </w:r>
    </w:p>
    <w:p w14:paraId="52E092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法定代表人授权委托书</w:t>
      </w:r>
      <w:r>
        <w:rPr>
          <w:rFonts w:hint="eastAsia" w:ascii="仿宋" w:hAnsi="仿宋" w:eastAsia="仿宋" w:cs="仿宋"/>
          <w:color w:val="auto"/>
          <w:kern w:val="0"/>
          <w:sz w:val="24"/>
          <w:szCs w:val="24"/>
          <w:highlight w:val="none"/>
          <w:lang w:eastAsia="zh-CN"/>
        </w:rPr>
        <w:t>；</w:t>
      </w:r>
    </w:p>
    <w:p w14:paraId="6B5FF5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投标人基本情况</w:t>
      </w:r>
      <w:r>
        <w:rPr>
          <w:rFonts w:hint="eastAsia" w:ascii="仿宋" w:hAnsi="仿宋" w:eastAsia="仿宋" w:cs="仿宋"/>
          <w:color w:val="auto"/>
          <w:kern w:val="0"/>
          <w:sz w:val="24"/>
          <w:szCs w:val="24"/>
          <w:highlight w:val="none"/>
          <w:lang w:eastAsia="zh-CN"/>
        </w:rPr>
        <w:t>；</w:t>
      </w:r>
    </w:p>
    <w:p w14:paraId="140AD6A7">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8.1</w:t>
      </w:r>
      <w:r>
        <w:rPr>
          <w:rFonts w:hint="eastAsia" w:ascii="仿宋" w:hAnsi="仿宋" w:eastAsia="仿宋" w:cs="仿宋"/>
          <w:color w:val="auto"/>
          <w:kern w:val="0"/>
          <w:sz w:val="24"/>
          <w:szCs w:val="24"/>
          <w:highlight w:val="none"/>
        </w:rPr>
        <w:t>法人或者其他组织的营业执照等证明文件，自然人的身份证明</w:t>
      </w:r>
      <w:r>
        <w:rPr>
          <w:rFonts w:hint="eastAsia" w:ascii="仿宋" w:hAnsi="仿宋" w:eastAsia="仿宋" w:cs="仿宋"/>
          <w:color w:val="auto"/>
          <w:kern w:val="0"/>
          <w:sz w:val="24"/>
          <w:szCs w:val="24"/>
          <w:highlight w:val="none"/>
          <w:lang w:eastAsia="zh-CN"/>
        </w:rPr>
        <w:t>；</w:t>
      </w:r>
    </w:p>
    <w:p w14:paraId="4525C333">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8.2</w:t>
      </w:r>
      <w:r>
        <w:rPr>
          <w:rFonts w:hint="eastAsia" w:ascii="仿宋" w:hAnsi="仿宋" w:eastAsia="仿宋" w:cs="仿宋"/>
          <w:color w:val="auto"/>
          <w:kern w:val="0"/>
          <w:sz w:val="24"/>
          <w:szCs w:val="24"/>
          <w:highlight w:val="none"/>
        </w:rPr>
        <w:t>财务状况报告，依法缴纳税收和社会保障资金的相关材料</w:t>
      </w:r>
      <w:r>
        <w:rPr>
          <w:rFonts w:hint="eastAsia" w:ascii="仿宋" w:hAnsi="仿宋" w:eastAsia="仿宋" w:cs="仿宋"/>
          <w:color w:val="auto"/>
          <w:kern w:val="0"/>
          <w:sz w:val="24"/>
          <w:szCs w:val="24"/>
          <w:highlight w:val="none"/>
          <w:lang w:eastAsia="zh-CN"/>
        </w:rPr>
        <w:t>；</w:t>
      </w:r>
    </w:p>
    <w:p w14:paraId="250A0FFA">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8.3</w:t>
      </w:r>
      <w:r>
        <w:rPr>
          <w:rFonts w:hint="eastAsia" w:ascii="仿宋" w:hAnsi="仿宋" w:eastAsia="仿宋" w:cs="仿宋"/>
          <w:color w:val="auto"/>
          <w:kern w:val="0"/>
          <w:sz w:val="24"/>
          <w:szCs w:val="24"/>
          <w:highlight w:val="none"/>
        </w:rPr>
        <w:t>具备履行合同所必需的设备和专业技术能力的证明材料</w:t>
      </w:r>
      <w:r>
        <w:rPr>
          <w:rFonts w:hint="eastAsia" w:ascii="仿宋" w:hAnsi="仿宋" w:eastAsia="仿宋" w:cs="仿宋"/>
          <w:color w:val="auto"/>
          <w:kern w:val="0"/>
          <w:sz w:val="24"/>
          <w:szCs w:val="24"/>
          <w:highlight w:val="none"/>
          <w:lang w:eastAsia="zh-CN"/>
        </w:rPr>
        <w:t>；</w:t>
      </w:r>
    </w:p>
    <w:p w14:paraId="793E3766">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8.4</w:t>
      </w:r>
      <w:r>
        <w:rPr>
          <w:rFonts w:hint="eastAsia" w:ascii="仿宋" w:hAnsi="仿宋" w:eastAsia="仿宋" w:cs="仿宋"/>
          <w:color w:val="auto"/>
          <w:kern w:val="0"/>
          <w:sz w:val="24"/>
          <w:szCs w:val="24"/>
          <w:highlight w:val="none"/>
        </w:rPr>
        <w:t>参加政府采购活动前3年内在经营活动中没有重大违法记录的书面声明</w:t>
      </w:r>
      <w:r>
        <w:rPr>
          <w:rFonts w:hint="eastAsia" w:ascii="仿宋" w:hAnsi="仿宋" w:eastAsia="仿宋" w:cs="仿宋"/>
          <w:color w:val="auto"/>
          <w:kern w:val="0"/>
          <w:sz w:val="24"/>
          <w:szCs w:val="24"/>
          <w:highlight w:val="none"/>
          <w:lang w:eastAsia="zh-CN"/>
        </w:rPr>
        <w:t>；</w:t>
      </w:r>
    </w:p>
    <w:p w14:paraId="7C91DEA6">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8.5</w:t>
      </w:r>
      <w:r>
        <w:rPr>
          <w:rFonts w:hint="eastAsia" w:ascii="仿宋" w:hAnsi="仿宋" w:eastAsia="仿宋" w:cs="仿宋"/>
          <w:color w:val="auto"/>
          <w:kern w:val="0"/>
          <w:sz w:val="24"/>
          <w:szCs w:val="24"/>
          <w:highlight w:val="none"/>
        </w:rPr>
        <w:t>具备法律、行政法规规定的其他条件的证明材料</w:t>
      </w:r>
      <w:r>
        <w:rPr>
          <w:rFonts w:hint="eastAsia" w:ascii="仿宋" w:hAnsi="仿宋" w:eastAsia="仿宋" w:cs="仿宋"/>
          <w:color w:val="auto"/>
          <w:kern w:val="0"/>
          <w:sz w:val="24"/>
          <w:szCs w:val="24"/>
          <w:highlight w:val="none"/>
          <w:lang w:eastAsia="zh-CN"/>
        </w:rPr>
        <w:t>；</w:t>
      </w:r>
    </w:p>
    <w:p w14:paraId="1C53E4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投标人近三年类似项目业绩表</w:t>
      </w:r>
      <w:r>
        <w:rPr>
          <w:rFonts w:hint="eastAsia" w:ascii="仿宋" w:hAnsi="仿宋" w:eastAsia="仿宋" w:cs="仿宋"/>
          <w:color w:val="auto"/>
          <w:kern w:val="0"/>
          <w:sz w:val="24"/>
          <w:szCs w:val="24"/>
          <w:highlight w:val="none"/>
          <w:lang w:eastAsia="zh-CN"/>
        </w:rPr>
        <w:t>；</w:t>
      </w:r>
    </w:p>
    <w:p w14:paraId="70B2E6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项目负责人简历表</w:t>
      </w:r>
      <w:r>
        <w:rPr>
          <w:rFonts w:hint="eastAsia" w:ascii="仿宋" w:hAnsi="仿宋" w:eastAsia="仿宋" w:cs="仿宋"/>
          <w:color w:val="auto"/>
          <w:kern w:val="0"/>
          <w:sz w:val="24"/>
          <w:szCs w:val="24"/>
          <w:highlight w:val="none"/>
          <w:lang w:eastAsia="zh-CN"/>
        </w:rPr>
        <w:t>；</w:t>
      </w:r>
    </w:p>
    <w:p w14:paraId="3783C4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拟派本项目服务人员情况表</w:t>
      </w:r>
      <w:r>
        <w:rPr>
          <w:rFonts w:hint="eastAsia" w:ascii="仿宋" w:hAnsi="仿宋" w:eastAsia="仿宋" w:cs="仿宋"/>
          <w:color w:val="auto"/>
          <w:kern w:val="0"/>
          <w:sz w:val="24"/>
          <w:szCs w:val="24"/>
          <w:highlight w:val="none"/>
          <w:lang w:eastAsia="zh-CN"/>
        </w:rPr>
        <w:t>；</w:t>
      </w:r>
    </w:p>
    <w:p w14:paraId="63A067F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12</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服务方案</w:t>
      </w:r>
      <w:r>
        <w:rPr>
          <w:rFonts w:hint="eastAsia" w:ascii="仿宋" w:hAnsi="仿宋" w:eastAsia="仿宋" w:cs="仿宋"/>
          <w:color w:val="auto"/>
          <w:kern w:val="0"/>
          <w:sz w:val="24"/>
          <w:szCs w:val="24"/>
          <w:highlight w:val="none"/>
          <w:lang w:eastAsia="zh-CN"/>
        </w:rPr>
        <w:t>；</w:t>
      </w:r>
    </w:p>
    <w:p w14:paraId="47DB50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其他需要提交的资料</w:t>
      </w:r>
      <w:r>
        <w:rPr>
          <w:rFonts w:hint="eastAsia" w:ascii="仿宋" w:hAnsi="仿宋" w:eastAsia="仿宋" w:cs="仿宋"/>
          <w:color w:val="auto"/>
          <w:kern w:val="0"/>
          <w:sz w:val="24"/>
          <w:szCs w:val="24"/>
          <w:highlight w:val="none"/>
          <w:lang w:eastAsia="zh-CN"/>
        </w:rPr>
        <w:t>。</w:t>
      </w:r>
    </w:p>
    <w:p w14:paraId="196B5D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3.1.2 投标人须知前附表规定不接受联合体投标的，或投标人没有组成联合体的，投标文件不包括本章所指的联合体协议书。 </w:t>
      </w:r>
    </w:p>
    <w:p w14:paraId="0439F7F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62E094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59F532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投标人的投标价格不能超出本项目采购预算金额。</w:t>
      </w:r>
    </w:p>
    <w:p w14:paraId="482838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3D70C9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461113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5E1901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3.3.3 投标保证金的有效期与投标有效期一致。</w:t>
      </w:r>
    </w:p>
    <w:p w14:paraId="0F59A1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0357E2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2A82C976">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5F8EDFDE">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采购代理机构名称：新疆新世纪招标有限公司</w:t>
      </w:r>
    </w:p>
    <w:p w14:paraId="117BC497">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纳税人识别号：91650100726988855F</w:t>
      </w:r>
    </w:p>
    <w:p w14:paraId="73714D26">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开户行：中国农业银行乌鲁木齐新民西街支行</w:t>
      </w:r>
    </w:p>
    <w:p w14:paraId="272FBDAA">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账号：30014701040000595</w:t>
      </w:r>
    </w:p>
    <w:p w14:paraId="69BDF1BB">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 投标保证金是为了保护采购人免遭因投标人的行为而蒙受损失。采购人在因投标人的行为受到损害时可根据相关法律规定没收投标人的投标保证金。</w:t>
      </w:r>
    </w:p>
    <w:p w14:paraId="4A5E82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59E72AE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074CEF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 有下列情形之一的，投标保证金不予退还：</w:t>
      </w:r>
    </w:p>
    <w:p w14:paraId="59E81C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（1）投标人在规定的投标有效期内撤销或修改其投标文件的；</w:t>
      </w:r>
    </w:p>
    <w:p w14:paraId="1CD385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（2）中标人在收到中标通知书后，无正当理由拒签合同协议书或在签订合同时提出附加条件或者更改合同实质性内容的；</w:t>
      </w:r>
    </w:p>
    <w:p w14:paraId="74278A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（3）未按招标文件规定提交履约保证金的。</w:t>
      </w:r>
    </w:p>
    <w:p w14:paraId="68F4DC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1FF8E7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572E63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4DADFF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2" w:name="_BookMark_7"/>
      <w:bookmarkEnd w:id="12"/>
      <w:bookmarkStart w:id="13" w:name="_Toc535592198"/>
      <w:r>
        <w:rPr>
          <w:rFonts w:hint="eastAsia" w:ascii="仿宋" w:hAnsi="仿宋" w:eastAsia="仿宋" w:cs="仿宋"/>
          <w:color w:val="auto"/>
          <w:kern w:val="0"/>
          <w:sz w:val="24"/>
          <w:szCs w:val="24"/>
          <w:highlight w:val="none"/>
          <w:shd w:val="clear" w:color="auto" w:fill="FFFFFF" w:themeFill="background1"/>
        </w:rPr>
        <w:t>3.5.3电子投标文件使用政采云平台投标文件制作工具以及招标文件要求进行制作编制。投标文件制作时，按照招标文件中明确的投标文件目录和格式进行编制，保证目录清晰、内容完整。</w:t>
      </w:r>
    </w:p>
    <w:p w14:paraId="083433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3.5.4电子投标文件须使用投标人电子公章及法定代表人的电子签名。</w:t>
      </w:r>
    </w:p>
    <w:p w14:paraId="545142AD">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szCs w:val="24"/>
          <w:highlight w:val="none"/>
          <w:shd w:val="clear" w:color="auto" w:fill="FFFFFF" w:themeFill="background1"/>
        </w:rPr>
        <w:t>。</w:t>
      </w:r>
    </w:p>
    <w:p w14:paraId="349CFAE2">
      <w:pPr>
        <w:tabs>
          <w:tab w:val="center" w:pos="4832"/>
          <w:tab w:val="left" w:pos="7140"/>
        </w:tabs>
        <w:spacing w:line="360" w:lineRule="auto"/>
        <w:ind w:firstLine="470" w:firstLineChars="196"/>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3.5.6</w:t>
      </w:r>
      <w:r>
        <w:rPr>
          <w:rFonts w:hint="eastAsia" w:ascii="仿宋" w:hAnsi="仿宋" w:eastAsia="仿宋" w:cs="仿宋"/>
          <w:color w:val="auto"/>
          <w:sz w:val="24"/>
          <w:szCs w:val="24"/>
          <w:highlight w:val="none"/>
          <w:shd w:val="clear" w:color="auto" w:fill="FFFFFF" w:themeFill="background1"/>
        </w:rPr>
        <w:t>未按招标文件要求签署和盖章的投标文件，其投标将被认定为投标无效。</w:t>
      </w:r>
    </w:p>
    <w:p w14:paraId="0B311A8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4" w:name="_Toc28962"/>
      <w:r>
        <w:rPr>
          <w:rFonts w:hint="eastAsia" w:ascii="仿宋" w:hAnsi="仿宋" w:eastAsia="仿宋" w:cs="仿宋"/>
          <w:b/>
          <w:color w:val="auto"/>
          <w:sz w:val="24"/>
          <w:szCs w:val="24"/>
          <w:highlight w:val="none"/>
        </w:rPr>
        <w:t>4．投标</w:t>
      </w:r>
      <w:bookmarkEnd w:id="13"/>
      <w:bookmarkEnd w:id="14"/>
    </w:p>
    <w:p w14:paraId="76AE2177">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15" w:name="_BookMark_8"/>
      <w:bookmarkEnd w:id="15"/>
      <w:bookmarkStart w:id="16" w:name="_Toc535592199"/>
      <w:r>
        <w:rPr>
          <w:rFonts w:hint="eastAsia" w:ascii="仿宋" w:hAnsi="仿宋" w:eastAsia="仿宋" w:cs="仿宋"/>
          <w:bCs/>
          <w:color w:val="auto"/>
          <w:sz w:val="24"/>
          <w:szCs w:val="24"/>
          <w:highlight w:val="none"/>
        </w:rPr>
        <w:t>4.1本次采购采用电子交易方式，电子交易平台为“政采云平台（https://www.zcygov.cn/）”。投标人参与本项目电子交易活动前，应注册成为政府采购云平台投标人。编制电子投标文件前还需申领CA证书并绑定</w:t>
      </w:r>
      <w:r>
        <w:rPr>
          <w:rFonts w:hint="eastAsia" w:ascii="仿宋" w:hAnsi="仿宋" w:eastAsia="仿宋" w:cs="仿宋"/>
          <w:bCs/>
          <w:color w:val="auto"/>
          <w:sz w:val="24"/>
          <w:szCs w:val="24"/>
          <w:highlight w:val="none"/>
          <w:lang w:eastAsia="zh-CN"/>
        </w:rPr>
        <w:t>账号</w:t>
      </w:r>
      <w:r>
        <w:rPr>
          <w:rFonts w:hint="eastAsia" w:ascii="仿宋" w:hAnsi="仿宋" w:eastAsia="仿宋" w:cs="仿宋"/>
          <w:bCs/>
          <w:color w:val="auto"/>
          <w:sz w:val="24"/>
          <w:szCs w:val="24"/>
          <w:highlight w:val="none"/>
        </w:rPr>
        <w:t xml:space="preserve">。投标人应充分考虑完成平台注册、申领CA证书等所需的时间。因未注册入库、未办理CA数字证书等原因造成无法投标或投标失败等后果由投标人自行承担。 </w:t>
      </w:r>
    </w:p>
    <w:p w14:paraId="3B6997A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6AE2A8D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5B4343D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2BE6397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19D997D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0E50A5D7">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（1）逾期上传的投标文件；</w:t>
      </w:r>
    </w:p>
    <w:p w14:paraId="6D6F01C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（2）未按招标文件要求加密的投标文件。</w:t>
      </w:r>
    </w:p>
    <w:p w14:paraId="20CF37FA">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7217601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A5DAA45">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6D109C0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34B29FCC">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2C2BF48F">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7" w:name="_Toc31720"/>
      <w:r>
        <w:rPr>
          <w:rFonts w:hint="eastAsia" w:ascii="仿宋" w:hAnsi="仿宋" w:eastAsia="仿宋" w:cs="仿宋"/>
          <w:b/>
          <w:color w:val="auto"/>
          <w:sz w:val="24"/>
          <w:szCs w:val="24"/>
          <w:highlight w:val="none"/>
        </w:rPr>
        <w:t>5．开标</w:t>
      </w:r>
      <w:bookmarkEnd w:id="16"/>
      <w:bookmarkEnd w:id="17"/>
    </w:p>
    <w:p w14:paraId="0DBCB8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56BD1B3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采购人在投标人须知前附表规定的时间、地点公开开标，并邀请所有投标人的法定代表人或其授权委托人参加。</w:t>
      </w:r>
    </w:p>
    <w:p w14:paraId="1669B1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BBFE0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6445C9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（1）投标人解密投标文件</w:t>
      </w:r>
      <w:r>
        <w:rPr>
          <w:rFonts w:hint="eastAsia" w:ascii="仿宋" w:hAnsi="仿宋" w:eastAsia="仿宋" w:cs="仿宋"/>
          <w:color w:val="auto"/>
          <w:kern w:val="0"/>
          <w:sz w:val="24"/>
          <w:szCs w:val="24"/>
          <w:highlight w:val="none"/>
          <w:lang w:eastAsia="zh-CN"/>
        </w:rPr>
        <w:t>；</w:t>
      </w:r>
    </w:p>
    <w:p w14:paraId="0AFFE6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（2）开启报价文件</w:t>
      </w:r>
      <w:r>
        <w:rPr>
          <w:rFonts w:hint="eastAsia" w:ascii="仿宋" w:hAnsi="仿宋" w:eastAsia="仿宋" w:cs="仿宋"/>
          <w:color w:val="auto"/>
          <w:kern w:val="0"/>
          <w:sz w:val="24"/>
          <w:szCs w:val="24"/>
          <w:highlight w:val="none"/>
          <w:lang w:eastAsia="zh-CN"/>
        </w:rPr>
        <w:t>；</w:t>
      </w:r>
    </w:p>
    <w:p w14:paraId="27702C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（3）投标人线上签字确认</w:t>
      </w:r>
      <w:r>
        <w:rPr>
          <w:rFonts w:hint="eastAsia" w:ascii="仿宋" w:hAnsi="仿宋" w:eastAsia="仿宋" w:cs="仿宋"/>
          <w:color w:val="auto"/>
          <w:kern w:val="0"/>
          <w:sz w:val="24"/>
          <w:szCs w:val="24"/>
          <w:highlight w:val="none"/>
          <w:lang w:eastAsia="zh-CN"/>
        </w:rPr>
        <w:t>；</w:t>
      </w:r>
    </w:p>
    <w:p w14:paraId="626C3A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（4）开标结束</w:t>
      </w:r>
      <w:r>
        <w:rPr>
          <w:rFonts w:hint="eastAsia" w:ascii="仿宋" w:hAnsi="仿宋" w:eastAsia="仿宋" w:cs="仿宋"/>
          <w:color w:val="auto"/>
          <w:kern w:val="0"/>
          <w:sz w:val="24"/>
          <w:szCs w:val="24"/>
          <w:highlight w:val="none"/>
          <w:lang w:eastAsia="zh-CN"/>
        </w:rPr>
        <w:t>。</w:t>
      </w:r>
    </w:p>
    <w:p w14:paraId="709499A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8" w:name="_BookMark_9"/>
      <w:bookmarkEnd w:id="18"/>
      <w:bookmarkStart w:id="19" w:name="_Toc535592200"/>
      <w:bookmarkStart w:id="20" w:name="_Toc13908"/>
      <w:r>
        <w:rPr>
          <w:rFonts w:hint="eastAsia" w:ascii="仿宋" w:hAnsi="仿宋" w:eastAsia="仿宋" w:cs="仿宋"/>
          <w:b/>
          <w:color w:val="auto"/>
          <w:sz w:val="24"/>
          <w:szCs w:val="24"/>
          <w:highlight w:val="none"/>
        </w:rPr>
        <w:t>6．评标</w:t>
      </w:r>
      <w:bookmarkEnd w:id="19"/>
      <w:bookmarkEnd w:id="20"/>
    </w:p>
    <w:p w14:paraId="3A3D7F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评标小组</w:t>
      </w:r>
    </w:p>
    <w:p w14:paraId="5BAF9D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评标由采购人按照《政府采购评标专家管理办法》财库〔2016〕198号，依法组建的评标小组负责。评标小组由采购人熟悉相关业务的代表，以及有关技术、经济等方面的专家组成。</w:t>
      </w:r>
    </w:p>
    <w:p w14:paraId="3E9FE9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评标小组成员有下列情形之一的，应当回避：</w:t>
      </w:r>
    </w:p>
    <w:p w14:paraId="2C17EF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27E1EA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4C68FD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682C4C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6.2 评标原则 </w:t>
      </w:r>
    </w:p>
    <w:p w14:paraId="3A00BE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582C1C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92D2E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评标小组按照招标文件中规定的方法、评标因素、标准和程序对投标文件进行评标。</w:t>
      </w:r>
    </w:p>
    <w:p w14:paraId="36AB8E1E">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1" w:name="_BookMark_10"/>
      <w:bookmarkEnd w:id="21"/>
      <w:bookmarkStart w:id="22" w:name="_Toc535592201"/>
      <w:bookmarkStart w:id="23" w:name="_Toc15685"/>
      <w:r>
        <w:rPr>
          <w:rFonts w:hint="eastAsia" w:ascii="仿宋" w:hAnsi="仿宋" w:eastAsia="仿宋" w:cs="仿宋"/>
          <w:b/>
          <w:color w:val="auto"/>
          <w:sz w:val="24"/>
          <w:szCs w:val="24"/>
          <w:highlight w:val="none"/>
        </w:rPr>
        <w:t>7．定标及合同授予</w:t>
      </w:r>
      <w:bookmarkEnd w:id="22"/>
      <w:bookmarkEnd w:id="23"/>
    </w:p>
    <w:p w14:paraId="531D22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7C6672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505D4A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63514E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5DDB1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CE013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 履约保证金</w:t>
      </w:r>
    </w:p>
    <w:p w14:paraId="5533A1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22A86D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中标人不能按要求提交履约保证金的，视为放弃中标，其投标保证金不予退还；给采购人造成的损失超过投标保证金数额的，中标人还应当对超过部分予以赔偿。</w:t>
      </w:r>
    </w:p>
    <w:p w14:paraId="73656F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 签订合同</w:t>
      </w:r>
    </w:p>
    <w:p w14:paraId="0BD4A84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6C2130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6ADC22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7.4.3发出中标通知书后，中标人无正当理由拒签合同的，采购人取消其中标资格，其投标保证金不予退还；给采购人造成的损失超过投标保证金数额的，中标人还应当对超过部分予以赔偿。</w:t>
      </w:r>
    </w:p>
    <w:p w14:paraId="15C5E5EA">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4" w:name="_BookMark_11"/>
      <w:bookmarkEnd w:id="24"/>
      <w:bookmarkStart w:id="25" w:name="_Toc535592202"/>
      <w:bookmarkStart w:id="26" w:name="_Toc29318"/>
      <w:r>
        <w:rPr>
          <w:rFonts w:hint="eastAsia" w:ascii="仿宋" w:hAnsi="仿宋" w:eastAsia="仿宋" w:cs="仿宋"/>
          <w:b/>
          <w:color w:val="auto"/>
          <w:sz w:val="24"/>
          <w:szCs w:val="24"/>
          <w:highlight w:val="none"/>
        </w:rPr>
        <w:t>8．纪律和监督</w:t>
      </w:r>
      <w:bookmarkEnd w:id="25"/>
      <w:bookmarkEnd w:id="26"/>
    </w:p>
    <w:p w14:paraId="4A04F2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6D3E2C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488CE9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6DF910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14:paraId="4026C1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对评标小组成员的纪律要求</w:t>
      </w:r>
    </w:p>
    <w:p w14:paraId="58C854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评标小组成员不得收受他人的财物或者其他好处，不得向他人</w:t>
      </w:r>
      <w:r>
        <w:rPr>
          <w:rFonts w:hint="eastAsia" w:ascii="仿宋" w:hAnsi="仿宋" w:eastAsia="仿宋" w:cs="仿宋"/>
          <w:color w:val="auto"/>
          <w:kern w:val="0"/>
          <w:sz w:val="24"/>
          <w:szCs w:val="24"/>
          <w:highlight w:val="none"/>
          <w:lang w:eastAsia="zh-CN"/>
        </w:rPr>
        <w:t>透露</w:t>
      </w:r>
      <w:r>
        <w:rPr>
          <w:rFonts w:hint="eastAsia" w:ascii="仿宋" w:hAnsi="仿宋" w:eastAsia="仿宋" w:cs="仿宋"/>
          <w:color w:val="auto"/>
          <w:kern w:val="0"/>
          <w:sz w:val="24"/>
          <w:szCs w:val="24"/>
          <w:highlight w:val="none"/>
        </w:rPr>
        <w:t>对投标文件的评标和比较、中标候选人的推荐情况以及评标有关的其他情况。在评标活动中，评标小组成员不得擅离职守，影响评标程序正常进行，不得使用评标办法没有规定的评标因素和标准进行评标。</w:t>
      </w:r>
    </w:p>
    <w:p w14:paraId="1DB920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104F1E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w:t>
      </w:r>
      <w:r>
        <w:rPr>
          <w:rFonts w:hint="eastAsia" w:ascii="仿宋" w:hAnsi="仿宋" w:eastAsia="仿宋" w:cs="仿宋"/>
          <w:color w:val="auto"/>
          <w:kern w:val="0"/>
          <w:sz w:val="24"/>
          <w:szCs w:val="24"/>
          <w:highlight w:val="none"/>
          <w:lang w:eastAsia="zh-CN"/>
        </w:rPr>
        <w:t>透露</w:t>
      </w:r>
      <w:r>
        <w:rPr>
          <w:rFonts w:hint="eastAsia" w:ascii="仿宋" w:hAnsi="仿宋" w:eastAsia="仿宋" w:cs="仿宋"/>
          <w:color w:val="auto"/>
          <w:kern w:val="0"/>
          <w:sz w:val="24"/>
          <w:szCs w:val="24"/>
          <w:highlight w:val="none"/>
        </w:rPr>
        <w:t>对投标文件的评标和比较、中标候选人的推荐情况以及评标有关的其他情况。在评标活动中，与评标活动有关的工作人员不得擅离职守，影响评标程序正常进行。</w:t>
      </w:r>
    </w:p>
    <w:p w14:paraId="2021C1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2D0DFDCE">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66EDE37B">
      <w:pPr>
        <w:widowControl/>
        <w:shd w:val="clear" w:color="auto" w:fill="FFFFFF"/>
        <w:snapToGrid w:val="0"/>
        <w:spacing w:line="360" w:lineRule="auto"/>
        <w:jc w:val="center"/>
        <w:outlineLvl w:val="0"/>
        <w:rPr>
          <w:rFonts w:hint="eastAsia" w:ascii="仿宋" w:hAnsi="仿宋" w:eastAsia="仿宋" w:cs="仿宋"/>
          <w:b/>
          <w:color w:val="auto"/>
          <w:sz w:val="28"/>
          <w:szCs w:val="28"/>
          <w:highlight w:val="none"/>
        </w:rPr>
      </w:pPr>
      <w:bookmarkStart w:id="27" w:name="_Toc28275"/>
      <w:r>
        <w:rPr>
          <w:rFonts w:hint="eastAsia" w:ascii="仿宋" w:hAnsi="仿宋" w:eastAsia="仿宋" w:cs="仿宋"/>
          <w:b/>
          <w:color w:val="auto"/>
          <w:sz w:val="28"/>
          <w:szCs w:val="28"/>
          <w:highlight w:val="none"/>
        </w:rPr>
        <w:t>第二章 评标办法</w:t>
      </w:r>
      <w:bookmarkEnd w:id="27"/>
    </w:p>
    <w:p w14:paraId="641BCEAC">
      <w:pPr>
        <w:tabs>
          <w:tab w:val="center" w:pos="4832"/>
          <w:tab w:val="left" w:pos="7140"/>
        </w:tabs>
        <w:spacing w:line="360" w:lineRule="auto"/>
        <w:jc w:val="center"/>
        <w:outlineLvl w:val="2"/>
        <w:rPr>
          <w:rFonts w:hint="eastAsia" w:ascii="仿宋" w:hAnsi="仿宋" w:eastAsia="仿宋" w:cs="仿宋"/>
          <w:b/>
          <w:color w:val="auto"/>
          <w:sz w:val="28"/>
          <w:szCs w:val="28"/>
          <w:highlight w:val="none"/>
        </w:rPr>
      </w:pPr>
      <w:bookmarkStart w:id="28" w:name="_BookMark_1"/>
      <w:bookmarkEnd w:id="28"/>
      <w:bookmarkStart w:id="29" w:name="_Toc58342531"/>
      <w:bookmarkStart w:id="30" w:name="_Toc31184"/>
      <w:bookmarkStart w:id="31" w:name="_Toc501719166"/>
      <w:r>
        <w:rPr>
          <w:rFonts w:hint="eastAsia" w:ascii="仿宋" w:hAnsi="仿宋" w:eastAsia="仿宋" w:cs="仿宋"/>
          <w:b/>
          <w:color w:val="auto"/>
          <w:sz w:val="28"/>
          <w:szCs w:val="28"/>
          <w:highlight w:val="none"/>
        </w:rPr>
        <w:t>评审办法前附表</w:t>
      </w:r>
      <w:bookmarkEnd w:id="29"/>
      <w:bookmarkEnd w:id="30"/>
    </w:p>
    <w:tbl>
      <w:tblPr>
        <w:tblStyle w:val="42"/>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52"/>
        <w:gridCol w:w="2519"/>
        <w:gridCol w:w="5261"/>
      </w:tblGrid>
      <w:tr w14:paraId="76225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1" w:type="pct"/>
            <w:tcBorders>
              <w:tl2br w:val="nil"/>
              <w:tr2bl w:val="nil"/>
            </w:tcBorders>
            <w:tcMar>
              <w:top w:w="0" w:type="dxa"/>
              <w:left w:w="28" w:type="dxa"/>
              <w:bottom w:w="0" w:type="dxa"/>
              <w:right w:w="28" w:type="dxa"/>
            </w:tcMar>
            <w:vAlign w:val="center"/>
          </w:tcPr>
          <w:p w14:paraId="131BA21B">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511" w:type="pct"/>
            <w:tcBorders>
              <w:tl2br w:val="nil"/>
              <w:tr2bl w:val="nil"/>
            </w:tcBorders>
            <w:tcMar>
              <w:top w:w="0" w:type="dxa"/>
              <w:left w:w="28" w:type="dxa"/>
              <w:bottom w:w="0" w:type="dxa"/>
              <w:right w:w="28" w:type="dxa"/>
            </w:tcMar>
            <w:vAlign w:val="center"/>
          </w:tcPr>
          <w:p w14:paraId="6B314243">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条款内容</w:t>
            </w:r>
          </w:p>
        </w:tc>
        <w:tc>
          <w:tcPr>
            <w:tcW w:w="3156" w:type="pct"/>
            <w:tcBorders>
              <w:tl2br w:val="nil"/>
              <w:tr2bl w:val="nil"/>
            </w:tcBorders>
            <w:tcMar>
              <w:top w:w="0" w:type="dxa"/>
              <w:left w:w="28" w:type="dxa"/>
              <w:bottom w:w="0" w:type="dxa"/>
              <w:right w:w="28" w:type="dxa"/>
            </w:tcMar>
            <w:vAlign w:val="center"/>
          </w:tcPr>
          <w:p w14:paraId="0EB84DC8">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编列内容</w:t>
            </w:r>
          </w:p>
        </w:tc>
      </w:tr>
      <w:tr w14:paraId="325F7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0" w:hRule="atLeast"/>
          <w:jc w:val="center"/>
        </w:trPr>
        <w:tc>
          <w:tcPr>
            <w:tcW w:w="331" w:type="pct"/>
            <w:tcBorders>
              <w:tl2br w:val="nil"/>
              <w:tr2bl w:val="nil"/>
            </w:tcBorders>
            <w:tcMar>
              <w:top w:w="0" w:type="dxa"/>
              <w:left w:w="28" w:type="dxa"/>
              <w:bottom w:w="0" w:type="dxa"/>
              <w:right w:w="28" w:type="dxa"/>
            </w:tcMar>
            <w:vAlign w:val="center"/>
          </w:tcPr>
          <w:p w14:paraId="4E64E8F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11" w:type="pct"/>
            <w:tcBorders>
              <w:tl2br w:val="nil"/>
              <w:tr2bl w:val="nil"/>
            </w:tcBorders>
            <w:tcMar>
              <w:top w:w="0" w:type="dxa"/>
              <w:left w:w="28" w:type="dxa"/>
              <w:bottom w:w="0" w:type="dxa"/>
              <w:right w:w="28" w:type="dxa"/>
            </w:tcMar>
            <w:vAlign w:val="center"/>
          </w:tcPr>
          <w:p w14:paraId="79E4CF8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分值构成及权重</w:t>
            </w:r>
          </w:p>
          <w:p w14:paraId="5896A6C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(总分100分)</w:t>
            </w:r>
          </w:p>
        </w:tc>
        <w:tc>
          <w:tcPr>
            <w:tcW w:w="3156" w:type="pct"/>
            <w:tcBorders>
              <w:tl2br w:val="nil"/>
              <w:tr2bl w:val="nil"/>
            </w:tcBorders>
            <w:tcMar>
              <w:top w:w="0" w:type="dxa"/>
              <w:left w:w="28" w:type="dxa"/>
              <w:bottom w:w="0" w:type="dxa"/>
              <w:right w:w="28" w:type="dxa"/>
            </w:tcMar>
            <w:vAlign w:val="center"/>
          </w:tcPr>
          <w:p w14:paraId="5678709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1.详细评审部分</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分</w:t>
            </w:r>
          </w:p>
          <w:p w14:paraId="7C683B0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r>
      <w:tr w14:paraId="15FA1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 w:hRule="atLeast"/>
          <w:jc w:val="center"/>
        </w:trPr>
        <w:tc>
          <w:tcPr>
            <w:tcW w:w="331" w:type="pct"/>
            <w:tcBorders>
              <w:tl2br w:val="nil"/>
              <w:tr2bl w:val="nil"/>
            </w:tcBorders>
            <w:tcMar>
              <w:top w:w="0" w:type="dxa"/>
              <w:left w:w="28" w:type="dxa"/>
              <w:bottom w:w="0" w:type="dxa"/>
              <w:right w:w="28" w:type="dxa"/>
            </w:tcMar>
            <w:vAlign w:val="center"/>
          </w:tcPr>
          <w:p w14:paraId="05F8A9A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511" w:type="pct"/>
            <w:tcBorders>
              <w:tl2br w:val="nil"/>
              <w:tr2bl w:val="nil"/>
            </w:tcBorders>
            <w:tcMar>
              <w:top w:w="0" w:type="dxa"/>
              <w:left w:w="28" w:type="dxa"/>
              <w:bottom w:w="0" w:type="dxa"/>
              <w:right w:w="28" w:type="dxa"/>
            </w:tcMar>
            <w:vAlign w:val="center"/>
          </w:tcPr>
          <w:p w14:paraId="50717FC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w:t>
            </w:r>
          </w:p>
        </w:tc>
        <w:tc>
          <w:tcPr>
            <w:tcW w:w="3156" w:type="pct"/>
            <w:tcBorders>
              <w:tl2br w:val="nil"/>
              <w:tr2bl w:val="nil"/>
            </w:tcBorders>
            <w:tcMar>
              <w:top w:w="0" w:type="dxa"/>
              <w:left w:w="28" w:type="dxa"/>
              <w:bottom w:w="0" w:type="dxa"/>
              <w:right w:w="28" w:type="dxa"/>
            </w:tcMar>
            <w:vAlign w:val="center"/>
          </w:tcPr>
          <w:p w14:paraId="4470C01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详见《资格审查标准》</w:t>
            </w:r>
          </w:p>
        </w:tc>
      </w:tr>
      <w:tr w14:paraId="4F5A8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1" w:type="pct"/>
            <w:tcBorders>
              <w:tl2br w:val="nil"/>
              <w:tr2bl w:val="nil"/>
            </w:tcBorders>
            <w:tcMar>
              <w:top w:w="0" w:type="dxa"/>
              <w:left w:w="28" w:type="dxa"/>
              <w:bottom w:w="0" w:type="dxa"/>
              <w:right w:w="28" w:type="dxa"/>
            </w:tcMar>
            <w:vAlign w:val="center"/>
          </w:tcPr>
          <w:p w14:paraId="4EC8A04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511" w:type="pct"/>
            <w:tcBorders>
              <w:tl2br w:val="nil"/>
              <w:tr2bl w:val="nil"/>
            </w:tcBorders>
            <w:tcMar>
              <w:top w:w="0" w:type="dxa"/>
              <w:left w:w="28" w:type="dxa"/>
              <w:bottom w:w="0" w:type="dxa"/>
              <w:right w:w="28" w:type="dxa"/>
            </w:tcMar>
            <w:vAlign w:val="center"/>
          </w:tcPr>
          <w:p w14:paraId="43A353C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3156" w:type="pct"/>
            <w:tcBorders>
              <w:tl2br w:val="nil"/>
              <w:tr2bl w:val="nil"/>
            </w:tcBorders>
            <w:tcMar>
              <w:top w:w="0" w:type="dxa"/>
              <w:left w:w="28" w:type="dxa"/>
              <w:bottom w:w="0" w:type="dxa"/>
              <w:right w:w="28" w:type="dxa"/>
            </w:tcMar>
            <w:vAlign w:val="center"/>
          </w:tcPr>
          <w:p w14:paraId="1ED6F7C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详见《符合性审查标准》</w:t>
            </w:r>
          </w:p>
        </w:tc>
      </w:tr>
      <w:tr w14:paraId="5F4C1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1" w:type="pct"/>
            <w:tcBorders>
              <w:tl2br w:val="nil"/>
              <w:tr2bl w:val="nil"/>
            </w:tcBorders>
            <w:tcMar>
              <w:top w:w="0" w:type="dxa"/>
              <w:left w:w="28" w:type="dxa"/>
              <w:bottom w:w="0" w:type="dxa"/>
              <w:right w:w="28" w:type="dxa"/>
            </w:tcMar>
            <w:vAlign w:val="center"/>
          </w:tcPr>
          <w:p w14:paraId="2CF65CB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511" w:type="pct"/>
            <w:tcBorders>
              <w:tl2br w:val="nil"/>
              <w:tr2bl w:val="nil"/>
            </w:tcBorders>
            <w:tcMar>
              <w:top w:w="0" w:type="dxa"/>
              <w:left w:w="28" w:type="dxa"/>
              <w:bottom w:w="0" w:type="dxa"/>
              <w:right w:w="28" w:type="dxa"/>
            </w:tcMar>
            <w:vAlign w:val="center"/>
          </w:tcPr>
          <w:p w14:paraId="309548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详细评审</w:t>
            </w:r>
          </w:p>
        </w:tc>
        <w:tc>
          <w:tcPr>
            <w:tcW w:w="3156" w:type="pct"/>
            <w:tcBorders>
              <w:tl2br w:val="nil"/>
              <w:tr2bl w:val="nil"/>
            </w:tcBorders>
            <w:tcMar>
              <w:top w:w="0" w:type="dxa"/>
              <w:left w:w="28" w:type="dxa"/>
              <w:bottom w:w="0" w:type="dxa"/>
              <w:right w:w="28" w:type="dxa"/>
            </w:tcMar>
            <w:vAlign w:val="center"/>
          </w:tcPr>
          <w:p w14:paraId="4106408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详见《详细评审标准》及本节第3.5款</w:t>
            </w:r>
          </w:p>
        </w:tc>
      </w:tr>
    </w:tbl>
    <w:p w14:paraId="047E2425">
      <w:pPr>
        <w:widowControl/>
        <w:shd w:val="clear" w:color="auto" w:fill="FFFFFF"/>
        <w:snapToGrid w:val="0"/>
        <w:spacing w:line="36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《资格审查标准》</w:t>
      </w:r>
      <w:bookmarkEnd w:id="31"/>
    </w:p>
    <w:tbl>
      <w:tblPr>
        <w:tblStyle w:val="42"/>
        <w:tblW w:w="501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34"/>
        <w:gridCol w:w="3780"/>
        <w:gridCol w:w="4002"/>
      </w:tblGrid>
      <w:tr w14:paraId="799A3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vAlign w:val="center"/>
          </w:tcPr>
          <w:p w14:paraId="1DA8D5A8">
            <w:pPr>
              <w:spacing w:line="360" w:lineRule="auto"/>
              <w:jc w:val="center"/>
              <w:rPr>
                <w:rFonts w:hint="eastAsia" w:ascii="仿宋" w:hAnsi="仿宋" w:eastAsia="仿宋" w:cs="仿宋"/>
                <w:b/>
                <w:bCs/>
                <w:color w:val="auto"/>
                <w:sz w:val="24"/>
                <w:szCs w:val="24"/>
                <w:highlight w:val="none"/>
                <w:shd w:val="clear" w:color="auto" w:fill="FFFFFF" w:themeFill="background1"/>
              </w:rPr>
            </w:pPr>
            <w:bookmarkStart w:id="32" w:name="_Toc501719167"/>
            <w:r>
              <w:rPr>
                <w:rFonts w:hint="eastAsia" w:ascii="仿宋" w:hAnsi="仿宋" w:eastAsia="仿宋" w:cs="仿宋"/>
                <w:b/>
                <w:bCs/>
                <w:color w:val="auto"/>
                <w:sz w:val="24"/>
                <w:szCs w:val="24"/>
                <w:highlight w:val="none"/>
                <w:shd w:val="clear" w:color="auto" w:fill="FFFFFF" w:themeFill="background1"/>
              </w:rPr>
              <w:t>序号</w:t>
            </w:r>
          </w:p>
        </w:tc>
        <w:tc>
          <w:tcPr>
            <w:tcW w:w="2273" w:type="pct"/>
            <w:tcBorders>
              <w:tl2br w:val="nil"/>
              <w:tr2bl w:val="nil"/>
            </w:tcBorders>
            <w:vAlign w:val="center"/>
          </w:tcPr>
          <w:p w14:paraId="545C04EC">
            <w:pPr>
              <w:spacing w:line="360"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审查要求</w:t>
            </w:r>
          </w:p>
        </w:tc>
        <w:tc>
          <w:tcPr>
            <w:tcW w:w="2405" w:type="pct"/>
            <w:tcBorders>
              <w:tl2br w:val="nil"/>
              <w:tr2bl w:val="nil"/>
            </w:tcBorders>
            <w:vAlign w:val="center"/>
          </w:tcPr>
          <w:p w14:paraId="68C9609D">
            <w:pPr>
              <w:spacing w:line="360" w:lineRule="auto"/>
              <w:jc w:val="center"/>
              <w:rPr>
                <w:rFonts w:hint="eastAsia"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要求说明</w:t>
            </w:r>
          </w:p>
        </w:tc>
      </w:tr>
      <w:tr w14:paraId="1262B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vAlign w:val="center"/>
          </w:tcPr>
          <w:p w14:paraId="0478CB3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w:t>
            </w:r>
          </w:p>
        </w:tc>
        <w:tc>
          <w:tcPr>
            <w:tcW w:w="2273" w:type="pct"/>
            <w:tcBorders>
              <w:tl2br w:val="nil"/>
              <w:tr2bl w:val="nil"/>
            </w:tcBorders>
            <w:vAlign w:val="center"/>
          </w:tcPr>
          <w:p w14:paraId="6D1F81E9">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满足《中华人民共和国政府采购法》第二十二条规定。</w:t>
            </w:r>
          </w:p>
        </w:tc>
        <w:tc>
          <w:tcPr>
            <w:tcW w:w="2405" w:type="pct"/>
            <w:tcBorders>
              <w:tl2br w:val="nil"/>
              <w:tr2bl w:val="nil"/>
            </w:tcBorders>
            <w:vAlign w:val="center"/>
          </w:tcPr>
          <w:p w14:paraId="3EAE12E3">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08B63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vAlign w:val="center"/>
          </w:tcPr>
          <w:p w14:paraId="14C716DE">
            <w:pPr>
              <w:spacing w:line="360" w:lineRule="auto"/>
              <w:jc w:val="center"/>
              <w:rPr>
                <w:rFonts w:hint="default"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2</w:t>
            </w:r>
          </w:p>
        </w:tc>
        <w:tc>
          <w:tcPr>
            <w:tcW w:w="2273" w:type="pct"/>
            <w:tcBorders>
              <w:tl2br w:val="nil"/>
              <w:tr2bl w:val="nil"/>
            </w:tcBorders>
            <w:vAlign w:val="center"/>
          </w:tcPr>
          <w:p w14:paraId="37CA06FA">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w:t>
            </w:r>
            <w:r>
              <w:rPr>
                <w:rFonts w:hint="eastAsia" w:ascii="仿宋" w:hAnsi="仿宋" w:eastAsia="仿宋" w:cs="仿宋"/>
                <w:color w:val="auto"/>
                <w:sz w:val="24"/>
                <w:szCs w:val="24"/>
                <w:highlight w:val="none"/>
                <w:shd w:val="clear" w:color="auto" w:fill="FFFFFF" w:themeFill="background1"/>
                <w:lang w:eastAsia="zh-CN"/>
              </w:rPr>
              <w:t>招标</w:t>
            </w:r>
            <w:r>
              <w:rPr>
                <w:rFonts w:hint="eastAsia" w:ascii="仿宋" w:hAnsi="仿宋" w:eastAsia="仿宋" w:cs="仿宋"/>
                <w:color w:val="auto"/>
                <w:sz w:val="24"/>
                <w:szCs w:val="24"/>
                <w:highlight w:val="none"/>
                <w:shd w:val="clear" w:color="auto" w:fill="FFFFFF" w:themeFill="background1"/>
              </w:rPr>
              <w:t>活动。</w:t>
            </w:r>
          </w:p>
        </w:tc>
        <w:tc>
          <w:tcPr>
            <w:tcW w:w="2405" w:type="pct"/>
            <w:tcBorders>
              <w:tl2br w:val="nil"/>
              <w:tr2bl w:val="nil"/>
            </w:tcBorders>
            <w:vAlign w:val="center"/>
          </w:tcPr>
          <w:p w14:paraId="255204DD">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以采购人或者采购代理机构查询记录为准。</w:t>
            </w:r>
          </w:p>
        </w:tc>
      </w:tr>
      <w:tr w14:paraId="7A433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1" w:type="pct"/>
            <w:tcBorders>
              <w:tl2br w:val="nil"/>
              <w:tr2bl w:val="nil"/>
            </w:tcBorders>
            <w:vAlign w:val="center"/>
          </w:tcPr>
          <w:p w14:paraId="433A49E5">
            <w:pPr>
              <w:spacing w:line="360" w:lineRule="auto"/>
              <w:jc w:val="center"/>
              <w:rPr>
                <w:rFonts w:hint="default"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3</w:t>
            </w:r>
          </w:p>
        </w:tc>
        <w:tc>
          <w:tcPr>
            <w:tcW w:w="2273" w:type="pct"/>
            <w:tcBorders>
              <w:tl2br w:val="nil"/>
              <w:tr2bl w:val="nil"/>
            </w:tcBorders>
            <w:vAlign w:val="center"/>
          </w:tcPr>
          <w:p w14:paraId="511D483D">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投标保证金必须按照招标文件要求缴纳。</w:t>
            </w:r>
          </w:p>
        </w:tc>
        <w:tc>
          <w:tcPr>
            <w:tcW w:w="2405" w:type="pct"/>
            <w:tcBorders>
              <w:tl2br w:val="nil"/>
              <w:tr2bl w:val="nil"/>
            </w:tcBorders>
            <w:vAlign w:val="center"/>
          </w:tcPr>
          <w:p w14:paraId="2EA0F2F4">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保证金缴纳凭证：投标人可将本项目保证金支付的汇款凭证、支票、汇票</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保函</w:t>
            </w:r>
            <w:r>
              <w:rPr>
                <w:rFonts w:hint="eastAsia" w:ascii="仿宋" w:hAnsi="仿宋" w:eastAsia="仿宋" w:cs="仿宋"/>
                <w:color w:val="auto"/>
                <w:sz w:val="24"/>
                <w:szCs w:val="24"/>
                <w:highlight w:val="none"/>
                <w:shd w:val="clear" w:color="auto" w:fill="FFFFFF" w:themeFill="background1"/>
              </w:rPr>
              <w:t>或保证金收据的扫描件作为缴纳凭证制作在投标文件中。</w:t>
            </w:r>
          </w:p>
        </w:tc>
      </w:tr>
      <w:tr w14:paraId="60442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0" w:hRule="atLeast"/>
          <w:jc w:val="center"/>
        </w:trPr>
        <w:tc>
          <w:tcPr>
            <w:tcW w:w="5000" w:type="pct"/>
            <w:gridSpan w:val="3"/>
            <w:tcBorders>
              <w:tl2br w:val="nil"/>
              <w:tr2bl w:val="nil"/>
            </w:tcBorders>
            <w:vAlign w:val="center"/>
          </w:tcPr>
          <w:p w14:paraId="2BCCE95E">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28A9CE73">
      <w:pPr>
        <w:spacing w:line="36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《符合性审查标准》</w:t>
      </w:r>
      <w:bookmarkEnd w:id="32"/>
    </w:p>
    <w:tbl>
      <w:tblPr>
        <w:tblStyle w:val="42"/>
        <w:tblW w:w="501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64"/>
        <w:gridCol w:w="6698"/>
        <w:gridCol w:w="1054"/>
      </w:tblGrid>
      <w:tr w14:paraId="1A755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5" w:hRule="atLeast"/>
          <w:jc w:val="center"/>
        </w:trPr>
        <w:tc>
          <w:tcPr>
            <w:tcW w:w="339" w:type="pct"/>
            <w:tcBorders>
              <w:tl2br w:val="nil"/>
              <w:tr2bl w:val="nil"/>
            </w:tcBorders>
            <w:vAlign w:val="center"/>
          </w:tcPr>
          <w:p w14:paraId="347FB060">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序号</w:t>
            </w:r>
          </w:p>
        </w:tc>
        <w:tc>
          <w:tcPr>
            <w:tcW w:w="4027" w:type="pct"/>
            <w:tcBorders>
              <w:tl2br w:val="nil"/>
              <w:tr2bl w:val="nil"/>
            </w:tcBorders>
            <w:vAlign w:val="center"/>
          </w:tcPr>
          <w:p w14:paraId="11D627D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审查要求</w:t>
            </w:r>
          </w:p>
        </w:tc>
        <w:tc>
          <w:tcPr>
            <w:tcW w:w="632" w:type="pct"/>
            <w:tcBorders>
              <w:tl2br w:val="nil"/>
              <w:tr2bl w:val="nil"/>
            </w:tcBorders>
            <w:vAlign w:val="center"/>
          </w:tcPr>
          <w:p w14:paraId="65B9E508">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要求说明</w:t>
            </w:r>
          </w:p>
        </w:tc>
      </w:tr>
      <w:tr w14:paraId="1E6ED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7C62D2B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w:t>
            </w:r>
          </w:p>
        </w:tc>
        <w:tc>
          <w:tcPr>
            <w:tcW w:w="4027" w:type="pct"/>
            <w:tcBorders>
              <w:tl2br w:val="nil"/>
              <w:tr2bl w:val="nil"/>
            </w:tcBorders>
            <w:vAlign w:val="center"/>
          </w:tcPr>
          <w:p w14:paraId="36C2371C">
            <w:pPr>
              <w:widowControl/>
              <w:shd w:val="clear" w:color="auto" w:fill="FFFFFF"/>
              <w:snapToGrid w:val="0"/>
              <w:spacing w:line="360" w:lineRule="auto"/>
              <w:rPr>
                <w:rFonts w:hint="eastAsia" w:ascii="仿宋" w:hAnsi="仿宋" w:eastAsia="仿宋" w:cs="仿宋"/>
                <w:color w:val="auto"/>
                <w:sz w:val="24"/>
                <w:szCs w:val="24"/>
                <w:highlight w:val="none"/>
                <w:shd w:val="clear" w:color="auto" w:fill="FFFFFF" w:themeFill="background1"/>
                <w:lang w:eastAsia="zh-CN"/>
              </w:rPr>
            </w:pPr>
            <w:r>
              <w:rPr>
                <w:rFonts w:hint="eastAsia" w:ascii="仿宋" w:hAnsi="仿宋" w:eastAsia="仿宋" w:cs="仿宋"/>
                <w:color w:val="auto"/>
                <w:sz w:val="24"/>
                <w:szCs w:val="24"/>
                <w:highlight w:val="none"/>
                <w:shd w:val="clear" w:color="auto" w:fill="FFFFFF" w:themeFill="background1"/>
                <w:lang w:val="en-US" w:eastAsia="zh-CN"/>
              </w:rPr>
              <w:t>投标文件</w:t>
            </w:r>
            <w:r>
              <w:rPr>
                <w:rFonts w:hint="eastAsia" w:ascii="仿宋" w:hAnsi="仿宋" w:eastAsia="仿宋" w:cs="仿宋"/>
                <w:color w:val="auto"/>
                <w:sz w:val="24"/>
                <w:szCs w:val="24"/>
                <w:highlight w:val="none"/>
                <w:shd w:val="clear" w:color="auto" w:fill="FFFFFF" w:themeFill="background1"/>
              </w:rPr>
              <w:t>必须按照</w:t>
            </w:r>
            <w:r>
              <w:rPr>
                <w:rFonts w:hint="eastAsia" w:ascii="仿宋" w:hAnsi="仿宋" w:eastAsia="仿宋" w:cs="仿宋"/>
                <w:color w:val="auto"/>
                <w:sz w:val="24"/>
                <w:szCs w:val="24"/>
                <w:highlight w:val="none"/>
                <w:shd w:val="clear" w:color="auto" w:fill="FFFFFF" w:themeFill="background1"/>
                <w:lang w:val="en-US" w:eastAsia="zh-CN"/>
              </w:rPr>
              <w:t>招标</w:t>
            </w:r>
            <w:r>
              <w:rPr>
                <w:rFonts w:hint="eastAsia" w:ascii="仿宋" w:hAnsi="仿宋" w:eastAsia="仿宋" w:cs="仿宋"/>
                <w:color w:val="auto"/>
                <w:sz w:val="24"/>
                <w:szCs w:val="24"/>
                <w:highlight w:val="none"/>
                <w:shd w:val="clear" w:color="auto" w:fill="FFFFFF" w:themeFill="background1"/>
              </w:rPr>
              <w:t>文件规定要求加盖</w:t>
            </w:r>
            <w:r>
              <w:rPr>
                <w:rFonts w:hint="eastAsia" w:ascii="仿宋" w:hAnsi="仿宋" w:eastAsia="仿宋" w:cs="仿宋"/>
                <w:color w:val="auto"/>
                <w:sz w:val="24"/>
                <w:szCs w:val="24"/>
                <w:highlight w:val="none"/>
                <w:shd w:val="clear" w:color="auto" w:fill="FFFFFF" w:themeFill="background1"/>
                <w:lang w:val="en-US" w:eastAsia="zh-CN"/>
              </w:rPr>
              <w:t>投标人</w:t>
            </w:r>
            <w:r>
              <w:rPr>
                <w:rFonts w:hint="eastAsia" w:ascii="仿宋" w:hAnsi="仿宋" w:eastAsia="仿宋" w:cs="仿宋"/>
                <w:color w:val="auto"/>
                <w:sz w:val="24"/>
                <w:szCs w:val="24"/>
                <w:highlight w:val="none"/>
                <w:shd w:val="clear" w:color="auto" w:fill="FFFFFF" w:themeFill="background1"/>
              </w:rPr>
              <w:t>、法定代表人电子印章</w:t>
            </w:r>
            <w:r>
              <w:rPr>
                <w:rFonts w:hint="eastAsia" w:ascii="仿宋" w:hAnsi="仿宋" w:eastAsia="仿宋" w:cs="仿宋"/>
                <w:color w:val="auto"/>
                <w:sz w:val="24"/>
                <w:szCs w:val="24"/>
                <w:highlight w:val="none"/>
                <w:shd w:val="clear" w:color="auto" w:fill="FFFFFF" w:themeFill="background1"/>
                <w:lang w:eastAsia="zh-CN"/>
              </w:rPr>
              <w:t>；</w:t>
            </w:r>
          </w:p>
        </w:tc>
        <w:tc>
          <w:tcPr>
            <w:tcW w:w="632" w:type="pct"/>
            <w:tcBorders>
              <w:tl2br w:val="nil"/>
              <w:tr2bl w:val="nil"/>
            </w:tcBorders>
            <w:vAlign w:val="center"/>
          </w:tcPr>
          <w:p w14:paraId="3C97912B">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w:t>
            </w:r>
          </w:p>
        </w:tc>
      </w:tr>
      <w:tr w14:paraId="06D660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57F01AA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2</w:t>
            </w:r>
          </w:p>
        </w:tc>
        <w:tc>
          <w:tcPr>
            <w:tcW w:w="4027" w:type="pct"/>
            <w:tcBorders>
              <w:tl2br w:val="nil"/>
              <w:tr2bl w:val="nil"/>
            </w:tcBorders>
            <w:vAlign w:val="center"/>
          </w:tcPr>
          <w:p w14:paraId="35CD709E">
            <w:pPr>
              <w:widowControl/>
              <w:shd w:val="clear" w:color="auto" w:fill="FFFFFF"/>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项目负责人简历表必须提供；</w:t>
            </w:r>
          </w:p>
        </w:tc>
        <w:tc>
          <w:tcPr>
            <w:tcW w:w="632" w:type="pct"/>
            <w:tcBorders>
              <w:tl2br w:val="nil"/>
              <w:tr2bl w:val="nil"/>
            </w:tcBorders>
            <w:vAlign w:val="center"/>
          </w:tcPr>
          <w:p w14:paraId="11364868">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w:t>
            </w:r>
          </w:p>
        </w:tc>
      </w:tr>
      <w:tr w14:paraId="26E7D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6D35CF74">
            <w:pPr>
              <w:spacing w:line="360" w:lineRule="auto"/>
              <w:jc w:val="center"/>
              <w:rPr>
                <w:rFonts w:hint="eastAsia" w:ascii="仿宋" w:hAnsi="仿宋" w:eastAsia="仿宋" w:cs="仿宋"/>
                <w:color w:val="auto"/>
                <w:sz w:val="24"/>
                <w:szCs w:val="24"/>
                <w:highlight w:val="none"/>
                <w:shd w:val="clear" w:color="auto" w:fill="FFFFFF" w:themeFill="background1"/>
                <w:lang w:eastAsia="zh-CN"/>
              </w:rPr>
            </w:pPr>
            <w:r>
              <w:rPr>
                <w:rFonts w:hint="eastAsia" w:ascii="仿宋" w:hAnsi="仿宋" w:eastAsia="仿宋" w:cs="仿宋"/>
                <w:color w:val="auto"/>
                <w:sz w:val="24"/>
                <w:szCs w:val="24"/>
                <w:highlight w:val="none"/>
                <w:shd w:val="clear" w:color="auto" w:fill="FFFFFF" w:themeFill="background1"/>
                <w:lang w:val="en-US" w:eastAsia="zh-CN"/>
              </w:rPr>
              <w:t>3</w:t>
            </w:r>
          </w:p>
        </w:tc>
        <w:tc>
          <w:tcPr>
            <w:tcW w:w="4027" w:type="pct"/>
            <w:tcBorders>
              <w:tl2br w:val="nil"/>
              <w:tr2bl w:val="nil"/>
            </w:tcBorders>
            <w:vAlign w:val="center"/>
          </w:tcPr>
          <w:p w14:paraId="492FAF88">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rPr>
              <w:t>服务周期必须满足</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文件要求；</w:t>
            </w:r>
          </w:p>
        </w:tc>
        <w:tc>
          <w:tcPr>
            <w:tcW w:w="632" w:type="pct"/>
            <w:tcBorders>
              <w:tl2br w:val="nil"/>
              <w:tr2bl w:val="nil"/>
            </w:tcBorders>
            <w:vAlign w:val="center"/>
          </w:tcPr>
          <w:p w14:paraId="69E3360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w:t>
            </w:r>
          </w:p>
        </w:tc>
      </w:tr>
      <w:tr w14:paraId="01AF8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19593D88">
            <w:pPr>
              <w:spacing w:line="360" w:lineRule="auto"/>
              <w:jc w:val="center"/>
              <w:rPr>
                <w:rFonts w:hint="eastAsia"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4</w:t>
            </w:r>
          </w:p>
        </w:tc>
        <w:tc>
          <w:tcPr>
            <w:tcW w:w="4027" w:type="pct"/>
            <w:tcBorders>
              <w:tl2br w:val="nil"/>
              <w:tr2bl w:val="nil"/>
            </w:tcBorders>
            <w:vAlign w:val="center"/>
          </w:tcPr>
          <w:p w14:paraId="41F04586">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价格不得超过</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须知前附表中的采购预算金额；</w:t>
            </w:r>
          </w:p>
        </w:tc>
        <w:tc>
          <w:tcPr>
            <w:tcW w:w="632" w:type="pct"/>
            <w:tcBorders>
              <w:tl2br w:val="nil"/>
              <w:tr2bl w:val="nil"/>
            </w:tcBorders>
            <w:vAlign w:val="center"/>
          </w:tcPr>
          <w:p w14:paraId="4DA150C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w:t>
            </w:r>
          </w:p>
        </w:tc>
      </w:tr>
      <w:tr w14:paraId="5B567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0632B4D0">
            <w:pPr>
              <w:spacing w:line="360" w:lineRule="auto"/>
              <w:jc w:val="center"/>
              <w:rPr>
                <w:rFonts w:hint="default"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5</w:t>
            </w:r>
          </w:p>
        </w:tc>
        <w:tc>
          <w:tcPr>
            <w:tcW w:w="4027" w:type="pct"/>
            <w:tcBorders>
              <w:tl2br w:val="nil"/>
              <w:tr2bl w:val="nil"/>
            </w:tcBorders>
            <w:vAlign w:val="center"/>
          </w:tcPr>
          <w:p w14:paraId="6AD3AD1C">
            <w:pPr>
              <w:spacing w:line="360" w:lineRule="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投标价格不得超过最高限价及第四章服务标准和要求中的单项目限价。</w:t>
            </w:r>
          </w:p>
        </w:tc>
        <w:tc>
          <w:tcPr>
            <w:tcW w:w="632" w:type="pct"/>
            <w:tcBorders>
              <w:tl2br w:val="nil"/>
              <w:tr2bl w:val="nil"/>
            </w:tcBorders>
            <w:vAlign w:val="center"/>
          </w:tcPr>
          <w:p w14:paraId="21D4C2AF">
            <w:pPr>
              <w:spacing w:line="360" w:lineRule="auto"/>
              <w:jc w:val="center"/>
              <w:rPr>
                <w:rFonts w:hint="eastAsia"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w:t>
            </w:r>
          </w:p>
        </w:tc>
      </w:tr>
      <w:tr w14:paraId="65E6CD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39" w:type="pct"/>
            <w:tcBorders>
              <w:tl2br w:val="nil"/>
              <w:tr2bl w:val="nil"/>
            </w:tcBorders>
            <w:vAlign w:val="center"/>
          </w:tcPr>
          <w:p w14:paraId="137F1673">
            <w:pPr>
              <w:spacing w:line="360" w:lineRule="auto"/>
              <w:jc w:val="center"/>
              <w:rPr>
                <w:rFonts w:hint="default"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6</w:t>
            </w:r>
          </w:p>
        </w:tc>
        <w:tc>
          <w:tcPr>
            <w:tcW w:w="4027" w:type="pct"/>
            <w:tcBorders>
              <w:tl2br w:val="nil"/>
              <w:tr2bl w:val="nil"/>
            </w:tcBorders>
          </w:tcPr>
          <w:p w14:paraId="646B4C6C">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投标</w:t>
            </w:r>
            <w:r>
              <w:rPr>
                <w:rFonts w:hint="eastAsia" w:ascii="仿宋" w:hAnsi="仿宋" w:eastAsia="仿宋" w:cs="仿宋"/>
                <w:color w:val="auto"/>
                <w:kern w:val="0"/>
                <w:sz w:val="24"/>
                <w:szCs w:val="24"/>
                <w:highlight w:val="none"/>
              </w:rPr>
              <w:t>文件没有不符合</w:t>
            </w:r>
            <w:r>
              <w:rPr>
                <w:rFonts w:hint="eastAsia" w:ascii="仿宋" w:hAnsi="仿宋" w:eastAsia="仿宋" w:cs="仿宋"/>
                <w:color w:val="auto"/>
                <w:kern w:val="0"/>
                <w:sz w:val="24"/>
                <w:szCs w:val="24"/>
                <w:highlight w:val="none"/>
                <w:lang w:val="en-US" w:eastAsia="zh-CN"/>
              </w:rPr>
              <w:t>招标</w:t>
            </w:r>
            <w:r>
              <w:rPr>
                <w:rFonts w:hint="eastAsia" w:ascii="仿宋" w:hAnsi="仿宋" w:eastAsia="仿宋" w:cs="仿宋"/>
                <w:color w:val="auto"/>
                <w:kern w:val="0"/>
                <w:sz w:val="24"/>
                <w:szCs w:val="24"/>
                <w:highlight w:val="none"/>
              </w:rPr>
              <w:t>文件实质性要求的。</w:t>
            </w:r>
          </w:p>
        </w:tc>
        <w:tc>
          <w:tcPr>
            <w:tcW w:w="632" w:type="pct"/>
            <w:tcBorders>
              <w:tl2br w:val="nil"/>
              <w:tr2bl w:val="nil"/>
            </w:tcBorders>
            <w:vAlign w:val="center"/>
          </w:tcPr>
          <w:p w14:paraId="3825679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w:t>
            </w:r>
          </w:p>
        </w:tc>
      </w:tr>
      <w:tr w14:paraId="26B9A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 w:hRule="atLeast"/>
          <w:jc w:val="center"/>
        </w:trPr>
        <w:tc>
          <w:tcPr>
            <w:tcW w:w="5000" w:type="pct"/>
            <w:gridSpan w:val="3"/>
            <w:tcBorders>
              <w:tl2br w:val="nil"/>
              <w:tr2bl w:val="nil"/>
            </w:tcBorders>
            <w:vAlign w:val="center"/>
          </w:tcPr>
          <w:p w14:paraId="3C97FB1E">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符合性审查中有一项不满足评审标准的，评标委员会将认定该投标人不通过符合性审查，不得进入下一阶段评审。并且不允许投标人通过修改或撤销其不符合要求的差异或保留，使之成为具有响应性的投标。</w:t>
            </w:r>
          </w:p>
        </w:tc>
      </w:tr>
    </w:tbl>
    <w:p w14:paraId="081BE18B">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《详细评审标准》</w:t>
      </w:r>
    </w:p>
    <w:tbl>
      <w:tblPr>
        <w:tblStyle w:val="42"/>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90"/>
        <w:gridCol w:w="1037"/>
        <w:gridCol w:w="642"/>
        <w:gridCol w:w="5818"/>
      </w:tblGrid>
      <w:tr w14:paraId="64E12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194" w:type="pct"/>
            <w:gridSpan w:val="2"/>
            <w:tcBorders>
              <w:tl2br w:val="nil"/>
              <w:tr2bl w:val="nil"/>
            </w:tcBorders>
            <w:noWrap w:val="0"/>
            <w:vAlign w:val="center"/>
          </w:tcPr>
          <w:p w14:paraId="08BCCB50">
            <w:pPr>
              <w:spacing w:line="360" w:lineRule="auto"/>
              <w:ind w:right="638" w:rightChars="304"/>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评分因素</w:t>
            </w:r>
          </w:p>
        </w:tc>
        <w:tc>
          <w:tcPr>
            <w:tcW w:w="378" w:type="pct"/>
            <w:tcBorders>
              <w:tl2br w:val="nil"/>
              <w:tr2bl w:val="nil"/>
            </w:tcBorders>
            <w:noWrap w:val="0"/>
            <w:vAlign w:val="center"/>
          </w:tcPr>
          <w:p w14:paraId="0233A1BC">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分值</w:t>
            </w:r>
          </w:p>
        </w:tc>
        <w:tc>
          <w:tcPr>
            <w:tcW w:w="3427" w:type="pct"/>
            <w:tcBorders>
              <w:tl2br w:val="nil"/>
              <w:tr2bl w:val="nil"/>
            </w:tcBorders>
            <w:noWrap w:val="0"/>
            <w:vAlign w:val="center"/>
          </w:tcPr>
          <w:p w14:paraId="758CC2FD">
            <w:pPr>
              <w:spacing w:line="360" w:lineRule="auto"/>
              <w:ind w:right="-31" w:rightChars="-15"/>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评分细则</w:t>
            </w:r>
          </w:p>
        </w:tc>
      </w:tr>
      <w:tr w14:paraId="4F6061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1194" w:type="pct"/>
            <w:gridSpan w:val="2"/>
            <w:tcBorders>
              <w:tl2br w:val="nil"/>
              <w:tr2bl w:val="nil"/>
            </w:tcBorders>
            <w:noWrap w:val="0"/>
            <w:vAlign w:val="center"/>
          </w:tcPr>
          <w:p w14:paraId="2F67F50C">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价格部分（</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0分）</w:t>
            </w:r>
          </w:p>
        </w:tc>
        <w:tc>
          <w:tcPr>
            <w:tcW w:w="378" w:type="pct"/>
            <w:tcBorders>
              <w:tl2br w:val="nil"/>
              <w:tr2bl w:val="nil"/>
            </w:tcBorders>
            <w:noWrap w:val="0"/>
            <w:vAlign w:val="center"/>
          </w:tcPr>
          <w:p w14:paraId="2E428707">
            <w:pPr>
              <w:spacing w:line="360" w:lineRule="auto"/>
              <w:jc w:val="center"/>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0</w:t>
            </w:r>
          </w:p>
        </w:tc>
        <w:tc>
          <w:tcPr>
            <w:tcW w:w="3427" w:type="pct"/>
            <w:tcBorders>
              <w:tl2br w:val="nil"/>
              <w:tr2bl w:val="nil"/>
            </w:tcBorders>
            <w:noWrap w:val="0"/>
            <w:vAlign w:val="center"/>
          </w:tcPr>
          <w:p w14:paraId="49508908">
            <w:pPr>
              <w:pStyle w:val="24"/>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要求且投标价格最低的有效投标报价（即除低于成本报价以外的报价）为评标基准价。其他投标人的价格分统一按照下列公式计算：</w:t>
            </w:r>
          </w:p>
          <w:p w14:paraId="5EC24415">
            <w:pPr>
              <w:pStyle w:val="24"/>
              <w:spacing w:line="360" w:lineRule="auto"/>
              <w:ind w:right="-31" w:rightChars="-15"/>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投标报价得分=（评标基准价/投标报价）×价格满分分值</w:t>
            </w:r>
          </w:p>
        </w:tc>
      </w:tr>
      <w:tr w14:paraId="1054D0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83" w:type="pct"/>
            <w:vMerge w:val="restart"/>
            <w:tcBorders>
              <w:tl2br w:val="nil"/>
              <w:tr2bl w:val="nil"/>
            </w:tcBorders>
            <w:noWrap w:val="0"/>
            <w:vAlign w:val="center"/>
          </w:tcPr>
          <w:p w14:paraId="268E618F">
            <w:pPr>
              <w:pStyle w:val="24"/>
              <w:spacing w:line="360" w:lineRule="auto"/>
              <w:ind w:right="-19" w:rightChars="-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610" w:type="pct"/>
            <w:tcBorders>
              <w:tl2br w:val="nil"/>
              <w:tr2bl w:val="nil"/>
            </w:tcBorders>
            <w:noWrap w:val="0"/>
            <w:vAlign w:val="center"/>
          </w:tcPr>
          <w:p w14:paraId="44FB88F4">
            <w:pPr>
              <w:pStyle w:val="24"/>
              <w:spacing w:line="360" w:lineRule="auto"/>
              <w:ind w:right="31" w:rightChars="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类似项目业绩</w:t>
            </w:r>
          </w:p>
        </w:tc>
        <w:tc>
          <w:tcPr>
            <w:tcW w:w="378" w:type="pct"/>
            <w:tcBorders>
              <w:tl2br w:val="nil"/>
              <w:tr2bl w:val="nil"/>
            </w:tcBorders>
            <w:noWrap w:val="0"/>
            <w:vAlign w:val="center"/>
          </w:tcPr>
          <w:p w14:paraId="54F9E0F2">
            <w:pPr>
              <w:pStyle w:val="24"/>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3427" w:type="pct"/>
            <w:tcBorders>
              <w:tl2br w:val="nil"/>
              <w:tr2bl w:val="nil"/>
            </w:tcBorders>
            <w:noWrap w:val="0"/>
            <w:vAlign w:val="center"/>
          </w:tcPr>
          <w:p w14:paraId="262DF3E8">
            <w:pPr>
              <w:pStyle w:val="24"/>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投标人近三年（202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月1日-至今）类似</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业绩每提供1份得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分，须提供中标（成交）通知书</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包含首页、关键页、签字盖章页）</w:t>
            </w:r>
          </w:p>
          <w:p w14:paraId="7178846A">
            <w:pPr>
              <w:pStyle w:val="24"/>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注：1.未提供相关证明材料或提供证明材料不全者不得分。</w:t>
            </w:r>
          </w:p>
          <w:p w14:paraId="79CE97AE">
            <w:pPr>
              <w:pStyle w:val="24"/>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2.投标人提供虚假证明材料的，按虚假投标处理。</w:t>
            </w:r>
          </w:p>
        </w:tc>
      </w:tr>
      <w:tr w14:paraId="5922EE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83" w:type="pct"/>
            <w:vMerge w:val="continue"/>
            <w:tcBorders>
              <w:tl2br w:val="nil"/>
              <w:tr2bl w:val="nil"/>
            </w:tcBorders>
            <w:noWrap w:val="0"/>
            <w:vAlign w:val="center"/>
          </w:tcPr>
          <w:p w14:paraId="62481CF4">
            <w:pPr>
              <w:pStyle w:val="24"/>
              <w:spacing w:line="360" w:lineRule="auto"/>
              <w:ind w:right="-19" w:rightChars="-9"/>
              <w:jc w:val="center"/>
              <w:rPr>
                <w:rFonts w:hint="eastAsia" w:ascii="仿宋" w:hAnsi="仿宋" w:eastAsia="仿宋" w:cs="仿宋"/>
                <w:color w:val="auto"/>
                <w:sz w:val="24"/>
                <w:szCs w:val="24"/>
                <w:highlight w:val="none"/>
              </w:rPr>
            </w:pPr>
          </w:p>
        </w:tc>
        <w:tc>
          <w:tcPr>
            <w:tcW w:w="610" w:type="pct"/>
            <w:tcBorders>
              <w:tl2br w:val="nil"/>
              <w:tr2bl w:val="nil"/>
            </w:tcBorders>
            <w:noWrap w:val="0"/>
            <w:vAlign w:val="center"/>
          </w:tcPr>
          <w:p w14:paraId="411120CA">
            <w:pPr>
              <w:pStyle w:val="19"/>
              <w:snapToGrid w:val="0"/>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olor w:val="auto"/>
                <w:kern w:val="0"/>
                <w:sz w:val="24"/>
                <w:szCs w:val="24"/>
                <w:highlight w:val="none"/>
                <w:lang w:val="en-US" w:eastAsia="zh-CN"/>
              </w:rPr>
              <w:t>机械设备</w:t>
            </w:r>
          </w:p>
        </w:tc>
        <w:tc>
          <w:tcPr>
            <w:tcW w:w="378" w:type="pct"/>
            <w:tcBorders>
              <w:tl2br w:val="nil"/>
              <w:tr2bl w:val="nil"/>
            </w:tcBorders>
            <w:noWrap w:val="0"/>
            <w:vAlign w:val="center"/>
          </w:tcPr>
          <w:p w14:paraId="40B7F572">
            <w:pPr>
              <w:pStyle w:val="24"/>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3427" w:type="pct"/>
            <w:tcBorders>
              <w:tl2br w:val="nil"/>
              <w:tr2bl w:val="nil"/>
            </w:tcBorders>
            <w:noWrap w:val="0"/>
            <w:vAlign w:val="center"/>
          </w:tcPr>
          <w:p w14:paraId="099F6E9E">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拟投入机械</w:t>
            </w:r>
            <w:r>
              <w:rPr>
                <w:rFonts w:hint="eastAsia" w:ascii="仿宋" w:hAnsi="仿宋" w:eastAsia="仿宋" w:cs="仿宋"/>
                <w:color w:val="auto"/>
                <w:sz w:val="24"/>
                <w:szCs w:val="24"/>
                <w:highlight w:val="none"/>
              </w:rPr>
              <w:t>的性能、特点全部满足服务标准和要求得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分，每负偏离一项扣2分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扣完为止。</w:t>
            </w:r>
          </w:p>
          <w:p w14:paraId="51F15C85">
            <w:pPr>
              <w:keepNext w:val="0"/>
              <w:keepLines w:val="0"/>
              <w:widowControl/>
              <w:suppressLineNumbers w:val="0"/>
              <w:spacing w:before="0" w:beforeAutospacing="0" w:after="0" w:afterAutospacing="0" w:line="360" w:lineRule="auto"/>
              <w:ind w:left="0" w:leftChars="0" w:right="0" w:rightChars="0"/>
              <w:jc w:val="left"/>
              <w:textAlignment w:val="top"/>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注：投标人须</w:t>
            </w:r>
            <w:r>
              <w:rPr>
                <w:rFonts w:hint="eastAsia" w:ascii="仿宋" w:hAnsi="仿宋" w:eastAsia="仿宋" w:cs="仿宋"/>
                <w:color w:val="auto"/>
                <w:sz w:val="24"/>
                <w:szCs w:val="24"/>
                <w:highlight w:val="none"/>
                <w:lang w:val="en-US" w:eastAsia="zh-CN"/>
              </w:rPr>
              <w:t>提供（机械购买合同或租赁合同）、机械检测报告或使用说明书等证明材料。</w:t>
            </w:r>
          </w:p>
        </w:tc>
      </w:tr>
      <w:tr w14:paraId="634224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83" w:type="pct"/>
            <w:vMerge w:val="restart"/>
            <w:tcBorders>
              <w:tl2br w:val="nil"/>
              <w:tr2bl w:val="nil"/>
            </w:tcBorders>
            <w:noWrap w:val="0"/>
            <w:vAlign w:val="center"/>
          </w:tcPr>
          <w:p w14:paraId="62D988BB">
            <w:pPr>
              <w:widowControl/>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部分(</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分)</w:t>
            </w:r>
          </w:p>
        </w:tc>
        <w:tc>
          <w:tcPr>
            <w:tcW w:w="610" w:type="pct"/>
            <w:tcBorders>
              <w:tl2br w:val="nil"/>
              <w:tr2bl w:val="nil"/>
            </w:tcBorders>
            <w:noWrap w:val="0"/>
            <w:vAlign w:val="center"/>
          </w:tcPr>
          <w:p w14:paraId="66043E50">
            <w:pPr>
              <w:pStyle w:val="24"/>
              <w:spacing w:line="360" w:lineRule="auto"/>
              <w:ind w:right="31" w:rightChars="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服务方</w:t>
            </w:r>
            <w:r>
              <w:rPr>
                <w:rFonts w:hint="eastAsia" w:ascii="仿宋" w:hAnsi="仿宋" w:eastAsia="仿宋" w:cs="仿宋"/>
                <w:color w:val="auto"/>
                <w:sz w:val="24"/>
                <w:szCs w:val="24"/>
                <w:highlight w:val="none"/>
              </w:rPr>
              <w:t>案</w:t>
            </w:r>
          </w:p>
        </w:tc>
        <w:tc>
          <w:tcPr>
            <w:tcW w:w="378" w:type="pct"/>
            <w:tcBorders>
              <w:tl2br w:val="nil"/>
              <w:tr2bl w:val="nil"/>
            </w:tcBorders>
            <w:noWrap w:val="0"/>
            <w:vAlign w:val="center"/>
          </w:tcPr>
          <w:p w14:paraId="4A562D87">
            <w:pPr>
              <w:pStyle w:val="24"/>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3427" w:type="pct"/>
            <w:tcBorders>
              <w:tl2br w:val="nil"/>
              <w:tr2bl w:val="nil"/>
            </w:tcBorders>
            <w:noWrap w:val="0"/>
            <w:vAlign w:val="center"/>
          </w:tcPr>
          <w:p w14:paraId="2C81F465">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提供详细的项目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方案包括：</w:t>
            </w:r>
            <w:r>
              <w:rPr>
                <w:rFonts w:hint="eastAsia" w:ascii="仿宋" w:hAnsi="仿宋" w:eastAsia="仿宋" w:cs="仿宋"/>
                <w:kern w:val="0"/>
                <w:sz w:val="24"/>
                <w:szCs w:val="24"/>
                <w:highlight w:val="none"/>
              </w:rPr>
              <w:t>①维修和维护保养措施②租赁管理方案③调度管理方案④内部管控制度⑤服务人员配置方案⑥用户投诉处理方案</w:t>
            </w:r>
            <w:r>
              <w:rPr>
                <w:rFonts w:hint="eastAsia" w:ascii="仿宋" w:hAnsi="仿宋" w:eastAsia="仿宋" w:cs="仿宋"/>
                <w:kern w:val="0"/>
                <w:sz w:val="24"/>
                <w:szCs w:val="24"/>
                <w:highlight w:val="none"/>
                <w:lang w:val="en-US" w:eastAsia="zh-CN"/>
              </w:rPr>
              <w:t>⑦服务质量保障措施⑧性能质量保障方案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部分要素</w:t>
            </w:r>
            <w:r>
              <w:rPr>
                <w:rFonts w:hint="eastAsia" w:ascii="仿宋" w:hAnsi="仿宋" w:eastAsia="仿宋" w:cs="仿宋"/>
                <w:color w:val="auto"/>
                <w:sz w:val="24"/>
                <w:szCs w:val="24"/>
                <w:highlight w:val="none"/>
              </w:rPr>
              <w:t>。</w:t>
            </w:r>
          </w:p>
          <w:p w14:paraId="3F311EBD">
            <w:pPr>
              <w:pStyle w:val="24"/>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所有要素齐全且完全满足项目要求得</w:t>
            </w: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分;每缺少一项内容的扣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分;每有一处缺陷的扣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分;扣完为止，未提供不得分。(缺陷是指:存在不适用该项目实际情况的情形、凭空编造、内容前后不一致、前后逻辑错误、涉及的规范及标准错误、地点区域错误、内容缺失、不符合采购需求的任意一项)</w:t>
            </w:r>
          </w:p>
        </w:tc>
      </w:tr>
      <w:tr w14:paraId="41BEAD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83" w:type="pct"/>
            <w:vMerge w:val="continue"/>
            <w:tcBorders>
              <w:tl2br w:val="nil"/>
              <w:tr2bl w:val="nil"/>
            </w:tcBorders>
            <w:noWrap w:val="0"/>
            <w:vAlign w:val="center"/>
          </w:tcPr>
          <w:p w14:paraId="56875CAC">
            <w:pPr>
              <w:widowControl/>
              <w:spacing w:line="360" w:lineRule="auto"/>
              <w:jc w:val="left"/>
              <w:rPr>
                <w:rFonts w:hint="eastAsia" w:ascii="仿宋" w:hAnsi="仿宋" w:eastAsia="仿宋" w:cs="仿宋"/>
                <w:color w:val="auto"/>
                <w:sz w:val="24"/>
                <w:szCs w:val="24"/>
                <w:highlight w:val="none"/>
              </w:rPr>
            </w:pPr>
          </w:p>
        </w:tc>
        <w:tc>
          <w:tcPr>
            <w:tcW w:w="610" w:type="pct"/>
            <w:tcBorders>
              <w:tl2br w:val="nil"/>
              <w:tr2bl w:val="nil"/>
            </w:tcBorders>
            <w:noWrap w:val="0"/>
            <w:vAlign w:val="center"/>
          </w:tcPr>
          <w:p w14:paraId="6F2A4C54">
            <w:pPr>
              <w:pStyle w:val="24"/>
              <w:spacing w:line="360" w:lineRule="auto"/>
              <w:ind w:right="31" w:rightChars="15"/>
              <w:jc w:val="center"/>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rPr>
              <w:t>应急方案</w:t>
            </w:r>
          </w:p>
        </w:tc>
        <w:tc>
          <w:tcPr>
            <w:tcW w:w="378" w:type="pct"/>
            <w:tcBorders>
              <w:tl2br w:val="nil"/>
              <w:tr2bl w:val="nil"/>
            </w:tcBorders>
            <w:noWrap w:val="0"/>
            <w:vAlign w:val="center"/>
          </w:tcPr>
          <w:p w14:paraId="35A8A4E3">
            <w:pPr>
              <w:pStyle w:val="24"/>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3427" w:type="pct"/>
            <w:tcBorders>
              <w:tl2br w:val="nil"/>
              <w:tr2bl w:val="nil"/>
            </w:tcBorders>
            <w:noWrap w:val="0"/>
            <w:vAlign w:val="top"/>
          </w:tcPr>
          <w:p w14:paraId="765E69A5">
            <w:pPr>
              <w:pStyle w:val="24"/>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提供详细</w:t>
            </w:r>
            <w:r>
              <w:rPr>
                <w:rFonts w:hint="eastAsia" w:ascii="仿宋" w:hAnsi="仿宋" w:eastAsia="仿宋" w:cs="仿宋"/>
                <w:kern w:val="0"/>
                <w:sz w:val="24"/>
                <w:szCs w:val="24"/>
                <w:highlight w:val="none"/>
              </w:rPr>
              <w:t>应急方案</w:t>
            </w:r>
            <w:r>
              <w:rPr>
                <w:rFonts w:hint="eastAsia" w:ascii="仿宋" w:hAnsi="仿宋" w:eastAsia="仿宋" w:cs="仿宋"/>
                <w:color w:val="auto"/>
                <w:sz w:val="24"/>
                <w:szCs w:val="24"/>
                <w:highlight w:val="none"/>
                <w:lang w:val="en-US" w:eastAsia="zh-CN"/>
              </w:rPr>
              <w:t>包括:①</w:t>
            </w:r>
            <w:r>
              <w:rPr>
                <w:rFonts w:hint="eastAsia" w:ascii="仿宋" w:hAnsi="仿宋" w:eastAsia="仿宋" w:cs="仿宋"/>
                <w:kern w:val="0"/>
                <w:sz w:val="24"/>
                <w:szCs w:val="24"/>
                <w:highlight w:val="none"/>
              </w:rPr>
              <w:t>应急调度方案</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②</w:t>
            </w:r>
            <w:r>
              <w:rPr>
                <w:rFonts w:hint="eastAsia" w:ascii="仿宋" w:hAnsi="仿宋" w:eastAsia="仿宋" w:cs="仿宋"/>
                <w:kern w:val="0"/>
                <w:sz w:val="24"/>
                <w:szCs w:val="24"/>
                <w:highlight w:val="none"/>
              </w:rPr>
              <w:t>突发事件应急处理措施</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③机械</w:t>
            </w:r>
            <w:r>
              <w:rPr>
                <w:rFonts w:hint="eastAsia" w:ascii="仿宋" w:hAnsi="仿宋" w:eastAsia="仿宋" w:cs="仿宋"/>
                <w:kern w:val="0"/>
                <w:sz w:val="24"/>
                <w:szCs w:val="24"/>
                <w:highlight w:val="none"/>
              </w:rPr>
              <w:t>事故应急救援、事故处理及理赔方案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部分要素。</w:t>
            </w:r>
          </w:p>
          <w:p w14:paraId="6DD60F7C">
            <w:pPr>
              <w:pStyle w:val="24"/>
              <w:spacing w:line="36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所有要素齐全且完全满足项目要求得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分;每缺少一项内容的扣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分;每有一处缺陷的扣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分;扣完为止，未提供不得分。(缺陷是指:存在不适用该项目实际情况的情形、凭空编造、内容前后不一致、前后逻辑错误、涉及的规范及标准错误、地点区域错误、内容缺失、不符合采购需求的任意一项)</w:t>
            </w:r>
          </w:p>
        </w:tc>
      </w:tr>
      <w:tr w14:paraId="47A3E6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83" w:type="pct"/>
            <w:vMerge w:val="continue"/>
            <w:tcBorders>
              <w:tl2br w:val="nil"/>
              <w:tr2bl w:val="nil"/>
            </w:tcBorders>
            <w:noWrap w:val="0"/>
            <w:vAlign w:val="center"/>
          </w:tcPr>
          <w:p w14:paraId="147EDE92">
            <w:pPr>
              <w:widowControl/>
              <w:spacing w:line="360" w:lineRule="auto"/>
              <w:jc w:val="left"/>
              <w:rPr>
                <w:rFonts w:hint="eastAsia" w:ascii="仿宋" w:hAnsi="仿宋" w:eastAsia="仿宋" w:cs="仿宋"/>
                <w:color w:val="auto"/>
                <w:sz w:val="24"/>
                <w:szCs w:val="24"/>
                <w:highlight w:val="none"/>
              </w:rPr>
            </w:pPr>
          </w:p>
        </w:tc>
        <w:tc>
          <w:tcPr>
            <w:tcW w:w="610" w:type="pct"/>
            <w:tcBorders>
              <w:tl2br w:val="nil"/>
              <w:tr2bl w:val="nil"/>
            </w:tcBorders>
            <w:noWrap w:val="0"/>
            <w:vAlign w:val="center"/>
          </w:tcPr>
          <w:p w14:paraId="37DC82FC">
            <w:pPr>
              <w:pStyle w:val="24"/>
              <w:spacing w:line="360" w:lineRule="auto"/>
              <w:ind w:right="31" w:rightChars="15"/>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服务质量控制措施</w:t>
            </w:r>
          </w:p>
        </w:tc>
        <w:tc>
          <w:tcPr>
            <w:tcW w:w="378" w:type="pct"/>
            <w:tcBorders>
              <w:tl2br w:val="nil"/>
              <w:tr2bl w:val="nil"/>
            </w:tcBorders>
            <w:noWrap w:val="0"/>
            <w:vAlign w:val="center"/>
          </w:tcPr>
          <w:p w14:paraId="327DEECA">
            <w:pPr>
              <w:pStyle w:val="24"/>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w:t>
            </w:r>
          </w:p>
        </w:tc>
        <w:tc>
          <w:tcPr>
            <w:tcW w:w="3427" w:type="pct"/>
            <w:tcBorders>
              <w:tl2br w:val="nil"/>
              <w:tr2bl w:val="nil"/>
            </w:tcBorders>
            <w:noWrap w:val="0"/>
            <w:vAlign w:val="center"/>
          </w:tcPr>
          <w:p w14:paraId="48301971">
            <w:pPr>
              <w:pStyle w:val="24"/>
              <w:spacing w:line="360" w:lineRule="auto"/>
              <w:ind w:right="-31" w:rightChars="-1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服务质量控制措施包括但不限于：①质量管理组织机构；②团队人员职责分工；③成果质量保证措施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④</w:t>
            </w:r>
            <w:r>
              <w:rPr>
                <w:rFonts w:hint="eastAsia" w:ascii="仿宋" w:hAnsi="仿宋" w:eastAsia="仿宋" w:cs="仿宋"/>
                <w:color w:val="auto"/>
                <w:sz w:val="24"/>
                <w:szCs w:val="24"/>
                <w:highlight w:val="none"/>
                <w:lang w:val="en-US" w:eastAsia="zh-CN"/>
              </w:rPr>
              <w:t>实验仪器设备校准及环境控制情况</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部分要素</w:t>
            </w:r>
            <w:r>
              <w:rPr>
                <w:rFonts w:hint="eastAsia" w:ascii="仿宋" w:hAnsi="仿宋" w:eastAsia="仿宋" w:cs="仿宋"/>
                <w:color w:val="auto"/>
                <w:sz w:val="24"/>
                <w:szCs w:val="24"/>
                <w:highlight w:val="none"/>
                <w:lang w:eastAsia="zh-CN"/>
              </w:rPr>
              <w:t>。</w:t>
            </w:r>
          </w:p>
          <w:p w14:paraId="7576E2E9">
            <w:pPr>
              <w:pStyle w:val="24"/>
              <w:spacing w:line="360" w:lineRule="auto"/>
              <w:ind w:right="-31" w:rightChars="-15"/>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所有要素齐全且完全满足项目要求得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分，每缺一个要素扣</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分，每个要素里每有一处内容缺陷扣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分（扣完为止）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未提供不得分。(缺陷是指:存在不适用该项目实际情况的情形、凭空编造、内容前后不一致、前后逻辑错误、涉及的规范及标准错误、地点区域错误、内容缺失、不符合采购需求的任意一项)。</w:t>
            </w:r>
          </w:p>
        </w:tc>
      </w:tr>
      <w:tr w14:paraId="29747E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583" w:type="pct"/>
            <w:vMerge w:val="continue"/>
            <w:tcBorders>
              <w:tl2br w:val="nil"/>
              <w:tr2bl w:val="nil"/>
            </w:tcBorders>
            <w:noWrap w:val="0"/>
            <w:vAlign w:val="center"/>
          </w:tcPr>
          <w:p w14:paraId="70B0BC2C">
            <w:pPr>
              <w:widowControl/>
              <w:spacing w:line="360" w:lineRule="auto"/>
              <w:jc w:val="left"/>
              <w:rPr>
                <w:rFonts w:hint="eastAsia" w:ascii="仿宋" w:hAnsi="仿宋" w:eastAsia="仿宋" w:cs="仿宋"/>
                <w:color w:val="auto"/>
                <w:sz w:val="24"/>
                <w:szCs w:val="24"/>
                <w:highlight w:val="none"/>
              </w:rPr>
            </w:pPr>
          </w:p>
        </w:tc>
        <w:tc>
          <w:tcPr>
            <w:tcW w:w="610" w:type="pct"/>
            <w:tcBorders>
              <w:tl2br w:val="nil"/>
              <w:tr2bl w:val="nil"/>
            </w:tcBorders>
            <w:noWrap w:val="0"/>
            <w:vAlign w:val="center"/>
          </w:tcPr>
          <w:p w14:paraId="77850824">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人员管理方案</w:t>
            </w:r>
          </w:p>
        </w:tc>
        <w:tc>
          <w:tcPr>
            <w:tcW w:w="378" w:type="pct"/>
            <w:tcBorders>
              <w:tl2br w:val="nil"/>
              <w:tr2bl w:val="nil"/>
            </w:tcBorders>
            <w:noWrap w:val="0"/>
            <w:vAlign w:val="center"/>
          </w:tcPr>
          <w:p w14:paraId="03B182CA">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16</w:t>
            </w:r>
          </w:p>
        </w:tc>
        <w:tc>
          <w:tcPr>
            <w:tcW w:w="3427" w:type="pct"/>
            <w:tcBorders>
              <w:tl2br w:val="nil"/>
              <w:tr2bl w:val="nil"/>
            </w:tcBorders>
            <w:noWrap w:val="0"/>
            <w:vAlign w:val="center"/>
          </w:tcPr>
          <w:p w14:paraId="3BF582FA">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0"/>
                <w:sz w:val="24"/>
                <w:szCs w:val="24"/>
                <w:highlight w:val="none"/>
                <w:lang w:val="en-US" w:eastAsia="zh-CN"/>
              </w:rPr>
              <w:t>人员管理方案</w:t>
            </w:r>
            <w:r>
              <w:rPr>
                <w:rFonts w:hint="eastAsia" w:ascii="仿宋" w:hAnsi="仿宋" w:eastAsia="仿宋" w:cs="仿宋"/>
                <w:color w:val="auto"/>
                <w:kern w:val="2"/>
                <w:sz w:val="24"/>
                <w:szCs w:val="24"/>
                <w:highlight w:val="none"/>
                <w:lang w:val="en-US" w:eastAsia="zh-CN" w:bidi="ar-SA"/>
              </w:rPr>
              <w:t>包括但不限于：</w:t>
            </w:r>
            <w:r>
              <w:rPr>
                <w:rFonts w:hint="eastAsia" w:ascii="仿宋" w:hAnsi="仿宋" w:eastAsia="仿宋" w:cs="仿宋"/>
                <w:kern w:val="0"/>
                <w:sz w:val="24"/>
                <w:szCs w:val="24"/>
                <w:highlight w:val="none"/>
              </w:rPr>
              <w:t>①劳务人员关系管理方案②员工派遣时效性方案③处理劳务纠纷服务方案④员工培训计划与方案</w:t>
            </w:r>
            <w:r>
              <w:rPr>
                <w:rFonts w:hint="eastAsia" w:ascii="仿宋" w:hAnsi="仿宋" w:eastAsia="仿宋" w:cs="仿宋"/>
                <w:color w:val="auto"/>
                <w:kern w:val="2"/>
                <w:sz w:val="24"/>
                <w:szCs w:val="24"/>
                <w:highlight w:val="none"/>
                <w:lang w:val="en-US" w:eastAsia="zh-CN" w:bidi="ar-SA"/>
              </w:rPr>
              <w:t>；4部分要素。</w:t>
            </w:r>
          </w:p>
          <w:p w14:paraId="096A3491">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所有要素齐全且完全满足项目要求得16分，每缺一个要素扣4分，每个要素里每有一处内容缺陷扣2分（扣完为止），未提供不得分。(缺陷是指:存在不适用该项目实际情况的情形、凭空编造、内容前后不一致、前后逻辑错误、涉及的规范及标准错误、地点区域错误、内容缺失、不符合采购需求的任意一项)。</w:t>
            </w:r>
          </w:p>
        </w:tc>
      </w:tr>
    </w:tbl>
    <w:p w14:paraId="6131DCC2">
      <w:pPr>
        <w:rPr>
          <w:rFonts w:hint="eastAsia" w:ascii="仿宋" w:hAnsi="仿宋" w:eastAsia="仿宋" w:cs="仿宋"/>
          <w:color w:val="auto"/>
          <w:highlight w:val="none"/>
        </w:rPr>
      </w:pPr>
    </w:p>
    <w:p w14:paraId="1ADE3567">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rPr>
      </w:pPr>
      <w:bookmarkStart w:id="33" w:name="_Toc9150"/>
      <w:r>
        <w:rPr>
          <w:rFonts w:hint="eastAsia" w:ascii="仿宋" w:hAnsi="仿宋" w:eastAsia="仿宋" w:cs="仿宋"/>
          <w:b/>
          <w:color w:val="auto"/>
          <w:sz w:val="24"/>
          <w:szCs w:val="24"/>
          <w:highlight w:val="none"/>
        </w:rPr>
        <w:t>1. 评标方法</w:t>
      </w:r>
      <w:bookmarkEnd w:id="33"/>
    </w:p>
    <w:p w14:paraId="57F9B68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本次评标采用综合评分法。评标小组对满足招标文件实质性要求的投标文件，按照本节规定的评标标准进行评标。评标中各评委若发生意见分歧，以少数服从多数原则确定。</w:t>
      </w:r>
    </w:p>
    <w:p w14:paraId="137EF545">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rPr>
      </w:pPr>
      <w:bookmarkStart w:id="34" w:name="_Toc9620"/>
      <w:r>
        <w:rPr>
          <w:rFonts w:hint="eastAsia" w:ascii="仿宋" w:hAnsi="仿宋" w:eastAsia="仿宋" w:cs="仿宋"/>
          <w:b/>
          <w:color w:val="auto"/>
          <w:sz w:val="24"/>
          <w:szCs w:val="24"/>
          <w:highlight w:val="none"/>
        </w:rPr>
        <w:t>2. 评标标准</w:t>
      </w:r>
      <w:bookmarkEnd w:id="34"/>
    </w:p>
    <w:p w14:paraId="297BF5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资格审查：评标因素和评标标准见《资格审查标准》。</w:t>
      </w:r>
    </w:p>
    <w:p w14:paraId="6224CB67">
      <w:pPr>
        <w:widowControl/>
        <w:shd w:val="clear" w:color="auto" w:fill="FFFFFF"/>
        <w:snapToGrid w:val="0"/>
        <w:spacing w:line="360" w:lineRule="auto"/>
        <w:ind w:left="479" w:leftChars="22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 符合性审查：评标因素和评标标准见《符合性审查标准》。</w:t>
      </w:r>
    </w:p>
    <w:p w14:paraId="55D41529">
      <w:pPr>
        <w:widowControl/>
        <w:shd w:val="clear" w:color="auto" w:fill="FFFFFF"/>
        <w:snapToGrid w:val="0"/>
        <w:spacing w:line="360" w:lineRule="auto"/>
        <w:ind w:left="479" w:leftChars="22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2.3详细评审：</w:t>
      </w:r>
    </w:p>
    <w:p w14:paraId="422E0D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2.3.1详细评审：评标因素和评标标准见《详细评审标准》及本节第3.5款。</w:t>
      </w:r>
    </w:p>
    <w:p w14:paraId="1AEBDDF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投标报价评分标准：</w:t>
      </w:r>
    </w:p>
    <w:p w14:paraId="2FEBE8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（1）分值构成及权重：见评标办法前附表。</w:t>
      </w:r>
    </w:p>
    <w:p w14:paraId="44D136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（2）评标基准价计算：见评标办法前附表。</w:t>
      </w:r>
    </w:p>
    <w:p w14:paraId="4C3FB7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0305845A">
      <w:pPr>
        <w:tabs>
          <w:tab w:val="center" w:pos="4832"/>
          <w:tab w:val="left" w:pos="7140"/>
        </w:tabs>
        <w:spacing w:line="360" w:lineRule="auto"/>
        <w:ind w:firstLine="472" w:firstLineChars="196"/>
        <w:jc w:val="left"/>
        <w:outlineLvl w:val="2"/>
        <w:rPr>
          <w:rFonts w:hint="eastAsia" w:ascii="仿宋" w:hAnsi="仿宋" w:eastAsia="仿宋" w:cs="仿宋"/>
          <w:b/>
          <w:color w:val="auto"/>
          <w:sz w:val="24"/>
          <w:szCs w:val="24"/>
          <w:highlight w:val="none"/>
        </w:rPr>
      </w:pPr>
      <w:bookmarkStart w:id="35" w:name="_Toc13856"/>
      <w:r>
        <w:rPr>
          <w:rFonts w:hint="eastAsia" w:ascii="仿宋" w:hAnsi="仿宋" w:eastAsia="仿宋" w:cs="仿宋"/>
          <w:b/>
          <w:color w:val="auto"/>
          <w:sz w:val="24"/>
          <w:szCs w:val="24"/>
          <w:highlight w:val="none"/>
        </w:rPr>
        <w:t>3. 评标程序</w:t>
      </w:r>
      <w:bookmarkEnd w:id="35"/>
    </w:p>
    <w:p w14:paraId="4ACFE1DA">
      <w:pPr>
        <w:tabs>
          <w:tab w:val="center" w:pos="4832"/>
          <w:tab w:val="left" w:pos="7140"/>
        </w:tabs>
        <w:spacing w:line="360" w:lineRule="auto"/>
        <w:ind w:firstLine="470" w:firstLineChars="19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3.1基本程序</w:t>
      </w:r>
    </w:p>
    <w:p w14:paraId="313A4A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FE492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（1）评标准备</w:t>
      </w:r>
    </w:p>
    <w:p w14:paraId="24BB97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（2）资格审查</w:t>
      </w:r>
    </w:p>
    <w:p w14:paraId="3B2322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（3）符合性审查</w:t>
      </w:r>
    </w:p>
    <w:p w14:paraId="4C2AE7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（4）详细评审</w:t>
      </w:r>
    </w:p>
    <w:p w14:paraId="0820FDD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（5）澄清、说明或补正</w:t>
      </w:r>
    </w:p>
    <w:p w14:paraId="1AF403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（6）推荐中标候选人及提交评标报告</w:t>
      </w:r>
    </w:p>
    <w:p w14:paraId="67D7276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1D28B3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3.2.1评标小组成员签到</w:t>
      </w:r>
    </w:p>
    <w:p w14:paraId="326793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评标小组成员到达评标现场时应当在签到表上签到以证明其出席。</w:t>
      </w:r>
    </w:p>
    <w:p w14:paraId="078B79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评标小组的分工</w:t>
      </w:r>
    </w:p>
    <w:p w14:paraId="4D0E28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3.2.2.1评标小组首先推选一名评标小组主任。评标小组主任负责评标活动的组织领导工作。评标小组主任与评标小组其他成员具有同等的评标权力。</w:t>
      </w:r>
    </w:p>
    <w:p w14:paraId="6DAF495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评标小组主任除履行自己作为评标小组成员独立评标的职责外，主要负责以下工作：</w:t>
      </w:r>
    </w:p>
    <w:p w14:paraId="5EE842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（1）组织评标小组成员学习招标文件；</w:t>
      </w:r>
    </w:p>
    <w:p w14:paraId="5EB328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（2）汇总各评标小组成员认为需要投标人澄清、说明或者补正的问题；</w:t>
      </w:r>
    </w:p>
    <w:p w14:paraId="7FB7E4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（3）组织评标小组对投标人质询并对投标人的答复进行评标；</w:t>
      </w:r>
    </w:p>
    <w:p w14:paraId="35F4A2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3298E0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（5）组织收回评标过程中使用的文件、表格和评标记录以及其他资料，并查验评标记录的完整性及有效性；</w:t>
      </w:r>
    </w:p>
    <w:p w14:paraId="78FDA1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6308FA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33918D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5DCCBE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06A786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采购人或采购代理机构应当向评标小组提供评标所需的信息和数据，包括：</w:t>
      </w:r>
    </w:p>
    <w:p w14:paraId="371406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329516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60B949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1D8F33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6FE3BCB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（5）其他信息和数据。</w:t>
      </w:r>
    </w:p>
    <w:p w14:paraId="3E18D7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3.3资格审查（适用于资格后审）</w:t>
      </w:r>
    </w:p>
    <w:p w14:paraId="60BFF8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58EF47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3.4符合性审查</w:t>
      </w:r>
    </w:p>
    <w:p w14:paraId="6F8F80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小组依据本章规定的评标因素和评标标准，对投标人的投标文件进行符合性审查。符合性审查有一项未通过评标标准，评标小组将认定整个投标文件不响应招标文件而否决其投标，并且不允许投标人通过修改或撤销其不符合要求的差异或保留，使之成为具有响应性的投标。</w:t>
      </w:r>
    </w:p>
    <w:p w14:paraId="357039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3.4.2符合性审查条款是指对本招标项目产生了重大影响的重大偏差，而且纠正此类偏差将会对响应本次招标的其他投标人的竞争地位产生不公正的影响。</w:t>
      </w:r>
    </w:p>
    <w:p w14:paraId="05E185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3D6985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3.5详细评审</w:t>
      </w:r>
    </w:p>
    <w:p w14:paraId="60854DA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3.5.1.只有通过了资格审查、符合性审查且投标人不少于3个方可进入详细评审。</w:t>
      </w:r>
    </w:p>
    <w:p w14:paraId="0B06CB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 澄清、说明和补正</w:t>
      </w:r>
    </w:p>
    <w:p w14:paraId="0ED207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06F0A1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C9FC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3.5.3澄清、说明和补正内容不得改变投标文件的实质性内容（算术性错误修正的除外）。投标人的书面澄清、说明和补正属于投标文件的组成部分。</w:t>
      </w:r>
    </w:p>
    <w:p w14:paraId="250C18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401CD1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3.5.5评标小组对投标人提交的澄清、说明或补正有疑问的，可以要求投标人进一步澄清、说明或补正，直至满足评标小组的要求。</w:t>
      </w:r>
    </w:p>
    <w:p w14:paraId="5379CB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3.5.6评委评分：评委按照《详细评审标准》评分，投标人详细评审得分等于全部评委评分的算术平均值。</w:t>
      </w:r>
    </w:p>
    <w:p w14:paraId="0A46E9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3.5.7 算术错误修正：投标价格有算术错误的，评标小组按以下原则对投标价格进行修正，修正的价格经投标人书面确认后具有约束力。投标人不接受修正价格的，其投标将被否决。</w:t>
      </w:r>
    </w:p>
    <w:p w14:paraId="07D309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（1）投标文件中的大写金额与小写金额不一致的，以大写金额为准；</w:t>
      </w:r>
    </w:p>
    <w:p w14:paraId="032FEF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（2）总价金额与依据单价计算出的结果不一致的，以单价金额为准修正总价，但单价金额小数点有明显错误的除外。</w:t>
      </w:r>
    </w:p>
    <w:p w14:paraId="442366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1FD519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3.5.9投标报价评分：对投标报价进行投标报价得分计算，计算方法详见评标办法前附表。</w:t>
      </w:r>
    </w:p>
    <w:p w14:paraId="65678C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3.5.10 汇总评分结果，评分分值计算保留小数点后两位，小数点后第三位“四舍五入”。</w:t>
      </w:r>
    </w:p>
    <w:p w14:paraId="53B723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.11 详细评审工作全部结束后，投标人总得分排序按照以下原则进行。</w:t>
      </w:r>
    </w:p>
    <w:p w14:paraId="067DB1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.11.1按照总得分由高到低顺序对投标人进行排序；</w:t>
      </w:r>
    </w:p>
    <w:p w14:paraId="507EBE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.11.2总得分相同时报价低的投标人排序靠前；</w:t>
      </w:r>
    </w:p>
    <w:p w14:paraId="6F2A3A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.11.3总得分相同且报价相同的，采取随机抽取方式确定排序顺序。</w:t>
      </w:r>
    </w:p>
    <w:p w14:paraId="4242C7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推荐中标候选人及提交评标报告</w:t>
      </w:r>
    </w:p>
    <w:p w14:paraId="09F79E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.1评标小组推荐中标候选人，总得分排序第一的投标人将被确定为第一中标候选人，以此类推确定出规定数量的中标候选人。</w:t>
      </w:r>
    </w:p>
    <w:p w14:paraId="1F9C3D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.2当通过了资格审查、符合性审查后，投标人少于3个时，采购人应当依法重新招标。</w:t>
      </w:r>
    </w:p>
    <w:p w14:paraId="5AD894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.3 评标小组完成评标后，应当向采购人提交书面评标报告。</w:t>
      </w:r>
    </w:p>
    <w:p w14:paraId="2480EF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特殊情况的处置程序</w:t>
      </w:r>
    </w:p>
    <w:p w14:paraId="1244A3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.1 关于评标活动暂停</w:t>
      </w:r>
    </w:p>
    <w:p w14:paraId="1F8AA7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55E739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.2关于评标中途更换评委</w:t>
      </w:r>
    </w:p>
    <w:p w14:paraId="37B6F5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.2.1 除非发生下列情况之一，评标小组成员不得在评标中途更换：</w:t>
      </w:r>
    </w:p>
    <w:p w14:paraId="188385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70C98C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（2）根据法律法规规定，某个或某几个评标小组成员需要回避。</w:t>
      </w:r>
    </w:p>
    <w:p w14:paraId="2A3E27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.2.2 退出评标的评标小组成员，其已完成的评标行为无效，由更换的评委进行评标。</w:t>
      </w:r>
    </w:p>
    <w:p w14:paraId="697B1A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.3 在评标环节中，需评标小组就某项定性的评标结论做出表决的，由评标小组全体成员按照少数服从多数的原则确定。</w:t>
      </w:r>
    </w:p>
    <w:p w14:paraId="5FC21C0A">
      <w:pPr>
        <w:rPr>
          <w:rFonts w:hint="eastAsia" w:ascii="仿宋" w:hAnsi="仿宋" w:eastAsia="仿宋" w:cs="仿宋"/>
          <w:b/>
          <w:color w:val="auto"/>
          <w:sz w:val="24"/>
          <w:szCs w:val="24"/>
          <w:highlight w:val="none"/>
        </w:rPr>
      </w:pPr>
      <w:bookmarkStart w:id="36" w:name="_Toc485312286"/>
      <w:r>
        <w:rPr>
          <w:rFonts w:hint="eastAsia" w:ascii="仿宋" w:hAnsi="仿宋" w:eastAsia="仿宋" w:cs="仿宋"/>
          <w:b/>
          <w:color w:val="auto"/>
          <w:sz w:val="24"/>
          <w:szCs w:val="24"/>
          <w:highlight w:val="none"/>
        </w:rPr>
        <w:br w:type="page"/>
      </w:r>
    </w:p>
    <w:p w14:paraId="5795956A">
      <w:pPr>
        <w:widowControl/>
        <w:shd w:val="clear" w:color="auto" w:fill="FFFFFF"/>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问题澄清通知</w:t>
      </w:r>
    </w:p>
    <w:p w14:paraId="624F63CB">
      <w:pPr>
        <w:spacing w:line="360" w:lineRule="auto"/>
        <w:rPr>
          <w:rFonts w:hint="eastAsia" w:ascii="仿宋" w:hAnsi="仿宋" w:eastAsia="仿宋" w:cs="仿宋"/>
          <w:color w:val="auto"/>
          <w:sz w:val="24"/>
          <w:szCs w:val="24"/>
          <w:highlight w:val="none"/>
        </w:rPr>
      </w:pPr>
    </w:p>
    <w:p w14:paraId="5BEE92AA">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（投标人名称）：</w:t>
      </w:r>
    </w:p>
    <w:p w14:paraId="29DC64AC">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（招标项目名称）招标的评标小组，对你方的投标文件进行了仔细的审查，现需你方对本通知所附质疑问卷中的问题以书面形式予以澄清、说明或者补正。</w:t>
      </w:r>
    </w:p>
    <w:p w14:paraId="6E685AE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质疑问题：</w:t>
      </w:r>
    </w:p>
    <w:p w14:paraId="1C3AABCF">
      <w:pPr>
        <w:spacing w:line="360" w:lineRule="auto"/>
        <w:rPr>
          <w:rFonts w:hint="eastAsia" w:ascii="仿宋" w:hAnsi="仿宋" w:eastAsia="仿宋" w:cs="仿宋"/>
          <w:color w:val="auto"/>
          <w:kern w:val="0"/>
          <w:sz w:val="24"/>
          <w:szCs w:val="24"/>
          <w:highlight w:val="none"/>
        </w:rPr>
      </w:pPr>
    </w:p>
    <w:p w14:paraId="6B505FA7">
      <w:pPr>
        <w:spacing w:line="360" w:lineRule="auto"/>
        <w:rPr>
          <w:rFonts w:hint="eastAsia" w:ascii="仿宋" w:hAnsi="仿宋" w:eastAsia="仿宋" w:cs="仿宋"/>
          <w:color w:val="auto"/>
          <w:kern w:val="0"/>
          <w:sz w:val="24"/>
          <w:szCs w:val="24"/>
          <w:highlight w:val="none"/>
        </w:rPr>
      </w:pPr>
    </w:p>
    <w:p w14:paraId="1AA3E22B">
      <w:pPr>
        <w:spacing w:line="360" w:lineRule="auto"/>
        <w:rPr>
          <w:rFonts w:hint="eastAsia" w:ascii="仿宋" w:hAnsi="仿宋" w:eastAsia="仿宋" w:cs="仿宋"/>
          <w:color w:val="auto"/>
          <w:kern w:val="0"/>
          <w:sz w:val="24"/>
          <w:szCs w:val="24"/>
          <w:highlight w:val="none"/>
        </w:rPr>
      </w:pPr>
    </w:p>
    <w:p w14:paraId="31E32D63">
      <w:pPr>
        <w:spacing w:line="360" w:lineRule="auto"/>
        <w:rPr>
          <w:rFonts w:hint="eastAsia" w:ascii="仿宋" w:hAnsi="仿宋" w:eastAsia="仿宋" w:cs="仿宋"/>
          <w:color w:val="auto"/>
          <w:kern w:val="0"/>
          <w:sz w:val="24"/>
          <w:szCs w:val="24"/>
          <w:highlight w:val="none"/>
        </w:rPr>
      </w:pPr>
    </w:p>
    <w:p w14:paraId="3A0417D3">
      <w:pPr>
        <w:spacing w:line="360" w:lineRule="auto"/>
        <w:rPr>
          <w:rFonts w:hint="eastAsia" w:ascii="仿宋" w:hAnsi="仿宋" w:eastAsia="仿宋" w:cs="仿宋"/>
          <w:color w:val="auto"/>
          <w:kern w:val="0"/>
          <w:sz w:val="24"/>
          <w:szCs w:val="24"/>
          <w:highlight w:val="none"/>
        </w:rPr>
      </w:pPr>
    </w:p>
    <w:p w14:paraId="1CF8CC1C">
      <w:pPr>
        <w:spacing w:line="360" w:lineRule="auto"/>
        <w:rPr>
          <w:rFonts w:hint="eastAsia" w:ascii="仿宋" w:hAnsi="仿宋" w:eastAsia="仿宋" w:cs="仿宋"/>
          <w:color w:val="auto"/>
          <w:kern w:val="0"/>
          <w:sz w:val="24"/>
          <w:szCs w:val="24"/>
          <w:highlight w:val="none"/>
        </w:rPr>
      </w:pPr>
    </w:p>
    <w:p w14:paraId="56E87C31">
      <w:pPr>
        <w:spacing w:line="360" w:lineRule="auto"/>
        <w:rPr>
          <w:rFonts w:hint="eastAsia" w:ascii="仿宋" w:hAnsi="仿宋" w:eastAsia="仿宋" w:cs="仿宋"/>
          <w:color w:val="auto"/>
          <w:kern w:val="0"/>
          <w:sz w:val="24"/>
          <w:szCs w:val="24"/>
          <w:highlight w:val="none"/>
        </w:rPr>
      </w:pPr>
    </w:p>
    <w:p w14:paraId="393CAAC0">
      <w:pPr>
        <w:spacing w:line="360" w:lineRule="auto"/>
        <w:rPr>
          <w:rFonts w:hint="eastAsia" w:ascii="仿宋" w:hAnsi="仿宋" w:eastAsia="仿宋" w:cs="仿宋"/>
          <w:color w:val="auto"/>
          <w:kern w:val="0"/>
          <w:sz w:val="24"/>
          <w:szCs w:val="24"/>
          <w:highlight w:val="none"/>
        </w:rPr>
      </w:pPr>
    </w:p>
    <w:p w14:paraId="00D0E836">
      <w:pPr>
        <w:spacing w:line="360" w:lineRule="auto"/>
        <w:rPr>
          <w:rFonts w:hint="eastAsia" w:ascii="仿宋" w:hAnsi="仿宋" w:eastAsia="仿宋" w:cs="仿宋"/>
          <w:color w:val="auto"/>
          <w:kern w:val="0"/>
          <w:sz w:val="24"/>
          <w:szCs w:val="24"/>
          <w:highlight w:val="none"/>
        </w:rPr>
      </w:pPr>
    </w:p>
    <w:p w14:paraId="144B777F">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w:t>
      </w:r>
      <w:r>
        <w:rPr>
          <w:rFonts w:hint="eastAsia" w:ascii="仿宋" w:hAnsi="仿宋" w:eastAsia="仿宋" w:cs="仿宋"/>
          <w:color w:val="auto"/>
          <w:kern w:val="0"/>
          <w:sz w:val="24"/>
          <w:szCs w:val="24"/>
          <w:highlight w:val="none"/>
          <w:lang w:val="en-US" w:eastAsia="zh-CN"/>
        </w:rPr>
        <w:t>成</w:t>
      </w:r>
      <w:r>
        <w:rPr>
          <w:rFonts w:hint="eastAsia" w:ascii="仿宋" w:hAnsi="仿宋" w:eastAsia="仿宋" w:cs="仿宋"/>
          <w:color w:val="auto"/>
          <w:kern w:val="0"/>
          <w:sz w:val="24"/>
          <w:szCs w:val="24"/>
          <w:highlight w:val="none"/>
        </w:rPr>
        <w:t>员（签字）：</w:t>
      </w:r>
    </w:p>
    <w:p w14:paraId="18D0208F">
      <w:pPr>
        <w:spacing w:line="360" w:lineRule="auto"/>
        <w:rPr>
          <w:rFonts w:hint="eastAsia" w:ascii="仿宋" w:hAnsi="仿宋" w:eastAsia="仿宋" w:cs="仿宋"/>
          <w:color w:val="auto"/>
          <w:kern w:val="0"/>
          <w:sz w:val="24"/>
          <w:szCs w:val="24"/>
          <w:highlight w:val="none"/>
        </w:rPr>
      </w:pPr>
    </w:p>
    <w:p w14:paraId="164A685B">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日期：年月日</w:t>
      </w:r>
    </w:p>
    <w:p w14:paraId="1299A52B">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r>
        <w:rPr>
          <w:rFonts w:hint="eastAsia" w:ascii="仿宋" w:hAnsi="仿宋" w:eastAsia="仿宋" w:cs="仿宋"/>
          <w:b/>
          <w:color w:val="auto"/>
          <w:sz w:val="24"/>
          <w:szCs w:val="24"/>
          <w:highlight w:val="none"/>
        </w:rPr>
        <w:t>问题的澄清、说明或补正</w:t>
      </w:r>
    </w:p>
    <w:p w14:paraId="4E3DCA5A">
      <w:pPr>
        <w:rPr>
          <w:rFonts w:hint="eastAsia" w:ascii="仿宋" w:hAnsi="仿宋" w:eastAsia="仿宋" w:cs="仿宋"/>
          <w:color w:val="auto"/>
          <w:kern w:val="0"/>
          <w:sz w:val="24"/>
          <w:szCs w:val="24"/>
          <w:highlight w:val="none"/>
        </w:rPr>
      </w:pPr>
    </w:p>
    <w:p w14:paraId="7E2BE8EC">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w:t>
      </w:r>
    </w:p>
    <w:p w14:paraId="0C44CB78">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（招标项目名称）的问题澄清通知已收悉，现澄清、说明或者补正如下：</w:t>
      </w:r>
    </w:p>
    <w:p w14:paraId="3B69103A">
      <w:pPr>
        <w:spacing w:line="360" w:lineRule="auto"/>
        <w:rPr>
          <w:rFonts w:hint="eastAsia" w:ascii="仿宋" w:hAnsi="仿宋" w:eastAsia="仿宋" w:cs="仿宋"/>
          <w:color w:val="auto"/>
          <w:kern w:val="0"/>
          <w:sz w:val="24"/>
          <w:szCs w:val="24"/>
          <w:highlight w:val="none"/>
        </w:rPr>
      </w:pPr>
    </w:p>
    <w:p w14:paraId="24DEA8AC">
      <w:pPr>
        <w:spacing w:line="360" w:lineRule="auto"/>
        <w:rPr>
          <w:rFonts w:hint="eastAsia" w:ascii="仿宋" w:hAnsi="仿宋" w:eastAsia="仿宋" w:cs="仿宋"/>
          <w:color w:val="auto"/>
          <w:kern w:val="0"/>
          <w:sz w:val="24"/>
          <w:szCs w:val="24"/>
          <w:highlight w:val="none"/>
        </w:rPr>
      </w:pPr>
    </w:p>
    <w:p w14:paraId="5B4A4A7A">
      <w:pPr>
        <w:spacing w:line="360" w:lineRule="auto"/>
        <w:rPr>
          <w:rFonts w:hint="eastAsia" w:ascii="仿宋" w:hAnsi="仿宋" w:eastAsia="仿宋" w:cs="仿宋"/>
          <w:color w:val="auto"/>
          <w:kern w:val="0"/>
          <w:sz w:val="24"/>
          <w:szCs w:val="24"/>
          <w:highlight w:val="none"/>
        </w:rPr>
      </w:pPr>
    </w:p>
    <w:p w14:paraId="1CC62EE1">
      <w:pPr>
        <w:spacing w:line="360" w:lineRule="auto"/>
        <w:rPr>
          <w:rFonts w:hint="eastAsia" w:ascii="仿宋" w:hAnsi="仿宋" w:eastAsia="仿宋" w:cs="仿宋"/>
          <w:color w:val="auto"/>
          <w:kern w:val="0"/>
          <w:sz w:val="24"/>
          <w:szCs w:val="24"/>
          <w:highlight w:val="none"/>
        </w:rPr>
      </w:pPr>
    </w:p>
    <w:p w14:paraId="392C195B">
      <w:pPr>
        <w:spacing w:line="360" w:lineRule="auto"/>
        <w:rPr>
          <w:rFonts w:hint="eastAsia" w:ascii="仿宋" w:hAnsi="仿宋" w:eastAsia="仿宋" w:cs="仿宋"/>
          <w:color w:val="auto"/>
          <w:kern w:val="0"/>
          <w:sz w:val="24"/>
          <w:szCs w:val="24"/>
          <w:highlight w:val="none"/>
        </w:rPr>
      </w:pPr>
    </w:p>
    <w:p w14:paraId="7E9BB402">
      <w:pPr>
        <w:spacing w:line="360" w:lineRule="auto"/>
        <w:rPr>
          <w:rFonts w:hint="eastAsia" w:ascii="仿宋" w:hAnsi="仿宋" w:eastAsia="仿宋" w:cs="仿宋"/>
          <w:color w:val="auto"/>
          <w:kern w:val="0"/>
          <w:sz w:val="24"/>
          <w:szCs w:val="24"/>
          <w:highlight w:val="none"/>
        </w:rPr>
      </w:pPr>
    </w:p>
    <w:p w14:paraId="6FB09DBB">
      <w:pPr>
        <w:spacing w:line="360" w:lineRule="auto"/>
        <w:rPr>
          <w:rFonts w:hint="eastAsia" w:ascii="仿宋" w:hAnsi="仿宋" w:eastAsia="仿宋" w:cs="仿宋"/>
          <w:color w:val="auto"/>
          <w:kern w:val="0"/>
          <w:sz w:val="24"/>
          <w:szCs w:val="24"/>
          <w:highlight w:val="none"/>
        </w:rPr>
      </w:pPr>
    </w:p>
    <w:p w14:paraId="3E4C47B6">
      <w:pPr>
        <w:spacing w:line="360" w:lineRule="auto"/>
        <w:rPr>
          <w:rFonts w:hint="eastAsia" w:ascii="仿宋" w:hAnsi="仿宋" w:eastAsia="仿宋" w:cs="仿宋"/>
          <w:color w:val="auto"/>
          <w:kern w:val="0"/>
          <w:sz w:val="24"/>
          <w:szCs w:val="24"/>
          <w:highlight w:val="none"/>
        </w:rPr>
      </w:pPr>
    </w:p>
    <w:p w14:paraId="5A4002A8">
      <w:pPr>
        <w:spacing w:line="360" w:lineRule="auto"/>
        <w:rPr>
          <w:rFonts w:hint="eastAsia" w:ascii="仿宋" w:hAnsi="仿宋" w:eastAsia="仿宋" w:cs="仿宋"/>
          <w:color w:val="auto"/>
          <w:kern w:val="0"/>
          <w:sz w:val="24"/>
          <w:szCs w:val="24"/>
          <w:highlight w:val="none"/>
        </w:rPr>
      </w:pPr>
    </w:p>
    <w:p w14:paraId="24662435">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法定代表人或其授权委托人（签字）：</w:t>
      </w:r>
    </w:p>
    <w:p w14:paraId="74E408E2">
      <w:pPr>
        <w:spacing w:line="360" w:lineRule="auto"/>
        <w:rPr>
          <w:rFonts w:hint="eastAsia" w:ascii="仿宋" w:hAnsi="仿宋" w:eastAsia="仿宋" w:cs="仿宋"/>
          <w:color w:val="auto"/>
          <w:kern w:val="0"/>
          <w:sz w:val="24"/>
          <w:szCs w:val="24"/>
          <w:highlight w:val="none"/>
        </w:rPr>
      </w:pPr>
    </w:p>
    <w:p w14:paraId="4E78125B">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日期：年月日</w:t>
      </w:r>
    </w:p>
    <w:p w14:paraId="287F6492">
      <w:pPr>
        <w:pStyle w:val="224"/>
        <w:ind w:firstLine="0"/>
        <w:jc w:val="center"/>
        <w:outlineLvl w:val="0"/>
        <w:rPr>
          <w:rFonts w:hint="default" w:hAnsi="宋体" w:eastAsia="宋体"/>
          <w:b/>
          <w:color w:val="auto"/>
          <w:sz w:val="28"/>
          <w:szCs w:val="28"/>
          <w:highlight w:val="none"/>
          <w:lang w:val="en-US" w:eastAsia="zh-CN"/>
        </w:rPr>
      </w:pPr>
      <w:r>
        <w:rPr>
          <w:rFonts w:hint="eastAsia" w:ascii="仿宋" w:hAnsi="仿宋" w:eastAsia="仿宋" w:cs="仿宋"/>
          <w:color w:val="auto"/>
          <w:kern w:val="0"/>
          <w:sz w:val="24"/>
          <w:szCs w:val="24"/>
          <w:highlight w:val="none"/>
        </w:rPr>
        <w:br w:type="page"/>
      </w:r>
      <w:bookmarkEnd w:id="36"/>
      <w:bookmarkStart w:id="37" w:name="_Toc17281"/>
      <w:bookmarkStart w:id="38" w:name="第五部分第一章"/>
      <w:r>
        <w:rPr>
          <w:rFonts w:hint="eastAsia" w:ascii="仿宋" w:hAnsi="仿宋" w:eastAsia="仿宋" w:cs="仿宋"/>
          <w:b/>
          <w:color w:val="auto"/>
          <w:kern w:val="0"/>
          <w:sz w:val="24"/>
          <w:szCs w:val="24"/>
          <w:highlight w:val="none"/>
          <w:lang w:val="en-US" w:eastAsia="zh-CN" w:bidi="ar-SA"/>
        </w:rPr>
        <w:t>第三章 合同条款</w:t>
      </w:r>
      <w:bookmarkEnd w:id="37"/>
    </w:p>
    <w:p w14:paraId="2B031B4B">
      <w:pPr>
        <w:pStyle w:val="224"/>
        <w:ind w:firstLine="0"/>
        <w:jc w:val="center"/>
        <w:rPr>
          <w:rFonts w:hint="eastAsia" w:ascii="仿宋" w:hAnsi="仿宋" w:eastAsia="仿宋" w:cs="仿宋"/>
          <w:b/>
          <w:color w:val="auto"/>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Cs w:val="24"/>
          <w:highlight w:val="none"/>
        </w:rPr>
        <w:t>第一部分 合同书</w:t>
      </w:r>
    </w:p>
    <w:p w14:paraId="2A6B7D4C">
      <w:pPr>
        <w:pStyle w:val="224"/>
        <w:ind w:firstLine="0"/>
        <w:rPr>
          <w:rFonts w:hint="eastAsia" w:ascii="仿宋" w:hAnsi="仿宋" w:eastAsia="仿宋" w:cs="仿宋"/>
          <w:color w:val="auto"/>
          <w:szCs w:val="24"/>
          <w:highlight w:val="none"/>
        </w:rPr>
      </w:pPr>
    </w:p>
    <w:p w14:paraId="6C71829C">
      <w:pPr>
        <w:pStyle w:val="224"/>
        <w:ind w:firstLine="0"/>
        <w:rPr>
          <w:rFonts w:hint="eastAsia" w:ascii="仿宋" w:hAnsi="仿宋" w:eastAsia="仿宋" w:cs="仿宋"/>
          <w:color w:val="auto"/>
          <w:szCs w:val="24"/>
          <w:highlight w:val="none"/>
        </w:rPr>
      </w:pPr>
    </w:p>
    <w:p w14:paraId="5EC021AD">
      <w:pPr>
        <w:spacing w:before="120" w:line="22" w:lineRule="atLeast"/>
        <w:rPr>
          <w:rFonts w:hint="eastAsia" w:ascii="仿宋" w:hAnsi="仿宋" w:eastAsia="仿宋" w:cs="仿宋"/>
          <w:color w:val="auto"/>
          <w:sz w:val="24"/>
          <w:highlight w:val="none"/>
        </w:rPr>
      </w:pPr>
    </w:p>
    <w:p w14:paraId="3622108D">
      <w:pPr>
        <w:spacing w:before="120" w:line="22" w:lineRule="atLeast"/>
        <w:rPr>
          <w:rFonts w:hint="eastAsia" w:ascii="仿宋" w:hAnsi="仿宋" w:eastAsia="仿宋" w:cs="仿宋"/>
          <w:color w:val="auto"/>
          <w:sz w:val="24"/>
          <w:highlight w:val="none"/>
        </w:rPr>
      </w:pPr>
    </w:p>
    <w:p w14:paraId="14FADC2F">
      <w:pPr>
        <w:spacing w:before="120" w:line="22" w:lineRule="atLeast"/>
        <w:rPr>
          <w:rFonts w:hint="eastAsia" w:ascii="仿宋" w:hAnsi="仿宋" w:eastAsia="仿宋" w:cs="仿宋"/>
          <w:color w:val="auto"/>
          <w:sz w:val="24"/>
          <w:highlight w:val="none"/>
        </w:rPr>
      </w:pPr>
    </w:p>
    <w:p w14:paraId="06269ADC">
      <w:pPr>
        <w:spacing w:before="120" w:line="22" w:lineRule="atLeast"/>
        <w:rPr>
          <w:rFonts w:hint="eastAsia" w:ascii="仿宋" w:hAnsi="仿宋" w:eastAsia="仿宋" w:cs="仿宋"/>
          <w:color w:val="auto"/>
          <w:sz w:val="24"/>
          <w:highlight w:val="none"/>
        </w:rPr>
      </w:pPr>
    </w:p>
    <w:p w14:paraId="74CCA829">
      <w:pPr>
        <w:pStyle w:val="225"/>
        <w:spacing w:before="120" w:line="22" w:lineRule="atLeast"/>
        <w:ind w:left="2158" w:leftChars="456" w:hanging="1200" w:hangingChars="500"/>
        <w:rPr>
          <w:rFonts w:hint="eastAsia" w:ascii="仿宋" w:hAnsi="仿宋" w:eastAsia="仿宋" w:cs="仿宋"/>
          <w:color w:val="auto"/>
          <w:szCs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eastAsia="zh-CN"/>
        </w:rPr>
        <w:t>新疆维吾尔自治区地质局昌吉地质大队2026年机械租赁服务项目（槽探开挖及回填、道路平整及维护）</w:t>
      </w:r>
    </w:p>
    <w:p w14:paraId="2099BF5D">
      <w:pPr>
        <w:rPr>
          <w:rFonts w:hint="eastAsia" w:ascii="仿宋" w:hAnsi="仿宋" w:eastAsia="仿宋" w:cs="仿宋"/>
          <w:color w:val="auto"/>
          <w:highlight w:val="none"/>
        </w:rPr>
      </w:pPr>
    </w:p>
    <w:p w14:paraId="512FB58C">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新疆维吾尔自治区地质局昌吉地质大队</w:t>
      </w:r>
      <w:r>
        <w:rPr>
          <w:rFonts w:hint="eastAsia" w:ascii="仿宋" w:hAnsi="仿宋" w:eastAsia="仿宋" w:cs="仿宋"/>
          <w:color w:val="auto"/>
          <w:sz w:val="24"/>
          <w:highlight w:val="none"/>
          <w:u w:val="single"/>
        </w:rPr>
        <w:t xml:space="preserve">   </w:t>
      </w:r>
    </w:p>
    <w:p w14:paraId="24C24916">
      <w:pPr>
        <w:spacing w:before="120" w:line="22" w:lineRule="atLeast"/>
        <w:ind w:left="960"/>
        <w:rPr>
          <w:rFonts w:hint="eastAsia" w:ascii="仿宋" w:hAnsi="仿宋" w:eastAsia="仿宋" w:cs="仿宋"/>
          <w:color w:val="auto"/>
          <w:sz w:val="24"/>
          <w:highlight w:val="none"/>
        </w:rPr>
      </w:pPr>
    </w:p>
    <w:p w14:paraId="5BFA478C">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404AF099">
      <w:pPr>
        <w:spacing w:before="120" w:line="22" w:lineRule="atLeast"/>
        <w:rPr>
          <w:rFonts w:hint="eastAsia" w:ascii="仿宋" w:hAnsi="仿宋" w:eastAsia="仿宋" w:cs="仿宋"/>
          <w:color w:val="auto"/>
          <w:sz w:val="24"/>
          <w:highlight w:val="none"/>
        </w:rPr>
      </w:pPr>
    </w:p>
    <w:p w14:paraId="101AB4EA">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4E299FDB">
      <w:pPr>
        <w:spacing w:before="120" w:line="22" w:lineRule="atLeast"/>
        <w:rPr>
          <w:rFonts w:hint="eastAsia" w:ascii="仿宋" w:hAnsi="仿宋" w:eastAsia="仿宋" w:cs="仿宋"/>
          <w:color w:val="auto"/>
          <w:sz w:val="24"/>
          <w:highlight w:val="none"/>
        </w:rPr>
      </w:pPr>
    </w:p>
    <w:p w14:paraId="0DFC6497">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B95B8FC">
      <w:pPr>
        <w:autoSpaceDE w:val="0"/>
        <w:autoSpaceDN w:val="0"/>
        <w:adjustRightInd w:val="0"/>
        <w:spacing w:line="600" w:lineRule="exact"/>
        <w:ind w:firstLine="640"/>
        <w:jc w:val="center"/>
        <w:rPr>
          <w:rFonts w:hint="eastAsia" w:ascii="仿宋" w:hAnsi="仿宋" w:eastAsia="仿宋" w:cs="仿宋"/>
          <w:color w:val="auto"/>
          <w:sz w:val="24"/>
          <w:highlight w:val="none"/>
        </w:rPr>
        <w:sectPr>
          <w:footerReference r:id="rId9" w:type="first"/>
          <w:headerReference r:id="rId7" w:type="default"/>
          <w:footerReference r:id="rId8" w:type="default"/>
          <w:pgSz w:w="11907" w:h="16840"/>
          <w:pgMar w:top="1474" w:right="1814" w:bottom="1474" w:left="1814" w:header="851" w:footer="851" w:gutter="0"/>
          <w:pgNumType w:fmt="decimal" w:start="1"/>
          <w:cols w:space="720" w:num="1"/>
          <w:titlePg/>
          <w:docGrid w:linePitch="462" w:charSpace="0"/>
        </w:sectPr>
      </w:pPr>
    </w:p>
    <w:p w14:paraId="496CABA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新疆维吾尔自治区地质局昌吉地质大队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公开招标</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新疆维吾尔自治区地质局昌吉地质大队2026年机械租赁服务项目（槽探开挖及回填、道路平整及维护）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评标</w:t>
      </w:r>
      <w:r>
        <w:rPr>
          <w:rFonts w:hint="eastAsia" w:ascii="仿宋" w:hAnsi="仿宋" w:eastAsia="仿宋" w:cs="仿宋"/>
          <w:color w:val="auto"/>
          <w:sz w:val="24"/>
          <w:highlight w:val="none"/>
          <w:u w:val="single"/>
        </w:rPr>
        <w:t xml:space="preserve">小组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（中标供应商名称） </w:t>
      </w:r>
      <w:r>
        <w:rPr>
          <w:rFonts w:hint="eastAsia" w:ascii="仿宋" w:hAnsi="仿宋" w:eastAsia="仿宋" w:cs="仿宋"/>
          <w:color w:val="auto"/>
          <w:sz w:val="24"/>
          <w:highlight w:val="none"/>
        </w:rPr>
        <w:t>为该项目中标供应商。现于中标通知书发出之日起三十日内，按照采购文件确定的事项签订本合同。</w:t>
      </w:r>
    </w:p>
    <w:p w14:paraId="5A9453B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新疆维吾尔自治区地质局昌吉地质大队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（中标供应商名称）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6C37255B">
      <w:pPr>
        <w:spacing w:line="560" w:lineRule="exact"/>
        <w:ind w:firstLine="482" w:firstLineChars="200"/>
        <w:rPr>
          <w:rFonts w:hint="eastAsia" w:ascii="仿宋" w:hAnsi="仿宋" w:eastAsia="仿宋" w:cs="仿宋"/>
          <w:color w:val="auto"/>
          <w:sz w:val="24"/>
          <w:highlight w:val="none"/>
        </w:rPr>
      </w:pPr>
      <w:bookmarkStart w:id="39" w:name="_Toc28855"/>
      <w:bookmarkStart w:id="40" w:name="_Toc15367"/>
      <w:bookmarkStart w:id="41" w:name="_Toc19273"/>
      <w:bookmarkStart w:id="42" w:name="_Toc2591674"/>
      <w:bookmarkStart w:id="43" w:name="_Toc22967"/>
      <w:bookmarkStart w:id="44" w:name="_Toc37868828"/>
      <w:bookmarkStart w:id="45" w:name="_Toc82617970"/>
      <w:bookmarkStart w:id="46" w:name="_Toc20421"/>
      <w:r>
        <w:rPr>
          <w:rFonts w:hint="eastAsia" w:ascii="仿宋" w:hAnsi="仿宋" w:eastAsia="仿宋" w:cs="仿宋"/>
          <w:b/>
          <w:color w:val="auto"/>
          <w:sz w:val="24"/>
          <w:highlight w:val="none"/>
        </w:rPr>
        <w:t>1.1 合同组成部分</w:t>
      </w:r>
      <w:bookmarkEnd w:id="39"/>
      <w:bookmarkEnd w:id="40"/>
      <w:bookmarkEnd w:id="41"/>
      <w:bookmarkEnd w:id="42"/>
      <w:bookmarkEnd w:id="43"/>
      <w:bookmarkEnd w:id="44"/>
      <w:bookmarkEnd w:id="45"/>
      <w:bookmarkEnd w:id="46"/>
    </w:p>
    <w:p w14:paraId="11D0B8B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E84500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79D4FF4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中标通知书；</w:t>
      </w:r>
    </w:p>
    <w:p w14:paraId="498C92A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投标文件（含澄清或者说明文件）；</w:t>
      </w:r>
    </w:p>
    <w:p w14:paraId="71BC78F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招标文件（含澄清或者修改文件）；</w:t>
      </w:r>
    </w:p>
    <w:p w14:paraId="12BE1B2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0B8E8158">
      <w:pPr>
        <w:spacing w:line="560" w:lineRule="exact"/>
        <w:ind w:firstLine="482" w:firstLineChars="200"/>
        <w:rPr>
          <w:rFonts w:hint="eastAsia" w:ascii="仿宋" w:hAnsi="仿宋" w:eastAsia="仿宋" w:cs="仿宋"/>
          <w:b/>
          <w:color w:val="auto"/>
          <w:sz w:val="24"/>
          <w:highlight w:val="none"/>
        </w:rPr>
      </w:pPr>
      <w:bookmarkStart w:id="47" w:name="_Toc2918"/>
      <w:bookmarkStart w:id="48" w:name="_Toc6311"/>
      <w:bookmarkStart w:id="49" w:name="_Toc22185"/>
      <w:bookmarkStart w:id="50" w:name="_Toc2591675"/>
      <w:bookmarkStart w:id="51" w:name="_Toc82617971"/>
      <w:bookmarkStart w:id="52" w:name="_Toc18585"/>
      <w:bookmarkStart w:id="53" w:name="_Toc37868829"/>
      <w:bookmarkStart w:id="54" w:name="_Toc6773"/>
      <w:r>
        <w:rPr>
          <w:rFonts w:hint="eastAsia" w:ascii="仿宋" w:hAnsi="仿宋" w:eastAsia="仿宋" w:cs="仿宋"/>
          <w:b/>
          <w:color w:val="auto"/>
          <w:sz w:val="24"/>
          <w:highlight w:val="none"/>
        </w:rPr>
        <w:t>1.2 标的</w:t>
      </w:r>
      <w:bookmarkEnd w:id="47"/>
      <w:bookmarkEnd w:id="48"/>
      <w:bookmarkEnd w:id="49"/>
      <w:bookmarkEnd w:id="50"/>
      <w:bookmarkEnd w:id="51"/>
      <w:bookmarkEnd w:id="52"/>
      <w:bookmarkEnd w:id="53"/>
      <w:bookmarkEnd w:id="54"/>
    </w:p>
    <w:p w14:paraId="6EAF84A9">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标的名称：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C1F6C5B">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标的数量：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753EA0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 标的质量：</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10FD898">
      <w:pPr>
        <w:spacing w:line="560" w:lineRule="exact"/>
        <w:ind w:firstLine="482" w:firstLineChars="200"/>
        <w:rPr>
          <w:rFonts w:hint="eastAsia" w:ascii="仿宋" w:hAnsi="仿宋" w:eastAsia="仿宋" w:cs="仿宋"/>
          <w:b/>
          <w:color w:val="auto"/>
          <w:sz w:val="24"/>
          <w:highlight w:val="none"/>
        </w:rPr>
      </w:pPr>
      <w:bookmarkStart w:id="55" w:name="_Toc1386"/>
      <w:bookmarkStart w:id="56" w:name="_Toc4929"/>
      <w:bookmarkStart w:id="57" w:name="_Toc82617972"/>
      <w:bookmarkStart w:id="58" w:name="_Toc13918"/>
      <w:bookmarkStart w:id="59" w:name="_Toc5635"/>
      <w:bookmarkStart w:id="60" w:name="_Toc37868830"/>
      <w:bookmarkStart w:id="61" w:name="_Toc2591676"/>
      <w:bookmarkStart w:id="62" w:name="_Toc21124"/>
      <w:r>
        <w:rPr>
          <w:rFonts w:hint="eastAsia" w:ascii="仿宋" w:hAnsi="仿宋" w:eastAsia="仿宋" w:cs="仿宋"/>
          <w:b/>
          <w:color w:val="auto"/>
          <w:sz w:val="24"/>
          <w:highlight w:val="none"/>
        </w:rPr>
        <w:t>1.3 价款</w:t>
      </w:r>
      <w:bookmarkEnd w:id="55"/>
      <w:bookmarkEnd w:id="56"/>
      <w:bookmarkEnd w:id="57"/>
      <w:bookmarkEnd w:id="58"/>
      <w:bookmarkEnd w:id="59"/>
      <w:bookmarkEnd w:id="60"/>
      <w:bookmarkEnd w:id="61"/>
      <w:bookmarkEnd w:id="62"/>
    </w:p>
    <w:p w14:paraId="785AF47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3E7A36A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分项价格：</w:t>
      </w:r>
    </w:p>
    <w:p w14:paraId="1BC2D6F8">
      <w:pPr>
        <w:spacing w:line="560" w:lineRule="exact"/>
        <w:ind w:firstLine="480" w:firstLineChars="200"/>
        <w:rPr>
          <w:rFonts w:hint="eastAsia" w:ascii="仿宋" w:hAnsi="仿宋" w:eastAsia="仿宋" w:cs="仿宋"/>
          <w:color w:val="auto"/>
          <w:sz w:val="24"/>
          <w:highlight w:val="none"/>
        </w:rPr>
      </w:pP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4053"/>
        <w:gridCol w:w="3039"/>
      </w:tblGrid>
      <w:tr w14:paraId="4868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29C7A772">
            <w:pPr>
              <w:pStyle w:val="226"/>
              <w:spacing w:line="56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2377" w:type="pct"/>
            <w:vAlign w:val="center"/>
          </w:tcPr>
          <w:p w14:paraId="4053019F">
            <w:pPr>
              <w:pStyle w:val="226"/>
              <w:spacing w:line="56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分项名称</w:t>
            </w:r>
          </w:p>
        </w:tc>
        <w:tc>
          <w:tcPr>
            <w:tcW w:w="1783" w:type="pct"/>
            <w:vAlign w:val="center"/>
          </w:tcPr>
          <w:p w14:paraId="4330A9CF">
            <w:pPr>
              <w:pStyle w:val="226"/>
              <w:spacing w:line="56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分项价格</w:t>
            </w:r>
          </w:p>
        </w:tc>
      </w:tr>
      <w:tr w14:paraId="6C17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6D280B1">
            <w:pPr>
              <w:pStyle w:val="226"/>
              <w:spacing w:line="560" w:lineRule="exact"/>
              <w:jc w:val="center"/>
              <w:rPr>
                <w:rFonts w:hint="eastAsia" w:ascii="仿宋" w:hAnsi="仿宋" w:eastAsia="仿宋" w:cs="仿宋"/>
                <w:color w:val="auto"/>
                <w:kern w:val="2"/>
                <w:sz w:val="24"/>
                <w:szCs w:val="24"/>
                <w:highlight w:val="none"/>
              </w:rPr>
            </w:pPr>
          </w:p>
        </w:tc>
        <w:tc>
          <w:tcPr>
            <w:tcW w:w="2377" w:type="pct"/>
            <w:vAlign w:val="center"/>
          </w:tcPr>
          <w:p w14:paraId="7068BA1C">
            <w:pPr>
              <w:pStyle w:val="226"/>
              <w:spacing w:line="560" w:lineRule="exact"/>
              <w:jc w:val="center"/>
              <w:rPr>
                <w:rFonts w:hint="eastAsia" w:ascii="仿宋" w:hAnsi="仿宋" w:eastAsia="仿宋" w:cs="仿宋"/>
                <w:color w:val="auto"/>
                <w:kern w:val="2"/>
                <w:sz w:val="24"/>
                <w:szCs w:val="24"/>
                <w:highlight w:val="none"/>
              </w:rPr>
            </w:pPr>
          </w:p>
        </w:tc>
        <w:tc>
          <w:tcPr>
            <w:tcW w:w="1783" w:type="pct"/>
            <w:vAlign w:val="center"/>
          </w:tcPr>
          <w:p w14:paraId="7AE12F49">
            <w:pPr>
              <w:pStyle w:val="226"/>
              <w:spacing w:line="560" w:lineRule="exact"/>
              <w:jc w:val="center"/>
              <w:rPr>
                <w:rFonts w:hint="eastAsia" w:ascii="仿宋" w:hAnsi="仿宋" w:eastAsia="仿宋" w:cs="仿宋"/>
                <w:color w:val="auto"/>
                <w:kern w:val="2"/>
                <w:sz w:val="24"/>
                <w:szCs w:val="24"/>
                <w:highlight w:val="none"/>
              </w:rPr>
            </w:pPr>
          </w:p>
        </w:tc>
      </w:tr>
      <w:tr w14:paraId="07DC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7BEE311E">
            <w:pPr>
              <w:pStyle w:val="226"/>
              <w:spacing w:line="560" w:lineRule="exact"/>
              <w:jc w:val="center"/>
              <w:rPr>
                <w:rFonts w:hint="eastAsia" w:ascii="仿宋" w:hAnsi="仿宋" w:eastAsia="仿宋" w:cs="仿宋"/>
                <w:color w:val="auto"/>
                <w:kern w:val="2"/>
                <w:sz w:val="24"/>
                <w:szCs w:val="24"/>
                <w:highlight w:val="none"/>
              </w:rPr>
            </w:pPr>
          </w:p>
        </w:tc>
        <w:tc>
          <w:tcPr>
            <w:tcW w:w="2377" w:type="pct"/>
            <w:vAlign w:val="center"/>
          </w:tcPr>
          <w:p w14:paraId="6856321E">
            <w:pPr>
              <w:pStyle w:val="226"/>
              <w:spacing w:line="560" w:lineRule="exact"/>
              <w:jc w:val="center"/>
              <w:rPr>
                <w:rFonts w:hint="eastAsia" w:ascii="仿宋" w:hAnsi="仿宋" w:eastAsia="仿宋" w:cs="仿宋"/>
                <w:color w:val="auto"/>
                <w:kern w:val="2"/>
                <w:sz w:val="24"/>
                <w:szCs w:val="24"/>
                <w:highlight w:val="none"/>
              </w:rPr>
            </w:pPr>
          </w:p>
        </w:tc>
        <w:tc>
          <w:tcPr>
            <w:tcW w:w="1783" w:type="pct"/>
            <w:vAlign w:val="center"/>
          </w:tcPr>
          <w:p w14:paraId="5D7B4626">
            <w:pPr>
              <w:pStyle w:val="226"/>
              <w:spacing w:line="560" w:lineRule="exact"/>
              <w:jc w:val="center"/>
              <w:rPr>
                <w:rFonts w:hint="eastAsia" w:ascii="仿宋" w:hAnsi="仿宋" w:eastAsia="仿宋" w:cs="仿宋"/>
                <w:color w:val="auto"/>
                <w:kern w:val="2"/>
                <w:sz w:val="24"/>
                <w:szCs w:val="24"/>
                <w:highlight w:val="none"/>
              </w:rPr>
            </w:pPr>
          </w:p>
        </w:tc>
      </w:tr>
      <w:tr w14:paraId="4CE2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58CC42FB">
            <w:pPr>
              <w:pStyle w:val="226"/>
              <w:spacing w:line="560" w:lineRule="exact"/>
              <w:jc w:val="center"/>
              <w:rPr>
                <w:rFonts w:hint="eastAsia" w:ascii="仿宋" w:hAnsi="仿宋" w:eastAsia="仿宋" w:cs="仿宋"/>
                <w:color w:val="auto"/>
                <w:kern w:val="2"/>
                <w:sz w:val="24"/>
                <w:szCs w:val="24"/>
                <w:highlight w:val="none"/>
              </w:rPr>
            </w:pPr>
          </w:p>
        </w:tc>
        <w:tc>
          <w:tcPr>
            <w:tcW w:w="2377" w:type="pct"/>
            <w:vAlign w:val="center"/>
          </w:tcPr>
          <w:p w14:paraId="274717C7">
            <w:pPr>
              <w:pStyle w:val="226"/>
              <w:spacing w:line="560" w:lineRule="exact"/>
              <w:jc w:val="center"/>
              <w:rPr>
                <w:rFonts w:hint="eastAsia" w:ascii="仿宋" w:hAnsi="仿宋" w:eastAsia="仿宋" w:cs="仿宋"/>
                <w:color w:val="auto"/>
                <w:kern w:val="2"/>
                <w:sz w:val="24"/>
                <w:szCs w:val="24"/>
                <w:highlight w:val="none"/>
              </w:rPr>
            </w:pPr>
          </w:p>
        </w:tc>
        <w:tc>
          <w:tcPr>
            <w:tcW w:w="1783" w:type="pct"/>
            <w:vAlign w:val="center"/>
          </w:tcPr>
          <w:p w14:paraId="69FA82DC">
            <w:pPr>
              <w:pStyle w:val="226"/>
              <w:spacing w:line="560" w:lineRule="exact"/>
              <w:jc w:val="center"/>
              <w:rPr>
                <w:rFonts w:hint="eastAsia" w:ascii="仿宋" w:hAnsi="仿宋" w:eastAsia="仿宋" w:cs="仿宋"/>
                <w:color w:val="auto"/>
                <w:kern w:val="2"/>
                <w:sz w:val="24"/>
                <w:szCs w:val="24"/>
                <w:highlight w:val="none"/>
              </w:rPr>
            </w:pPr>
          </w:p>
        </w:tc>
      </w:tr>
      <w:tr w14:paraId="6790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170C32FA">
            <w:pPr>
              <w:pStyle w:val="226"/>
              <w:spacing w:line="560" w:lineRule="exact"/>
              <w:jc w:val="center"/>
              <w:rPr>
                <w:rFonts w:hint="eastAsia" w:ascii="仿宋" w:hAnsi="仿宋" w:eastAsia="仿宋" w:cs="仿宋"/>
                <w:color w:val="auto"/>
                <w:kern w:val="2"/>
                <w:sz w:val="24"/>
                <w:szCs w:val="24"/>
                <w:highlight w:val="none"/>
              </w:rPr>
            </w:pPr>
          </w:p>
        </w:tc>
        <w:tc>
          <w:tcPr>
            <w:tcW w:w="2377" w:type="pct"/>
            <w:vAlign w:val="center"/>
          </w:tcPr>
          <w:p w14:paraId="041E42A2">
            <w:pPr>
              <w:pStyle w:val="226"/>
              <w:spacing w:line="560" w:lineRule="exact"/>
              <w:jc w:val="center"/>
              <w:rPr>
                <w:rFonts w:hint="eastAsia" w:ascii="仿宋" w:hAnsi="仿宋" w:eastAsia="仿宋" w:cs="仿宋"/>
                <w:color w:val="auto"/>
                <w:kern w:val="2"/>
                <w:sz w:val="24"/>
                <w:szCs w:val="24"/>
                <w:highlight w:val="none"/>
              </w:rPr>
            </w:pPr>
          </w:p>
        </w:tc>
        <w:tc>
          <w:tcPr>
            <w:tcW w:w="1783" w:type="pct"/>
            <w:vAlign w:val="center"/>
          </w:tcPr>
          <w:p w14:paraId="11C7C8A3">
            <w:pPr>
              <w:pStyle w:val="226"/>
              <w:spacing w:line="560" w:lineRule="exact"/>
              <w:jc w:val="center"/>
              <w:rPr>
                <w:rFonts w:hint="eastAsia" w:ascii="仿宋" w:hAnsi="仿宋" w:eastAsia="仿宋" w:cs="仿宋"/>
                <w:color w:val="auto"/>
                <w:kern w:val="2"/>
                <w:sz w:val="24"/>
                <w:szCs w:val="24"/>
                <w:highlight w:val="none"/>
              </w:rPr>
            </w:pPr>
          </w:p>
        </w:tc>
      </w:tr>
      <w:tr w14:paraId="4F43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vAlign w:val="center"/>
          </w:tcPr>
          <w:p w14:paraId="1CAFA658">
            <w:pPr>
              <w:pStyle w:val="226"/>
              <w:spacing w:line="560" w:lineRule="exact"/>
              <w:ind w:firstLine="480"/>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总价</w:t>
            </w:r>
          </w:p>
        </w:tc>
        <w:tc>
          <w:tcPr>
            <w:tcW w:w="1783" w:type="pct"/>
            <w:vAlign w:val="center"/>
          </w:tcPr>
          <w:p w14:paraId="25A55F2F">
            <w:pPr>
              <w:pStyle w:val="226"/>
              <w:spacing w:line="560" w:lineRule="exact"/>
              <w:rPr>
                <w:rFonts w:hint="eastAsia" w:ascii="仿宋" w:hAnsi="仿宋" w:eastAsia="仿宋" w:cs="仿宋"/>
                <w:color w:val="auto"/>
                <w:kern w:val="2"/>
                <w:sz w:val="24"/>
                <w:szCs w:val="24"/>
                <w:highlight w:val="none"/>
              </w:rPr>
            </w:pPr>
          </w:p>
        </w:tc>
      </w:tr>
    </w:tbl>
    <w:p w14:paraId="71DE55F5">
      <w:pPr>
        <w:spacing w:line="560" w:lineRule="exact"/>
        <w:ind w:firstLine="482" w:firstLineChars="200"/>
        <w:rPr>
          <w:rFonts w:hint="eastAsia" w:ascii="仿宋" w:hAnsi="仿宋" w:eastAsia="仿宋" w:cs="仿宋"/>
          <w:b/>
          <w:color w:val="auto"/>
          <w:sz w:val="24"/>
          <w:highlight w:val="none"/>
        </w:rPr>
      </w:pPr>
      <w:bookmarkStart w:id="63" w:name="_Toc26916"/>
      <w:bookmarkStart w:id="64" w:name="_Toc3654"/>
      <w:bookmarkStart w:id="65" w:name="_Toc14993"/>
      <w:bookmarkStart w:id="66" w:name="_Toc30506"/>
      <w:bookmarkStart w:id="67" w:name="_Toc30158"/>
      <w:bookmarkStart w:id="68" w:name="_Toc82617973"/>
      <w:bookmarkStart w:id="69" w:name="_Toc37868831"/>
      <w:bookmarkStart w:id="70" w:name="_Toc2591677"/>
      <w:r>
        <w:rPr>
          <w:rFonts w:hint="eastAsia" w:ascii="仿宋" w:hAnsi="仿宋" w:eastAsia="仿宋" w:cs="仿宋"/>
          <w:b/>
          <w:color w:val="auto"/>
          <w:sz w:val="24"/>
          <w:highlight w:val="none"/>
        </w:rPr>
        <w:t>1.4 付款方式和发票开具方式</w:t>
      </w:r>
      <w:bookmarkEnd w:id="63"/>
      <w:bookmarkEnd w:id="64"/>
      <w:bookmarkEnd w:id="65"/>
      <w:bookmarkEnd w:id="66"/>
      <w:bookmarkEnd w:id="67"/>
      <w:bookmarkEnd w:id="68"/>
      <w:bookmarkEnd w:id="69"/>
      <w:bookmarkEnd w:id="70"/>
    </w:p>
    <w:p w14:paraId="251C8A1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1.4.1付款方式：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D3E5A9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1.4.2 发票开具方式：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E8D3704">
      <w:pPr>
        <w:spacing w:line="560" w:lineRule="exact"/>
        <w:ind w:firstLine="482" w:firstLineChars="200"/>
        <w:rPr>
          <w:rFonts w:hint="eastAsia" w:ascii="仿宋" w:hAnsi="仿宋" w:eastAsia="仿宋" w:cs="仿宋"/>
          <w:b/>
          <w:color w:val="auto"/>
          <w:sz w:val="24"/>
          <w:highlight w:val="none"/>
        </w:rPr>
      </w:pPr>
      <w:bookmarkStart w:id="71" w:name="_Toc2591678"/>
      <w:bookmarkStart w:id="72" w:name="_Toc8772"/>
      <w:bookmarkStart w:id="73" w:name="_Toc11108"/>
      <w:bookmarkStart w:id="74" w:name="_Toc37868832"/>
      <w:bookmarkStart w:id="75" w:name="_Toc3625"/>
      <w:bookmarkStart w:id="76" w:name="_Toc82617974"/>
      <w:bookmarkStart w:id="77" w:name="_Toc31421"/>
      <w:bookmarkStart w:id="78" w:name="_Toc4760"/>
      <w:r>
        <w:rPr>
          <w:rFonts w:hint="eastAsia" w:ascii="仿宋" w:hAnsi="仿宋" w:eastAsia="仿宋" w:cs="仿宋"/>
          <w:b/>
          <w:color w:val="auto"/>
          <w:sz w:val="24"/>
          <w:highlight w:val="none"/>
        </w:rPr>
        <w:t>1.5 履行期限、地点和方式</w:t>
      </w:r>
      <w:bookmarkEnd w:id="71"/>
      <w:bookmarkEnd w:id="72"/>
      <w:bookmarkEnd w:id="73"/>
      <w:bookmarkEnd w:id="74"/>
      <w:bookmarkEnd w:id="75"/>
      <w:bookmarkEnd w:id="76"/>
      <w:bookmarkEnd w:id="77"/>
      <w:bookmarkEnd w:id="78"/>
    </w:p>
    <w:p w14:paraId="4F5CBFEF">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1.5.1 履行期限：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0E1CF7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 履行地点：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C061C3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1.5.3 履行方式：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4D52A2D">
      <w:pPr>
        <w:spacing w:line="560" w:lineRule="exact"/>
        <w:ind w:firstLine="482" w:firstLineChars="200"/>
        <w:rPr>
          <w:rFonts w:hint="eastAsia" w:ascii="仿宋" w:hAnsi="仿宋" w:eastAsia="仿宋" w:cs="仿宋"/>
          <w:color w:val="auto"/>
          <w:sz w:val="24"/>
          <w:highlight w:val="none"/>
          <w:u w:val="single"/>
        </w:rPr>
      </w:pPr>
      <w:bookmarkStart w:id="79" w:name="_Toc8586"/>
      <w:bookmarkStart w:id="80" w:name="_Toc82617975"/>
      <w:bookmarkStart w:id="81" w:name="_Toc5698"/>
      <w:bookmarkStart w:id="82" w:name="_Toc24662"/>
      <w:bookmarkStart w:id="83" w:name="_Toc3079"/>
      <w:bookmarkStart w:id="84" w:name="_Toc2591679"/>
      <w:bookmarkStart w:id="85" w:name="_Toc2375"/>
      <w:bookmarkStart w:id="86" w:name="_Toc37868833"/>
      <w:r>
        <w:rPr>
          <w:rFonts w:hint="eastAsia" w:ascii="仿宋" w:hAnsi="仿宋" w:eastAsia="仿宋" w:cs="仿宋"/>
          <w:b/>
          <w:color w:val="auto"/>
          <w:sz w:val="24"/>
          <w:highlight w:val="none"/>
        </w:rPr>
        <w:t>1.6 违约责任</w:t>
      </w:r>
      <w:bookmarkEnd w:id="79"/>
      <w:bookmarkEnd w:id="80"/>
      <w:bookmarkEnd w:id="81"/>
      <w:bookmarkEnd w:id="82"/>
      <w:bookmarkEnd w:id="83"/>
      <w:bookmarkEnd w:id="84"/>
      <w:bookmarkEnd w:id="85"/>
      <w:bookmarkEnd w:id="86"/>
    </w:p>
    <w:p w14:paraId="225CE6E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15E913F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344544E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C3AF14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1900BC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56B3B5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4DE2DFE">
      <w:pPr>
        <w:spacing w:line="560" w:lineRule="exact"/>
        <w:ind w:firstLine="482" w:firstLineChars="200"/>
        <w:rPr>
          <w:rFonts w:hint="eastAsia" w:ascii="仿宋" w:hAnsi="仿宋" w:eastAsia="仿宋" w:cs="仿宋"/>
          <w:b/>
          <w:color w:val="auto"/>
          <w:sz w:val="24"/>
          <w:highlight w:val="none"/>
        </w:rPr>
      </w:pPr>
      <w:bookmarkStart w:id="87" w:name="_Toc2591680"/>
      <w:bookmarkStart w:id="88" w:name="_Toc37868834"/>
      <w:bookmarkStart w:id="89" w:name="_Toc18683"/>
      <w:bookmarkStart w:id="90" w:name="_Toc9497"/>
      <w:bookmarkStart w:id="91" w:name="_Toc30329"/>
      <w:bookmarkStart w:id="92" w:name="_Toc26807"/>
      <w:bookmarkStart w:id="93" w:name="_Toc32454"/>
      <w:bookmarkStart w:id="94" w:name="_Toc82617976"/>
      <w:r>
        <w:rPr>
          <w:rFonts w:hint="eastAsia" w:ascii="仿宋" w:hAnsi="仿宋" w:eastAsia="仿宋" w:cs="仿宋"/>
          <w:b/>
          <w:color w:val="auto"/>
          <w:sz w:val="24"/>
          <w:highlight w:val="none"/>
        </w:rPr>
        <w:t>1.7 合同争议的解决</w:t>
      </w:r>
      <w:bookmarkEnd w:id="87"/>
      <w:bookmarkEnd w:id="88"/>
      <w:bookmarkEnd w:id="89"/>
      <w:bookmarkEnd w:id="90"/>
      <w:bookmarkEnd w:id="91"/>
      <w:bookmarkEnd w:id="92"/>
      <w:bookmarkEnd w:id="93"/>
      <w:bookmarkEnd w:id="94"/>
    </w:p>
    <w:p w14:paraId="27ED0D3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种方式解决：</w:t>
      </w:r>
    </w:p>
    <w:p w14:paraId="4523B8F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仲裁委员会依申请仲裁时其现行有效的仲裁规则裁决；</w:t>
      </w:r>
    </w:p>
    <w:p w14:paraId="6D87A51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highlight w:val="none"/>
        </w:rPr>
        <w:t>人民法院起诉。</w:t>
      </w:r>
    </w:p>
    <w:p w14:paraId="272BD178">
      <w:pPr>
        <w:spacing w:line="560" w:lineRule="exact"/>
        <w:ind w:firstLine="482" w:firstLineChars="200"/>
        <w:rPr>
          <w:rFonts w:hint="eastAsia" w:ascii="仿宋" w:hAnsi="仿宋" w:eastAsia="仿宋" w:cs="仿宋"/>
          <w:b/>
          <w:color w:val="auto"/>
          <w:sz w:val="24"/>
          <w:highlight w:val="none"/>
        </w:rPr>
      </w:pPr>
      <w:bookmarkStart w:id="95" w:name="_Toc16417"/>
      <w:bookmarkStart w:id="96" w:name="_Toc2591681"/>
      <w:bookmarkStart w:id="97" w:name="_Toc23784"/>
      <w:bookmarkStart w:id="98" w:name="_Toc82617977"/>
      <w:bookmarkStart w:id="99" w:name="_Toc26227"/>
      <w:bookmarkStart w:id="100" w:name="_Toc12273"/>
      <w:bookmarkStart w:id="101" w:name="_Toc15827"/>
      <w:bookmarkStart w:id="102" w:name="_Toc37868835"/>
      <w:r>
        <w:rPr>
          <w:rFonts w:hint="eastAsia" w:ascii="仿宋" w:hAnsi="仿宋" w:eastAsia="仿宋" w:cs="仿宋"/>
          <w:b/>
          <w:color w:val="auto"/>
          <w:sz w:val="24"/>
          <w:highlight w:val="none"/>
        </w:rPr>
        <w:t>1.8 合同生效</w:t>
      </w:r>
      <w:bookmarkEnd w:id="95"/>
      <w:bookmarkEnd w:id="96"/>
      <w:bookmarkEnd w:id="97"/>
      <w:bookmarkEnd w:id="98"/>
      <w:bookmarkEnd w:id="99"/>
      <w:bookmarkEnd w:id="100"/>
      <w:bookmarkEnd w:id="101"/>
      <w:bookmarkEnd w:id="102"/>
    </w:p>
    <w:p w14:paraId="4588F4E4">
      <w:pPr>
        <w:spacing w:line="5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本合同自双方当事人盖章或者签字时生效。</w:t>
      </w:r>
    </w:p>
    <w:p w14:paraId="365A6646">
      <w:pPr>
        <w:autoSpaceDE w:val="0"/>
        <w:autoSpaceDN w:val="0"/>
        <w:adjustRightInd w:val="0"/>
        <w:spacing w:line="560" w:lineRule="exact"/>
        <w:rPr>
          <w:rFonts w:hint="eastAsia" w:ascii="仿宋" w:hAnsi="仿宋" w:eastAsia="仿宋" w:cs="仿宋"/>
          <w:color w:val="auto"/>
          <w:sz w:val="24"/>
          <w:highlight w:val="none"/>
          <w:lang w:val="zh-CN"/>
        </w:rPr>
      </w:pPr>
    </w:p>
    <w:p w14:paraId="57929D01">
      <w:pPr>
        <w:autoSpaceDE w:val="0"/>
        <w:autoSpaceDN w:val="0"/>
        <w:adjustRightInd w:val="0"/>
        <w:spacing w:line="560" w:lineRule="exact"/>
        <w:rPr>
          <w:rFonts w:hint="eastAsia" w:ascii="仿宋" w:hAnsi="仿宋" w:eastAsia="仿宋" w:cs="仿宋"/>
          <w:b/>
          <w:color w:val="auto"/>
          <w:sz w:val="24"/>
          <w:highlight w:val="none"/>
          <w:lang w:val="zh-CN"/>
        </w:rPr>
      </w:pPr>
    </w:p>
    <w:p w14:paraId="2728207B">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0AE3D3C5">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0795F344">
      <w:pPr>
        <w:autoSpaceDE w:val="0"/>
        <w:autoSpaceDN w:val="0"/>
        <w:adjustRightInd w:val="0"/>
        <w:spacing w:line="560" w:lineRule="exact"/>
        <w:rPr>
          <w:rFonts w:hint="eastAsia" w:ascii="仿宋" w:hAnsi="仿宋" w:eastAsia="仿宋" w:cs="仿宋"/>
          <w:color w:val="auto"/>
          <w:sz w:val="24"/>
          <w:highlight w:val="none"/>
          <w:lang w:val="zh-CN"/>
        </w:rPr>
      </w:pPr>
    </w:p>
    <w:p w14:paraId="053A3C3D">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4CCE27AA">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w:t>
      </w:r>
    </w:p>
    <w:p w14:paraId="2FE0FF07">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或授权代表（签字）: </w:t>
      </w:r>
    </w:p>
    <w:p w14:paraId="1DD23AAC">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1CA67850">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1A0C8A1F">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07125CCA">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6DB7B321">
      <w:pPr>
        <w:autoSpaceDE w:val="0"/>
        <w:autoSpaceDN w:val="0"/>
        <w:adjustRightInd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63FAC6C7">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46E4566F">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4B0C497E">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202AE7B5">
      <w:pPr>
        <w:autoSpaceDE w:val="0"/>
        <w:autoSpaceDN w:val="0"/>
        <w:adjustRightInd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2AEF9932">
      <w:pPr>
        <w:widowControl/>
        <w:spacing w:line="560" w:lineRule="exact"/>
        <w:jc w:val="left"/>
        <w:rPr>
          <w:rFonts w:hint="eastAsia" w:ascii="仿宋" w:hAnsi="仿宋" w:eastAsia="仿宋" w:cs="仿宋"/>
          <w:b/>
          <w:color w:val="auto"/>
          <w:highlight w:val="none"/>
        </w:rPr>
      </w:pPr>
      <w:bookmarkStart w:id="103" w:name="_Toc331685783"/>
    </w:p>
    <w:p w14:paraId="4C72AD39">
      <w:pPr>
        <w:widowControl/>
        <w:spacing w:line="560" w:lineRule="exact"/>
        <w:jc w:val="left"/>
        <w:rPr>
          <w:rFonts w:hint="eastAsia" w:ascii="仿宋" w:hAnsi="仿宋" w:eastAsia="仿宋" w:cs="仿宋"/>
          <w:b/>
          <w:color w:val="auto"/>
          <w:highlight w:val="none"/>
        </w:rPr>
      </w:pPr>
    </w:p>
    <w:p w14:paraId="1246743A">
      <w:pPr>
        <w:pStyle w:val="224"/>
        <w:spacing w:line="560" w:lineRule="exact"/>
        <w:ind w:firstLine="2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br w:type="page"/>
      </w:r>
      <w:r>
        <w:rPr>
          <w:rFonts w:hint="eastAsia" w:ascii="仿宋" w:hAnsi="仿宋" w:eastAsia="仿宋" w:cs="仿宋"/>
          <w:b/>
          <w:color w:val="auto"/>
          <w:szCs w:val="24"/>
          <w:highlight w:val="none"/>
        </w:rPr>
        <w:t>第二部分 合同一般条款</w:t>
      </w:r>
      <w:bookmarkEnd w:id="103"/>
    </w:p>
    <w:p w14:paraId="373F7A74">
      <w:pPr>
        <w:spacing w:line="560" w:lineRule="exact"/>
        <w:ind w:firstLine="482" w:firstLineChars="200"/>
        <w:rPr>
          <w:rFonts w:hint="eastAsia" w:ascii="仿宋" w:hAnsi="仿宋" w:eastAsia="仿宋" w:cs="仿宋"/>
          <w:b/>
          <w:color w:val="auto"/>
          <w:sz w:val="24"/>
          <w:highlight w:val="none"/>
        </w:rPr>
      </w:pPr>
      <w:bookmarkStart w:id="104" w:name="_Ref467379101"/>
      <w:bookmarkStart w:id="105" w:name="_Toc5228"/>
      <w:bookmarkStart w:id="106" w:name="_Toc2591682"/>
      <w:bookmarkStart w:id="107" w:name="_Ref467379214"/>
      <w:bookmarkStart w:id="108" w:name="_Ref467379195"/>
      <w:bookmarkStart w:id="109" w:name="_Toc279701240"/>
      <w:bookmarkStart w:id="110" w:name="_Ref467378499"/>
      <w:bookmarkStart w:id="111" w:name="_Toc25079"/>
      <w:bookmarkStart w:id="112" w:name="_Ref467379225"/>
      <w:bookmarkStart w:id="113" w:name="_Toc14021"/>
      <w:bookmarkStart w:id="114" w:name="_Ref467379205"/>
      <w:bookmarkStart w:id="115" w:name="_Toc259093669"/>
      <w:bookmarkStart w:id="116" w:name="_Toc82617978"/>
      <w:bookmarkStart w:id="117" w:name="_Ref467379094"/>
      <w:bookmarkStart w:id="118" w:name="_Toc37868836"/>
      <w:bookmarkStart w:id="119" w:name="_Toc487900349"/>
      <w:bookmarkStart w:id="120" w:name="_Ref467379109"/>
      <w:bookmarkStart w:id="121" w:name="_Toc31297"/>
      <w:bookmarkStart w:id="122" w:name="_Toc19680"/>
      <w:bookmarkStart w:id="123" w:name="_Ref467378404"/>
      <w:bookmarkStart w:id="124" w:name="_Ref467378463"/>
      <w:r>
        <w:rPr>
          <w:rFonts w:hint="eastAsia" w:ascii="仿宋" w:hAnsi="仿宋" w:eastAsia="仿宋" w:cs="仿宋"/>
          <w:b/>
          <w:color w:val="auto"/>
          <w:sz w:val="24"/>
          <w:highlight w:val="none"/>
        </w:rPr>
        <w:t>2.1 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611CEB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07CFB79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“合同”系指采购人和中标供应商签订的载明双方当事人所达成的协议，并包括所有的附件、附录和构成合同的其他文件。</w:t>
      </w:r>
    </w:p>
    <w:p w14:paraId="08E5957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“合同价”系指根据合同约定，中标供应商在完全履行合同义务后，采购人应支付给中标供应商的价格。</w:t>
      </w:r>
    </w:p>
    <w:p w14:paraId="5A24F99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“服务”系指中标供应商根据合同约定应向采购人履行的除货物和工程以外的其他政府采购对象，包括采购人自身需要的服务和向社会公众提供的公共服务。</w:t>
      </w:r>
    </w:p>
    <w:p w14:paraId="23DC7DE6">
      <w:pPr>
        <w:spacing w:line="560" w:lineRule="exact"/>
        <w:ind w:firstLine="480" w:firstLineChars="200"/>
        <w:rPr>
          <w:rFonts w:hint="eastAsia" w:ascii="仿宋" w:hAnsi="仿宋" w:eastAsia="仿宋" w:cs="仿宋"/>
          <w:color w:val="auto"/>
          <w:sz w:val="24"/>
          <w:highlight w:val="none"/>
        </w:rPr>
      </w:pPr>
      <w:bookmarkStart w:id="125" w:name="_Ref467378840"/>
      <w:r>
        <w:rPr>
          <w:rFonts w:hint="eastAsia" w:ascii="仿宋" w:hAnsi="仿宋" w:eastAsia="仿宋" w:cs="仿宋"/>
          <w:color w:val="auto"/>
          <w:sz w:val="24"/>
          <w:highlight w:val="none"/>
        </w:rPr>
        <w:t>2.1.4 “甲方”系指与中标供应商签署合同的采购人</w:t>
      </w:r>
      <w:bookmarkEnd w:id="125"/>
      <w:r>
        <w:rPr>
          <w:rFonts w:hint="eastAsia" w:ascii="仿宋" w:hAnsi="仿宋" w:eastAsia="仿宋" w:cs="仿宋"/>
          <w:color w:val="auto"/>
          <w:sz w:val="24"/>
          <w:highlight w:val="none"/>
        </w:rPr>
        <w:t>；采购人委托采购代理机构代表其与乙方签订合同的，采购人的授权委托书作为合同附件。</w:t>
      </w:r>
    </w:p>
    <w:p w14:paraId="23A70E77">
      <w:pPr>
        <w:spacing w:line="560" w:lineRule="exact"/>
        <w:ind w:firstLine="480" w:firstLineChars="200"/>
        <w:rPr>
          <w:rFonts w:hint="eastAsia" w:ascii="仿宋" w:hAnsi="仿宋" w:eastAsia="仿宋" w:cs="仿宋"/>
          <w:color w:val="auto"/>
          <w:sz w:val="24"/>
          <w:highlight w:val="none"/>
        </w:rPr>
      </w:pPr>
      <w:bookmarkStart w:id="126" w:name="_Ref467379400"/>
      <w:r>
        <w:rPr>
          <w:rFonts w:hint="eastAsia" w:ascii="仿宋" w:hAnsi="仿宋" w:eastAsia="仿宋" w:cs="仿宋"/>
          <w:color w:val="auto"/>
          <w:sz w:val="24"/>
          <w:highlight w:val="none"/>
        </w:rPr>
        <w:t>2.1.5 “乙方”系指根据合同约定提供服务的中标供应商</w:t>
      </w:r>
      <w:bookmarkEnd w:id="126"/>
      <w:r>
        <w:rPr>
          <w:rFonts w:hint="eastAsia" w:ascii="仿宋" w:hAnsi="仿宋" w:eastAsia="仿宋" w:cs="仿宋"/>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63D7C25">
      <w:pPr>
        <w:spacing w:line="560" w:lineRule="exact"/>
        <w:ind w:firstLine="480" w:firstLineChars="200"/>
        <w:rPr>
          <w:rFonts w:hint="eastAsia" w:ascii="仿宋" w:hAnsi="仿宋" w:eastAsia="仿宋" w:cs="仿宋"/>
          <w:color w:val="auto"/>
          <w:sz w:val="24"/>
          <w:highlight w:val="none"/>
        </w:rPr>
      </w:pPr>
      <w:bookmarkStart w:id="127" w:name="_Ref467379436"/>
      <w:r>
        <w:rPr>
          <w:rFonts w:hint="eastAsia" w:ascii="仿宋" w:hAnsi="仿宋" w:eastAsia="仿宋" w:cs="仿宋"/>
          <w:color w:val="auto"/>
          <w:sz w:val="24"/>
          <w:highlight w:val="none"/>
        </w:rPr>
        <w:t>2.1.6 “现场”系指合同约定提供服务的地点。</w:t>
      </w:r>
      <w:bookmarkEnd w:id="127"/>
    </w:p>
    <w:p w14:paraId="46BBE6B4">
      <w:pPr>
        <w:spacing w:line="560" w:lineRule="exact"/>
        <w:ind w:firstLine="482" w:firstLineChars="200"/>
        <w:rPr>
          <w:rFonts w:hint="eastAsia" w:ascii="仿宋" w:hAnsi="仿宋" w:eastAsia="仿宋" w:cs="仿宋"/>
          <w:b/>
          <w:color w:val="auto"/>
          <w:sz w:val="24"/>
          <w:highlight w:val="none"/>
        </w:rPr>
      </w:pPr>
      <w:bookmarkStart w:id="128" w:name="_Toc259093670"/>
      <w:bookmarkStart w:id="129" w:name="_Toc82617979"/>
      <w:bookmarkStart w:id="130" w:name="_Toc2591683"/>
      <w:bookmarkStart w:id="131" w:name="_Toc23289"/>
      <w:bookmarkStart w:id="132" w:name="_Toc487900350"/>
      <w:bookmarkStart w:id="133" w:name="_Toc279701241"/>
      <w:bookmarkStart w:id="134" w:name="_Toc19539"/>
      <w:bookmarkStart w:id="135" w:name="_Toc3769"/>
      <w:bookmarkStart w:id="136" w:name="_Toc31402"/>
      <w:bookmarkStart w:id="137" w:name="_Toc37868837"/>
      <w:bookmarkStart w:id="138" w:name="_Toc16752"/>
      <w:r>
        <w:rPr>
          <w:rFonts w:hint="eastAsia" w:ascii="仿宋" w:hAnsi="仿宋" w:eastAsia="仿宋" w:cs="仿宋"/>
          <w:b/>
          <w:color w:val="auto"/>
          <w:sz w:val="24"/>
          <w:highlight w:val="none"/>
        </w:rPr>
        <w:t>2.2 技术规范</w:t>
      </w:r>
      <w:bookmarkEnd w:id="128"/>
      <w:bookmarkEnd w:id="129"/>
      <w:bookmarkEnd w:id="130"/>
      <w:bookmarkEnd w:id="131"/>
      <w:bookmarkEnd w:id="132"/>
      <w:bookmarkEnd w:id="133"/>
      <w:bookmarkEnd w:id="134"/>
      <w:bookmarkEnd w:id="135"/>
      <w:bookmarkEnd w:id="136"/>
      <w:bookmarkEnd w:id="137"/>
      <w:bookmarkEnd w:id="138"/>
    </w:p>
    <w:p w14:paraId="78B1148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9F9D494">
      <w:pPr>
        <w:spacing w:line="560" w:lineRule="exact"/>
        <w:ind w:firstLine="482" w:firstLineChars="200"/>
        <w:rPr>
          <w:rFonts w:hint="eastAsia" w:ascii="仿宋" w:hAnsi="仿宋" w:eastAsia="仿宋" w:cs="仿宋"/>
          <w:b/>
          <w:color w:val="auto"/>
          <w:sz w:val="24"/>
          <w:highlight w:val="none"/>
        </w:rPr>
      </w:pPr>
      <w:bookmarkStart w:id="139" w:name="_Toc259093671"/>
      <w:bookmarkStart w:id="140" w:name="_Toc37868838"/>
      <w:bookmarkStart w:id="141" w:name="_Toc82617980"/>
      <w:bookmarkStart w:id="142" w:name="_Toc12412"/>
      <w:bookmarkStart w:id="143" w:name="_Toc9161"/>
      <w:bookmarkStart w:id="144" w:name="_Toc27945"/>
      <w:bookmarkStart w:id="145" w:name="_Toc2591684"/>
      <w:bookmarkStart w:id="146" w:name="_Toc279701242"/>
      <w:bookmarkStart w:id="147" w:name="_Toc487900351"/>
      <w:bookmarkStart w:id="148" w:name="_Toc13673"/>
      <w:bookmarkStart w:id="149" w:name="_Toc4133"/>
      <w:r>
        <w:rPr>
          <w:rFonts w:hint="eastAsia" w:ascii="仿宋" w:hAnsi="仿宋" w:eastAsia="仿宋" w:cs="仿宋"/>
          <w:b/>
          <w:color w:val="auto"/>
          <w:sz w:val="24"/>
          <w:highlight w:val="none"/>
        </w:rPr>
        <w:t>2.3 知识产权</w:t>
      </w:r>
      <w:bookmarkEnd w:id="139"/>
      <w:bookmarkEnd w:id="140"/>
      <w:bookmarkEnd w:id="141"/>
      <w:bookmarkEnd w:id="142"/>
      <w:bookmarkEnd w:id="143"/>
      <w:bookmarkEnd w:id="144"/>
      <w:bookmarkEnd w:id="145"/>
      <w:bookmarkEnd w:id="146"/>
      <w:bookmarkEnd w:id="147"/>
      <w:bookmarkEnd w:id="148"/>
      <w:bookmarkEnd w:id="149"/>
    </w:p>
    <w:p w14:paraId="382C7DF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D3C8B6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50FD99ED">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0429A83D">
      <w:pPr>
        <w:spacing w:line="560" w:lineRule="exact"/>
        <w:ind w:firstLine="480" w:firstLineChars="200"/>
        <w:rPr>
          <w:rFonts w:hint="eastAsia" w:ascii="仿宋" w:hAnsi="仿宋" w:eastAsia="仿宋" w:cs="仿宋"/>
          <w:color w:val="auto"/>
          <w:sz w:val="24"/>
          <w:highlight w:val="none"/>
        </w:rPr>
      </w:pPr>
      <w:bookmarkStart w:id="150" w:name="_Ref467379657"/>
      <w:r>
        <w:rPr>
          <w:rFonts w:hint="eastAsia" w:ascii="仿宋" w:hAnsi="仿宋" w:eastAsia="仿宋" w:cs="仿宋"/>
          <w:color w:val="auto"/>
          <w:sz w:val="24"/>
          <w:highlight w:val="none"/>
        </w:rPr>
        <w:t>2.4.1</w:t>
      </w:r>
      <w:bookmarkEnd w:id="150"/>
      <w:bookmarkStart w:id="151" w:name="_Toc186431854"/>
      <w:bookmarkStart w:id="152" w:name="_Ref467379793"/>
      <w:bookmarkStart w:id="153" w:name="_Toc259093676"/>
      <w:bookmarkStart w:id="154" w:name="_Toc487900357"/>
      <w:bookmarkStart w:id="155" w:name="_Toc279701247"/>
      <w:bookmarkStart w:id="156" w:name="_Ref467379807"/>
      <w:r>
        <w:rPr>
          <w:rFonts w:hint="eastAsia" w:ascii="仿宋" w:hAnsi="仿宋" w:eastAsia="仿宋" w:cs="仿宋"/>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1A669CA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bookmarkEnd w:id="151"/>
      <w:bookmarkStart w:id="157" w:name="_Toc186431855"/>
      <w:r>
        <w:rPr>
          <w:rFonts w:hint="eastAsia" w:ascii="仿宋" w:hAnsi="仿宋" w:eastAsia="仿宋" w:cs="仿宋"/>
          <w:color w:val="auto"/>
          <w:sz w:val="24"/>
          <w:highlight w:val="none"/>
        </w:rPr>
        <w:t>。</w:t>
      </w:r>
    </w:p>
    <w:bookmarkEnd w:id="157"/>
    <w:p w14:paraId="42070E7F">
      <w:pPr>
        <w:spacing w:line="560" w:lineRule="exact"/>
        <w:ind w:firstLine="482" w:firstLineChars="200"/>
        <w:rPr>
          <w:rFonts w:hint="eastAsia" w:ascii="仿宋" w:hAnsi="仿宋" w:eastAsia="仿宋" w:cs="仿宋"/>
          <w:b/>
          <w:color w:val="auto"/>
          <w:sz w:val="24"/>
          <w:highlight w:val="none"/>
        </w:rPr>
      </w:pPr>
      <w:bookmarkStart w:id="158" w:name="_Toc26555"/>
      <w:bookmarkStart w:id="159" w:name="_Toc32670"/>
      <w:bookmarkStart w:id="160" w:name="_Toc82617981"/>
      <w:bookmarkStart w:id="161" w:name="_Toc22011"/>
      <w:bookmarkStart w:id="162" w:name="_Toc15447"/>
      <w:bookmarkStart w:id="163" w:name="_Toc37868839"/>
      <w:bookmarkStart w:id="164" w:name="_Toc31233"/>
      <w:bookmarkStart w:id="165" w:name="_Toc2591685"/>
      <w:r>
        <w:rPr>
          <w:rFonts w:hint="eastAsia" w:ascii="仿宋" w:hAnsi="仿宋" w:eastAsia="仿宋" w:cs="仿宋"/>
          <w:b/>
          <w:color w:val="auto"/>
          <w:sz w:val="24"/>
          <w:highlight w:val="none"/>
        </w:rPr>
        <w:t>2.5 结算方式和付款条件</w:t>
      </w:r>
      <w:bookmarkEnd w:id="152"/>
      <w:bookmarkEnd w:id="153"/>
      <w:bookmarkEnd w:id="154"/>
      <w:bookmarkEnd w:id="155"/>
      <w:bookmarkEnd w:id="156"/>
      <w:bookmarkEnd w:id="158"/>
      <w:bookmarkEnd w:id="159"/>
      <w:bookmarkEnd w:id="160"/>
      <w:bookmarkEnd w:id="161"/>
      <w:bookmarkEnd w:id="162"/>
      <w:bookmarkEnd w:id="163"/>
      <w:bookmarkEnd w:id="164"/>
      <w:bookmarkEnd w:id="165"/>
    </w:p>
    <w:p w14:paraId="4680300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F9E64A3">
      <w:pPr>
        <w:spacing w:line="560" w:lineRule="exact"/>
        <w:ind w:firstLine="482" w:firstLineChars="200"/>
        <w:rPr>
          <w:rFonts w:hint="eastAsia" w:ascii="仿宋" w:hAnsi="仿宋" w:eastAsia="仿宋" w:cs="仿宋"/>
          <w:b/>
          <w:color w:val="auto"/>
          <w:sz w:val="24"/>
          <w:highlight w:val="none"/>
        </w:rPr>
      </w:pPr>
      <w:bookmarkStart w:id="166" w:name="_Ref467379852"/>
      <w:bookmarkStart w:id="167" w:name="_Toc279701248"/>
      <w:bookmarkStart w:id="168" w:name="_Ref467379863"/>
      <w:bookmarkStart w:id="169" w:name="_Toc259093677"/>
      <w:bookmarkStart w:id="170" w:name="_Toc487900358"/>
      <w:bookmarkStart w:id="171" w:name="_Ref467379923"/>
      <w:bookmarkStart w:id="172" w:name="_Toc82617982"/>
      <w:bookmarkStart w:id="173" w:name="_Toc13154"/>
      <w:bookmarkStart w:id="174" w:name="_Toc16163"/>
      <w:bookmarkStart w:id="175" w:name="_Toc2591686"/>
      <w:bookmarkStart w:id="176" w:name="_Toc30507"/>
      <w:bookmarkStart w:id="177" w:name="_Toc13467"/>
      <w:bookmarkStart w:id="178" w:name="_Toc18990"/>
      <w:bookmarkStart w:id="179" w:name="_Toc37868840"/>
      <w:r>
        <w:rPr>
          <w:rFonts w:hint="eastAsia" w:ascii="仿宋" w:hAnsi="仿宋" w:eastAsia="仿宋" w:cs="仿宋"/>
          <w:b/>
          <w:color w:val="auto"/>
          <w:sz w:val="24"/>
          <w:highlight w:val="none"/>
        </w:rPr>
        <w:t>2.6 技术资料</w:t>
      </w:r>
      <w:bookmarkEnd w:id="166"/>
      <w:bookmarkEnd w:id="167"/>
      <w:bookmarkEnd w:id="168"/>
      <w:bookmarkEnd w:id="169"/>
      <w:bookmarkEnd w:id="170"/>
      <w:bookmarkEnd w:id="171"/>
      <w:r>
        <w:rPr>
          <w:rFonts w:hint="eastAsia" w:ascii="仿宋" w:hAnsi="仿宋" w:eastAsia="仿宋" w:cs="仿宋"/>
          <w:b/>
          <w:color w:val="auto"/>
          <w:sz w:val="24"/>
          <w:highlight w:val="none"/>
        </w:rPr>
        <w:t>和保密义务</w:t>
      </w:r>
      <w:bookmarkEnd w:id="172"/>
      <w:bookmarkEnd w:id="173"/>
      <w:bookmarkEnd w:id="174"/>
      <w:bookmarkEnd w:id="175"/>
      <w:bookmarkEnd w:id="176"/>
      <w:bookmarkEnd w:id="177"/>
      <w:bookmarkEnd w:id="178"/>
      <w:bookmarkEnd w:id="179"/>
    </w:p>
    <w:p w14:paraId="66C409D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3D08206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2F480C1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F73760A">
      <w:pPr>
        <w:spacing w:line="560" w:lineRule="exact"/>
        <w:ind w:firstLine="482" w:firstLineChars="200"/>
        <w:rPr>
          <w:rFonts w:hint="eastAsia" w:ascii="仿宋" w:hAnsi="仿宋" w:eastAsia="仿宋" w:cs="仿宋"/>
          <w:b/>
          <w:color w:val="auto"/>
          <w:sz w:val="24"/>
          <w:highlight w:val="none"/>
        </w:rPr>
      </w:pPr>
      <w:bookmarkStart w:id="180" w:name="_Toc2591687"/>
      <w:bookmarkStart w:id="181" w:name="_Toc82617983"/>
      <w:bookmarkStart w:id="182" w:name="_Toc37868841"/>
      <w:bookmarkStart w:id="183" w:name="_Toc19069"/>
      <w:bookmarkStart w:id="184" w:name="_Toc487900362"/>
      <w:bookmarkStart w:id="185" w:name="_Toc259093681"/>
      <w:bookmarkStart w:id="186" w:name="_Toc279701252"/>
      <w:r>
        <w:rPr>
          <w:rFonts w:hint="eastAsia" w:ascii="仿宋" w:hAnsi="仿宋" w:eastAsia="仿宋" w:cs="仿宋"/>
          <w:b/>
          <w:color w:val="auto"/>
          <w:sz w:val="24"/>
          <w:highlight w:val="none"/>
        </w:rPr>
        <w:t>2.7 质量保证</w:t>
      </w:r>
      <w:bookmarkEnd w:id="180"/>
      <w:bookmarkEnd w:id="181"/>
      <w:bookmarkEnd w:id="182"/>
      <w:bookmarkEnd w:id="183"/>
    </w:p>
    <w:p w14:paraId="0202EA2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084E960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62807153">
      <w:pPr>
        <w:spacing w:line="560" w:lineRule="exact"/>
        <w:ind w:firstLine="482" w:firstLineChars="200"/>
        <w:rPr>
          <w:rFonts w:hint="eastAsia" w:ascii="仿宋" w:hAnsi="仿宋" w:eastAsia="仿宋" w:cs="仿宋"/>
          <w:b/>
          <w:color w:val="auto"/>
          <w:sz w:val="24"/>
          <w:highlight w:val="none"/>
        </w:rPr>
      </w:pPr>
      <w:bookmarkStart w:id="187" w:name="_Toc2591688"/>
      <w:bookmarkStart w:id="188" w:name="_Toc37868842"/>
      <w:bookmarkStart w:id="189" w:name="_Toc82617984"/>
      <w:bookmarkStart w:id="190" w:name="_Toc22267"/>
      <w:r>
        <w:rPr>
          <w:rFonts w:hint="eastAsia" w:ascii="仿宋" w:hAnsi="仿宋" w:eastAsia="仿宋" w:cs="仿宋"/>
          <w:b/>
          <w:color w:val="auto"/>
          <w:sz w:val="24"/>
          <w:highlight w:val="none"/>
        </w:rPr>
        <w:t>2.8 延迟</w:t>
      </w:r>
      <w:bookmarkEnd w:id="184"/>
      <w:bookmarkEnd w:id="185"/>
      <w:bookmarkEnd w:id="186"/>
      <w:r>
        <w:rPr>
          <w:rFonts w:hint="eastAsia" w:ascii="仿宋" w:hAnsi="仿宋" w:eastAsia="仿宋" w:cs="仿宋"/>
          <w:b/>
          <w:color w:val="auto"/>
          <w:sz w:val="24"/>
          <w:highlight w:val="none"/>
        </w:rPr>
        <w:t>履行</w:t>
      </w:r>
      <w:bookmarkEnd w:id="187"/>
      <w:bookmarkEnd w:id="188"/>
      <w:bookmarkEnd w:id="189"/>
      <w:bookmarkEnd w:id="190"/>
    </w:p>
    <w:p w14:paraId="35B1ED8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7E12BB6">
      <w:pPr>
        <w:spacing w:line="560" w:lineRule="exact"/>
        <w:ind w:firstLine="482" w:firstLineChars="200"/>
        <w:rPr>
          <w:rFonts w:hint="eastAsia" w:ascii="仿宋" w:hAnsi="仿宋" w:eastAsia="仿宋" w:cs="仿宋"/>
          <w:b/>
          <w:color w:val="auto"/>
          <w:sz w:val="24"/>
          <w:highlight w:val="none"/>
        </w:rPr>
      </w:pPr>
      <w:bookmarkStart w:id="191" w:name="_Toc10611"/>
      <w:bookmarkStart w:id="192" w:name="_Toc2591689"/>
      <w:bookmarkStart w:id="193" w:name="_Toc82617985"/>
      <w:bookmarkStart w:id="194" w:name="_Toc37868843"/>
      <w:bookmarkStart w:id="195" w:name="_Ref467378121"/>
      <w:bookmarkStart w:id="196" w:name="_Toc487900364"/>
      <w:bookmarkStart w:id="197" w:name="_Toc279701254"/>
      <w:bookmarkStart w:id="198" w:name="_Toc259093683"/>
      <w:r>
        <w:rPr>
          <w:rFonts w:hint="eastAsia" w:ascii="仿宋" w:hAnsi="仿宋" w:eastAsia="仿宋" w:cs="仿宋"/>
          <w:b/>
          <w:color w:val="auto"/>
          <w:sz w:val="24"/>
          <w:highlight w:val="none"/>
        </w:rPr>
        <w:t>2.9 合同变更</w:t>
      </w:r>
      <w:bookmarkEnd w:id="191"/>
      <w:bookmarkEnd w:id="192"/>
      <w:bookmarkEnd w:id="193"/>
      <w:bookmarkEnd w:id="194"/>
    </w:p>
    <w:p w14:paraId="7C5994A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471017B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2.9.2 合同继续履行将损害国家利益和社会公共利益的，双方当事人应当以书面形式变更合同。有过错的一方应当承担赔偿责任，双方当事人都有过错的，各自承担相应的责任。</w:t>
      </w:r>
      <w:bookmarkStart w:id="199" w:name="_Toc259093688"/>
      <w:bookmarkStart w:id="200" w:name="_Toc487900369"/>
      <w:bookmarkStart w:id="201" w:name="_Toc279701259"/>
    </w:p>
    <w:p w14:paraId="60BBF48E">
      <w:pPr>
        <w:spacing w:line="560" w:lineRule="exact"/>
        <w:ind w:firstLine="482" w:firstLineChars="200"/>
        <w:rPr>
          <w:rFonts w:hint="eastAsia" w:ascii="仿宋" w:hAnsi="仿宋" w:eastAsia="仿宋" w:cs="仿宋"/>
          <w:b/>
          <w:color w:val="auto"/>
          <w:sz w:val="24"/>
          <w:highlight w:val="none"/>
        </w:rPr>
      </w:pPr>
      <w:bookmarkStart w:id="202" w:name="_Toc2591690"/>
      <w:bookmarkStart w:id="203" w:name="_Toc37868844"/>
      <w:bookmarkStart w:id="204" w:name="_Toc26689"/>
      <w:bookmarkStart w:id="205" w:name="_Toc10663"/>
      <w:bookmarkStart w:id="206" w:name="_Toc23368"/>
      <w:bookmarkStart w:id="207" w:name="_Toc82617986"/>
      <w:bookmarkStart w:id="208" w:name="_Toc42"/>
      <w:bookmarkStart w:id="209" w:name="_Toc21830"/>
      <w:r>
        <w:rPr>
          <w:rFonts w:hint="eastAsia" w:ascii="仿宋" w:hAnsi="仿宋" w:eastAsia="仿宋" w:cs="仿宋"/>
          <w:b/>
          <w:color w:val="auto"/>
          <w:sz w:val="24"/>
          <w:highlight w:val="none"/>
        </w:rPr>
        <w:t>2.10 合同转让</w:t>
      </w:r>
      <w:bookmarkEnd w:id="199"/>
      <w:bookmarkEnd w:id="200"/>
      <w:bookmarkEnd w:id="201"/>
      <w:r>
        <w:rPr>
          <w:rFonts w:hint="eastAsia" w:ascii="仿宋" w:hAnsi="仿宋" w:eastAsia="仿宋" w:cs="仿宋"/>
          <w:b/>
          <w:color w:val="auto"/>
          <w:sz w:val="24"/>
          <w:highlight w:val="none"/>
        </w:rPr>
        <w:t>和分包</w:t>
      </w:r>
      <w:bookmarkEnd w:id="202"/>
      <w:bookmarkEnd w:id="203"/>
      <w:bookmarkEnd w:id="204"/>
      <w:bookmarkEnd w:id="205"/>
      <w:bookmarkEnd w:id="206"/>
      <w:bookmarkEnd w:id="207"/>
      <w:bookmarkEnd w:id="208"/>
      <w:bookmarkEnd w:id="209"/>
    </w:p>
    <w:p w14:paraId="1952704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E439681">
      <w:pPr>
        <w:spacing w:line="560" w:lineRule="exact"/>
        <w:ind w:firstLine="482" w:firstLineChars="200"/>
        <w:rPr>
          <w:rFonts w:hint="eastAsia" w:ascii="仿宋" w:hAnsi="仿宋" w:eastAsia="仿宋" w:cs="仿宋"/>
          <w:b/>
          <w:color w:val="auto"/>
          <w:sz w:val="24"/>
          <w:highlight w:val="none"/>
        </w:rPr>
      </w:pPr>
      <w:bookmarkStart w:id="210" w:name="_Toc2591691"/>
      <w:bookmarkStart w:id="211" w:name="_Toc32494"/>
      <w:bookmarkStart w:id="212" w:name="_Toc82617987"/>
      <w:bookmarkStart w:id="213" w:name="_Toc25571"/>
      <w:bookmarkStart w:id="214" w:name="_Toc14371"/>
      <w:bookmarkStart w:id="215" w:name="_Toc26633"/>
      <w:bookmarkStart w:id="216" w:name="_Toc4720"/>
      <w:bookmarkStart w:id="217" w:name="_Toc37868845"/>
      <w:r>
        <w:rPr>
          <w:rFonts w:hint="eastAsia" w:ascii="仿宋" w:hAnsi="仿宋" w:eastAsia="仿宋" w:cs="仿宋"/>
          <w:b/>
          <w:color w:val="auto"/>
          <w:sz w:val="24"/>
          <w:highlight w:val="none"/>
        </w:rPr>
        <w:t>2.11 不可抗力</w:t>
      </w:r>
      <w:bookmarkEnd w:id="210"/>
      <w:bookmarkEnd w:id="211"/>
      <w:bookmarkEnd w:id="212"/>
      <w:bookmarkEnd w:id="213"/>
      <w:bookmarkEnd w:id="214"/>
      <w:bookmarkEnd w:id="215"/>
      <w:bookmarkEnd w:id="216"/>
      <w:bookmarkEnd w:id="217"/>
    </w:p>
    <w:p w14:paraId="55BB41C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789FA9E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25E2CC0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2227A0F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55E9890F">
      <w:pPr>
        <w:spacing w:line="560" w:lineRule="exact"/>
        <w:ind w:firstLine="482" w:firstLineChars="200"/>
        <w:rPr>
          <w:rFonts w:hint="eastAsia" w:ascii="仿宋" w:hAnsi="仿宋" w:eastAsia="仿宋" w:cs="仿宋"/>
          <w:b/>
          <w:color w:val="auto"/>
          <w:sz w:val="24"/>
          <w:highlight w:val="none"/>
        </w:rPr>
      </w:pPr>
      <w:bookmarkStart w:id="218" w:name="_Toc14115"/>
      <w:bookmarkStart w:id="219" w:name="_Toc24465"/>
      <w:bookmarkStart w:id="220" w:name="_Toc37868846"/>
      <w:bookmarkStart w:id="221" w:name="_Toc259093684"/>
      <w:bookmarkStart w:id="222" w:name="_Toc3638"/>
      <w:bookmarkStart w:id="223" w:name="_Toc487900365"/>
      <w:bookmarkStart w:id="224" w:name="_Toc82617988"/>
      <w:bookmarkStart w:id="225" w:name="_Toc2591692"/>
      <w:bookmarkStart w:id="226" w:name="_Toc25783"/>
      <w:bookmarkStart w:id="227" w:name="_Toc23854"/>
      <w:bookmarkStart w:id="228" w:name="_Toc279701255"/>
      <w:r>
        <w:rPr>
          <w:rFonts w:hint="eastAsia" w:ascii="仿宋" w:hAnsi="仿宋" w:eastAsia="仿宋" w:cs="仿宋"/>
          <w:b/>
          <w:color w:val="auto"/>
          <w:sz w:val="24"/>
          <w:highlight w:val="none"/>
        </w:rPr>
        <w:t>2.12 税费</w:t>
      </w:r>
      <w:bookmarkEnd w:id="218"/>
      <w:bookmarkEnd w:id="219"/>
      <w:bookmarkEnd w:id="220"/>
      <w:bookmarkEnd w:id="221"/>
      <w:bookmarkEnd w:id="222"/>
      <w:bookmarkEnd w:id="223"/>
      <w:bookmarkEnd w:id="224"/>
      <w:bookmarkEnd w:id="225"/>
      <w:bookmarkEnd w:id="226"/>
      <w:bookmarkEnd w:id="227"/>
      <w:bookmarkEnd w:id="228"/>
    </w:p>
    <w:p w14:paraId="4591453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3FF9BF00">
      <w:pPr>
        <w:spacing w:line="560" w:lineRule="exact"/>
        <w:ind w:firstLine="482" w:firstLineChars="200"/>
        <w:rPr>
          <w:rFonts w:hint="eastAsia" w:ascii="仿宋" w:hAnsi="仿宋" w:eastAsia="仿宋" w:cs="仿宋"/>
          <w:b/>
          <w:color w:val="auto"/>
          <w:sz w:val="24"/>
          <w:highlight w:val="none"/>
        </w:rPr>
      </w:pPr>
      <w:bookmarkStart w:id="229" w:name="_Toc25525"/>
      <w:bookmarkStart w:id="230" w:name="_Toc14814"/>
      <w:bookmarkStart w:id="231" w:name="_Toc82617989"/>
      <w:bookmarkStart w:id="232" w:name="_Toc30105"/>
      <w:bookmarkStart w:id="233" w:name="_Toc487900368"/>
      <w:bookmarkStart w:id="234" w:name="_Toc37868847"/>
      <w:bookmarkStart w:id="235" w:name="_Toc7315"/>
      <w:bookmarkStart w:id="236" w:name="_Toc2591693"/>
      <w:bookmarkStart w:id="237" w:name="_Toc279701258"/>
      <w:bookmarkStart w:id="238" w:name="_Toc26883"/>
      <w:bookmarkStart w:id="239" w:name="_Toc259093687"/>
      <w:r>
        <w:rPr>
          <w:rFonts w:hint="eastAsia" w:ascii="仿宋" w:hAnsi="仿宋" w:eastAsia="仿宋" w:cs="仿宋"/>
          <w:b/>
          <w:color w:val="auto"/>
          <w:sz w:val="24"/>
          <w:highlight w:val="none"/>
        </w:rPr>
        <w:t>2.13 乙方破产</w:t>
      </w:r>
      <w:bookmarkEnd w:id="229"/>
      <w:bookmarkEnd w:id="230"/>
      <w:bookmarkEnd w:id="231"/>
      <w:bookmarkEnd w:id="232"/>
      <w:bookmarkEnd w:id="233"/>
      <w:bookmarkEnd w:id="234"/>
      <w:bookmarkEnd w:id="235"/>
      <w:bookmarkEnd w:id="236"/>
      <w:bookmarkEnd w:id="237"/>
      <w:bookmarkEnd w:id="238"/>
      <w:bookmarkEnd w:id="239"/>
    </w:p>
    <w:p w14:paraId="0B61656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0A39DC5">
      <w:pPr>
        <w:spacing w:line="560" w:lineRule="exact"/>
        <w:ind w:firstLine="482" w:firstLineChars="200"/>
        <w:rPr>
          <w:rFonts w:hint="eastAsia" w:ascii="仿宋" w:hAnsi="仿宋" w:eastAsia="仿宋" w:cs="仿宋"/>
          <w:b/>
          <w:color w:val="auto"/>
          <w:sz w:val="24"/>
          <w:highlight w:val="none"/>
        </w:rPr>
      </w:pPr>
      <w:bookmarkStart w:id="240" w:name="_Toc2016"/>
      <w:bookmarkStart w:id="241" w:name="_Toc23323"/>
      <w:bookmarkStart w:id="242" w:name="_Toc37868848"/>
      <w:bookmarkStart w:id="243" w:name="_Toc2591694"/>
      <w:bookmarkStart w:id="244" w:name="_Toc1123"/>
      <w:bookmarkStart w:id="245" w:name="_Toc82617990"/>
      <w:r>
        <w:rPr>
          <w:rFonts w:hint="eastAsia" w:ascii="仿宋" w:hAnsi="仿宋" w:eastAsia="仿宋" w:cs="仿宋"/>
          <w:b/>
          <w:color w:val="auto"/>
          <w:sz w:val="24"/>
          <w:highlight w:val="none"/>
        </w:rPr>
        <w:t>2.14 合同中止、终止</w:t>
      </w:r>
      <w:bookmarkEnd w:id="240"/>
      <w:bookmarkEnd w:id="241"/>
      <w:bookmarkEnd w:id="242"/>
      <w:bookmarkEnd w:id="243"/>
      <w:bookmarkEnd w:id="244"/>
      <w:bookmarkEnd w:id="245"/>
    </w:p>
    <w:p w14:paraId="67F4EAA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6888510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73770E74">
      <w:pPr>
        <w:spacing w:line="560" w:lineRule="exact"/>
        <w:ind w:firstLine="482" w:firstLineChars="200"/>
        <w:rPr>
          <w:rFonts w:hint="eastAsia" w:ascii="仿宋" w:hAnsi="仿宋" w:eastAsia="仿宋" w:cs="仿宋"/>
          <w:b/>
          <w:color w:val="auto"/>
          <w:sz w:val="24"/>
          <w:highlight w:val="none"/>
        </w:rPr>
      </w:pPr>
      <w:bookmarkStart w:id="246" w:name="_Toc37868849"/>
      <w:bookmarkStart w:id="247" w:name="_Toc17363"/>
      <w:bookmarkStart w:id="248" w:name="_Toc2591695"/>
      <w:bookmarkStart w:id="249" w:name="_Toc82617991"/>
      <w:bookmarkStart w:id="250" w:name="_Toc14525"/>
      <w:bookmarkStart w:id="251" w:name="_Toc1969"/>
      <w:r>
        <w:rPr>
          <w:rFonts w:hint="eastAsia" w:ascii="仿宋" w:hAnsi="仿宋" w:eastAsia="仿宋" w:cs="仿宋"/>
          <w:b/>
          <w:color w:val="auto"/>
          <w:sz w:val="24"/>
          <w:highlight w:val="none"/>
        </w:rPr>
        <w:t>2.15 检验和验收</w:t>
      </w:r>
      <w:bookmarkEnd w:id="246"/>
      <w:bookmarkEnd w:id="247"/>
      <w:bookmarkEnd w:id="248"/>
      <w:bookmarkEnd w:id="249"/>
      <w:bookmarkEnd w:id="250"/>
      <w:bookmarkEnd w:id="251"/>
    </w:p>
    <w:p w14:paraId="1ED3D920">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469981B3">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01A28FFA">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195"/>
    <w:bookmarkEnd w:id="196"/>
    <w:bookmarkEnd w:id="197"/>
    <w:bookmarkEnd w:id="198"/>
    <w:p w14:paraId="0E22CDAD">
      <w:pPr>
        <w:spacing w:line="560" w:lineRule="exact"/>
        <w:ind w:firstLine="482" w:firstLineChars="200"/>
        <w:rPr>
          <w:rFonts w:hint="eastAsia" w:ascii="仿宋" w:hAnsi="仿宋" w:eastAsia="仿宋" w:cs="仿宋"/>
          <w:b/>
          <w:color w:val="auto"/>
          <w:sz w:val="24"/>
          <w:highlight w:val="none"/>
        </w:rPr>
      </w:pPr>
      <w:bookmarkStart w:id="252" w:name="_Toc487900371"/>
      <w:bookmarkStart w:id="253" w:name="_Toc279701261"/>
      <w:bookmarkStart w:id="254" w:name="_Toc259093690"/>
      <w:bookmarkStart w:id="255" w:name="_Toc2591696"/>
      <w:bookmarkStart w:id="256" w:name="_Toc37868850"/>
      <w:bookmarkStart w:id="257" w:name="_Toc2308"/>
      <w:bookmarkStart w:id="258" w:name="_Toc12666"/>
      <w:bookmarkStart w:id="259" w:name="_Toc82617992"/>
      <w:bookmarkStart w:id="260" w:name="_Toc25198"/>
      <w:bookmarkStart w:id="261" w:name="_Toc9808"/>
      <w:bookmarkStart w:id="262" w:name="_Toc31892"/>
      <w:r>
        <w:rPr>
          <w:rFonts w:hint="eastAsia" w:ascii="仿宋" w:hAnsi="仿宋" w:eastAsia="仿宋" w:cs="仿宋"/>
          <w:b/>
          <w:color w:val="auto"/>
          <w:sz w:val="24"/>
          <w:highlight w:val="none"/>
        </w:rPr>
        <w:t>2.16 通知</w:t>
      </w:r>
      <w:bookmarkEnd w:id="252"/>
      <w:bookmarkEnd w:id="253"/>
      <w:bookmarkEnd w:id="254"/>
      <w:r>
        <w:rPr>
          <w:rFonts w:hint="eastAsia" w:ascii="仿宋" w:hAnsi="仿宋" w:eastAsia="仿宋" w:cs="仿宋"/>
          <w:b/>
          <w:color w:val="auto"/>
          <w:sz w:val="24"/>
          <w:highlight w:val="none"/>
        </w:rPr>
        <w:t>和送达</w:t>
      </w:r>
      <w:bookmarkEnd w:id="255"/>
      <w:bookmarkEnd w:id="256"/>
      <w:bookmarkEnd w:id="257"/>
      <w:bookmarkEnd w:id="258"/>
      <w:bookmarkEnd w:id="259"/>
      <w:bookmarkEnd w:id="260"/>
      <w:bookmarkEnd w:id="261"/>
      <w:bookmarkEnd w:id="262"/>
    </w:p>
    <w:p w14:paraId="6E730F43">
      <w:pPr>
        <w:spacing w:line="560" w:lineRule="exact"/>
        <w:ind w:firstLine="480" w:firstLineChars="200"/>
        <w:rPr>
          <w:rFonts w:hint="eastAsia" w:ascii="仿宋" w:hAnsi="仿宋" w:eastAsia="仿宋" w:cs="仿宋"/>
          <w:color w:val="auto"/>
          <w:sz w:val="24"/>
          <w:highlight w:val="none"/>
        </w:rPr>
      </w:pPr>
      <w:bookmarkStart w:id="263" w:name="_Toc7073"/>
      <w:bookmarkStart w:id="264" w:name="_Toc29220"/>
      <w:bookmarkStart w:id="265" w:name="_Toc279701262"/>
      <w:bookmarkStart w:id="266" w:name="_Toc259093691"/>
      <w:bookmarkStart w:id="267" w:name="_Toc487900372"/>
      <w:r>
        <w:rPr>
          <w:rFonts w:hint="eastAsia" w:ascii="仿宋" w:hAnsi="仿宋" w:eastAsia="仿宋" w:cs="仿宋"/>
          <w:color w:val="auto"/>
          <w:sz w:val="24"/>
          <w:highlight w:val="none"/>
        </w:rPr>
        <w:t>2.16.1 任何一方因履行合同而以合同第一部分尾部所列明的发出的所有通知、文件、材料，均视为已向对方当事人送达；任何一方变更上述送达方式或者地址的，应于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263"/>
      <w:bookmarkEnd w:id="264"/>
    </w:p>
    <w:p w14:paraId="4ADEDC1C">
      <w:pPr>
        <w:spacing w:line="560" w:lineRule="exact"/>
        <w:ind w:firstLine="480" w:firstLineChars="200"/>
        <w:rPr>
          <w:rFonts w:hint="eastAsia" w:ascii="仿宋" w:hAnsi="仿宋" w:eastAsia="仿宋" w:cs="仿宋"/>
          <w:color w:val="auto"/>
          <w:sz w:val="24"/>
          <w:highlight w:val="none"/>
        </w:rPr>
      </w:pPr>
      <w:bookmarkStart w:id="268" w:name="_Toc18401"/>
      <w:bookmarkStart w:id="269" w:name="_Toc27674"/>
      <w:r>
        <w:rPr>
          <w:rFonts w:hint="eastAsia" w:ascii="仿宋" w:hAnsi="仿宋" w:eastAsia="仿宋" w:cs="仿宋"/>
          <w:color w:val="auto"/>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8"/>
      <w:bookmarkEnd w:id="269"/>
    </w:p>
    <w:bookmarkEnd w:id="265"/>
    <w:bookmarkEnd w:id="266"/>
    <w:bookmarkEnd w:id="267"/>
    <w:p w14:paraId="2E3D151E">
      <w:pPr>
        <w:spacing w:line="560" w:lineRule="exact"/>
        <w:ind w:firstLine="482" w:firstLineChars="200"/>
        <w:rPr>
          <w:rFonts w:hint="eastAsia" w:ascii="仿宋" w:hAnsi="仿宋" w:eastAsia="仿宋" w:cs="仿宋"/>
          <w:b/>
          <w:color w:val="auto"/>
          <w:sz w:val="24"/>
          <w:highlight w:val="none"/>
        </w:rPr>
      </w:pPr>
      <w:bookmarkStart w:id="270" w:name="_Toc28906"/>
      <w:bookmarkStart w:id="271" w:name="_Toc37868851"/>
      <w:bookmarkStart w:id="272" w:name="_Toc487900373"/>
      <w:bookmarkStart w:id="273" w:name="_Toc5063"/>
      <w:bookmarkStart w:id="274" w:name="_Toc20808"/>
      <w:bookmarkStart w:id="275" w:name="_Toc2591697"/>
      <w:bookmarkStart w:id="276" w:name="_Toc27644"/>
      <w:bookmarkStart w:id="277" w:name="_Toc259093692"/>
      <w:bookmarkStart w:id="278" w:name="_Toc279701263"/>
      <w:bookmarkStart w:id="279" w:name="_Toc12254"/>
      <w:bookmarkStart w:id="280" w:name="_Toc82617993"/>
      <w:r>
        <w:rPr>
          <w:rFonts w:hint="eastAsia" w:ascii="仿宋" w:hAnsi="仿宋" w:eastAsia="仿宋" w:cs="仿宋"/>
          <w:b/>
          <w:color w:val="auto"/>
          <w:sz w:val="24"/>
          <w:highlight w:val="none"/>
        </w:rPr>
        <w:t>2.17 合同使用的文字和适用的法律</w:t>
      </w:r>
      <w:bookmarkEnd w:id="270"/>
      <w:bookmarkEnd w:id="271"/>
      <w:bookmarkEnd w:id="272"/>
      <w:bookmarkEnd w:id="273"/>
      <w:bookmarkEnd w:id="274"/>
      <w:bookmarkEnd w:id="275"/>
      <w:bookmarkEnd w:id="276"/>
      <w:bookmarkEnd w:id="277"/>
      <w:bookmarkEnd w:id="278"/>
      <w:bookmarkEnd w:id="279"/>
      <w:bookmarkEnd w:id="280"/>
    </w:p>
    <w:p w14:paraId="6E8DB6B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w:t>
      </w:r>
      <w:r>
        <w:rPr>
          <w:rFonts w:hint="eastAsia" w:ascii="仿宋" w:hAnsi="仿宋" w:eastAsia="仿宋" w:cs="仿宋"/>
          <w:color w:val="auto"/>
          <w:sz w:val="24"/>
          <w:highlight w:val="none"/>
          <w:lang w:val="en-US" w:eastAsia="zh-CN"/>
        </w:rPr>
        <w:t>写</w:t>
      </w:r>
      <w:r>
        <w:rPr>
          <w:rFonts w:hint="eastAsia" w:ascii="仿宋" w:hAnsi="仿宋" w:eastAsia="仿宋" w:cs="仿宋"/>
          <w:color w:val="auto"/>
          <w:sz w:val="24"/>
          <w:highlight w:val="none"/>
        </w:rPr>
        <w:t>、变更和解释；</w:t>
      </w:r>
    </w:p>
    <w:p w14:paraId="6F46509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5C7F4C3B">
      <w:pPr>
        <w:spacing w:line="560" w:lineRule="exact"/>
        <w:ind w:firstLine="482" w:firstLineChars="200"/>
        <w:rPr>
          <w:rFonts w:hint="eastAsia" w:ascii="仿宋" w:hAnsi="仿宋" w:eastAsia="仿宋" w:cs="仿宋"/>
          <w:b/>
          <w:color w:val="auto"/>
          <w:sz w:val="24"/>
          <w:highlight w:val="none"/>
        </w:rPr>
      </w:pPr>
      <w:bookmarkStart w:id="281" w:name="_Toc259093693"/>
      <w:bookmarkStart w:id="282" w:name="_Toc2591698"/>
      <w:bookmarkStart w:id="283" w:name="_Toc22266"/>
      <w:bookmarkStart w:id="284" w:name="_Toc82617994"/>
      <w:bookmarkStart w:id="285" w:name="_Toc37868852"/>
      <w:bookmarkStart w:id="286" w:name="_Toc27403"/>
      <w:bookmarkStart w:id="287" w:name="_Toc27127"/>
      <w:bookmarkStart w:id="288" w:name="_Toc30096"/>
      <w:bookmarkStart w:id="289" w:name="_Toc1492"/>
      <w:bookmarkStart w:id="290" w:name="_Toc279701264"/>
      <w:bookmarkStart w:id="291" w:name="_Toc487900374"/>
      <w:r>
        <w:rPr>
          <w:rFonts w:hint="eastAsia" w:ascii="仿宋" w:hAnsi="仿宋" w:eastAsia="仿宋" w:cs="仿宋"/>
          <w:b/>
          <w:color w:val="auto"/>
          <w:sz w:val="24"/>
          <w:highlight w:val="none"/>
        </w:rPr>
        <w:t>2.18 履约保证金</w:t>
      </w:r>
      <w:bookmarkEnd w:id="281"/>
      <w:bookmarkEnd w:id="282"/>
      <w:bookmarkEnd w:id="283"/>
      <w:bookmarkEnd w:id="284"/>
      <w:bookmarkEnd w:id="285"/>
      <w:bookmarkEnd w:id="286"/>
      <w:bookmarkEnd w:id="287"/>
      <w:bookmarkEnd w:id="288"/>
      <w:bookmarkEnd w:id="289"/>
      <w:bookmarkEnd w:id="290"/>
    </w:p>
    <w:p w14:paraId="7960EF1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2.18.1 采购文件要求乙方提交履约保证金的，乙方应按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约定的方式，以支票、汇票、本票或者金融机构、担保机构出具的保函等非现金形式，提交不超过合同价10%的履约保证金；</w:t>
      </w:r>
    </w:p>
    <w:p w14:paraId="1EC796A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2.18.2 履约保证金在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约定期间内不予退还或者应完全有效，前述约定期间届满之日起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个工作日内，甲方应将履约保证金退还乙方；</w:t>
      </w:r>
    </w:p>
    <w:p w14:paraId="424F531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1"/>
    <w:p w14:paraId="5FE581C7">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 合同份数</w:t>
      </w:r>
    </w:p>
    <w:p w14:paraId="0F75AEF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77FE6074">
      <w:pPr>
        <w:pStyle w:val="224"/>
        <w:spacing w:line="560" w:lineRule="exact"/>
        <w:ind w:firstLine="0"/>
        <w:jc w:val="center"/>
        <w:rPr>
          <w:rFonts w:hint="eastAsia" w:ascii="仿宋" w:hAnsi="仿宋" w:eastAsia="仿宋" w:cs="仿宋"/>
          <w:b/>
          <w:color w:val="auto"/>
          <w:szCs w:val="24"/>
          <w:highlight w:val="none"/>
        </w:rPr>
      </w:pPr>
      <w:r>
        <w:rPr>
          <w:rFonts w:hint="eastAsia" w:ascii="仿宋" w:hAnsi="仿宋" w:eastAsia="仿宋" w:cs="仿宋"/>
          <w:color w:val="auto"/>
          <w:szCs w:val="24"/>
          <w:highlight w:val="none"/>
        </w:rPr>
        <w:br w:type="page"/>
      </w:r>
      <w:bookmarkStart w:id="292" w:name="_Toc331685784"/>
      <w:r>
        <w:rPr>
          <w:rFonts w:hint="eastAsia" w:ascii="仿宋" w:hAnsi="仿宋" w:eastAsia="仿宋" w:cs="仿宋"/>
          <w:b/>
          <w:color w:val="auto"/>
          <w:szCs w:val="24"/>
          <w:highlight w:val="none"/>
        </w:rPr>
        <w:t>第三部分  合同专用条款</w:t>
      </w:r>
      <w:bookmarkEnd w:id="292"/>
    </w:p>
    <w:p w14:paraId="1949B988">
      <w:pPr>
        <w:spacing w:line="560" w:lineRule="exact"/>
        <w:ind w:firstLine="480" w:firstLineChars="200"/>
        <w:rPr>
          <w:rFonts w:hint="eastAsia" w:ascii="仿宋" w:hAnsi="仿宋" w:eastAsia="仿宋" w:cs="仿宋"/>
          <w:color w:val="auto"/>
          <w:sz w:val="24"/>
          <w:highlight w:val="none"/>
        </w:rPr>
      </w:pPr>
    </w:p>
    <w:tbl>
      <w:tblPr>
        <w:tblStyle w:val="42"/>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4EA9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vAlign w:val="center"/>
          </w:tcPr>
          <w:p w14:paraId="3C7653D5">
            <w:pPr>
              <w:pStyle w:val="19"/>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7232" w:type="dxa"/>
            <w:vAlign w:val="center"/>
          </w:tcPr>
          <w:p w14:paraId="3CEC1FB4">
            <w:pPr>
              <w:pStyle w:val="19"/>
              <w:jc w:val="center"/>
              <w:rPr>
                <w:rFonts w:hint="eastAsia" w:ascii="仿宋" w:hAnsi="仿宋" w:eastAsia="仿宋" w:cs="仿宋"/>
                <w:b/>
                <w:color w:val="auto"/>
                <w:highlight w:val="none"/>
              </w:rPr>
            </w:pPr>
            <w:r>
              <w:rPr>
                <w:rFonts w:hint="eastAsia" w:ascii="仿宋" w:hAnsi="仿宋" w:eastAsia="仿宋" w:cs="仿宋"/>
                <w:b/>
                <w:color w:val="auto"/>
                <w:highlight w:val="none"/>
              </w:rPr>
              <w:t>内　　容</w:t>
            </w:r>
          </w:p>
        </w:tc>
      </w:tr>
      <w:tr w14:paraId="368F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vAlign w:val="center"/>
          </w:tcPr>
          <w:p w14:paraId="783E12B9">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7232" w:type="dxa"/>
            <w:vAlign w:val="center"/>
          </w:tcPr>
          <w:p w14:paraId="45812955">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合同名称：</w:t>
            </w:r>
          </w:p>
          <w:p w14:paraId="63FF4286">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合同编号：</w:t>
            </w:r>
          </w:p>
        </w:tc>
      </w:tr>
      <w:tr w14:paraId="650C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vAlign w:val="center"/>
          </w:tcPr>
          <w:p w14:paraId="055754B5">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7232" w:type="dxa"/>
            <w:vAlign w:val="center"/>
          </w:tcPr>
          <w:p w14:paraId="49036821">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甲方名称：</w:t>
            </w:r>
          </w:p>
        </w:tc>
      </w:tr>
      <w:tr w14:paraId="164B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vAlign w:val="center"/>
          </w:tcPr>
          <w:p w14:paraId="518F150A">
            <w:pPr>
              <w:pStyle w:val="19"/>
              <w:jc w:val="center"/>
              <w:rPr>
                <w:rFonts w:hint="eastAsia" w:ascii="仿宋" w:hAnsi="仿宋" w:eastAsia="仿宋" w:cs="仿宋"/>
                <w:color w:val="auto"/>
                <w:highlight w:val="none"/>
              </w:rPr>
            </w:pPr>
          </w:p>
        </w:tc>
        <w:tc>
          <w:tcPr>
            <w:tcW w:w="7232" w:type="dxa"/>
            <w:vAlign w:val="center"/>
          </w:tcPr>
          <w:p w14:paraId="069C1B86">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甲方地址：</w:t>
            </w:r>
          </w:p>
        </w:tc>
      </w:tr>
      <w:tr w14:paraId="15CD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vAlign w:val="center"/>
          </w:tcPr>
          <w:p w14:paraId="4E600052">
            <w:pPr>
              <w:pStyle w:val="19"/>
              <w:jc w:val="center"/>
              <w:rPr>
                <w:rFonts w:hint="eastAsia" w:ascii="仿宋" w:hAnsi="仿宋" w:eastAsia="仿宋" w:cs="仿宋"/>
                <w:color w:val="auto"/>
                <w:highlight w:val="none"/>
              </w:rPr>
            </w:pPr>
          </w:p>
        </w:tc>
        <w:tc>
          <w:tcPr>
            <w:tcW w:w="7232" w:type="dxa"/>
            <w:vAlign w:val="center"/>
          </w:tcPr>
          <w:p w14:paraId="2F0C1038">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甲方联系人：　　　电话：</w:t>
            </w:r>
          </w:p>
        </w:tc>
      </w:tr>
      <w:tr w14:paraId="1A76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vAlign w:val="center"/>
          </w:tcPr>
          <w:p w14:paraId="5AEABA84">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7232" w:type="dxa"/>
            <w:vAlign w:val="center"/>
          </w:tcPr>
          <w:p w14:paraId="767F4FFE">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乙方名称：</w:t>
            </w:r>
          </w:p>
        </w:tc>
      </w:tr>
      <w:tr w14:paraId="3180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vAlign w:val="center"/>
          </w:tcPr>
          <w:p w14:paraId="58BA7FE3">
            <w:pPr>
              <w:pStyle w:val="19"/>
              <w:jc w:val="center"/>
              <w:rPr>
                <w:rFonts w:hint="eastAsia" w:ascii="仿宋" w:hAnsi="仿宋" w:eastAsia="仿宋" w:cs="仿宋"/>
                <w:color w:val="auto"/>
                <w:highlight w:val="none"/>
              </w:rPr>
            </w:pPr>
          </w:p>
        </w:tc>
        <w:tc>
          <w:tcPr>
            <w:tcW w:w="7232" w:type="dxa"/>
            <w:vAlign w:val="center"/>
          </w:tcPr>
          <w:p w14:paraId="7545DD74">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乙方地址：</w:t>
            </w:r>
          </w:p>
        </w:tc>
      </w:tr>
      <w:tr w14:paraId="4568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vAlign w:val="center"/>
          </w:tcPr>
          <w:p w14:paraId="726024E8">
            <w:pPr>
              <w:pStyle w:val="19"/>
              <w:jc w:val="center"/>
              <w:rPr>
                <w:rFonts w:hint="eastAsia" w:ascii="仿宋" w:hAnsi="仿宋" w:eastAsia="仿宋" w:cs="仿宋"/>
                <w:color w:val="auto"/>
                <w:highlight w:val="none"/>
              </w:rPr>
            </w:pPr>
          </w:p>
        </w:tc>
        <w:tc>
          <w:tcPr>
            <w:tcW w:w="7232" w:type="dxa"/>
            <w:vAlign w:val="center"/>
          </w:tcPr>
          <w:p w14:paraId="493D713D">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乙方联系人：　　　电话：</w:t>
            </w:r>
          </w:p>
        </w:tc>
      </w:tr>
      <w:tr w14:paraId="34CA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vAlign w:val="center"/>
          </w:tcPr>
          <w:p w14:paraId="75D96D9B">
            <w:pPr>
              <w:pStyle w:val="19"/>
              <w:jc w:val="center"/>
              <w:rPr>
                <w:rFonts w:hint="eastAsia" w:ascii="仿宋" w:hAnsi="仿宋" w:eastAsia="仿宋" w:cs="仿宋"/>
                <w:color w:val="auto"/>
                <w:highlight w:val="none"/>
              </w:rPr>
            </w:pPr>
          </w:p>
        </w:tc>
        <w:tc>
          <w:tcPr>
            <w:tcW w:w="7232" w:type="dxa"/>
            <w:vAlign w:val="center"/>
          </w:tcPr>
          <w:p w14:paraId="59B22231">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乙方开户银行名称：</w:t>
            </w:r>
          </w:p>
          <w:p w14:paraId="4533E1E3">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账号：</w:t>
            </w:r>
          </w:p>
        </w:tc>
      </w:tr>
      <w:tr w14:paraId="3D07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14:paraId="7198B7F0">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7232" w:type="dxa"/>
            <w:vAlign w:val="center"/>
          </w:tcPr>
          <w:p w14:paraId="1AD01A34">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合同金额：</w:t>
            </w:r>
          </w:p>
        </w:tc>
      </w:tr>
      <w:tr w14:paraId="4775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7FA0886C">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7232" w:type="dxa"/>
            <w:vAlign w:val="center"/>
          </w:tcPr>
          <w:p w14:paraId="3BD1D766">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合同履行期限：</w:t>
            </w:r>
          </w:p>
        </w:tc>
      </w:tr>
      <w:tr w14:paraId="1EFD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vAlign w:val="center"/>
          </w:tcPr>
          <w:p w14:paraId="172784C0">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7232" w:type="dxa"/>
            <w:vAlign w:val="center"/>
          </w:tcPr>
          <w:p w14:paraId="72D888DC">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服务履行期：</w:t>
            </w:r>
          </w:p>
        </w:tc>
      </w:tr>
      <w:tr w14:paraId="57CD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vAlign w:val="center"/>
          </w:tcPr>
          <w:p w14:paraId="3A695C77">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7232" w:type="dxa"/>
            <w:vAlign w:val="center"/>
          </w:tcPr>
          <w:p w14:paraId="6EDA8C09">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验收方式及标准：</w:t>
            </w:r>
          </w:p>
        </w:tc>
      </w:tr>
      <w:tr w14:paraId="3F6D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vAlign w:val="center"/>
          </w:tcPr>
          <w:p w14:paraId="53FD9EDC">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7232" w:type="dxa"/>
            <w:vAlign w:val="center"/>
          </w:tcPr>
          <w:p w14:paraId="340E8F07">
            <w:pPr>
              <w:pStyle w:val="19"/>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付款方式：</w:t>
            </w:r>
          </w:p>
          <w:p w14:paraId="4BEEECC1">
            <w:pPr>
              <w:pStyle w:val="19"/>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1.本合同以人民币付款。</w:t>
            </w:r>
          </w:p>
          <w:p w14:paraId="0C419F22">
            <w:pPr>
              <w:pStyle w:val="19"/>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2.付款计划安排：</w:t>
            </w:r>
          </w:p>
        </w:tc>
      </w:tr>
      <w:tr w14:paraId="493E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vAlign w:val="center"/>
          </w:tcPr>
          <w:p w14:paraId="05B44440">
            <w:pPr>
              <w:pStyle w:val="19"/>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7232" w:type="dxa"/>
            <w:vAlign w:val="center"/>
          </w:tcPr>
          <w:p w14:paraId="3E2CED07">
            <w:pPr>
              <w:pStyle w:val="19"/>
              <w:jc w:val="left"/>
              <w:rPr>
                <w:rFonts w:hint="eastAsia" w:ascii="仿宋" w:hAnsi="仿宋" w:eastAsia="仿宋" w:cs="仿宋"/>
                <w:color w:val="auto"/>
                <w:highlight w:val="none"/>
              </w:rPr>
            </w:pPr>
            <w:r>
              <w:rPr>
                <w:rFonts w:hint="eastAsia" w:ascii="仿宋" w:hAnsi="仿宋" w:eastAsia="仿宋" w:cs="仿宋"/>
                <w:color w:val="auto"/>
                <w:highlight w:val="none"/>
              </w:rPr>
              <w:t>履约保证金及其返还：</w:t>
            </w:r>
          </w:p>
        </w:tc>
      </w:tr>
    </w:tbl>
    <w:p w14:paraId="7CE98CC5">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b/>
          <w:color w:val="auto"/>
          <w:sz w:val="24"/>
          <w:szCs w:val="24"/>
          <w:highlight w:val="none"/>
        </w:rPr>
      </w:pPr>
    </w:p>
    <w:p w14:paraId="173AD637">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b/>
          <w:color w:val="auto"/>
          <w:sz w:val="24"/>
          <w:szCs w:val="24"/>
          <w:highlight w:val="none"/>
        </w:rPr>
      </w:pPr>
    </w:p>
    <w:p w14:paraId="69E387A8">
      <w:pPr>
        <w:keepNext w:val="0"/>
        <w:keepLines w:val="0"/>
        <w:pageBreakBefore w:val="0"/>
        <w:kinsoku/>
        <w:wordWrap/>
        <w:overflowPunct/>
        <w:topLinePunct w:val="0"/>
        <w:bidi w:val="0"/>
        <w:spacing w:line="360" w:lineRule="auto"/>
        <w:ind w:firstLine="480" w:firstLineChars="200"/>
        <w:textAlignment w:val="auto"/>
        <w:outlineLvl w:val="9"/>
        <w:rPr>
          <w:rFonts w:hint="eastAsia" w:ascii="仿宋" w:hAnsi="仿宋" w:eastAsia="仿宋" w:cs="仿宋"/>
          <w:color w:val="auto"/>
          <w:sz w:val="24"/>
          <w:szCs w:val="24"/>
          <w:highlight w:val="none"/>
        </w:rPr>
      </w:pPr>
    </w:p>
    <w:p w14:paraId="725A0AEA">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（仅供参考，具体以实际签订的内容为准）</w:t>
      </w:r>
      <w:bookmarkEnd w:id="38"/>
    </w:p>
    <w:p w14:paraId="51F62649">
      <w:pPr>
        <w:pStyle w:val="14"/>
        <w:keepNext w:val="0"/>
        <w:keepLines w:val="0"/>
        <w:pageBreakBefore w:val="0"/>
        <w:kinsoku/>
        <w:wordWrap/>
        <w:overflowPunct/>
        <w:topLinePunct w:val="0"/>
        <w:bidi w:val="0"/>
        <w:textAlignment w:val="auto"/>
        <w:outlineLvl w:val="9"/>
        <w:rPr>
          <w:rFonts w:hint="eastAsia" w:ascii="仿宋" w:hAnsi="仿宋" w:eastAsia="仿宋" w:cs="仿宋"/>
          <w:color w:val="auto"/>
          <w:highlight w:val="none"/>
          <w:shd w:val="clear" w:color="auto" w:fill="FFFFFF" w:themeFill="background1"/>
        </w:rPr>
      </w:pPr>
    </w:p>
    <w:p w14:paraId="486995C4">
      <w:pPr>
        <w:keepNext w:val="0"/>
        <w:keepLines w:val="0"/>
        <w:pageBreakBefore w:val="0"/>
        <w:widowControl/>
        <w:kinsoku/>
        <w:wordWrap/>
        <w:overflowPunct/>
        <w:topLinePunct w:val="0"/>
        <w:bidi w:val="0"/>
        <w:jc w:val="left"/>
        <w:textAlignment w:val="auto"/>
        <w:outlineLvl w:val="9"/>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50502A7">
      <w:pPr>
        <w:pStyle w:val="14"/>
        <w:numPr>
          <w:ilvl w:val="0"/>
          <w:numId w:val="0"/>
        </w:numPr>
        <w:jc w:val="center"/>
        <w:outlineLvl w:val="0"/>
        <w:rPr>
          <w:rFonts w:hint="eastAsia" w:ascii="仿宋" w:hAnsi="仿宋" w:eastAsia="仿宋" w:cs="仿宋"/>
          <w:b/>
          <w:color w:val="auto"/>
          <w:szCs w:val="24"/>
          <w:highlight w:val="none"/>
        </w:rPr>
      </w:pPr>
      <w:bookmarkStart w:id="293" w:name="_Toc6849"/>
      <w:r>
        <w:rPr>
          <w:rFonts w:hint="eastAsia" w:ascii="仿宋" w:hAnsi="仿宋" w:eastAsia="仿宋" w:cs="仿宋"/>
          <w:b/>
          <w:color w:val="auto"/>
          <w:kern w:val="0"/>
          <w:sz w:val="24"/>
          <w:szCs w:val="24"/>
          <w:highlight w:val="none"/>
          <w:lang w:val="en-US" w:eastAsia="zh-CN" w:bidi="ar-SA"/>
        </w:rPr>
        <w:t xml:space="preserve">第四章 </w:t>
      </w:r>
      <w:r>
        <w:rPr>
          <w:rFonts w:hint="eastAsia" w:ascii="仿宋" w:hAnsi="仿宋" w:eastAsia="仿宋" w:cs="仿宋"/>
          <w:b/>
          <w:color w:val="auto"/>
          <w:szCs w:val="24"/>
          <w:highlight w:val="none"/>
        </w:rPr>
        <w:t>服务标准和要求</w:t>
      </w:r>
      <w:bookmarkEnd w:id="293"/>
      <w:bookmarkStart w:id="294" w:name="_Toc138638773"/>
      <w:bookmarkEnd w:id="294"/>
      <w:bookmarkStart w:id="295" w:name="_合同文件的组成及解释顺序"/>
      <w:bookmarkEnd w:id="295"/>
      <w:bookmarkStart w:id="296" w:name="_Toc138638510"/>
      <w:bookmarkEnd w:id="296"/>
      <w:bookmarkStart w:id="297" w:name="_Toc138638702"/>
      <w:bookmarkEnd w:id="297"/>
      <w:bookmarkStart w:id="298" w:name="_Toc138638906"/>
      <w:bookmarkEnd w:id="298"/>
      <w:bookmarkStart w:id="299" w:name="_Toc138639074"/>
      <w:bookmarkEnd w:id="299"/>
      <w:bookmarkStart w:id="300" w:name="_Toc138638910"/>
      <w:bookmarkEnd w:id="300"/>
      <w:bookmarkStart w:id="301" w:name="_Toc138638907"/>
      <w:bookmarkEnd w:id="301"/>
      <w:bookmarkStart w:id="302" w:name="_Toc138638509"/>
      <w:bookmarkEnd w:id="302"/>
      <w:bookmarkStart w:id="303" w:name="_Toc138638538"/>
      <w:bookmarkEnd w:id="303"/>
      <w:bookmarkStart w:id="304" w:name="_Toc138639090"/>
      <w:bookmarkEnd w:id="304"/>
      <w:bookmarkStart w:id="305" w:name="_Toc138639145"/>
      <w:bookmarkEnd w:id="305"/>
      <w:bookmarkStart w:id="306" w:name="_Toc138638719"/>
      <w:bookmarkEnd w:id="306"/>
      <w:bookmarkStart w:id="307" w:name="_Toc138638883"/>
      <w:bookmarkEnd w:id="307"/>
      <w:bookmarkStart w:id="308" w:name="_Toc138638534"/>
      <w:bookmarkEnd w:id="308"/>
      <w:bookmarkStart w:id="309" w:name="_Toc138639091"/>
      <w:bookmarkEnd w:id="309"/>
      <w:bookmarkStart w:id="310" w:name="_Toc138638884"/>
      <w:bookmarkEnd w:id="310"/>
      <w:bookmarkStart w:id="311" w:name="_Toc138638535"/>
      <w:bookmarkEnd w:id="311"/>
      <w:bookmarkStart w:id="312" w:name="_Toc138638718"/>
      <w:bookmarkEnd w:id="312"/>
    </w:p>
    <w:p w14:paraId="3CF6D8CE">
      <w:pPr>
        <w:spacing w:line="360" w:lineRule="auto"/>
        <w:jc w:val="center"/>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单项目限价</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1"/>
        <w:gridCol w:w="2757"/>
        <w:gridCol w:w="3701"/>
        <w:gridCol w:w="1553"/>
      </w:tblGrid>
      <w:tr w14:paraId="361B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299" w:type="pct"/>
            <w:shd w:val="clear" w:color="auto" w:fill="auto"/>
            <w:vAlign w:val="center"/>
          </w:tcPr>
          <w:p w14:paraId="6E158E85">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bookmarkStart w:id="313" w:name="_Toc531016893"/>
            <w:r>
              <w:rPr>
                <w:rFonts w:hint="eastAsia" w:ascii="仿宋" w:hAnsi="仿宋" w:eastAsia="仿宋" w:cs="仿宋"/>
                <w:b/>
                <w:bCs/>
                <w:i w:val="0"/>
                <w:iCs w:val="0"/>
                <w:color w:val="auto"/>
                <w:kern w:val="0"/>
                <w:sz w:val="24"/>
                <w:szCs w:val="24"/>
                <w:highlight w:val="none"/>
                <w:u w:val="none"/>
                <w:lang w:val="en-US" w:eastAsia="zh-CN" w:bidi="ar"/>
              </w:rPr>
              <w:t>序号</w:t>
            </w:r>
          </w:p>
        </w:tc>
        <w:tc>
          <w:tcPr>
            <w:tcW w:w="1617" w:type="pct"/>
            <w:shd w:val="clear" w:color="auto" w:fill="auto"/>
            <w:noWrap/>
            <w:vAlign w:val="center"/>
          </w:tcPr>
          <w:p w14:paraId="49CC3140">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标项名称</w:t>
            </w:r>
          </w:p>
        </w:tc>
        <w:tc>
          <w:tcPr>
            <w:tcW w:w="2171" w:type="pct"/>
            <w:shd w:val="clear" w:color="auto" w:fill="auto"/>
            <w:noWrap/>
            <w:vAlign w:val="center"/>
          </w:tcPr>
          <w:p w14:paraId="5505A166">
            <w:pPr>
              <w:keepNext w:val="0"/>
              <w:keepLines w:val="0"/>
              <w:widowControl/>
              <w:suppressLineNumbers w:val="0"/>
              <w:spacing w:line="360" w:lineRule="auto"/>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服务内容</w:t>
            </w:r>
          </w:p>
        </w:tc>
        <w:tc>
          <w:tcPr>
            <w:tcW w:w="911" w:type="pct"/>
            <w:shd w:val="clear" w:color="auto" w:fill="auto"/>
            <w:noWrap/>
            <w:vAlign w:val="bottom"/>
          </w:tcPr>
          <w:p w14:paraId="374F6758">
            <w:pPr>
              <w:keepNext w:val="0"/>
              <w:keepLines w:val="0"/>
              <w:widowControl/>
              <w:suppressLineNumbers w:val="0"/>
              <w:spacing w:line="360" w:lineRule="auto"/>
              <w:jc w:val="center"/>
              <w:textAlignment w:val="bottom"/>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sz w:val="24"/>
                <w:szCs w:val="24"/>
                <w:highlight w:val="none"/>
                <w:u w:val="none"/>
                <w:lang w:val="en-US" w:eastAsia="zh-CN"/>
              </w:rPr>
              <w:t>单项目限价金额（万元）</w:t>
            </w:r>
          </w:p>
        </w:tc>
      </w:tr>
      <w:tr w14:paraId="3F12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9" w:hRule="atLeast"/>
          <w:jc w:val="center"/>
        </w:trPr>
        <w:tc>
          <w:tcPr>
            <w:tcW w:w="299" w:type="pct"/>
            <w:shd w:val="clear" w:color="auto" w:fill="auto"/>
            <w:vAlign w:val="center"/>
          </w:tcPr>
          <w:p w14:paraId="1A360EB8">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617" w:type="pct"/>
            <w:vMerge w:val="restart"/>
            <w:shd w:val="clear" w:color="auto" w:fill="auto"/>
            <w:noWrap/>
            <w:vAlign w:val="center"/>
          </w:tcPr>
          <w:p w14:paraId="3B372C1B">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color w:val="auto"/>
                <w:kern w:val="0"/>
                <w:sz w:val="24"/>
                <w:szCs w:val="24"/>
                <w:highlight w:val="none"/>
                <w:lang w:eastAsia="zh-CN"/>
              </w:rPr>
              <w:t>新疆维吾尔自治区地质局昌吉地质大队2026年机械租赁服务项目（槽探开挖及回填、道路平整及维护）</w:t>
            </w:r>
            <w:r>
              <w:rPr>
                <w:rFonts w:hint="eastAsia" w:ascii="仿宋" w:hAnsi="仿宋" w:eastAsia="仿宋" w:cs="仿宋"/>
                <w:color w:val="auto"/>
                <w:kern w:val="0"/>
                <w:sz w:val="24"/>
                <w:szCs w:val="24"/>
                <w:highlight w:val="none"/>
                <w:lang w:val="en-US" w:eastAsia="zh-CN"/>
              </w:rPr>
              <w:t>1包</w:t>
            </w:r>
          </w:p>
        </w:tc>
        <w:tc>
          <w:tcPr>
            <w:tcW w:w="2171" w:type="pct"/>
            <w:shd w:val="clear" w:color="auto" w:fill="auto"/>
            <w:noWrap/>
            <w:vAlign w:val="center"/>
          </w:tcPr>
          <w:p w14:paraId="4991225B">
            <w:pPr>
              <w:widowControl/>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kern w:val="0"/>
                <w:sz w:val="24"/>
                <w:szCs w:val="24"/>
                <w:highlight w:val="none"/>
                <w:lang w:bidi="ar"/>
              </w:rPr>
              <w:t>新疆</w:t>
            </w:r>
            <w:r>
              <w:rPr>
                <w:rFonts w:hint="eastAsia" w:ascii="仿宋" w:hAnsi="仿宋" w:eastAsia="仿宋" w:cs="仿宋"/>
                <w:kern w:val="0"/>
                <w:sz w:val="24"/>
                <w:szCs w:val="24"/>
                <w:highlight w:val="none"/>
                <w:lang w:val="en-US" w:eastAsia="zh-CN" w:bidi="ar"/>
              </w:rPr>
              <w:t>和静县乌龙沟一带铜锌矿</w:t>
            </w:r>
            <w:r>
              <w:rPr>
                <w:rFonts w:hint="eastAsia" w:ascii="仿宋" w:hAnsi="仿宋" w:eastAsia="仿宋" w:cs="仿宋"/>
                <w:kern w:val="0"/>
                <w:sz w:val="24"/>
                <w:szCs w:val="24"/>
                <w:highlight w:val="none"/>
                <w:lang w:bidi="ar"/>
              </w:rPr>
              <w:t>普查</w:t>
            </w:r>
          </w:p>
        </w:tc>
        <w:tc>
          <w:tcPr>
            <w:tcW w:w="911" w:type="pct"/>
            <w:shd w:val="clear" w:color="auto" w:fill="auto"/>
            <w:noWrap/>
            <w:vAlign w:val="center"/>
          </w:tcPr>
          <w:p w14:paraId="1CAD2DFF">
            <w:pPr>
              <w:widowControl/>
              <w:spacing w:line="360" w:lineRule="auto"/>
              <w:jc w:val="center"/>
              <w:textAlignment w:val="bottom"/>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kern w:val="0"/>
                <w:sz w:val="24"/>
                <w:szCs w:val="24"/>
                <w:highlight w:val="none"/>
                <w:lang w:val="en-US" w:eastAsia="zh-CN" w:bidi="ar"/>
              </w:rPr>
              <w:t>87.79</w:t>
            </w:r>
          </w:p>
        </w:tc>
      </w:tr>
      <w:tr w14:paraId="47FB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99" w:type="pct"/>
            <w:shd w:val="clear" w:color="auto" w:fill="auto"/>
            <w:vAlign w:val="center"/>
          </w:tcPr>
          <w:p w14:paraId="51EA9B51">
            <w:pPr>
              <w:keepNext w:val="0"/>
              <w:keepLines w:val="0"/>
              <w:widowControl/>
              <w:suppressLineNumbers w:val="0"/>
              <w:spacing w:line="360" w:lineRule="auto"/>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w:t>
            </w:r>
          </w:p>
        </w:tc>
        <w:tc>
          <w:tcPr>
            <w:tcW w:w="1617" w:type="pct"/>
            <w:vMerge w:val="continue"/>
            <w:shd w:val="clear" w:color="auto" w:fill="auto"/>
            <w:noWrap/>
            <w:vAlign w:val="center"/>
          </w:tcPr>
          <w:p w14:paraId="3257FC78">
            <w:pPr>
              <w:keepNext w:val="0"/>
              <w:keepLines w:val="0"/>
              <w:widowControl/>
              <w:suppressLineNumbers w:val="0"/>
              <w:spacing w:line="360" w:lineRule="auto"/>
              <w:jc w:val="center"/>
              <w:textAlignment w:val="center"/>
              <w:rPr>
                <w:rFonts w:hint="eastAsia" w:ascii="仿宋" w:hAnsi="仿宋" w:eastAsia="仿宋" w:cs="仿宋"/>
                <w:color w:val="auto"/>
                <w:kern w:val="0"/>
                <w:sz w:val="24"/>
                <w:szCs w:val="24"/>
                <w:highlight w:val="none"/>
                <w:lang w:eastAsia="zh-CN"/>
              </w:rPr>
            </w:pPr>
          </w:p>
        </w:tc>
        <w:tc>
          <w:tcPr>
            <w:tcW w:w="2171" w:type="pct"/>
            <w:shd w:val="clear" w:color="auto" w:fill="auto"/>
            <w:noWrap/>
            <w:vAlign w:val="center"/>
          </w:tcPr>
          <w:p w14:paraId="0632B484">
            <w:pPr>
              <w:widowControl/>
              <w:spacing w:line="360" w:lineRule="auto"/>
              <w:jc w:val="left"/>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lang w:bidi="ar"/>
              </w:rPr>
              <w:t>新疆和静县-托克逊县乌拉苏-阿拉沟一带金铜多金属矿普查</w:t>
            </w:r>
          </w:p>
        </w:tc>
        <w:tc>
          <w:tcPr>
            <w:tcW w:w="911" w:type="pct"/>
            <w:shd w:val="clear" w:color="auto" w:fill="auto"/>
            <w:noWrap/>
            <w:vAlign w:val="center"/>
          </w:tcPr>
          <w:p w14:paraId="38A61729">
            <w:pPr>
              <w:widowControl/>
              <w:spacing w:line="360" w:lineRule="auto"/>
              <w:jc w:val="center"/>
              <w:textAlignment w:val="bottom"/>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20</w:t>
            </w:r>
          </w:p>
        </w:tc>
      </w:tr>
      <w:tr w14:paraId="6176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jc w:val="center"/>
        </w:trPr>
        <w:tc>
          <w:tcPr>
            <w:tcW w:w="299" w:type="pct"/>
            <w:shd w:val="clear" w:color="auto" w:fill="auto"/>
            <w:vAlign w:val="center"/>
          </w:tcPr>
          <w:p w14:paraId="45828727">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3</w:t>
            </w:r>
          </w:p>
        </w:tc>
        <w:tc>
          <w:tcPr>
            <w:tcW w:w="1617" w:type="pct"/>
            <w:vMerge w:val="continue"/>
            <w:shd w:val="clear" w:color="auto" w:fill="auto"/>
            <w:noWrap/>
            <w:vAlign w:val="center"/>
          </w:tcPr>
          <w:p w14:paraId="3F115B60">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sz w:val="24"/>
                <w:szCs w:val="24"/>
                <w:highlight w:val="none"/>
                <w:u w:val="none"/>
              </w:rPr>
            </w:pPr>
          </w:p>
        </w:tc>
        <w:tc>
          <w:tcPr>
            <w:tcW w:w="2171" w:type="pct"/>
            <w:shd w:val="clear" w:color="auto" w:fill="auto"/>
            <w:noWrap/>
            <w:vAlign w:val="center"/>
          </w:tcPr>
          <w:p w14:paraId="6D9E5FBF">
            <w:pPr>
              <w:widowControl/>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kern w:val="0"/>
                <w:sz w:val="24"/>
                <w:szCs w:val="24"/>
                <w:highlight w:val="none"/>
                <w:lang w:bidi="ar"/>
              </w:rPr>
              <w:t>新疆</w:t>
            </w:r>
            <w:r>
              <w:rPr>
                <w:rFonts w:hint="eastAsia" w:ascii="仿宋" w:hAnsi="仿宋" w:eastAsia="仿宋" w:cs="仿宋"/>
                <w:kern w:val="0"/>
                <w:sz w:val="24"/>
                <w:szCs w:val="24"/>
                <w:highlight w:val="none"/>
                <w:lang w:eastAsia="zh-CN" w:bidi="ar"/>
              </w:rPr>
              <w:t>民丰县硝尔库勒</w:t>
            </w:r>
            <w:r>
              <w:rPr>
                <w:rFonts w:hint="eastAsia" w:ascii="仿宋" w:hAnsi="仿宋" w:eastAsia="仿宋" w:cs="仿宋"/>
                <w:kern w:val="0"/>
                <w:sz w:val="24"/>
                <w:szCs w:val="24"/>
                <w:highlight w:val="none"/>
                <w:lang w:val="en-US" w:eastAsia="zh-CN" w:bidi="ar"/>
              </w:rPr>
              <w:t>-红土滩外围锑矿</w:t>
            </w:r>
            <w:r>
              <w:rPr>
                <w:rFonts w:hint="eastAsia" w:ascii="仿宋" w:hAnsi="仿宋" w:eastAsia="仿宋" w:cs="仿宋"/>
                <w:kern w:val="0"/>
                <w:sz w:val="24"/>
                <w:szCs w:val="24"/>
                <w:highlight w:val="none"/>
                <w:lang w:bidi="ar"/>
              </w:rPr>
              <w:t>普查</w:t>
            </w:r>
          </w:p>
        </w:tc>
        <w:tc>
          <w:tcPr>
            <w:tcW w:w="911" w:type="pct"/>
            <w:shd w:val="clear" w:color="auto" w:fill="auto"/>
            <w:noWrap/>
            <w:vAlign w:val="center"/>
          </w:tcPr>
          <w:p w14:paraId="571C2150">
            <w:pPr>
              <w:widowControl/>
              <w:spacing w:line="360" w:lineRule="auto"/>
              <w:jc w:val="center"/>
              <w:textAlignment w:val="bottom"/>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kern w:val="0"/>
                <w:sz w:val="24"/>
                <w:szCs w:val="24"/>
                <w:highlight w:val="none"/>
                <w:lang w:val="en-US" w:eastAsia="zh-CN" w:bidi="ar"/>
              </w:rPr>
              <w:t>10</w:t>
            </w:r>
          </w:p>
        </w:tc>
      </w:tr>
      <w:tr w14:paraId="0E8D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99" w:type="pct"/>
            <w:shd w:val="clear" w:color="auto" w:fill="auto"/>
            <w:vAlign w:val="center"/>
          </w:tcPr>
          <w:p w14:paraId="27332E50">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4</w:t>
            </w:r>
          </w:p>
        </w:tc>
        <w:tc>
          <w:tcPr>
            <w:tcW w:w="1617" w:type="pct"/>
            <w:vMerge w:val="restart"/>
            <w:shd w:val="clear" w:color="auto" w:fill="auto"/>
            <w:noWrap/>
            <w:vAlign w:val="center"/>
          </w:tcPr>
          <w:p w14:paraId="0E3CED23">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color w:val="auto"/>
                <w:kern w:val="0"/>
                <w:sz w:val="24"/>
                <w:szCs w:val="24"/>
                <w:highlight w:val="none"/>
                <w:lang w:eastAsia="zh-CN"/>
              </w:rPr>
              <w:t>新疆维吾尔自治区地质局昌吉地质大队2026年机械租赁服务项目（槽探开挖及回填、道路平整及维护）</w:t>
            </w:r>
            <w:r>
              <w:rPr>
                <w:rFonts w:hint="eastAsia" w:ascii="仿宋" w:hAnsi="仿宋" w:eastAsia="仿宋" w:cs="仿宋"/>
                <w:color w:val="auto"/>
                <w:kern w:val="0"/>
                <w:sz w:val="24"/>
                <w:szCs w:val="24"/>
                <w:highlight w:val="none"/>
                <w:lang w:val="en-US" w:eastAsia="zh-CN"/>
              </w:rPr>
              <w:t>2包</w:t>
            </w:r>
          </w:p>
        </w:tc>
        <w:tc>
          <w:tcPr>
            <w:tcW w:w="2171" w:type="pct"/>
            <w:shd w:val="clear" w:color="auto" w:fill="auto"/>
            <w:noWrap/>
            <w:vAlign w:val="center"/>
          </w:tcPr>
          <w:p w14:paraId="26E12EAE">
            <w:pPr>
              <w:widowControl/>
              <w:spacing w:line="360" w:lineRule="auto"/>
              <w:jc w:val="left"/>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lang w:bidi="ar"/>
              </w:rPr>
              <w:t>新疆博乐市阿拉山口西钨锡矿普查探槽施工及回填</w:t>
            </w:r>
          </w:p>
        </w:tc>
        <w:tc>
          <w:tcPr>
            <w:tcW w:w="911" w:type="pct"/>
            <w:shd w:val="clear" w:color="auto" w:fill="auto"/>
            <w:noWrap/>
            <w:vAlign w:val="center"/>
          </w:tcPr>
          <w:p w14:paraId="14511CB3">
            <w:pPr>
              <w:widowControl/>
              <w:spacing w:line="360" w:lineRule="auto"/>
              <w:jc w:val="center"/>
              <w:textAlignment w:val="bottom"/>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25</w:t>
            </w:r>
          </w:p>
        </w:tc>
      </w:tr>
      <w:tr w14:paraId="0EDC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99" w:type="pct"/>
            <w:shd w:val="clear" w:color="auto" w:fill="auto"/>
            <w:vAlign w:val="center"/>
          </w:tcPr>
          <w:p w14:paraId="192DD53E">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5</w:t>
            </w:r>
          </w:p>
        </w:tc>
        <w:tc>
          <w:tcPr>
            <w:tcW w:w="1617" w:type="pct"/>
            <w:vMerge w:val="continue"/>
            <w:shd w:val="clear" w:color="auto" w:fill="auto"/>
            <w:noWrap/>
            <w:vAlign w:val="center"/>
          </w:tcPr>
          <w:p w14:paraId="78283D07">
            <w:pPr>
              <w:keepNext w:val="0"/>
              <w:keepLines w:val="0"/>
              <w:widowControl/>
              <w:suppressLineNumbers w:val="0"/>
              <w:spacing w:line="360" w:lineRule="auto"/>
              <w:jc w:val="center"/>
              <w:textAlignment w:val="center"/>
              <w:rPr>
                <w:rFonts w:hint="eastAsia" w:ascii="仿宋" w:hAnsi="仿宋" w:eastAsia="仿宋" w:cs="仿宋"/>
                <w:color w:val="auto"/>
                <w:kern w:val="0"/>
                <w:sz w:val="24"/>
                <w:szCs w:val="24"/>
                <w:highlight w:val="none"/>
                <w:lang w:eastAsia="zh-CN"/>
              </w:rPr>
            </w:pPr>
          </w:p>
        </w:tc>
        <w:tc>
          <w:tcPr>
            <w:tcW w:w="2171" w:type="pct"/>
            <w:shd w:val="clear" w:color="auto" w:fill="auto"/>
            <w:noWrap/>
            <w:vAlign w:val="center"/>
          </w:tcPr>
          <w:p w14:paraId="249B859B">
            <w:pPr>
              <w:widowControl/>
              <w:spacing w:line="360" w:lineRule="auto"/>
              <w:jc w:val="left"/>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lang w:eastAsia="zh-CN" w:bidi="ar"/>
              </w:rPr>
              <w:t>新疆阿图什市喀拉别勒所一带铜矿调查评价</w:t>
            </w:r>
          </w:p>
        </w:tc>
        <w:tc>
          <w:tcPr>
            <w:tcW w:w="911" w:type="pct"/>
            <w:shd w:val="clear" w:color="auto" w:fill="auto"/>
            <w:noWrap/>
            <w:vAlign w:val="center"/>
          </w:tcPr>
          <w:p w14:paraId="21CFFF7D">
            <w:pPr>
              <w:widowControl/>
              <w:spacing w:line="360" w:lineRule="auto"/>
              <w:jc w:val="center"/>
              <w:textAlignment w:val="bottom"/>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31.98</w:t>
            </w:r>
          </w:p>
        </w:tc>
      </w:tr>
    </w:tbl>
    <w:p w14:paraId="5FBA4DC2">
      <w:pPr>
        <w:spacing w:line="360" w:lineRule="auto"/>
        <w:ind w:firstLine="482" w:firstLineChars="200"/>
        <w:rPr>
          <w:rFonts w:hint="eastAsia" w:ascii="仿宋" w:hAnsi="仿宋" w:eastAsia="仿宋" w:cs="仿宋"/>
          <w:b/>
          <w:color w:val="auto"/>
          <w:sz w:val="24"/>
          <w:szCs w:val="24"/>
          <w:highlight w:val="none"/>
          <w:lang w:val="en-US" w:eastAsia="zh-CN"/>
        </w:rPr>
      </w:pPr>
    </w:p>
    <w:p w14:paraId="57C54191">
      <w:pPr>
        <w:spacing w:line="360" w:lineRule="auto"/>
        <w:ind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注：投标人“投标价格明细表”须针对所投标项相对的服务内容分别报价，且不得超过单项目限价金额。</w:t>
      </w:r>
    </w:p>
    <w:p w14:paraId="0C795D3A">
      <w:pP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br w:type="page"/>
      </w:r>
    </w:p>
    <w:p w14:paraId="741E8436">
      <w:pPr>
        <w:spacing w:line="360" w:lineRule="auto"/>
        <w:outlineLvl w:val="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标项一</w:t>
      </w:r>
    </w:p>
    <w:p w14:paraId="15E603C0">
      <w:pPr>
        <w:spacing w:line="360" w:lineRule="auto"/>
        <w:outlineLvl w:val="2"/>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服务内容1：新疆和静县乌龙沟一带铜锌矿普查</w:t>
      </w:r>
    </w:p>
    <w:p w14:paraId="098FBDD8">
      <w:pPr>
        <w:numPr>
          <w:ilvl w:val="0"/>
          <w:numId w:val="0"/>
        </w:numPr>
        <w:spacing w:line="360" w:lineRule="auto"/>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项目基本信息</w:t>
      </w:r>
    </w:p>
    <w:p w14:paraId="0DED8D55">
      <w:pPr>
        <w:widowControl/>
        <w:numPr>
          <w:ilvl w:val="0"/>
          <w:numId w:val="0"/>
        </w:numPr>
        <w:spacing w:line="360" w:lineRule="auto"/>
        <w:jc w:val="left"/>
        <w:rPr>
          <w:rFonts w:hint="eastAsia" w:ascii="仿宋" w:hAnsi="仿宋" w:eastAsia="仿宋" w:cs="仿宋"/>
          <w:color w:val="auto"/>
          <w:kern w:val="0"/>
          <w:sz w:val="24"/>
          <w:szCs w:val="24"/>
          <w:highlight w:val="none"/>
          <w:lang w:eastAsia="zh-CN"/>
        </w:rPr>
      </w:pPr>
      <w:r>
        <w:rPr>
          <w:rFonts w:hint="eastAsia" w:ascii="仿宋" w:hAnsi="仿宋" w:eastAsia="仿宋" w:cs="仿宋"/>
          <w:b w:val="0"/>
          <w:bCs w:val="0"/>
          <w:sz w:val="24"/>
          <w:szCs w:val="24"/>
          <w:highlight w:val="none"/>
          <w:lang w:val="en-US" w:eastAsia="zh-CN"/>
        </w:rPr>
        <w:t>服务周期：</w:t>
      </w:r>
      <w:r>
        <w:rPr>
          <w:rFonts w:hint="eastAsia" w:ascii="仿宋" w:hAnsi="仿宋" w:eastAsia="仿宋" w:cs="仿宋"/>
          <w:color w:val="auto"/>
          <w:kern w:val="0"/>
          <w:sz w:val="24"/>
          <w:szCs w:val="24"/>
          <w:highlight w:val="none"/>
          <w:lang w:eastAsia="zh-CN"/>
        </w:rPr>
        <w:t>挖机</w:t>
      </w:r>
      <w:r>
        <w:rPr>
          <w:rFonts w:hint="eastAsia" w:ascii="仿宋" w:hAnsi="仿宋" w:eastAsia="仿宋" w:cs="仿宋"/>
          <w:color w:val="auto"/>
          <w:kern w:val="0"/>
          <w:sz w:val="24"/>
          <w:szCs w:val="24"/>
          <w:highlight w:val="none"/>
          <w:lang w:val="en-US" w:eastAsia="zh-CN"/>
        </w:rPr>
        <w:t>2026年0</w:t>
      </w:r>
      <w:r>
        <w:rPr>
          <w:rFonts w:hint="eastAsia" w:ascii="仿宋" w:hAnsi="仿宋" w:eastAsia="仿宋" w:cs="仿宋"/>
          <w:color w:val="auto"/>
          <w:kern w:val="0"/>
          <w:sz w:val="24"/>
          <w:szCs w:val="24"/>
          <w:highlight w:val="none"/>
          <w:lang w:eastAsia="zh-CN"/>
        </w:rPr>
        <w:t>7月</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lang w:val="en-US" w:eastAsia="zh-CN"/>
        </w:rPr>
        <w:t>日至2026年0</w:t>
      </w:r>
      <w:r>
        <w:rPr>
          <w:rFonts w:hint="eastAsia" w:ascii="仿宋" w:hAnsi="仿宋" w:eastAsia="仿宋" w:cs="仿宋"/>
          <w:color w:val="auto"/>
          <w:kern w:val="0"/>
          <w:sz w:val="24"/>
          <w:szCs w:val="24"/>
          <w:highlight w:val="none"/>
          <w:lang w:eastAsia="zh-CN"/>
        </w:rPr>
        <w:t>9月30</w:t>
      </w:r>
      <w:r>
        <w:rPr>
          <w:rFonts w:hint="eastAsia" w:ascii="仿宋" w:hAnsi="仿宋" w:eastAsia="仿宋" w:cs="仿宋"/>
          <w:color w:val="auto"/>
          <w:kern w:val="0"/>
          <w:sz w:val="24"/>
          <w:szCs w:val="24"/>
          <w:highlight w:val="none"/>
          <w:lang w:val="en-US" w:eastAsia="zh-CN"/>
        </w:rPr>
        <w:t>日</w:t>
      </w:r>
      <w:r>
        <w:rPr>
          <w:rFonts w:hint="eastAsia" w:ascii="仿宋" w:hAnsi="仿宋" w:eastAsia="仿宋" w:cs="仿宋"/>
          <w:color w:val="auto"/>
          <w:kern w:val="0"/>
          <w:sz w:val="24"/>
          <w:szCs w:val="24"/>
          <w:highlight w:val="none"/>
          <w:lang w:eastAsia="zh-CN"/>
        </w:rPr>
        <w:t>、</w:t>
      </w:r>
    </w:p>
    <w:p w14:paraId="14741AD8">
      <w:pPr>
        <w:widowControl/>
        <w:numPr>
          <w:ilvl w:val="0"/>
          <w:numId w:val="0"/>
        </w:numPr>
        <w:spacing w:line="360" w:lineRule="auto"/>
        <w:ind w:firstLine="1200" w:firstLineChars="5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铲车</w:t>
      </w:r>
      <w:r>
        <w:rPr>
          <w:rFonts w:hint="eastAsia" w:ascii="仿宋" w:hAnsi="仿宋" w:eastAsia="仿宋" w:cs="仿宋"/>
          <w:color w:val="auto"/>
          <w:kern w:val="0"/>
          <w:sz w:val="24"/>
          <w:szCs w:val="24"/>
          <w:highlight w:val="none"/>
          <w:lang w:val="en-US" w:eastAsia="zh-CN"/>
        </w:rPr>
        <w:t>2026年0</w:t>
      </w:r>
      <w:r>
        <w:rPr>
          <w:rFonts w:hint="eastAsia" w:ascii="仿宋" w:hAnsi="仿宋" w:eastAsia="仿宋" w:cs="仿宋"/>
          <w:color w:val="auto"/>
          <w:kern w:val="0"/>
          <w:sz w:val="24"/>
          <w:szCs w:val="24"/>
          <w:highlight w:val="none"/>
          <w:lang w:eastAsia="zh-CN"/>
        </w:rPr>
        <w:t>6月</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lang w:eastAsia="zh-CN"/>
        </w:rPr>
        <w:t>1</w:t>
      </w:r>
      <w:r>
        <w:rPr>
          <w:rFonts w:hint="eastAsia" w:ascii="仿宋" w:hAnsi="仿宋" w:eastAsia="仿宋" w:cs="仿宋"/>
          <w:color w:val="auto"/>
          <w:kern w:val="0"/>
          <w:sz w:val="24"/>
          <w:szCs w:val="24"/>
          <w:highlight w:val="none"/>
          <w:lang w:val="en-US" w:eastAsia="zh-CN"/>
        </w:rPr>
        <w:t>日</w:t>
      </w:r>
      <w:r>
        <w:rPr>
          <w:rFonts w:hint="eastAsia" w:ascii="仿宋" w:hAnsi="仿宋" w:eastAsia="仿宋" w:cs="仿宋"/>
          <w:color w:val="auto"/>
          <w:kern w:val="0"/>
          <w:sz w:val="24"/>
          <w:szCs w:val="24"/>
          <w:highlight w:val="none"/>
          <w:lang w:eastAsia="zh-CN"/>
        </w:rPr>
        <w:t>至</w:t>
      </w:r>
      <w:r>
        <w:rPr>
          <w:rFonts w:hint="eastAsia" w:ascii="仿宋" w:hAnsi="仿宋" w:eastAsia="仿宋" w:cs="仿宋"/>
          <w:color w:val="auto"/>
          <w:kern w:val="0"/>
          <w:sz w:val="24"/>
          <w:szCs w:val="24"/>
          <w:highlight w:val="none"/>
          <w:lang w:val="en-US" w:eastAsia="zh-CN"/>
        </w:rPr>
        <w:t>2026年0</w:t>
      </w:r>
      <w:r>
        <w:rPr>
          <w:rFonts w:hint="eastAsia" w:ascii="仿宋" w:hAnsi="仿宋" w:eastAsia="仿宋" w:cs="仿宋"/>
          <w:color w:val="auto"/>
          <w:kern w:val="0"/>
          <w:sz w:val="24"/>
          <w:szCs w:val="24"/>
          <w:highlight w:val="none"/>
          <w:lang w:eastAsia="zh-CN"/>
        </w:rPr>
        <w:t>7月30</w:t>
      </w:r>
      <w:r>
        <w:rPr>
          <w:rFonts w:hint="eastAsia" w:ascii="仿宋" w:hAnsi="仿宋" w:eastAsia="仿宋" w:cs="仿宋"/>
          <w:color w:val="auto"/>
          <w:kern w:val="0"/>
          <w:sz w:val="24"/>
          <w:szCs w:val="24"/>
          <w:highlight w:val="none"/>
          <w:lang w:val="en-US" w:eastAsia="zh-CN"/>
        </w:rPr>
        <w:t>日；</w:t>
      </w:r>
    </w:p>
    <w:p w14:paraId="03A9F917">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租赁设备交付/使用地点：</w:t>
      </w:r>
      <w:r>
        <w:rPr>
          <w:rFonts w:hint="eastAsia" w:ascii="仿宋" w:hAnsi="仿宋" w:eastAsia="仿宋" w:cs="仿宋"/>
          <w:sz w:val="24"/>
          <w:szCs w:val="24"/>
          <w:highlight w:val="none"/>
          <w:lang w:val="en-US" w:eastAsia="zh-CN"/>
        </w:rPr>
        <w:t>和静县</w:t>
      </w:r>
    </w:p>
    <w:p w14:paraId="0E5173AC">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工作内容：该项目的钻机场地修整、</w:t>
      </w:r>
      <w:r>
        <w:rPr>
          <w:rFonts w:hint="eastAsia" w:ascii="仿宋" w:hAnsi="仿宋" w:eastAsia="仿宋" w:cs="仿宋"/>
          <w:b w:val="0"/>
          <w:bCs w:val="0"/>
          <w:i w:val="0"/>
          <w:iCs w:val="0"/>
          <w:color w:val="auto"/>
          <w:sz w:val="24"/>
          <w:szCs w:val="24"/>
          <w:highlight w:val="none"/>
          <w:u w:val="none"/>
          <w:lang w:eastAsia="zh-CN"/>
        </w:rPr>
        <w:t>槽探</w:t>
      </w:r>
      <w:r>
        <w:rPr>
          <w:rFonts w:hint="eastAsia" w:ascii="仿宋" w:hAnsi="仿宋" w:eastAsia="仿宋" w:cs="仿宋"/>
          <w:b w:val="0"/>
          <w:bCs w:val="0"/>
          <w:i w:val="0"/>
          <w:iCs w:val="0"/>
          <w:color w:val="auto"/>
          <w:sz w:val="24"/>
          <w:szCs w:val="24"/>
          <w:highlight w:val="none"/>
          <w:u w:val="none"/>
          <w:lang w:val="en-US" w:eastAsia="zh-CN"/>
        </w:rPr>
        <w:t>开挖及</w:t>
      </w:r>
      <w:r>
        <w:rPr>
          <w:rFonts w:hint="eastAsia" w:ascii="仿宋" w:hAnsi="仿宋" w:eastAsia="仿宋" w:cs="仿宋"/>
          <w:b w:val="0"/>
          <w:bCs w:val="0"/>
          <w:i w:val="0"/>
          <w:iCs w:val="0"/>
          <w:color w:val="auto"/>
          <w:sz w:val="24"/>
          <w:szCs w:val="24"/>
          <w:highlight w:val="none"/>
          <w:u w:val="none"/>
          <w:lang w:eastAsia="zh-CN"/>
        </w:rPr>
        <w:t>回填，</w:t>
      </w:r>
      <w:r>
        <w:rPr>
          <w:rFonts w:hint="eastAsia" w:ascii="仿宋" w:hAnsi="仿宋" w:eastAsia="仿宋" w:cs="仿宋"/>
          <w:b w:val="0"/>
          <w:bCs w:val="0"/>
          <w:i w:val="0"/>
          <w:iCs w:val="0"/>
          <w:color w:val="auto"/>
          <w:sz w:val="24"/>
          <w:szCs w:val="24"/>
          <w:highlight w:val="none"/>
          <w:u w:val="none"/>
          <w:lang w:val="en-US" w:eastAsia="zh-CN"/>
        </w:rPr>
        <w:t>营地、</w:t>
      </w:r>
      <w:r>
        <w:rPr>
          <w:rFonts w:hint="eastAsia" w:ascii="仿宋" w:hAnsi="仿宋" w:eastAsia="仿宋" w:cs="仿宋"/>
          <w:b w:val="0"/>
          <w:bCs w:val="0"/>
          <w:i w:val="0"/>
          <w:iCs w:val="0"/>
          <w:color w:val="auto"/>
          <w:sz w:val="24"/>
          <w:szCs w:val="24"/>
          <w:highlight w:val="none"/>
          <w:u w:val="none"/>
          <w:lang w:eastAsia="zh-CN"/>
        </w:rPr>
        <w:t>道路平整及维护。</w:t>
      </w:r>
    </w:p>
    <w:p w14:paraId="24682FE8">
      <w:pPr>
        <w:numPr>
          <w:ilvl w:val="0"/>
          <w:numId w:val="0"/>
        </w:numPr>
        <w:spacing w:line="360" w:lineRule="auto"/>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二、</w:t>
      </w:r>
      <w:r>
        <w:rPr>
          <w:rFonts w:hint="eastAsia" w:ascii="仿宋" w:hAnsi="仿宋" w:eastAsia="仿宋" w:cs="仿宋"/>
          <w:b/>
          <w:bCs/>
          <w:sz w:val="24"/>
          <w:szCs w:val="24"/>
          <w:highlight w:val="none"/>
        </w:rPr>
        <w:t>租赁标的物需求</w:t>
      </w:r>
    </w:p>
    <w:p w14:paraId="33BDD9CE">
      <w:pPr>
        <w:numPr>
          <w:ilvl w:val="0"/>
          <w:numId w:val="0"/>
        </w:num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挖掘机</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中型</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1台</w:t>
      </w:r>
    </w:p>
    <w:p w14:paraId="46C0264C">
      <w:pPr>
        <w:numPr>
          <w:ilvl w:val="0"/>
          <w:numId w:val="0"/>
        </w:numPr>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挖掘机</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小型</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2台</w:t>
      </w:r>
    </w:p>
    <w:p w14:paraId="262F0792">
      <w:pPr>
        <w:numPr>
          <w:ilvl w:val="0"/>
          <w:numId w:val="0"/>
        </w:numPr>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3.铲车一辆</w:t>
      </w:r>
    </w:p>
    <w:p w14:paraId="7F75958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设备要求：</w:t>
      </w:r>
      <w:r>
        <w:rPr>
          <w:rFonts w:hint="eastAsia" w:ascii="仿宋" w:hAnsi="仿宋" w:eastAsia="仿宋" w:cs="仿宋"/>
          <w:sz w:val="24"/>
          <w:szCs w:val="24"/>
          <w:highlight w:val="none"/>
        </w:rPr>
        <w:t>环保要求排放标准符合国家现行法规，国四，</w:t>
      </w:r>
    </w:p>
    <w:p w14:paraId="0F914A9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安全要求：符合国家相关安全标准GB 25684《土方机械安全》系列标准</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必备安全装置、后视镜/摄像头等</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灯光、信号装置齐全有效。</w:t>
      </w:r>
    </w:p>
    <w:p w14:paraId="236CD8E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累计工作小时数不超过</w:t>
      </w:r>
      <w:r>
        <w:rPr>
          <w:rFonts w:hint="eastAsia" w:ascii="仿宋" w:hAnsi="仿宋" w:eastAsia="仿宋" w:cs="仿宋"/>
          <w:sz w:val="24"/>
          <w:szCs w:val="24"/>
          <w:highlight w:val="none"/>
          <w:lang w:val="en-US" w:eastAsia="zh-CN"/>
        </w:rPr>
        <w:t>6000</w:t>
      </w:r>
      <w:r>
        <w:rPr>
          <w:rFonts w:hint="eastAsia" w:ascii="仿宋" w:hAnsi="仿宋" w:eastAsia="仿宋" w:cs="仿宋"/>
          <w:sz w:val="24"/>
          <w:szCs w:val="24"/>
          <w:highlight w:val="none"/>
        </w:rPr>
        <w:t>小时，并提供证明（如设备仪表盘照片、原厂维修保养记录）。</w:t>
      </w:r>
    </w:p>
    <w:p w14:paraId="5D35C2DA">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设备必须技术状况良好，各系统（发动机、液压、传动、电气、行走）工作正常，无影响安全和性能的隐患及故障。能通过采购人（或其委托方）的进场验收。</w:t>
      </w:r>
    </w:p>
    <w:p w14:paraId="01ED53B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外观：设备外观整洁，无明显破损、锈蚀（不影响功能的除外）。</w:t>
      </w:r>
    </w:p>
    <w:p w14:paraId="0FF92E6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合法来源：供应商拥有设备合法所有权或完全处置权，无产权纠纷、抵押、查封等情形。需提供设备发票或所有权证明文件复印件备查。</w:t>
      </w:r>
    </w:p>
    <w:p w14:paraId="2CED6D3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随机附件：</w:t>
      </w:r>
    </w:p>
    <w:p w14:paraId="407FAB6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标准铲斗（斗容符合要求）。</w:t>
      </w:r>
    </w:p>
    <w:p w14:paraId="3041A04F">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必要的随车工具（如：黄油枪、常用扳手等）。</w:t>
      </w:r>
    </w:p>
    <w:p w14:paraId="2BC87587">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三、服务要求</w:t>
      </w:r>
    </w:p>
    <w:p w14:paraId="2D94C58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运输责任与费用：明确由供应商负责将设备安全、完好地运输至指定地点，并承担运输费用、保险费用及风险。</w:t>
      </w:r>
    </w:p>
    <w:p w14:paraId="3CE0D09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进场验收：设备到达现场后，由采购人（或其代表）进行现场验收。验收内容包括：核对设备型号规格、检查外观及技术状况（可试运行）、核查工作小时数、检查安全装置、清点随机附件等。验收合格是租赁期开始和支付租金的前提。</w:t>
      </w:r>
    </w:p>
    <w:p w14:paraId="08997E3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操作人员配备：配备操作手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食宿及工资、社保由供应商承担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2E2445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投标人中标后</w:t>
      </w:r>
      <w:r>
        <w:rPr>
          <w:rFonts w:hint="eastAsia" w:ascii="仿宋" w:hAnsi="仿宋" w:eastAsia="仿宋" w:cs="仿宋"/>
          <w:sz w:val="24"/>
          <w:szCs w:val="24"/>
          <w:highlight w:val="none"/>
        </w:rPr>
        <w:t>每台设备配备</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名持有有效的《特种设备作业人员证》（挖掘机操作项目）或国家认可的工程机械操作证书（如住建部门核发），并符合项目所在地对特种作业人员的其他要求。</w:t>
      </w:r>
    </w:p>
    <w:p w14:paraId="1BA1BF8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工作要求：服从采购人现场管理人员的指挥调度，遵守现场安全、环保等各项规章制度。工作时间需满足项目要求（管理责任：操作手由供应商负责管理（包括工资、社保、保险、安全教育等），但其在现场工作期间必须遵守采购人的管理。</w:t>
      </w:r>
    </w:p>
    <w:p w14:paraId="26210A4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更换：供应商需保证操作手稳定，如需更换，应提前通知并确保新操作手符合要求。</w:t>
      </w:r>
    </w:p>
    <w:p w14:paraId="7B6B844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设备维护、保养与维修：</w:t>
      </w:r>
    </w:p>
    <w:p w14:paraId="22B5443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定期保养：供应商必须按照设备制造商的要求或双方约定的周期进行定期保养（更换机油、机滤、液压油滤芯、空气滤芯等），并承担保养费用（人工和物料）。</w:t>
      </w:r>
    </w:p>
    <w:p w14:paraId="2DB76C9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故障维修：</w:t>
      </w:r>
    </w:p>
    <w:p w14:paraId="2A95527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责任划分：维修责任和费用由供应商承担。</w:t>
      </w:r>
    </w:p>
    <w:p w14:paraId="0E9528F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响应时间：设备发生故障时，供应商接到通知后应在</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小时内响应，</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小时内技术人员到达现场，一般故障应在</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小时内修复。重大故障需明确修复或更换设备的时限。</w:t>
      </w:r>
    </w:p>
    <w:p w14:paraId="19D01C9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燃油、润滑油及辅料供应：</w:t>
      </w:r>
    </w:p>
    <w:p w14:paraId="2209516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提供设备正常工作所需的燃油（柴油）、润滑油、液压油、冷却液、黄油等，并承担费用。</w:t>
      </w:r>
    </w:p>
    <w:p w14:paraId="48E6DF6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必保险种：中标人中标后需提供</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rPr>
        <w:t>三者不低于200万；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座位险不低于20万；人员死亡险（意外身故）：每人不得低于120万；还需要买操作员工伤保险；操作员操作证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保险期限应覆盖整个租赁期及运输过程。</w:t>
      </w:r>
    </w:p>
    <w:p w14:paraId="0EBFA85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安全与环保责任：</w:t>
      </w:r>
    </w:p>
    <w:p w14:paraId="2E1B7D7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明确供应商对其设备本身安全性和操作手行为的安全责任。</w:t>
      </w:r>
    </w:p>
    <w:p w14:paraId="550A950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明确供应商需遵守项目现场的所有安全、环保规定。</w:t>
      </w:r>
    </w:p>
    <w:p w14:paraId="3F1E2FF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发生安全事故时的报告流程和责任划分原则。</w:t>
      </w:r>
    </w:p>
    <w:p w14:paraId="5DD8000E">
      <w:pPr>
        <w:spacing w:line="360" w:lineRule="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投标人应注意采购人在技术规格中指出的参数、工艺、材料和设备等内容仅起说明作用，无任何倾向性或限制性；任何品牌的产品均可依法参加本项目的采购活动。在安装调试中所需辅材费用包含在投标人投标产品的报价中，不再单独计取。</w:t>
      </w:r>
    </w:p>
    <w:p w14:paraId="033BE338">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942D4F0">
      <w:pPr>
        <w:spacing w:line="360" w:lineRule="auto"/>
        <w:outlineLvl w:val="2"/>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服务内容2：新疆和静县-托克逊县乌拉苏-阿拉沟一带金铜多金属矿普查</w:t>
      </w:r>
    </w:p>
    <w:p w14:paraId="6F07B24E">
      <w:pPr>
        <w:spacing w:line="360" w:lineRule="auto"/>
        <w:rPr>
          <w:rFonts w:ascii="仿宋" w:hAnsi="仿宋" w:eastAsia="仿宋" w:cs="仿宋"/>
          <w:b/>
          <w:bCs/>
          <w:sz w:val="24"/>
          <w:szCs w:val="24"/>
        </w:rPr>
      </w:pPr>
      <w:r>
        <w:rPr>
          <w:rFonts w:hint="eastAsia" w:ascii="仿宋" w:hAnsi="仿宋" w:eastAsia="仿宋" w:cs="仿宋"/>
          <w:b/>
          <w:bCs/>
          <w:sz w:val="24"/>
          <w:szCs w:val="24"/>
        </w:rPr>
        <w:t>一、项目基本信息</w:t>
      </w:r>
    </w:p>
    <w:p w14:paraId="18958370">
      <w:pPr>
        <w:widowControl/>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服务周期：2026年06月01日至2026年09月30日；</w:t>
      </w:r>
    </w:p>
    <w:p w14:paraId="3156ED1E">
      <w:pPr>
        <w:spacing w:line="360" w:lineRule="auto"/>
        <w:rPr>
          <w:rFonts w:ascii="仿宋" w:hAnsi="仿宋" w:eastAsia="仿宋" w:cs="仿宋"/>
          <w:sz w:val="24"/>
          <w:szCs w:val="24"/>
        </w:rPr>
      </w:pPr>
      <w:r>
        <w:rPr>
          <w:rFonts w:hint="eastAsia" w:ascii="仿宋" w:hAnsi="仿宋" w:eastAsia="仿宋" w:cs="仿宋"/>
          <w:sz w:val="24"/>
          <w:szCs w:val="24"/>
        </w:rPr>
        <w:t>租赁设备交付/使用地点：阿拉沟乡</w:t>
      </w:r>
    </w:p>
    <w:p w14:paraId="48868D70">
      <w:pPr>
        <w:spacing w:line="360" w:lineRule="auto"/>
        <w:rPr>
          <w:rFonts w:ascii="仿宋" w:hAnsi="仿宋" w:eastAsia="仿宋" w:cs="仿宋"/>
          <w:sz w:val="24"/>
          <w:szCs w:val="24"/>
        </w:rPr>
      </w:pPr>
      <w:r>
        <w:rPr>
          <w:rFonts w:hint="eastAsia" w:ascii="仿宋" w:hAnsi="仿宋" w:eastAsia="仿宋" w:cs="仿宋"/>
          <w:sz w:val="24"/>
          <w:szCs w:val="24"/>
        </w:rPr>
        <w:t>工作内容：该项目的槽探开挖及回填，营地、道路平整及维护。</w:t>
      </w:r>
    </w:p>
    <w:p w14:paraId="6534D888">
      <w:pPr>
        <w:spacing w:line="360" w:lineRule="auto"/>
        <w:rPr>
          <w:rFonts w:ascii="仿宋" w:hAnsi="仿宋" w:eastAsia="仿宋" w:cs="仿宋"/>
          <w:b/>
          <w:bCs/>
          <w:sz w:val="24"/>
          <w:szCs w:val="24"/>
        </w:rPr>
      </w:pPr>
      <w:r>
        <w:rPr>
          <w:rFonts w:hint="eastAsia" w:ascii="仿宋" w:hAnsi="仿宋" w:eastAsia="仿宋" w:cs="仿宋"/>
          <w:b/>
          <w:bCs/>
          <w:sz w:val="24"/>
          <w:szCs w:val="24"/>
        </w:rPr>
        <w:t>二、租赁标的物需求</w:t>
      </w:r>
    </w:p>
    <w:p w14:paraId="328463C2">
      <w:pPr>
        <w:spacing w:line="360" w:lineRule="auto"/>
        <w:rPr>
          <w:rFonts w:ascii="仿宋" w:hAnsi="仿宋" w:eastAsia="仿宋" w:cs="仿宋"/>
          <w:sz w:val="24"/>
          <w:szCs w:val="24"/>
        </w:rPr>
      </w:pPr>
      <w:r>
        <w:rPr>
          <w:rFonts w:hint="eastAsia" w:ascii="仿宋" w:hAnsi="仿宋" w:eastAsia="仿宋" w:cs="仿宋"/>
          <w:sz w:val="24"/>
          <w:szCs w:val="24"/>
        </w:rPr>
        <w:t>设备类型：中型履带式挖掘机。</w:t>
      </w:r>
    </w:p>
    <w:p w14:paraId="52ACE54A">
      <w:pPr>
        <w:spacing w:line="360" w:lineRule="auto"/>
        <w:rPr>
          <w:rFonts w:ascii="仿宋" w:hAnsi="仿宋" w:eastAsia="仿宋" w:cs="仿宋"/>
          <w:sz w:val="24"/>
          <w:szCs w:val="24"/>
        </w:rPr>
      </w:pPr>
      <w:r>
        <w:rPr>
          <w:rFonts w:hint="eastAsia" w:ascii="仿宋" w:hAnsi="仿宋" w:eastAsia="仿宋" w:cs="仿宋"/>
          <w:sz w:val="24"/>
          <w:szCs w:val="24"/>
        </w:rPr>
        <w:t>设备要求：环保要求排放标准符合国家现行法规，国四，</w:t>
      </w:r>
    </w:p>
    <w:p w14:paraId="7837FC8A">
      <w:pPr>
        <w:spacing w:line="360" w:lineRule="auto"/>
        <w:rPr>
          <w:rFonts w:ascii="仿宋" w:hAnsi="仿宋" w:eastAsia="仿宋" w:cs="仿宋"/>
          <w:sz w:val="24"/>
          <w:szCs w:val="24"/>
        </w:rPr>
      </w:pPr>
      <w:r>
        <w:rPr>
          <w:rFonts w:hint="eastAsia" w:ascii="仿宋" w:hAnsi="仿宋" w:eastAsia="仿宋" w:cs="仿宋"/>
          <w:sz w:val="24"/>
          <w:szCs w:val="24"/>
        </w:rPr>
        <w:t>安全要求：符合国家相关安全标准GB 25684《土方机械安全》系列标准.必备安全装置、后视镜/摄像头等.灯光、信号装置齐全有效。</w:t>
      </w:r>
    </w:p>
    <w:p w14:paraId="29C62B11">
      <w:pPr>
        <w:spacing w:line="360" w:lineRule="auto"/>
        <w:rPr>
          <w:rFonts w:ascii="仿宋" w:hAnsi="仿宋" w:eastAsia="仿宋" w:cs="仿宋"/>
          <w:sz w:val="24"/>
          <w:szCs w:val="24"/>
        </w:rPr>
      </w:pPr>
      <w:r>
        <w:rPr>
          <w:rFonts w:hint="eastAsia" w:ascii="仿宋" w:hAnsi="仿宋" w:eastAsia="仿宋" w:cs="仿宋"/>
          <w:sz w:val="24"/>
          <w:szCs w:val="24"/>
        </w:rPr>
        <w:t>累计工作小时数不超过6000小时，并提供证明（如设备仪表盘照片、原厂维修保养记录）。</w:t>
      </w:r>
    </w:p>
    <w:p w14:paraId="35207D04">
      <w:pPr>
        <w:spacing w:line="360" w:lineRule="auto"/>
        <w:rPr>
          <w:rFonts w:ascii="仿宋" w:hAnsi="仿宋" w:eastAsia="仿宋" w:cs="仿宋"/>
          <w:sz w:val="24"/>
          <w:szCs w:val="24"/>
        </w:rPr>
      </w:pPr>
      <w:r>
        <w:rPr>
          <w:rFonts w:hint="eastAsia" w:ascii="仿宋" w:hAnsi="仿宋" w:eastAsia="仿宋" w:cs="仿宋"/>
          <w:sz w:val="24"/>
          <w:szCs w:val="24"/>
        </w:rPr>
        <w:t>设备必须技术状况良好，各系统（发动机、液压、传动、电气、行走）工作正常，无影响安全和性能的隐患及故障。能通过采购人（或其委托方）的进场验收。</w:t>
      </w:r>
    </w:p>
    <w:p w14:paraId="4D35A829">
      <w:pPr>
        <w:spacing w:line="360" w:lineRule="auto"/>
        <w:rPr>
          <w:rFonts w:ascii="仿宋" w:hAnsi="仿宋" w:eastAsia="仿宋" w:cs="仿宋"/>
          <w:sz w:val="24"/>
          <w:szCs w:val="24"/>
        </w:rPr>
      </w:pPr>
      <w:r>
        <w:rPr>
          <w:rFonts w:hint="eastAsia" w:ascii="仿宋" w:hAnsi="仿宋" w:eastAsia="仿宋" w:cs="仿宋"/>
          <w:sz w:val="24"/>
          <w:szCs w:val="24"/>
        </w:rPr>
        <w:t>外观：设备外观整洁，无明显破损、锈蚀（不影响功能的除外）。</w:t>
      </w:r>
    </w:p>
    <w:p w14:paraId="0D84BD5E">
      <w:pPr>
        <w:spacing w:line="360" w:lineRule="auto"/>
        <w:rPr>
          <w:rFonts w:ascii="仿宋" w:hAnsi="仿宋" w:eastAsia="仿宋" w:cs="仿宋"/>
          <w:sz w:val="24"/>
          <w:szCs w:val="24"/>
        </w:rPr>
      </w:pPr>
      <w:r>
        <w:rPr>
          <w:rFonts w:hint="eastAsia" w:ascii="仿宋" w:hAnsi="仿宋" w:eastAsia="仿宋" w:cs="仿宋"/>
          <w:sz w:val="24"/>
          <w:szCs w:val="24"/>
        </w:rPr>
        <w:t>合法来源：供应商拥有设备合法所有权或完全处置权，无产权纠纷、抵押、查封等情形。需提供设备发票或所有权证明文件复印件备查。</w:t>
      </w:r>
    </w:p>
    <w:p w14:paraId="043B4828">
      <w:pPr>
        <w:spacing w:line="360" w:lineRule="auto"/>
        <w:rPr>
          <w:rFonts w:ascii="仿宋" w:hAnsi="仿宋" w:eastAsia="仿宋" w:cs="仿宋"/>
          <w:sz w:val="24"/>
          <w:szCs w:val="24"/>
        </w:rPr>
      </w:pPr>
      <w:r>
        <w:rPr>
          <w:rFonts w:hint="eastAsia" w:ascii="仿宋" w:hAnsi="仿宋" w:eastAsia="仿宋" w:cs="仿宋"/>
          <w:sz w:val="24"/>
          <w:szCs w:val="24"/>
        </w:rPr>
        <w:t>随机附件：</w:t>
      </w:r>
    </w:p>
    <w:p w14:paraId="35B04656">
      <w:pPr>
        <w:spacing w:line="360" w:lineRule="auto"/>
        <w:rPr>
          <w:rFonts w:ascii="仿宋" w:hAnsi="仿宋" w:eastAsia="仿宋" w:cs="仿宋"/>
          <w:sz w:val="24"/>
          <w:szCs w:val="24"/>
        </w:rPr>
      </w:pPr>
      <w:r>
        <w:rPr>
          <w:rFonts w:hint="eastAsia" w:ascii="仿宋" w:hAnsi="仿宋" w:eastAsia="仿宋" w:cs="仿宋"/>
          <w:sz w:val="24"/>
          <w:szCs w:val="24"/>
        </w:rPr>
        <w:t>标准铲斗（斗容符合要求）。</w:t>
      </w:r>
    </w:p>
    <w:p w14:paraId="41EF8AC2">
      <w:pPr>
        <w:spacing w:line="360" w:lineRule="auto"/>
        <w:rPr>
          <w:rFonts w:hint="eastAsia" w:ascii="仿宋" w:hAnsi="仿宋" w:eastAsia="仿宋" w:cs="仿宋"/>
          <w:sz w:val="24"/>
          <w:szCs w:val="24"/>
        </w:rPr>
      </w:pPr>
      <w:r>
        <w:rPr>
          <w:rFonts w:hint="eastAsia" w:ascii="仿宋" w:hAnsi="仿宋" w:eastAsia="仿宋" w:cs="仿宋"/>
          <w:sz w:val="24"/>
          <w:szCs w:val="24"/>
        </w:rPr>
        <w:t>必要的随车工具（如：黄油枪、常用扳手等）。</w:t>
      </w:r>
    </w:p>
    <w:p w14:paraId="50D267F3">
      <w:pPr>
        <w:spacing w:line="360" w:lineRule="auto"/>
        <w:rPr>
          <w:rFonts w:ascii="仿宋" w:hAnsi="仿宋" w:eastAsia="仿宋" w:cs="仿宋"/>
          <w:b/>
          <w:bCs/>
          <w:sz w:val="24"/>
          <w:szCs w:val="24"/>
        </w:rPr>
      </w:pPr>
      <w:r>
        <w:rPr>
          <w:rFonts w:hint="eastAsia" w:ascii="仿宋" w:hAnsi="仿宋" w:eastAsia="仿宋" w:cs="仿宋"/>
          <w:b/>
          <w:bCs/>
          <w:sz w:val="24"/>
          <w:szCs w:val="24"/>
        </w:rPr>
        <w:t>三、服务要求</w:t>
      </w:r>
    </w:p>
    <w:p w14:paraId="2FF6697D">
      <w:pPr>
        <w:spacing w:line="360" w:lineRule="auto"/>
        <w:rPr>
          <w:rFonts w:ascii="仿宋" w:hAnsi="仿宋" w:eastAsia="仿宋" w:cs="仿宋"/>
          <w:sz w:val="24"/>
          <w:szCs w:val="24"/>
        </w:rPr>
      </w:pPr>
      <w:r>
        <w:rPr>
          <w:rFonts w:hint="eastAsia" w:ascii="仿宋" w:hAnsi="仿宋" w:eastAsia="仿宋" w:cs="仿宋"/>
          <w:sz w:val="24"/>
          <w:szCs w:val="24"/>
        </w:rPr>
        <w:t>运输责任与费用：明确由供应商负责将设备安全、完好地运输至指定地点，并承担运输费用、保险费用及风险。</w:t>
      </w:r>
    </w:p>
    <w:p w14:paraId="42C85F02">
      <w:pPr>
        <w:spacing w:line="360" w:lineRule="auto"/>
        <w:rPr>
          <w:rFonts w:ascii="仿宋" w:hAnsi="仿宋" w:eastAsia="仿宋" w:cs="仿宋"/>
          <w:sz w:val="24"/>
          <w:szCs w:val="24"/>
        </w:rPr>
      </w:pPr>
      <w:r>
        <w:rPr>
          <w:rFonts w:hint="eastAsia" w:ascii="仿宋" w:hAnsi="仿宋" w:eastAsia="仿宋" w:cs="仿宋"/>
          <w:sz w:val="24"/>
          <w:szCs w:val="24"/>
        </w:rPr>
        <w:t>进场验收：设备到达现场后，由采购人（或其代表）进行现场验收。验收内容包括：核对设备型号规格、检查外观及技术状况（可试运行）、核查工作小时数、检查安全装置、清点随机附件等。验收合格是租赁期开始和支付租金的前提。</w:t>
      </w:r>
    </w:p>
    <w:p w14:paraId="3440F320">
      <w:pPr>
        <w:spacing w:line="360" w:lineRule="auto"/>
        <w:rPr>
          <w:rFonts w:ascii="仿宋" w:hAnsi="仿宋" w:eastAsia="仿宋" w:cs="仿宋"/>
          <w:sz w:val="24"/>
          <w:szCs w:val="24"/>
        </w:rPr>
      </w:pPr>
      <w:r>
        <w:rPr>
          <w:rFonts w:hint="eastAsia" w:ascii="仿宋" w:hAnsi="仿宋" w:eastAsia="仿宋" w:cs="仿宋"/>
          <w:sz w:val="24"/>
          <w:szCs w:val="24"/>
        </w:rPr>
        <w:t>操作人员配备：配备操作手（食宿及工资、社保由供应商承担）。</w:t>
      </w:r>
    </w:p>
    <w:p w14:paraId="17F97080">
      <w:pPr>
        <w:spacing w:line="360" w:lineRule="auto"/>
        <w:rPr>
          <w:rFonts w:ascii="仿宋" w:hAnsi="仿宋" w:eastAsia="仿宋" w:cs="仿宋"/>
          <w:sz w:val="24"/>
          <w:szCs w:val="24"/>
        </w:rPr>
      </w:pPr>
      <w:r>
        <w:rPr>
          <w:rFonts w:hint="eastAsia" w:ascii="仿宋" w:hAnsi="仿宋" w:eastAsia="仿宋" w:cs="仿宋"/>
          <w:sz w:val="24"/>
          <w:szCs w:val="24"/>
        </w:rPr>
        <w:t>数量：投标人中标后每台设备配备1名持有有效的《特种设备作业人员证》（挖掘机操作项目）或国家认可的工程机械操作证书（如住建部门核发），并符合项目所在地对特种作业人员的其他要求。</w:t>
      </w:r>
    </w:p>
    <w:p w14:paraId="5FA02C6F">
      <w:pPr>
        <w:spacing w:line="360" w:lineRule="auto"/>
        <w:rPr>
          <w:rFonts w:ascii="仿宋" w:hAnsi="仿宋" w:eastAsia="仿宋" w:cs="仿宋"/>
          <w:sz w:val="24"/>
          <w:szCs w:val="24"/>
        </w:rPr>
      </w:pPr>
      <w:r>
        <w:rPr>
          <w:rFonts w:hint="eastAsia" w:ascii="仿宋" w:hAnsi="仿宋" w:eastAsia="仿宋" w:cs="仿宋"/>
          <w:sz w:val="24"/>
          <w:szCs w:val="24"/>
        </w:rPr>
        <w:t>工作要求：服从采购人现场管理人员的指挥调度，遵守现场安全、环保等各项规章制度。工作时间需满足项目要求（管理责任：操作手由供应商负责管理（包括工资、社保、保险、安全教育等），但其在现场工作期间必须遵守采购人的管理。</w:t>
      </w:r>
    </w:p>
    <w:p w14:paraId="37CC2794">
      <w:pPr>
        <w:spacing w:line="360" w:lineRule="auto"/>
        <w:rPr>
          <w:rFonts w:ascii="仿宋" w:hAnsi="仿宋" w:eastAsia="仿宋" w:cs="仿宋"/>
          <w:sz w:val="24"/>
          <w:szCs w:val="24"/>
        </w:rPr>
      </w:pPr>
      <w:r>
        <w:rPr>
          <w:rFonts w:hint="eastAsia" w:ascii="仿宋" w:hAnsi="仿宋" w:eastAsia="仿宋" w:cs="仿宋"/>
          <w:sz w:val="24"/>
          <w:szCs w:val="24"/>
        </w:rPr>
        <w:t>更换：供应商需保证操作手稳定，如需更换，应提前通知并确保新操作手符合要求。</w:t>
      </w:r>
    </w:p>
    <w:p w14:paraId="5873520C">
      <w:pPr>
        <w:spacing w:line="360" w:lineRule="auto"/>
        <w:rPr>
          <w:rFonts w:ascii="仿宋" w:hAnsi="仿宋" w:eastAsia="仿宋" w:cs="仿宋"/>
          <w:sz w:val="24"/>
          <w:szCs w:val="24"/>
        </w:rPr>
      </w:pPr>
      <w:r>
        <w:rPr>
          <w:rFonts w:hint="eastAsia" w:ascii="仿宋" w:hAnsi="仿宋" w:eastAsia="仿宋" w:cs="仿宋"/>
          <w:sz w:val="24"/>
          <w:szCs w:val="24"/>
        </w:rPr>
        <w:t>设备维护、保养与维修：</w:t>
      </w:r>
    </w:p>
    <w:p w14:paraId="6E9697E3">
      <w:pPr>
        <w:spacing w:line="360" w:lineRule="auto"/>
        <w:rPr>
          <w:rFonts w:ascii="仿宋" w:hAnsi="仿宋" w:eastAsia="仿宋" w:cs="仿宋"/>
          <w:sz w:val="24"/>
          <w:szCs w:val="24"/>
        </w:rPr>
      </w:pPr>
      <w:r>
        <w:rPr>
          <w:rFonts w:hint="eastAsia" w:ascii="仿宋" w:hAnsi="仿宋" w:eastAsia="仿宋" w:cs="仿宋"/>
          <w:sz w:val="24"/>
          <w:szCs w:val="24"/>
        </w:rPr>
        <w:t>定期保养：供应商必须按照设备制造商的要求或双方约定的周期进行定期保养（更换机油、机滤、液压油滤芯、空气滤芯等），并承担保养费用（人工和物料）。</w:t>
      </w:r>
    </w:p>
    <w:p w14:paraId="7F9C8034">
      <w:pPr>
        <w:spacing w:line="360" w:lineRule="auto"/>
        <w:rPr>
          <w:rFonts w:ascii="仿宋" w:hAnsi="仿宋" w:eastAsia="仿宋" w:cs="仿宋"/>
          <w:sz w:val="24"/>
          <w:szCs w:val="24"/>
        </w:rPr>
      </w:pPr>
      <w:r>
        <w:rPr>
          <w:rFonts w:hint="eastAsia" w:ascii="仿宋" w:hAnsi="仿宋" w:eastAsia="仿宋" w:cs="仿宋"/>
          <w:sz w:val="24"/>
          <w:szCs w:val="24"/>
        </w:rPr>
        <w:t>故障维修：</w:t>
      </w:r>
    </w:p>
    <w:p w14:paraId="6ED6134D">
      <w:pPr>
        <w:spacing w:line="360" w:lineRule="auto"/>
        <w:rPr>
          <w:rFonts w:ascii="仿宋" w:hAnsi="仿宋" w:eastAsia="仿宋" w:cs="仿宋"/>
          <w:sz w:val="24"/>
          <w:szCs w:val="24"/>
        </w:rPr>
      </w:pPr>
      <w:r>
        <w:rPr>
          <w:rFonts w:hint="eastAsia" w:ascii="仿宋" w:hAnsi="仿宋" w:eastAsia="仿宋" w:cs="仿宋"/>
          <w:sz w:val="24"/>
          <w:szCs w:val="24"/>
        </w:rPr>
        <w:t>责任划分：维修责任和费用由供应商承担。</w:t>
      </w:r>
    </w:p>
    <w:p w14:paraId="4FB41BF8">
      <w:pPr>
        <w:spacing w:line="360" w:lineRule="auto"/>
        <w:rPr>
          <w:rFonts w:ascii="仿宋" w:hAnsi="仿宋" w:eastAsia="仿宋" w:cs="仿宋"/>
          <w:sz w:val="24"/>
          <w:szCs w:val="24"/>
        </w:rPr>
      </w:pPr>
      <w:r>
        <w:rPr>
          <w:rFonts w:hint="eastAsia" w:ascii="仿宋" w:hAnsi="仿宋" w:eastAsia="仿宋" w:cs="仿宋"/>
          <w:sz w:val="24"/>
          <w:szCs w:val="24"/>
        </w:rPr>
        <w:t>响应时间：设备发生故障时，供应商接到通知后应在8小时内响应，12小时内技术人员到达现场，一般故障应在24小时内修复。重大故障需明确修复或更换设备的时限。</w:t>
      </w:r>
    </w:p>
    <w:p w14:paraId="6443905C">
      <w:pPr>
        <w:spacing w:line="360" w:lineRule="auto"/>
        <w:rPr>
          <w:rFonts w:ascii="仿宋" w:hAnsi="仿宋" w:eastAsia="仿宋" w:cs="仿宋"/>
          <w:sz w:val="24"/>
          <w:szCs w:val="24"/>
        </w:rPr>
      </w:pPr>
      <w:r>
        <w:rPr>
          <w:rFonts w:hint="eastAsia" w:ascii="仿宋" w:hAnsi="仿宋" w:eastAsia="仿宋" w:cs="仿宋"/>
          <w:sz w:val="24"/>
          <w:szCs w:val="24"/>
        </w:rPr>
        <w:t>燃油、润滑油及辅料供应：</w:t>
      </w:r>
    </w:p>
    <w:p w14:paraId="557717D8">
      <w:pPr>
        <w:spacing w:line="360" w:lineRule="auto"/>
        <w:rPr>
          <w:rFonts w:ascii="仿宋" w:hAnsi="仿宋" w:eastAsia="仿宋" w:cs="仿宋"/>
          <w:sz w:val="24"/>
          <w:szCs w:val="24"/>
        </w:rPr>
      </w:pPr>
      <w:r>
        <w:rPr>
          <w:rFonts w:hint="eastAsia" w:ascii="仿宋" w:hAnsi="仿宋" w:eastAsia="仿宋" w:cs="仿宋"/>
          <w:sz w:val="24"/>
          <w:szCs w:val="24"/>
        </w:rPr>
        <w:t>由供应商提供设备正常工作所需的燃油（柴油）、润滑油、液压油、冷却液、黄油等，并承担费用。</w:t>
      </w:r>
    </w:p>
    <w:p w14:paraId="5D098400">
      <w:pPr>
        <w:spacing w:line="360" w:lineRule="auto"/>
        <w:rPr>
          <w:rFonts w:ascii="仿宋" w:hAnsi="仿宋" w:eastAsia="仿宋" w:cs="仿宋"/>
          <w:sz w:val="24"/>
          <w:szCs w:val="24"/>
        </w:rPr>
      </w:pPr>
      <w:r>
        <w:rPr>
          <w:rFonts w:hint="eastAsia" w:ascii="仿宋" w:hAnsi="仿宋" w:eastAsia="仿宋" w:cs="仿宋"/>
          <w:sz w:val="24"/>
          <w:szCs w:val="24"/>
        </w:rPr>
        <w:t>必保险种：</w:t>
      </w:r>
      <w:r>
        <w:rPr>
          <w:rFonts w:hint="eastAsia" w:ascii="仿宋" w:hAnsi="仿宋" w:eastAsia="仿宋" w:cs="仿宋"/>
          <w:sz w:val="24"/>
          <w:szCs w:val="24"/>
          <w:highlight w:val="none"/>
        </w:rPr>
        <w:t>中标人中标后需提供</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rPr>
        <w:t>三者不低于200万；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座位险不低于20万；人员死亡险（意外身故）：每人不得低于120万；还需要买操作员工伤保险；操作员操作证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保险期限应覆盖整个租赁期及运输过程。</w:t>
      </w:r>
    </w:p>
    <w:p w14:paraId="19F76554">
      <w:pPr>
        <w:spacing w:line="360" w:lineRule="auto"/>
        <w:rPr>
          <w:rFonts w:ascii="仿宋" w:hAnsi="仿宋" w:eastAsia="仿宋" w:cs="仿宋"/>
          <w:sz w:val="24"/>
          <w:szCs w:val="24"/>
        </w:rPr>
      </w:pPr>
      <w:r>
        <w:rPr>
          <w:rFonts w:hint="eastAsia" w:ascii="仿宋" w:hAnsi="仿宋" w:eastAsia="仿宋" w:cs="仿宋"/>
          <w:sz w:val="24"/>
          <w:szCs w:val="24"/>
        </w:rPr>
        <w:t>安全与环保责任：</w:t>
      </w:r>
    </w:p>
    <w:p w14:paraId="79702D9C">
      <w:pPr>
        <w:spacing w:line="360" w:lineRule="auto"/>
        <w:rPr>
          <w:rFonts w:ascii="仿宋" w:hAnsi="仿宋" w:eastAsia="仿宋" w:cs="仿宋"/>
          <w:sz w:val="24"/>
          <w:szCs w:val="24"/>
        </w:rPr>
      </w:pPr>
      <w:r>
        <w:rPr>
          <w:rFonts w:hint="eastAsia" w:ascii="仿宋" w:hAnsi="仿宋" w:eastAsia="仿宋" w:cs="仿宋"/>
          <w:sz w:val="24"/>
          <w:szCs w:val="24"/>
        </w:rPr>
        <w:t>明确供应商对其设备本身安全性和操作手行为的安全责任。</w:t>
      </w:r>
    </w:p>
    <w:p w14:paraId="3DE213C6">
      <w:pPr>
        <w:spacing w:line="360" w:lineRule="auto"/>
        <w:rPr>
          <w:rFonts w:ascii="仿宋" w:hAnsi="仿宋" w:eastAsia="仿宋" w:cs="仿宋"/>
          <w:sz w:val="24"/>
          <w:szCs w:val="24"/>
        </w:rPr>
      </w:pPr>
      <w:r>
        <w:rPr>
          <w:rFonts w:hint="eastAsia" w:ascii="仿宋" w:hAnsi="仿宋" w:eastAsia="仿宋" w:cs="仿宋"/>
          <w:sz w:val="24"/>
          <w:szCs w:val="24"/>
        </w:rPr>
        <w:t>明确供应商需遵守项目现场的所有安全、环保规定。</w:t>
      </w:r>
    </w:p>
    <w:p w14:paraId="6971F5B8">
      <w:pPr>
        <w:spacing w:line="360" w:lineRule="auto"/>
        <w:rPr>
          <w:rFonts w:ascii="仿宋" w:hAnsi="仿宋" w:eastAsia="仿宋" w:cs="仿宋"/>
          <w:sz w:val="24"/>
          <w:szCs w:val="24"/>
        </w:rPr>
      </w:pPr>
      <w:r>
        <w:rPr>
          <w:rFonts w:hint="eastAsia" w:ascii="仿宋" w:hAnsi="仿宋" w:eastAsia="仿宋" w:cs="仿宋"/>
          <w:sz w:val="24"/>
          <w:szCs w:val="24"/>
        </w:rPr>
        <w:t>发生安全事故时的报告流程和责任划分原则。</w:t>
      </w:r>
    </w:p>
    <w:p w14:paraId="0CD44EEC">
      <w:pPr>
        <w:spacing w:line="360" w:lineRule="auto"/>
        <w:rPr>
          <w:rFonts w:ascii="仿宋" w:hAnsi="仿宋" w:eastAsia="仿宋" w:cs="仿宋"/>
          <w:sz w:val="24"/>
          <w:szCs w:val="24"/>
        </w:rPr>
      </w:pPr>
    </w:p>
    <w:p w14:paraId="061615FA">
      <w:pPr>
        <w:spacing w:line="360" w:lineRule="auto"/>
        <w:rPr>
          <w:rFonts w:hint="eastAsia" w:ascii="仿宋" w:hAnsi="仿宋" w:eastAsia="仿宋" w:cs="仿宋"/>
          <w:b/>
          <w:color w:val="auto"/>
          <w:sz w:val="24"/>
          <w:szCs w:val="24"/>
          <w:highlight w:val="none"/>
        </w:rPr>
      </w:pPr>
      <w:r>
        <w:rPr>
          <w:rFonts w:hint="eastAsia" w:ascii="仿宋" w:hAnsi="仿宋" w:eastAsia="仿宋" w:cs="仿宋"/>
          <w:b/>
          <w:sz w:val="24"/>
          <w:szCs w:val="24"/>
        </w:rPr>
        <w:t>说明：投标人应注意采购人在技术规格中指出的参数、工艺、材料和设备等内容仅起说明作用，无任何倾向性或限制性；任何品牌的产品均可依法参加本项目的采购活动。在安装调试中所需辅材费用包含在投标人投标产品的报价中，不再单独计取。</w:t>
      </w:r>
      <w:r>
        <w:rPr>
          <w:rFonts w:hint="eastAsia" w:ascii="仿宋" w:hAnsi="仿宋" w:eastAsia="仿宋" w:cs="仿宋"/>
          <w:b/>
          <w:color w:val="auto"/>
          <w:sz w:val="24"/>
          <w:szCs w:val="24"/>
          <w:highlight w:val="none"/>
        </w:rPr>
        <w:br w:type="page"/>
      </w:r>
    </w:p>
    <w:p w14:paraId="4863DA5A">
      <w:pPr>
        <w:spacing w:line="360" w:lineRule="auto"/>
        <w:outlineLvl w:val="2"/>
        <w:rPr>
          <w:rFonts w:hint="eastAsia" w:ascii="仿宋" w:hAnsi="仿宋" w:eastAsia="仿宋" w:cs="仿宋"/>
          <w:b/>
          <w:bCs/>
          <w:sz w:val="32"/>
          <w:szCs w:val="32"/>
          <w:highlight w:val="none"/>
          <w:lang w:val="en-US" w:eastAsia="zh-CN"/>
        </w:rPr>
      </w:pPr>
      <w:bookmarkStart w:id="314" w:name="_Toc8583"/>
      <w:r>
        <w:rPr>
          <w:rFonts w:hint="eastAsia" w:ascii="仿宋" w:hAnsi="仿宋" w:eastAsia="仿宋" w:cs="仿宋"/>
          <w:b/>
          <w:bCs/>
          <w:sz w:val="32"/>
          <w:szCs w:val="32"/>
          <w:highlight w:val="none"/>
          <w:lang w:val="en-US" w:eastAsia="zh-CN"/>
        </w:rPr>
        <w:t>服务内容3：新疆民丰县硝尔库勒-红土滩外围锑矿普查</w:t>
      </w:r>
    </w:p>
    <w:p w14:paraId="5F85FC93">
      <w:pPr>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服务内容3.1：</w:t>
      </w:r>
    </w:p>
    <w:p w14:paraId="4A6ECA20">
      <w:pPr>
        <w:numPr>
          <w:ilvl w:val="0"/>
          <w:numId w:val="0"/>
        </w:numPr>
        <w:spacing w:line="360" w:lineRule="auto"/>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highlight w:val="none"/>
        </w:rPr>
        <w:t>项目基本信息</w:t>
      </w:r>
    </w:p>
    <w:p w14:paraId="64246AA9">
      <w:pPr>
        <w:widowControl/>
        <w:numPr>
          <w:ilvl w:val="0"/>
          <w:numId w:val="0"/>
        </w:numPr>
        <w:spacing w:line="360" w:lineRule="auto"/>
        <w:jc w:val="left"/>
        <w:rPr>
          <w:rFonts w:hint="eastAsia" w:ascii="仿宋" w:hAnsi="仿宋" w:eastAsia="仿宋" w:cs="仿宋"/>
          <w:kern w:val="0"/>
          <w:sz w:val="24"/>
          <w:szCs w:val="24"/>
          <w:highlight w:val="none"/>
          <w:lang w:eastAsia="zh-CN" w:bidi="ar"/>
        </w:rPr>
      </w:pPr>
      <w:r>
        <w:rPr>
          <w:rFonts w:hint="eastAsia" w:ascii="仿宋" w:hAnsi="仿宋" w:eastAsia="仿宋" w:cs="仿宋"/>
          <w:b/>
          <w:bCs/>
          <w:sz w:val="24"/>
          <w:szCs w:val="24"/>
          <w:highlight w:val="none"/>
          <w:lang w:val="en-US" w:eastAsia="zh-CN"/>
        </w:rPr>
        <w:t>服务周期：</w:t>
      </w:r>
      <w:r>
        <w:rPr>
          <w:rFonts w:hint="eastAsia" w:ascii="仿宋" w:hAnsi="仿宋" w:eastAsia="仿宋" w:cs="仿宋"/>
          <w:kern w:val="0"/>
          <w:sz w:val="24"/>
          <w:szCs w:val="24"/>
          <w:highlight w:val="none"/>
          <w:lang w:eastAsia="zh-CN" w:bidi="ar"/>
        </w:rPr>
        <w:t>2026年</w:t>
      </w:r>
      <w:r>
        <w:rPr>
          <w:rFonts w:hint="eastAsia" w:ascii="仿宋" w:hAnsi="仿宋" w:eastAsia="仿宋" w:cs="仿宋"/>
          <w:kern w:val="0"/>
          <w:sz w:val="24"/>
          <w:szCs w:val="24"/>
          <w:highlight w:val="none"/>
          <w:lang w:val="en-US" w:eastAsia="zh-CN" w:bidi="ar"/>
        </w:rPr>
        <w:t>0</w:t>
      </w:r>
      <w:r>
        <w:rPr>
          <w:rFonts w:hint="eastAsia" w:ascii="仿宋" w:hAnsi="仿宋" w:eastAsia="仿宋" w:cs="仿宋"/>
          <w:kern w:val="0"/>
          <w:sz w:val="24"/>
          <w:szCs w:val="24"/>
          <w:highlight w:val="none"/>
          <w:lang w:eastAsia="zh-CN" w:bidi="ar"/>
        </w:rPr>
        <w:t>6月</w:t>
      </w:r>
      <w:r>
        <w:rPr>
          <w:rFonts w:hint="eastAsia" w:ascii="仿宋" w:hAnsi="仿宋" w:eastAsia="仿宋" w:cs="仿宋"/>
          <w:kern w:val="0"/>
          <w:sz w:val="24"/>
          <w:szCs w:val="24"/>
          <w:highlight w:val="none"/>
          <w:lang w:val="en-US" w:eastAsia="zh-CN" w:bidi="ar"/>
        </w:rPr>
        <w:t>0</w:t>
      </w:r>
      <w:r>
        <w:rPr>
          <w:rFonts w:hint="eastAsia" w:ascii="仿宋" w:hAnsi="仿宋" w:eastAsia="仿宋" w:cs="仿宋"/>
          <w:kern w:val="0"/>
          <w:sz w:val="24"/>
          <w:szCs w:val="24"/>
          <w:highlight w:val="none"/>
          <w:lang w:eastAsia="zh-CN" w:bidi="ar"/>
        </w:rPr>
        <w:t>1日</w:t>
      </w:r>
      <w:r>
        <w:rPr>
          <w:rFonts w:hint="eastAsia" w:ascii="仿宋" w:hAnsi="仿宋" w:eastAsia="仿宋" w:cs="仿宋"/>
          <w:kern w:val="0"/>
          <w:sz w:val="24"/>
          <w:szCs w:val="24"/>
          <w:highlight w:val="none"/>
          <w:lang w:val="en-US" w:eastAsia="zh-CN" w:bidi="ar"/>
        </w:rPr>
        <w:t>至2026年0</w:t>
      </w:r>
      <w:r>
        <w:rPr>
          <w:rFonts w:hint="eastAsia" w:ascii="仿宋" w:hAnsi="仿宋" w:eastAsia="仿宋" w:cs="仿宋"/>
          <w:kern w:val="0"/>
          <w:sz w:val="24"/>
          <w:szCs w:val="24"/>
          <w:highlight w:val="none"/>
          <w:lang w:eastAsia="zh-CN" w:bidi="ar"/>
        </w:rPr>
        <w:t>8月30日。</w:t>
      </w:r>
    </w:p>
    <w:p w14:paraId="0E0BB2DF">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租赁设备交付/使用地点：</w:t>
      </w:r>
      <w:r>
        <w:rPr>
          <w:rFonts w:hint="eastAsia" w:ascii="仿宋" w:hAnsi="仿宋" w:eastAsia="仿宋" w:cs="仿宋"/>
          <w:sz w:val="24"/>
          <w:szCs w:val="24"/>
          <w:highlight w:val="none"/>
          <w:lang w:eastAsia="zh-CN"/>
        </w:rPr>
        <w:t>民丰县硝尔库勒</w:t>
      </w:r>
      <w:r>
        <w:rPr>
          <w:rFonts w:hint="eastAsia" w:ascii="仿宋" w:hAnsi="仿宋" w:eastAsia="仿宋" w:cs="仿宋"/>
          <w:sz w:val="24"/>
          <w:szCs w:val="24"/>
          <w:highlight w:val="none"/>
          <w:lang w:val="en-US" w:eastAsia="zh-CN"/>
        </w:rPr>
        <w:t>-红土滩外围</w:t>
      </w:r>
    </w:p>
    <w:p w14:paraId="2841768E">
      <w:pP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工作内容：该项目的</w:t>
      </w:r>
      <w:r>
        <w:rPr>
          <w:rFonts w:hint="eastAsia" w:ascii="仿宋" w:hAnsi="仿宋" w:eastAsia="仿宋" w:cs="仿宋"/>
          <w:b w:val="0"/>
          <w:bCs w:val="0"/>
          <w:i w:val="0"/>
          <w:iCs w:val="0"/>
          <w:color w:val="auto"/>
          <w:sz w:val="24"/>
          <w:szCs w:val="24"/>
          <w:highlight w:val="none"/>
          <w:u w:val="none"/>
          <w:lang w:eastAsia="zh-CN"/>
        </w:rPr>
        <w:t>槽探</w:t>
      </w:r>
      <w:r>
        <w:rPr>
          <w:rFonts w:hint="eastAsia" w:ascii="仿宋" w:hAnsi="仿宋" w:eastAsia="仿宋" w:cs="仿宋"/>
          <w:b w:val="0"/>
          <w:bCs w:val="0"/>
          <w:i w:val="0"/>
          <w:iCs w:val="0"/>
          <w:color w:val="auto"/>
          <w:sz w:val="24"/>
          <w:szCs w:val="24"/>
          <w:highlight w:val="none"/>
          <w:u w:val="none"/>
          <w:lang w:val="en-US" w:eastAsia="zh-CN"/>
        </w:rPr>
        <w:t>开挖及</w:t>
      </w:r>
      <w:r>
        <w:rPr>
          <w:rFonts w:hint="eastAsia" w:ascii="仿宋" w:hAnsi="仿宋" w:eastAsia="仿宋" w:cs="仿宋"/>
          <w:b w:val="0"/>
          <w:bCs w:val="0"/>
          <w:i w:val="0"/>
          <w:iCs w:val="0"/>
          <w:color w:val="auto"/>
          <w:sz w:val="24"/>
          <w:szCs w:val="24"/>
          <w:highlight w:val="none"/>
          <w:u w:val="none"/>
          <w:lang w:eastAsia="zh-CN"/>
        </w:rPr>
        <w:t>回填，</w:t>
      </w:r>
      <w:r>
        <w:rPr>
          <w:rFonts w:hint="eastAsia" w:ascii="仿宋" w:hAnsi="仿宋" w:eastAsia="仿宋" w:cs="仿宋"/>
          <w:b w:val="0"/>
          <w:bCs w:val="0"/>
          <w:i w:val="0"/>
          <w:iCs w:val="0"/>
          <w:color w:val="auto"/>
          <w:sz w:val="24"/>
          <w:szCs w:val="24"/>
          <w:highlight w:val="none"/>
          <w:u w:val="none"/>
          <w:lang w:val="en-US" w:eastAsia="zh-CN"/>
        </w:rPr>
        <w:t>营地、</w:t>
      </w:r>
      <w:r>
        <w:rPr>
          <w:rFonts w:hint="eastAsia" w:ascii="仿宋" w:hAnsi="仿宋" w:eastAsia="仿宋" w:cs="仿宋"/>
          <w:b w:val="0"/>
          <w:bCs w:val="0"/>
          <w:i w:val="0"/>
          <w:iCs w:val="0"/>
          <w:color w:val="auto"/>
          <w:sz w:val="24"/>
          <w:szCs w:val="24"/>
          <w:highlight w:val="none"/>
          <w:u w:val="none"/>
          <w:lang w:eastAsia="zh-CN"/>
        </w:rPr>
        <w:t>道路平整及维护。</w:t>
      </w:r>
    </w:p>
    <w:p w14:paraId="3BCECBB7">
      <w:pPr>
        <w:numPr>
          <w:ilvl w:val="0"/>
          <w:numId w:val="0"/>
        </w:numPr>
        <w:spacing w:line="360" w:lineRule="auto"/>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二、</w:t>
      </w:r>
      <w:r>
        <w:rPr>
          <w:rFonts w:hint="eastAsia" w:ascii="仿宋" w:hAnsi="仿宋" w:eastAsia="仿宋" w:cs="仿宋"/>
          <w:b/>
          <w:bCs/>
          <w:sz w:val="24"/>
          <w:szCs w:val="24"/>
          <w:highlight w:val="none"/>
        </w:rPr>
        <w:t>租赁标的物需求</w:t>
      </w:r>
    </w:p>
    <w:p w14:paraId="38E9267C">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设备类型：挖掘机。</w:t>
      </w:r>
    </w:p>
    <w:p w14:paraId="25D3FA8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环保要求排放标准符合国家现行法规，国四，</w:t>
      </w:r>
    </w:p>
    <w:p w14:paraId="27B5F6F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安全要求：符合国家相关安全标准GB 25684《土方机械安全》系列标准</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必备安全装置、后视镜/摄像头等</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灯光、信号装置齐全有效。</w:t>
      </w:r>
    </w:p>
    <w:p w14:paraId="4073ED6B">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设备数量：</w:t>
      </w:r>
      <w:r>
        <w:rPr>
          <w:rFonts w:hint="eastAsia" w:ascii="仿宋" w:hAnsi="仿宋" w:eastAsia="仿宋" w:cs="仿宋"/>
          <w:sz w:val="24"/>
          <w:szCs w:val="24"/>
          <w:highlight w:val="none"/>
          <w:lang w:val="en-US" w:eastAsia="zh-CN"/>
        </w:rPr>
        <w:t>1台</w:t>
      </w:r>
    </w:p>
    <w:p w14:paraId="4E37900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累计工作小时数不超过</w:t>
      </w:r>
      <w:r>
        <w:rPr>
          <w:rFonts w:hint="eastAsia" w:ascii="仿宋" w:hAnsi="仿宋" w:eastAsia="仿宋" w:cs="仿宋"/>
          <w:sz w:val="24"/>
          <w:szCs w:val="24"/>
          <w:highlight w:val="none"/>
          <w:lang w:val="en-US" w:eastAsia="zh-CN"/>
        </w:rPr>
        <w:t>6000</w:t>
      </w:r>
      <w:r>
        <w:rPr>
          <w:rFonts w:hint="eastAsia" w:ascii="仿宋" w:hAnsi="仿宋" w:eastAsia="仿宋" w:cs="仿宋"/>
          <w:sz w:val="24"/>
          <w:szCs w:val="24"/>
          <w:highlight w:val="none"/>
        </w:rPr>
        <w:t>小时，并提供证明（如设备仪表盘照片、原厂维修保养记录）。</w:t>
      </w:r>
    </w:p>
    <w:p w14:paraId="495C4E08">
      <w:pPr>
        <w:numPr>
          <w:ilvl w:val="0"/>
          <w:numId w:val="0"/>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设备必须技术状况良好，各系统（发动机、液压、传动、电气、行走）工作正常，无影响安全和性能的隐患及故障。能通过采购人（或其委托方）的进场验收。</w:t>
      </w:r>
    </w:p>
    <w:p w14:paraId="554F528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外观：设备外观整洁，无明显破损、锈蚀（不影响功能的除外）。</w:t>
      </w:r>
    </w:p>
    <w:p w14:paraId="5218BC1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合法来源：供应商拥有设备合法所有权或完全处置权，无产权纠纷、抵押、查封等情形。需提供设备发票或所有权证明文件复印件备查。</w:t>
      </w:r>
    </w:p>
    <w:p w14:paraId="7466CC0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随机附件：</w:t>
      </w:r>
    </w:p>
    <w:p w14:paraId="10A1CDC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标准铲斗（斗容符合要求）。</w:t>
      </w:r>
    </w:p>
    <w:p w14:paraId="31832BF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必要的随车工具（如：黄油枪、常用扳手等）。</w:t>
      </w:r>
    </w:p>
    <w:p w14:paraId="480D99E5">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三、服务要求</w:t>
      </w:r>
    </w:p>
    <w:p w14:paraId="6ACAB97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运输责任与费用：明确由供应商负责将设备安全、完好地运输至指定地点，并承担运输费用、保险费用及风险。</w:t>
      </w:r>
    </w:p>
    <w:p w14:paraId="4849D2E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进场验收：设备到达现场后，由采购人（或其代表）进行现场验收。验收内容包括：核对设备型号规格、检查外观及技术状况（可试运行）、核查工作小时数、检查安全装置、清点随机附件等。验收合格是租赁期开始和支付租金的前提。</w:t>
      </w:r>
    </w:p>
    <w:p w14:paraId="127AC12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操作人员配备：配备操作手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食宿及工资、社保由供应商承担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F59201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投标人中标后</w:t>
      </w:r>
      <w:r>
        <w:rPr>
          <w:rFonts w:hint="eastAsia" w:ascii="仿宋" w:hAnsi="仿宋" w:eastAsia="仿宋" w:cs="仿宋"/>
          <w:sz w:val="24"/>
          <w:szCs w:val="24"/>
          <w:highlight w:val="none"/>
        </w:rPr>
        <w:t>每台设备配备</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名持有有效的《特种设备作业人员证》（挖掘机操作项目）或国家认可的工程机械操作证书（如住建部门核发），并符合项目所在地对特种作业人员的其他要求。</w:t>
      </w:r>
    </w:p>
    <w:p w14:paraId="6F43A33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工作要求：服从采购人现场管理人员的指挥调度，遵守现场安全、环保等各项规章制度。工作时间需满足项目要求（管理责任：操作手由供应商负责管理（包括工资、社保、保险、安全教育等），但其在现场工作期间必须遵守采购人的管理。</w:t>
      </w:r>
    </w:p>
    <w:p w14:paraId="385902E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更换：供应商需保证操作手稳定，如需更换，应提前通知并确保新操作手符合要求。</w:t>
      </w:r>
    </w:p>
    <w:p w14:paraId="1E05311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设备维护、保养与维修：</w:t>
      </w:r>
    </w:p>
    <w:p w14:paraId="014AFE3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定期保养：供应商必须按照设备制造商的要求或双方约定的周期进行定期保养（更换机油、机滤、液压油滤芯、空气滤芯等），并承担保养费用（人工和物料）。</w:t>
      </w:r>
    </w:p>
    <w:p w14:paraId="776C03C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故障维修：</w:t>
      </w:r>
    </w:p>
    <w:p w14:paraId="493784D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责任划分：维修责任和费用由供应商承担。</w:t>
      </w:r>
    </w:p>
    <w:p w14:paraId="7765952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响应时间：设备发生故障时，供应商接到通知后应在</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小时内响应，</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小时内技术人员到达现场，一般故障应在</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小时内修复。重大故障需明确修复或更换设备的时限。</w:t>
      </w:r>
    </w:p>
    <w:p w14:paraId="4312FD0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燃油、润滑油及辅料供应：</w:t>
      </w:r>
    </w:p>
    <w:p w14:paraId="633F852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提供设备正常工作所需的燃油（柴油）、润滑油、液压油、冷却液、黄油等，并承担费用。</w:t>
      </w:r>
    </w:p>
    <w:p w14:paraId="433DB62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必保险种：中标人中标后需提供</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rPr>
        <w:t>三者不低于200万；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座位险不低于20万；人员死亡险（意外身故）：每人不得低于120万；还需要买操作员工伤保险；操作员操作证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保险期限应覆盖整个租赁期及运输过程。</w:t>
      </w:r>
    </w:p>
    <w:p w14:paraId="50D4DDA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安全与环保责任：</w:t>
      </w:r>
    </w:p>
    <w:p w14:paraId="42E0F96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明确供应商对其设备本身安全性和操作手行为的安全责任。</w:t>
      </w:r>
    </w:p>
    <w:p w14:paraId="0615879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明确供应商需遵守项目现场的所有安全、环保规定。</w:t>
      </w:r>
    </w:p>
    <w:p w14:paraId="51E6104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发生安全事故时的报告流程和责任划分原则。</w:t>
      </w:r>
    </w:p>
    <w:p w14:paraId="7533ED9D">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68D3921D">
      <w:pPr>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服务内容3.2</w:t>
      </w:r>
    </w:p>
    <w:p w14:paraId="40E7A79B">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一、项目基本信息</w:t>
      </w:r>
    </w:p>
    <w:p w14:paraId="2C25FA8F">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租赁设备交付/使用地点：新疆</w:t>
      </w:r>
      <w:r>
        <w:rPr>
          <w:rFonts w:hint="eastAsia" w:ascii="仿宋" w:hAnsi="仿宋" w:eastAsia="仿宋" w:cs="仿宋"/>
          <w:sz w:val="24"/>
          <w:szCs w:val="24"/>
          <w:highlight w:val="none"/>
          <w:lang w:eastAsia="zh-CN"/>
        </w:rPr>
        <w:t>民丰县</w:t>
      </w:r>
    </w:p>
    <w:p w14:paraId="591FEF3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工作内容：该项目的</w:t>
      </w:r>
      <w:r>
        <w:rPr>
          <w:rFonts w:hint="eastAsia" w:ascii="仿宋" w:hAnsi="仿宋" w:eastAsia="仿宋" w:cs="仿宋"/>
          <w:b w:val="0"/>
          <w:bCs w:val="0"/>
          <w:i w:val="0"/>
          <w:iCs w:val="0"/>
          <w:color w:val="auto"/>
          <w:sz w:val="24"/>
          <w:szCs w:val="24"/>
          <w:highlight w:val="none"/>
          <w:u w:val="none"/>
          <w:lang w:eastAsia="zh-CN"/>
        </w:rPr>
        <w:t>槽探</w:t>
      </w:r>
      <w:r>
        <w:rPr>
          <w:rFonts w:hint="eastAsia" w:ascii="仿宋" w:hAnsi="仿宋" w:eastAsia="仿宋" w:cs="仿宋"/>
          <w:b w:val="0"/>
          <w:bCs w:val="0"/>
          <w:i w:val="0"/>
          <w:iCs w:val="0"/>
          <w:color w:val="auto"/>
          <w:sz w:val="24"/>
          <w:szCs w:val="24"/>
          <w:highlight w:val="none"/>
          <w:u w:val="none"/>
          <w:lang w:val="en-US" w:eastAsia="zh-CN"/>
        </w:rPr>
        <w:t>开挖及</w:t>
      </w:r>
      <w:r>
        <w:rPr>
          <w:rFonts w:hint="eastAsia" w:ascii="仿宋" w:hAnsi="仿宋" w:eastAsia="仿宋" w:cs="仿宋"/>
          <w:b w:val="0"/>
          <w:bCs w:val="0"/>
          <w:i w:val="0"/>
          <w:iCs w:val="0"/>
          <w:color w:val="auto"/>
          <w:sz w:val="24"/>
          <w:szCs w:val="24"/>
          <w:highlight w:val="none"/>
          <w:u w:val="none"/>
          <w:lang w:eastAsia="zh-CN"/>
        </w:rPr>
        <w:t>回填，</w:t>
      </w:r>
      <w:r>
        <w:rPr>
          <w:rFonts w:hint="eastAsia" w:ascii="仿宋" w:hAnsi="仿宋" w:eastAsia="仿宋" w:cs="仿宋"/>
          <w:b w:val="0"/>
          <w:bCs w:val="0"/>
          <w:i w:val="0"/>
          <w:iCs w:val="0"/>
          <w:color w:val="auto"/>
          <w:sz w:val="24"/>
          <w:szCs w:val="24"/>
          <w:highlight w:val="none"/>
          <w:u w:val="none"/>
          <w:lang w:val="en-US" w:eastAsia="zh-CN"/>
        </w:rPr>
        <w:t>营地、</w:t>
      </w:r>
      <w:r>
        <w:rPr>
          <w:rFonts w:hint="eastAsia" w:ascii="仿宋" w:hAnsi="仿宋" w:eastAsia="仿宋" w:cs="仿宋"/>
          <w:b w:val="0"/>
          <w:bCs w:val="0"/>
          <w:i w:val="0"/>
          <w:iCs w:val="0"/>
          <w:color w:val="auto"/>
          <w:sz w:val="24"/>
          <w:szCs w:val="24"/>
          <w:highlight w:val="none"/>
          <w:u w:val="none"/>
          <w:lang w:eastAsia="zh-CN"/>
        </w:rPr>
        <w:t>道路平整及维护。</w:t>
      </w:r>
    </w:p>
    <w:p w14:paraId="6174E986">
      <w:pPr>
        <w:numPr>
          <w:ilvl w:val="0"/>
          <w:numId w:val="0"/>
        </w:numPr>
        <w:spacing w:line="360" w:lineRule="auto"/>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二、</w:t>
      </w:r>
      <w:r>
        <w:rPr>
          <w:rFonts w:hint="eastAsia" w:ascii="仿宋" w:hAnsi="仿宋" w:eastAsia="仿宋" w:cs="仿宋"/>
          <w:b/>
          <w:bCs/>
          <w:sz w:val="24"/>
          <w:szCs w:val="24"/>
          <w:highlight w:val="none"/>
        </w:rPr>
        <w:t>租赁标的物需求</w:t>
      </w:r>
    </w:p>
    <w:p w14:paraId="1F8DC71F">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设备类型：履带式挖掘机。</w:t>
      </w:r>
    </w:p>
    <w:p w14:paraId="33BE719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燃油箱容量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连续工作</w:t>
      </w:r>
      <w:r>
        <w:rPr>
          <w:rFonts w:hint="eastAsia" w:ascii="仿宋" w:hAnsi="仿宋" w:eastAsia="仿宋" w:cs="仿宋"/>
          <w:sz w:val="24"/>
          <w:szCs w:val="24"/>
          <w:highlight w:val="none"/>
          <w:lang w:val="en-US" w:eastAsia="zh-CN"/>
        </w:rPr>
        <w:t>20小</w:t>
      </w:r>
      <w:r>
        <w:rPr>
          <w:rFonts w:hint="eastAsia" w:ascii="仿宋" w:hAnsi="仿宋" w:eastAsia="仿宋" w:cs="仿宋"/>
          <w:sz w:val="24"/>
          <w:szCs w:val="24"/>
          <w:highlight w:val="none"/>
        </w:rPr>
        <w:t>时</w:t>
      </w:r>
    </w:p>
    <w:p w14:paraId="0748218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环保要求：排放标准、国四</w:t>
      </w:r>
    </w:p>
    <w:p w14:paraId="5738DA4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安全要求：符合国家GB 25684《土方机械安全》系列标准）。</w:t>
      </w:r>
    </w:p>
    <w:p w14:paraId="54C5F39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整车配置</w:t>
      </w:r>
      <w:r>
        <w:rPr>
          <w:rFonts w:hint="eastAsia" w:ascii="仿宋" w:hAnsi="仿宋" w:eastAsia="仿宋" w:cs="仿宋"/>
          <w:sz w:val="24"/>
          <w:szCs w:val="24"/>
          <w:highlight w:val="none"/>
        </w:rPr>
        <w:t>后视镜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灯光、信号装置齐全有效。</w:t>
      </w:r>
    </w:p>
    <w:p w14:paraId="68373507">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设备数量：</w:t>
      </w:r>
      <w:r>
        <w:rPr>
          <w:rFonts w:hint="eastAsia" w:ascii="仿宋" w:hAnsi="仿宋" w:eastAsia="仿宋" w:cs="仿宋"/>
          <w:sz w:val="24"/>
          <w:szCs w:val="24"/>
          <w:highlight w:val="none"/>
          <w:lang w:val="en-US" w:eastAsia="zh-CN"/>
        </w:rPr>
        <w:t>1台</w:t>
      </w:r>
    </w:p>
    <w:p w14:paraId="1680939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设备状态要求</w:t>
      </w:r>
    </w:p>
    <w:p w14:paraId="1CA5310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新旧程度：通常要求设备为全新或近三年内出厂的设备，设备累计工作小时数不超过</w:t>
      </w:r>
      <w:r>
        <w:rPr>
          <w:rFonts w:hint="eastAsia" w:ascii="仿宋" w:hAnsi="仿宋" w:eastAsia="仿宋" w:cs="仿宋"/>
          <w:sz w:val="24"/>
          <w:szCs w:val="24"/>
          <w:highlight w:val="none"/>
          <w:lang w:val="en-US" w:eastAsia="zh-CN"/>
        </w:rPr>
        <w:t>5000</w:t>
      </w:r>
      <w:r>
        <w:rPr>
          <w:rFonts w:hint="eastAsia" w:ascii="仿宋" w:hAnsi="仿宋" w:eastAsia="仿宋" w:cs="仿宋"/>
          <w:sz w:val="24"/>
          <w:szCs w:val="24"/>
          <w:highlight w:val="none"/>
        </w:rPr>
        <w:t>小时</w:t>
      </w:r>
    </w:p>
    <w:p w14:paraId="5DADB88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设备必须技术状况良好，各系统（发动机、液压、传动、电气、行走）工作正常，无影响安全和性能的隐患及故障。能通过采购人（或其委托方）的进场验收。</w:t>
      </w:r>
    </w:p>
    <w:p w14:paraId="423C9C2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外观：设备外观整洁，无明显破损、锈蚀（不影响功能的除外）。</w:t>
      </w:r>
    </w:p>
    <w:p w14:paraId="08EEE56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合法来源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供应商拥有设备合法所有权或完全处置权，无产权纠纷、抵押、查封等情形。</w:t>
      </w:r>
    </w:p>
    <w:p w14:paraId="4E41177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随机附件：</w:t>
      </w:r>
    </w:p>
    <w:p w14:paraId="713CBB30">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斗容符合要求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随车工具</w:t>
      </w:r>
      <w:r>
        <w:rPr>
          <w:rFonts w:hint="eastAsia" w:ascii="仿宋" w:hAnsi="仿宋" w:eastAsia="仿宋" w:cs="仿宋"/>
          <w:sz w:val="24"/>
          <w:szCs w:val="24"/>
          <w:highlight w:val="none"/>
          <w:lang w:val="en-US" w:eastAsia="zh-CN"/>
        </w:rPr>
        <w:t>有</w:t>
      </w:r>
      <w:r>
        <w:rPr>
          <w:rFonts w:hint="eastAsia" w:ascii="仿宋" w:hAnsi="仿宋" w:eastAsia="仿宋" w:cs="仿宋"/>
          <w:sz w:val="24"/>
          <w:szCs w:val="24"/>
          <w:highlight w:val="none"/>
        </w:rPr>
        <w:t>黄油枪、常用扳</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手破碎锤包含在租赁费内</w:t>
      </w:r>
      <w:r>
        <w:rPr>
          <w:rFonts w:hint="eastAsia" w:ascii="仿宋" w:hAnsi="仿宋" w:eastAsia="仿宋" w:cs="仿宋"/>
          <w:sz w:val="24"/>
          <w:szCs w:val="24"/>
          <w:highlight w:val="none"/>
          <w:lang w:eastAsia="zh-CN"/>
        </w:rPr>
        <w:t>。</w:t>
      </w:r>
    </w:p>
    <w:p w14:paraId="4751095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原厂操作手册/使用说明书（复印件或电子版）。</w:t>
      </w:r>
    </w:p>
    <w:p w14:paraId="1B860C9C">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三、服务要求</w:t>
      </w:r>
    </w:p>
    <w:p w14:paraId="5FB3496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运输责任与费用：明确由供应商负责将设备安全、完好地运输至指定地点，并承担运输费用、保险费用及风险。</w:t>
      </w:r>
    </w:p>
    <w:p w14:paraId="7F5BCCB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进场验收：设备到达现场后，由采购人（或其代表）进行现场验收。验收内容包括：核对设备型号规格、检查外观及技术状况（可试运行）、核查工作小时数、检查安全装置、清点随机附件等。验收合格是租赁期开始和支付租金的前提。</w:t>
      </w:r>
    </w:p>
    <w:p w14:paraId="576AA5D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操作人员配备：配备操作手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食宿及工资、社保由供应商承担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3C7D8F5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投标人中标后</w:t>
      </w:r>
      <w:r>
        <w:rPr>
          <w:rFonts w:hint="eastAsia" w:ascii="仿宋" w:hAnsi="仿宋" w:eastAsia="仿宋" w:cs="仿宋"/>
          <w:sz w:val="24"/>
          <w:szCs w:val="24"/>
          <w:highlight w:val="none"/>
        </w:rPr>
        <w:t>每台设备配备</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名持有有效的《特种设备作业人员证》（挖掘机操作项目）或国家认可的工程机械操作证书（如住建部门核发），并符合项目所在地对特种作业人员的其他要求。</w:t>
      </w:r>
    </w:p>
    <w:p w14:paraId="3A8DAC0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工作要求：服从采购人现场管理人员的指挥调度，遵守现场安全、环保等各项规章制度。工作时间需满足项目要求（管理责任：操作手由供应商负责管理（包括工资、社保、保险、安全教育等），但其在现场工作期间必须遵守采购人的管理。</w:t>
      </w:r>
    </w:p>
    <w:p w14:paraId="1ECDF1E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更换：供应商需保证操作手稳定，如需更换，应提前通知并确保新操作手符合要求。</w:t>
      </w:r>
    </w:p>
    <w:p w14:paraId="2E61A3A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设备维护、保养与维修：</w:t>
      </w:r>
    </w:p>
    <w:p w14:paraId="4EBD005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定期保养：供应商必须按照设备制造商的要求或双方约定的周期进行定期保养（更换机油、机滤、液压油滤芯、空气滤芯等），并承担保养费用（人工和物料）。</w:t>
      </w:r>
    </w:p>
    <w:p w14:paraId="48BC88B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故障维修：维修责任和费用由供应商承担。</w:t>
      </w:r>
    </w:p>
    <w:p w14:paraId="2A17116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响应时间：设备发生故障时，供应商接到通知后应在</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小时内响应，</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小时内技术人员到达现场，一般故障应在</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小时内修复。重大故障需明确修复或更换设备的时限。</w:t>
      </w:r>
    </w:p>
    <w:p w14:paraId="1F69B48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提供设备正常工作所需的燃油（柴油）、润滑油、液压油、冷却液、黄油等，并承担费用。</w:t>
      </w:r>
    </w:p>
    <w:p w14:paraId="35A6281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保险：中标人中标后需提供</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rPr>
        <w:t>三者不低于200万；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座位险不低于20万；人员死亡险（意外身故）：每人不得低于120万；还需要买操作员工伤保险；操作员操作证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保险期限应覆盖整个租赁期及运输过程。</w:t>
      </w:r>
    </w:p>
    <w:p w14:paraId="1D6D823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供应商对其设备本身安全性和操作手行为的安全责任。</w:t>
      </w:r>
    </w:p>
    <w:p w14:paraId="1E3AB796">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供应商需遵守项目现场的所有安全、环保规定。</w:t>
      </w:r>
    </w:p>
    <w:p w14:paraId="7E55B62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发生安全事故时的报告流程和责任划分原则。</w:t>
      </w:r>
    </w:p>
    <w:p w14:paraId="5CB4C396">
      <w:pPr>
        <w:spacing w:line="360" w:lineRule="auto"/>
        <w:rPr>
          <w:rFonts w:hint="eastAsia" w:ascii="仿宋" w:hAnsi="仿宋" w:eastAsia="仿宋" w:cs="仿宋"/>
          <w:b/>
          <w:bCs/>
          <w:color w:val="auto"/>
          <w:sz w:val="24"/>
          <w:szCs w:val="24"/>
          <w:highlight w:val="none"/>
        </w:rPr>
      </w:pPr>
    </w:p>
    <w:p w14:paraId="7E1A0B8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color w:val="auto"/>
          <w:sz w:val="24"/>
          <w:szCs w:val="24"/>
          <w:highlight w:val="none"/>
        </w:rPr>
      </w:pPr>
    </w:p>
    <w:p w14:paraId="7C9E4F20">
      <w:pP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投标人应注意采购人在技术规格中指出的参数、工艺、材料和设备等内容仅起说明作用，无任何倾向性或限制性；任何品牌的产品均可依法参加本项目的采购活动。在安装调试中所需辅材费用包含在投标人投标产品的报价中，不再单独计取。</w:t>
      </w:r>
      <w:r>
        <w:rPr>
          <w:rFonts w:hint="eastAsia" w:ascii="仿宋" w:hAnsi="仿宋" w:eastAsia="仿宋" w:cs="仿宋"/>
          <w:b/>
          <w:color w:val="auto"/>
          <w:sz w:val="24"/>
          <w:szCs w:val="24"/>
          <w:highlight w:val="none"/>
        </w:rPr>
        <w:br w:type="page"/>
      </w:r>
    </w:p>
    <w:p w14:paraId="3290422E">
      <w:pPr>
        <w:outlineLvl w:val="1"/>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标项二</w:t>
      </w:r>
    </w:p>
    <w:p w14:paraId="23A29B95">
      <w:pPr>
        <w:outlineLvl w:val="2"/>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服务内容4：新疆博乐市阿拉山口西钨锡矿普查探槽施工及回填</w:t>
      </w:r>
    </w:p>
    <w:p w14:paraId="01310588">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一、项目基本信息</w:t>
      </w:r>
    </w:p>
    <w:p w14:paraId="7F1C9A02">
      <w:pPr>
        <w:widowControl/>
        <w:numPr>
          <w:ilvl w:val="0"/>
          <w:numId w:val="0"/>
        </w:numPr>
        <w:spacing w:line="360" w:lineRule="auto"/>
        <w:jc w:val="left"/>
        <w:rPr>
          <w:rFonts w:hint="eastAsia" w:ascii="仿宋" w:hAnsi="仿宋" w:eastAsia="仿宋" w:cs="仿宋"/>
          <w:kern w:val="0"/>
          <w:sz w:val="24"/>
          <w:szCs w:val="24"/>
          <w:highlight w:val="none"/>
          <w:lang w:val="en-US" w:eastAsia="zh-CN" w:bidi="ar"/>
        </w:rPr>
      </w:pPr>
      <w:r>
        <w:rPr>
          <w:rFonts w:hint="eastAsia" w:ascii="仿宋" w:hAnsi="仿宋" w:eastAsia="仿宋" w:cs="仿宋"/>
          <w:sz w:val="24"/>
          <w:szCs w:val="24"/>
          <w:lang w:val="en-US" w:eastAsia="zh-CN"/>
        </w:rPr>
        <w:t>服务周期</w:t>
      </w:r>
      <w:r>
        <w:rPr>
          <w:rFonts w:hint="eastAsia" w:ascii="仿宋" w:hAnsi="仿宋" w:eastAsia="仿宋" w:cs="仿宋"/>
          <w:sz w:val="24"/>
          <w:szCs w:val="24"/>
        </w:rPr>
        <w:t>：</w:t>
      </w:r>
      <w:r>
        <w:rPr>
          <w:rFonts w:hint="eastAsia" w:ascii="仿宋" w:hAnsi="仿宋" w:eastAsia="仿宋" w:cs="仿宋"/>
          <w:kern w:val="0"/>
          <w:sz w:val="24"/>
          <w:szCs w:val="24"/>
          <w:highlight w:val="none"/>
          <w:lang w:val="en-US" w:eastAsia="zh-CN" w:bidi="ar"/>
        </w:rPr>
        <w:t>自合同签订之日起至2026年09月30日；</w:t>
      </w:r>
    </w:p>
    <w:p w14:paraId="326A400C">
      <w:pPr>
        <w:spacing w:line="360" w:lineRule="auto"/>
        <w:rPr>
          <w:rFonts w:hint="eastAsia" w:ascii="仿宋" w:hAnsi="仿宋" w:eastAsia="仿宋" w:cs="仿宋"/>
          <w:sz w:val="24"/>
          <w:szCs w:val="24"/>
        </w:rPr>
      </w:pPr>
      <w:r>
        <w:rPr>
          <w:rFonts w:hint="eastAsia" w:ascii="仿宋" w:hAnsi="仿宋" w:eastAsia="仿宋" w:cs="仿宋"/>
          <w:sz w:val="24"/>
          <w:szCs w:val="24"/>
        </w:rPr>
        <w:t>租赁设备交付/使用地点：博乐市阿拉山口西</w:t>
      </w:r>
    </w:p>
    <w:p w14:paraId="198FB9ED">
      <w:pPr>
        <w:spacing w:line="360" w:lineRule="auto"/>
        <w:rPr>
          <w:rFonts w:hint="eastAsia" w:ascii="仿宋" w:hAnsi="仿宋" w:eastAsia="仿宋" w:cs="仿宋"/>
          <w:sz w:val="24"/>
          <w:szCs w:val="24"/>
        </w:rPr>
      </w:pPr>
      <w:r>
        <w:rPr>
          <w:rFonts w:hint="eastAsia" w:ascii="仿宋" w:hAnsi="仿宋" w:eastAsia="仿宋" w:cs="仿宋"/>
          <w:sz w:val="24"/>
          <w:szCs w:val="24"/>
        </w:rPr>
        <w:t>工作内容：该项目的槽探开挖及回填。</w:t>
      </w:r>
    </w:p>
    <w:p w14:paraId="152AA9A0">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二、租赁标的物需求</w:t>
      </w:r>
    </w:p>
    <w:p w14:paraId="705BE25C">
      <w:pPr>
        <w:spacing w:line="360" w:lineRule="auto"/>
        <w:rPr>
          <w:rFonts w:hint="eastAsia" w:ascii="仿宋" w:hAnsi="仿宋" w:eastAsia="仿宋" w:cs="仿宋"/>
          <w:sz w:val="24"/>
          <w:szCs w:val="24"/>
        </w:rPr>
      </w:pPr>
      <w:r>
        <w:rPr>
          <w:rFonts w:hint="eastAsia" w:ascii="仿宋" w:hAnsi="仿宋" w:eastAsia="仿宋" w:cs="仿宋"/>
          <w:sz w:val="24"/>
          <w:szCs w:val="24"/>
        </w:rPr>
        <w:t>1、基本规格</w:t>
      </w:r>
    </w:p>
    <w:p w14:paraId="58033E37">
      <w:pPr>
        <w:spacing w:line="360" w:lineRule="auto"/>
        <w:rPr>
          <w:rFonts w:hint="eastAsia" w:ascii="仿宋" w:hAnsi="仿宋" w:eastAsia="仿宋" w:cs="仿宋"/>
          <w:sz w:val="24"/>
          <w:szCs w:val="24"/>
        </w:rPr>
      </w:pPr>
      <w:r>
        <w:rPr>
          <w:rFonts w:hint="eastAsia" w:ascii="仿宋" w:hAnsi="仿宋" w:eastAsia="仿宋" w:cs="仿宋"/>
          <w:sz w:val="24"/>
          <w:szCs w:val="24"/>
        </w:rPr>
        <w:t>设备类型：履带式挖掘机。</w:t>
      </w:r>
    </w:p>
    <w:p w14:paraId="43C3C1E4">
      <w:pPr>
        <w:spacing w:line="360" w:lineRule="auto"/>
        <w:rPr>
          <w:rFonts w:hint="eastAsia" w:ascii="仿宋" w:hAnsi="仿宋" w:eastAsia="仿宋" w:cs="仿宋"/>
          <w:sz w:val="24"/>
          <w:szCs w:val="24"/>
        </w:rPr>
      </w:pPr>
      <w:r>
        <w:rPr>
          <w:rFonts w:hint="eastAsia" w:ascii="仿宋" w:hAnsi="仿宋" w:eastAsia="仿宋" w:cs="仿宋"/>
          <w:sz w:val="24"/>
          <w:szCs w:val="24"/>
        </w:rPr>
        <w:t>环保要求排放标准符合国家现行法规，国四，</w:t>
      </w:r>
    </w:p>
    <w:p w14:paraId="1CA9CADC">
      <w:pPr>
        <w:spacing w:line="360" w:lineRule="auto"/>
        <w:rPr>
          <w:rFonts w:hint="eastAsia" w:ascii="仿宋" w:hAnsi="仿宋" w:eastAsia="仿宋" w:cs="仿宋"/>
          <w:sz w:val="24"/>
          <w:szCs w:val="24"/>
        </w:rPr>
      </w:pPr>
      <w:r>
        <w:rPr>
          <w:rFonts w:hint="eastAsia" w:ascii="仿宋" w:hAnsi="仿宋" w:eastAsia="仿宋" w:cs="仿宋"/>
          <w:sz w:val="24"/>
          <w:szCs w:val="24"/>
        </w:rPr>
        <w:t>安全要求：符合国家相关安全标准GB 25684《土方机械安全》系列标准.必备安全装置、后视镜/摄像头等.灯光、信号装置齐全有效。</w:t>
      </w:r>
    </w:p>
    <w:p w14:paraId="679B75A7">
      <w:pPr>
        <w:spacing w:line="360" w:lineRule="auto"/>
        <w:rPr>
          <w:rFonts w:hint="eastAsia" w:ascii="仿宋" w:hAnsi="仿宋" w:eastAsia="仿宋" w:cs="仿宋"/>
          <w:sz w:val="24"/>
          <w:szCs w:val="24"/>
        </w:rPr>
      </w:pPr>
      <w:r>
        <w:rPr>
          <w:rFonts w:hint="eastAsia" w:ascii="仿宋" w:hAnsi="仿宋" w:eastAsia="仿宋" w:cs="仿宋"/>
          <w:sz w:val="24"/>
          <w:szCs w:val="24"/>
        </w:rPr>
        <w:t>设备数量：1台</w:t>
      </w:r>
    </w:p>
    <w:p w14:paraId="7D52BE69">
      <w:pPr>
        <w:spacing w:line="360" w:lineRule="auto"/>
        <w:rPr>
          <w:rFonts w:hint="eastAsia" w:ascii="仿宋" w:hAnsi="仿宋" w:eastAsia="仿宋" w:cs="仿宋"/>
          <w:sz w:val="24"/>
          <w:szCs w:val="24"/>
        </w:rPr>
      </w:pPr>
      <w:r>
        <w:rPr>
          <w:rFonts w:hint="eastAsia" w:ascii="仿宋" w:hAnsi="仿宋" w:eastAsia="仿宋" w:cs="仿宋"/>
          <w:sz w:val="24"/>
          <w:szCs w:val="24"/>
        </w:rPr>
        <w:t>累计工作小时数不超过6000小时，并提供证明（如设备仪表盘照片、原厂维修保养记录）。</w:t>
      </w:r>
    </w:p>
    <w:p w14:paraId="41B72370">
      <w:pPr>
        <w:spacing w:line="360" w:lineRule="auto"/>
        <w:rPr>
          <w:rFonts w:hint="eastAsia" w:ascii="仿宋" w:hAnsi="仿宋" w:eastAsia="仿宋" w:cs="仿宋"/>
          <w:sz w:val="24"/>
          <w:szCs w:val="24"/>
        </w:rPr>
      </w:pPr>
      <w:r>
        <w:rPr>
          <w:rFonts w:hint="eastAsia" w:ascii="仿宋" w:hAnsi="仿宋" w:eastAsia="仿宋" w:cs="仿宋"/>
          <w:sz w:val="24"/>
          <w:szCs w:val="24"/>
        </w:rPr>
        <w:t>设备必须技术状况良好，各系统（发动机、液压、传动、电气、行走）工作正常，无影响安全和性能的隐患及故障。能通过采购人（或其委托方）的进场验收。</w:t>
      </w:r>
    </w:p>
    <w:p w14:paraId="4C95ED7A">
      <w:pPr>
        <w:spacing w:line="360" w:lineRule="auto"/>
        <w:rPr>
          <w:rFonts w:hint="eastAsia" w:ascii="仿宋" w:hAnsi="仿宋" w:eastAsia="仿宋" w:cs="仿宋"/>
          <w:sz w:val="24"/>
          <w:szCs w:val="24"/>
        </w:rPr>
      </w:pPr>
      <w:r>
        <w:rPr>
          <w:rFonts w:hint="eastAsia" w:ascii="仿宋" w:hAnsi="仿宋" w:eastAsia="仿宋" w:cs="仿宋"/>
          <w:sz w:val="24"/>
          <w:szCs w:val="24"/>
        </w:rPr>
        <w:t>外观：设备外观整洁，无明显破损、锈蚀（不影响功能的除外）。</w:t>
      </w:r>
    </w:p>
    <w:p w14:paraId="070319D1">
      <w:pPr>
        <w:spacing w:line="360" w:lineRule="auto"/>
        <w:rPr>
          <w:rFonts w:hint="eastAsia" w:ascii="仿宋" w:hAnsi="仿宋" w:eastAsia="仿宋" w:cs="仿宋"/>
          <w:sz w:val="24"/>
          <w:szCs w:val="24"/>
        </w:rPr>
      </w:pPr>
      <w:r>
        <w:rPr>
          <w:rFonts w:hint="eastAsia" w:ascii="仿宋" w:hAnsi="仿宋" w:eastAsia="仿宋" w:cs="仿宋"/>
          <w:sz w:val="24"/>
          <w:szCs w:val="24"/>
        </w:rPr>
        <w:t>合法来源：供应商拥有设备合法所有权或完全处置权，无产权纠纷、抵押、查封等情形。需提供设备发票或所有权证明文件复印件备查。</w:t>
      </w:r>
    </w:p>
    <w:p w14:paraId="339D75D1">
      <w:pPr>
        <w:spacing w:line="360" w:lineRule="auto"/>
        <w:rPr>
          <w:rFonts w:hint="eastAsia" w:ascii="仿宋" w:hAnsi="仿宋" w:eastAsia="仿宋" w:cs="仿宋"/>
          <w:sz w:val="24"/>
          <w:szCs w:val="24"/>
        </w:rPr>
      </w:pPr>
      <w:r>
        <w:rPr>
          <w:rFonts w:hint="eastAsia" w:ascii="仿宋" w:hAnsi="仿宋" w:eastAsia="仿宋" w:cs="仿宋"/>
          <w:sz w:val="24"/>
          <w:szCs w:val="24"/>
        </w:rPr>
        <w:t>随机附件：</w:t>
      </w:r>
    </w:p>
    <w:p w14:paraId="64AC59C0">
      <w:pPr>
        <w:spacing w:line="360" w:lineRule="auto"/>
        <w:rPr>
          <w:rFonts w:hint="eastAsia" w:ascii="仿宋" w:hAnsi="仿宋" w:eastAsia="仿宋" w:cs="仿宋"/>
          <w:sz w:val="24"/>
          <w:szCs w:val="24"/>
        </w:rPr>
      </w:pPr>
      <w:r>
        <w:rPr>
          <w:rFonts w:hint="eastAsia" w:ascii="仿宋" w:hAnsi="仿宋" w:eastAsia="仿宋" w:cs="仿宋"/>
          <w:sz w:val="24"/>
          <w:szCs w:val="24"/>
        </w:rPr>
        <w:t>标准铲斗（斗容符合要求）。</w:t>
      </w:r>
    </w:p>
    <w:p w14:paraId="2663741E">
      <w:pPr>
        <w:spacing w:line="360" w:lineRule="auto"/>
        <w:rPr>
          <w:rFonts w:hint="eastAsia" w:ascii="仿宋" w:hAnsi="仿宋" w:eastAsia="仿宋" w:cs="仿宋"/>
          <w:sz w:val="24"/>
          <w:szCs w:val="24"/>
        </w:rPr>
      </w:pPr>
      <w:r>
        <w:rPr>
          <w:rFonts w:hint="eastAsia" w:ascii="仿宋" w:hAnsi="仿宋" w:eastAsia="仿宋" w:cs="仿宋"/>
          <w:sz w:val="24"/>
          <w:szCs w:val="24"/>
        </w:rPr>
        <w:t>必要的随车工具（如：黄油枪、常用扳手等）。</w:t>
      </w:r>
    </w:p>
    <w:p w14:paraId="6D75E7D4">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三、服务要求</w:t>
      </w:r>
    </w:p>
    <w:p w14:paraId="59D471EA">
      <w:pPr>
        <w:spacing w:line="360" w:lineRule="auto"/>
        <w:rPr>
          <w:rFonts w:hint="eastAsia" w:ascii="仿宋" w:hAnsi="仿宋" w:eastAsia="仿宋" w:cs="仿宋"/>
          <w:sz w:val="24"/>
          <w:szCs w:val="24"/>
        </w:rPr>
      </w:pPr>
      <w:r>
        <w:rPr>
          <w:rFonts w:hint="eastAsia" w:ascii="仿宋" w:hAnsi="仿宋" w:eastAsia="仿宋" w:cs="仿宋"/>
          <w:sz w:val="24"/>
          <w:szCs w:val="24"/>
        </w:rPr>
        <w:t>运输责任与费用：明确由供应商负责将设备安全、完好地运输至指定地点，并承担运输费用、保险费用及风险。</w:t>
      </w:r>
    </w:p>
    <w:p w14:paraId="1E04E535">
      <w:pPr>
        <w:spacing w:line="360" w:lineRule="auto"/>
        <w:rPr>
          <w:rFonts w:hint="eastAsia" w:ascii="仿宋" w:hAnsi="仿宋" w:eastAsia="仿宋" w:cs="仿宋"/>
          <w:sz w:val="24"/>
          <w:szCs w:val="24"/>
        </w:rPr>
      </w:pPr>
      <w:r>
        <w:rPr>
          <w:rFonts w:hint="eastAsia" w:ascii="仿宋" w:hAnsi="仿宋" w:eastAsia="仿宋" w:cs="仿宋"/>
          <w:sz w:val="24"/>
          <w:szCs w:val="24"/>
        </w:rPr>
        <w:t>进场验收：设备到达现场后，由采购人（或其代表）进行现场验收。验收内容包括：核对设备型号规格、检查外观及技术状况（可试运行）、核查工作小时数、检查安全装置、清点随机附件等。验收合格是租赁期开始和支付租金的前提。</w:t>
      </w:r>
    </w:p>
    <w:p w14:paraId="3EB94D2A">
      <w:pPr>
        <w:spacing w:line="360" w:lineRule="auto"/>
        <w:rPr>
          <w:rFonts w:hint="eastAsia" w:ascii="仿宋" w:hAnsi="仿宋" w:eastAsia="仿宋" w:cs="仿宋"/>
          <w:sz w:val="24"/>
          <w:szCs w:val="24"/>
        </w:rPr>
      </w:pPr>
      <w:r>
        <w:rPr>
          <w:rFonts w:hint="eastAsia" w:ascii="仿宋" w:hAnsi="仿宋" w:eastAsia="仿宋" w:cs="仿宋"/>
          <w:sz w:val="24"/>
          <w:szCs w:val="24"/>
        </w:rPr>
        <w:t>操作人员配备：配备操作手（食宿及工资、社保由供应商承担）。</w:t>
      </w:r>
    </w:p>
    <w:p w14:paraId="6138C959">
      <w:pPr>
        <w:spacing w:line="360" w:lineRule="auto"/>
        <w:rPr>
          <w:rFonts w:hint="eastAsia" w:ascii="仿宋" w:hAnsi="仿宋" w:eastAsia="仿宋" w:cs="仿宋"/>
          <w:sz w:val="24"/>
          <w:szCs w:val="24"/>
        </w:rPr>
      </w:pPr>
      <w:r>
        <w:rPr>
          <w:rFonts w:hint="eastAsia" w:ascii="仿宋" w:hAnsi="仿宋" w:eastAsia="仿宋" w:cs="仿宋"/>
          <w:sz w:val="24"/>
          <w:szCs w:val="24"/>
        </w:rPr>
        <w:t>数量：投标人中标后每台设备配备1名持有有效的《特种设备作业人员证》（挖掘机操作项目）或国家认可的工程机械操作证书（如住建部门核发），并符合项目所在地对特种作业人员的其他要求。</w:t>
      </w:r>
    </w:p>
    <w:p w14:paraId="690E1EA3">
      <w:pPr>
        <w:spacing w:line="360" w:lineRule="auto"/>
        <w:rPr>
          <w:rFonts w:hint="eastAsia" w:ascii="仿宋" w:hAnsi="仿宋" w:eastAsia="仿宋" w:cs="仿宋"/>
          <w:sz w:val="24"/>
          <w:szCs w:val="24"/>
        </w:rPr>
      </w:pPr>
      <w:r>
        <w:rPr>
          <w:rFonts w:hint="eastAsia" w:ascii="仿宋" w:hAnsi="仿宋" w:eastAsia="仿宋" w:cs="仿宋"/>
          <w:sz w:val="24"/>
          <w:szCs w:val="24"/>
        </w:rPr>
        <w:t>工作要求：服从采购人现场管理人员的指挥调度，遵守现场安全、环保等各项规章制度。工作时间需满足项目要求（管理责任：操作手由供应商负责管理（包括工资、社保、保险、安全教育等），但其在现场工作期间必须遵守采购人的管理。</w:t>
      </w:r>
    </w:p>
    <w:p w14:paraId="5291798B">
      <w:pPr>
        <w:spacing w:line="360" w:lineRule="auto"/>
        <w:rPr>
          <w:rFonts w:hint="eastAsia" w:ascii="仿宋" w:hAnsi="仿宋" w:eastAsia="仿宋" w:cs="仿宋"/>
          <w:sz w:val="24"/>
          <w:szCs w:val="24"/>
        </w:rPr>
      </w:pPr>
      <w:r>
        <w:rPr>
          <w:rFonts w:hint="eastAsia" w:ascii="仿宋" w:hAnsi="仿宋" w:eastAsia="仿宋" w:cs="仿宋"/>
          <w:sz w:val="24"/>
          <w:szCs w:val="24"/>
        </w:rPr>
        <w:t>更换：供应商需保证操作手稳定，如需更换，应提前通知并确保新操作手符合要求。</w:t>
      </w:r>
    </w:p>
    <w:p w14:paraId="1105BCD0">
      <w:pPr>
        <w:spacing w:line="360" w:lineRule="auto"/>
        <w:rPr>
          <w:rFonts w:hint="eastAsia" w:ascii="仿宋" w:hAnsi="仿宋" w:eastAsia="仿宋" w:cs="仿宋"/>
          <w:sz w:val="24"/>
          <w:szCs w:val="24"/>
        </w:rPr>
      </w:pPr>
      <w:r>
        <w:rPr>
          <w:rFonts w:hint="eastAsia" w:ascii="仿宋" w:hAnsi="仿宋" w:eastAsia="仿宋" w:cs="仿宋"/>
          <w:sz w:val="24"/>
          <w:szCs w:val="24"/>
        </w:rPr>
        <w:t>设备维护、保养与维修：</w:t>
      </w:r>
    </w:p>
    <w:p w14:paraId="7AF944A5">
      <w:pPr>
        <w:spacing w:line="360" w:lineRule="auto"/>
        <w:rPr>
          <w:rFonts w:hint="eastAsia" w:ascii="仿宋" w:hAnsi="仿宋" w:eastAsia="仿宋" w:cs="仿宋"/>
          <w:sz w:val="24"/>
          <w:szCs w:val="24"/>
        </w:rPr>
      </w:pPr>
      <w:r>
        <w:rPr>
          <w:rFonts w:hint="eastAsia" w:ascii="仿宋" w:hAnsi="仿宋" w:eastAsia="仿宋" w:cs="仿宋"/>
          <w:sz w:val="24"/>
          <w:szCs w:val="24"/>
        </w:rPr>
        <w:t>定期保养：供应商必须按照设备制造商的要求或双方约定的周期进行定期保养（更换机油、机滤、液压油滤芯、空气滤芯等），并承担保养费用（人工和物料）。</w:t>
      </w:r>
    </w:p>
    <w:p w14:paraId="0779F71C">
      <w:pPr>
        <w:spacing w:line="360" w:lineRule="auto"/>
        <w:rPr>
          <w:rFonts w:hint="eastAsia" w:ascii="仿宋" w:hAnsi="仿宋" w:eastAsia="仿宋" w:cs="仿宋"/>
          <w:sz w:val="24"/>
          <w:szCs w:val="24"/>
        </w:rPr>
      </w:pPr>
      <w:r>
        <w:rPr>
          <w:rFonts w:hint="eastAsia" w:ascii="仿宋" w:hAnsi="仿宋" w:eastAsia="仿宋" w:cs="仿宋"/>
          <w:sz w:val="24"/>
          <w:szCs w:val="24"/>
        </w:rPr>
        <w:t>故障维修：</w:t>
      </w:r>
    </w:p>
    <w:p w14:paraId="1FE80802">
      <w:pPr>
        <w:spacing w:line="360" w:lineRule="auto"/>
        <w:rPr>
          <w:rFonts w:hint="eastAsia" w:ascii="仿宋" w:hAnsi="仿宋" w:eastAsia="仿宋" w:cs="仿宋"/>
          <w:sz w:val="24"/>
          <w:szCs w:val="24"/>
        </w:rPr>
      </w:pPr>
      <w:r>
        <w:rPr>
          <w:rFonts w:hint="eastAsia" w:ascii="仿宋" w:hAnsi="仿宋" w:eastAsia="仿宋" w:cs="仿宋"/>
          <w:sz w:val="24"/>
          <w:szCs w:val="24"/>
        </w:rPr>
        <w:t>责任划分：维修责任和费用由供应商承担。</w:t>
      </w:r>
    </w:p>
    <w:p w14:paraId="2327F419">
      <w:pPr>
        <w:spacing w:line="360" w:lineRule="auto"/>
        <w:rPr>
          <w:rFonts w:hint="eastAsia" w:ascii="仿宋" w:hAnsi="仿宋" w:eastAsia="仿宋" w:cs="仿宋"/>
          <w:sz w:val="24"/>
          <w:szCs w:val="24"/>
        </w:rPr>
      </w:pPr>
      <w:r>
        <w:rPr>
          <w:rFonts w:hint="eastAsia" w:ascii="仿宋" w:hAnsi="仿宋" w:eastAsia="仿宋" w:cs="仿宋"/>
          <w:sz w:val="24"/>
          <w:szCs w:val="24"/>
        </w:rPr>
        <w:t>响应时间：设备发生故障时，供应商接到通知后应在8小时内响应，12小时内技术人员到达现场，一般故障应在24小时内修复。重大故障需明确修复或更换设备的时限。</w:t>
      </w:r>
    </w:p>
    <w:p w14:paraId="53F7CBCF">
      <w:pPr>
        <w:spacing w:line="360" w:lineRule="auto"/>
        <w:rPr>
          <w:rFonts w:hint="eastAsia" w:ascii="仿宋" w:hAnsi="仿宋" w:eastAsia="仿宋" w:cs="仿宋"/>
          <w:sz w:val="24"/>
          <w:szCs w:val="24"/>
        </w:rPr>
      </w:pPr>
      <w:r>
        <w:rPr>
          <w:rFonts w:hint="eastAsia" w:ascii="仿宋" w:hAnsi="仿宋" w:eastAsia="仿宋" w:cs="仿宋"/>
          <w:sz w:val="24"/>
          <w:szCs w:val="24"/>
        </w:rPr>
        <w:t>燃油、润滑油及辅料供应：</w:t>
      </w:r>
    </w:p>
    <w:p w14:paraId="76506AEF">
      <w:pPr>
        <w:spacing w:line="360" w:lineRule="auto"/>
        <w:rPr>
          <w:rFonts w:hint="eastAsia" w:ascii="仿宋" w:hAnsi="仿宋" w:eastAsia="仿宋" w:cs="仿宋"/>
          <w:sz w:val="24"/>
          <w:szCs w:val="24"/>
        </w:rPr>
      </w:pPr>
      <w:r>
        <w:rPr>
          <w:rFonts w:hint="eastAsia" w:ascii="仿宋" w:hAnsi="仿宋" w:eastAsia="仿宋" w:cs="仿宋"/>
          <w:sz w:val="24"/>
          <w:szCs w:val="24"/>
        </w:rPr>
        <w:t>由供应商提供设备正常工作所需的燃油（柴油）、润滑油、液压油、冷却液、黄油等，并承担费用。</w:t>
      </w:r>
    </w:p>
    <w:p w14:paraId="41E05FE9">
      <w:pPr>
        <w:spacing w:line="360" w:lineRule="auto"/>
        <w:rPr>
          <w:rFonts w:hint="eastAsia" w:ascii="仿宋" w:hAnsi="仿宋" w:eastAsia="仿宋" w:cs="仿宋"/>
          <w:sz w:val="24"/>
          <w:szCs w:val="24"/>
        </w:rPr>
      </w:pPr>
      <w:r>
        <w:rPr>
          <w:rFonts w:hint="eastAsia" w:ascii="仿宋" w:hAnsi="仿宋" w:eastAsia="仿宋" w:cs="仿宋"/>
          <w:sz w:val="24"/>
          <w:szCs w:val="24"/>
        </w:rPr>
        <w:t>必保险种：</w:t>
      </w:r>
      <w:r>
        <w:rPr>
          <w:rFonts w:hint="eastAsia" w:ascii="仿宋" w:hAnsi="仿宋" w:eastAsia="仿宋" w:cs="仿宋"/>
          <w:sz w:val="24"/>
          <w:szCs w:val="24"/>
          <w:highlight w:val="none"/>
        </w:rPr>
        <w:t>中标人中标后需提供</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rPr>
        <w:t>三者不低于200万；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座位险不低于20万；人员死亡险（意外身故）：每人不得低于120万；还需要买操作员工伤保险；操作员操作证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保险期限应覆盖整个租赁期及运输过程。</w:t>
      </w:r>
    </w:p>
    <w:p w14:paraId="25B95099">
      <w:pPr>
        <w:spacing w:line="360" w:lineRule="auto"/>
        <w:rPr>
          <w:rFonts w:hint="eastAsia" w:ascii="仿宋" w:hAnsi="仿宋" w:eastAsia="仿宋" w:cs="仿宋"/>
          <w:sz w:val="24"/>
          <w:szCs w:val="24"/>
        </w:rPr>
      </w:pPr>
      <w:r>
        <w:rPr>
          <w:rFonts w:hint="eastAsia" w:ascii="仿宋" w:hAnsi="仿宋" w:eastAsia="仿宋" w:cs="仿宋"/>
          <w:sz w:val="24"/>
          <w:szCs w:val="24"/>
        </w:rPr>
        <w:t>安全与环保责任：</w:t>
      </w:r>
    </w:p>
    <w:p w14:paraId="51AD1B7D">
      <w:pPr>
        <w:spacing w:line="360" w:lineRule="auto"/>
        <w:rPr>
          <w:rFonts w:hint="eastAsia" w:ascii="仿宋" w:hAnsi="仿宋" w:eastAsia="仿宋" w:cs="仿宋"/>
          <w:sz w:val="24"/>
          <w:szCs w:val="24"/>
        </w:rPr>
      </w:pPr>
      <w:r>
        <w:rPr>
          <w:rFonts w:hint="eastAsia" w:ascii="仿宋" w:hAnsi="仿宋" w:eastAsia="仿宋" w:cs="仿宋"/>
          <w:sz w:val="24"/>
          <w:szCs w:val="24"/>
        </w:rPr>
        <w:t>明确供应商对其设备本身安全性和操作手行为的安全责任。</w:t>
      </w:r>
    </w:p>
    <w:p w14:paraId="2EDFD692">
      <w:pPr>
        <w:spacing w:line="360" w:lineRule="auto"/>
        <w:rPr>
          <w:rFonts w:hint="eastAsia" w:ascii="仿宋" w:hAnsi="仿宋" w:eastAsia="仿宋" w:cs="仿宋"/>
          <w:sz w:val="24"/>
          <w:szCs w:val="24"/>
        </w:rPr>
      </w:pPr>
      <w:r>
        <w:rPr>
          <w:rFonts w:hint="eastAsia" w:ascii="仿宋" w:hAnsi="仿宋" w:eastAsia="仿宋" w:cs="仿宋"/>
          <w:sz w:val="24"/>
          <w:szCs w:val="24"/>
        </w:rPr>
        <w:t>明确供应商需遵守项目现场的所有安全、环保规定。</w:t>
      </w:r>
    </w:p>
    <w:p w14:paraId="4D85132C">
      <w:pPr>
        <w:spacing w:line="360" w:lineRule="auto"/>
        <w:rPr>
          <w:rFonts w:hint="eastAsia" w:ascii="仿宋" w:hAnsi="仿宋" w:eastAsia="仿宋" w:cs="仿宋"/>
          <w:sz w:val="24"/>
          <w:szCs w:val="24"/>
        </w:rPr>
      </w:pPr>
      <w:r>
        <w:rPr>
          <w:rFonts w:hint="eastAsia" w:ascii="仿宋" w:hAnsi="仿宋" w:eastAsia="仿宋" w:cs="仿宋"/>
          <w:sz w:val="24"/>
          <w:szCs w:val="24"/>
        </w:rPr>
        <w:t>发生安全事故时的报告流程和责任划分原则。</w:t>
      </w:r>
    </w:p>
    <w:p w14:paraId="482291B0">
      <w:pPr>
        <w:spacing w:line="360" w:lineRule="auto"/>
        <w:ind w:firstLine="482" w:firstLineChars="200"/>
        <w:rPr>
          <w:rFonts w:hint="eastAsia" w:ascii="仿宋" w:hAnsi="仿宋" w:eastAsia="仿宋" w:cs="仿宋"/>
          <w:b/>
          <w:sz w:val="24"/>
          <w:szCs w:val="24"/>
        </w:rPr>
      </w:pPr>
    </w:p>
    <w:p w14:paraId="1481919B">
      <w:pPr>
        <w:outlineLvl w:val="9"/>
        <w:rPr>
          <w:rFonts w:hint="eastAsia" w:ascii="仿宋" w:hAnsi="仿宋" w:eastAsia="仿宋" w:cs="仿宋"/>
          <w:b/>
          <w:color w:val="auto"/>
          <w:sz w:val="24"/>
          <w:szCs w:val="24"/>
          <w:highlight w:val="none"/>
        </w:rPr>
      </w:pPr>
      <w:r>
        <w:rPr>
          <w:rFonts w:hint="eastAsia" w:ascii="仿宋" w:hAnsi="仿宋" w:eastAsia="仿宋" w:cs="仿宋"/>
          <w:b/>
          <w:sz w:val="24"/>
          <w:szCs w:val="24"/>
        </w:rPr>
        <w:t>说明：投标人应注意采购人在技术规格中指出的参数、工艺、材料和设备等内容仅起说明作用，无任何倾向性或限制性；任何品牌的产品均可依法参加本项目的采购活动。在安装调试中所需辅材费用包含在投标人投标产品的报价中，不再单独计取。</w:t>
      </w:r>
      <w:r>
        <w:rPr>
          <w:rFonts w:hint="eastAsia" w:ascii="仿宋" w:hAnsi="仿宋" w:eastAsia="仿宋" w:cs="仿宋"/>
          <w:b/>
          <w:color w:val="auto"/>
          <w:sz w:val="24"/>
          <w:szCs w:val="24"/>
          <w:highlight w:val="none"/>
        </w:rPr>
        <w:br w:type="page"/>
      </w:r>
    </w:p>
    <w:p w14:paraId="4FDA71B6">
      <w:pPr>
        <w:spacing w:line="360" w:lineRule="auto"/>
        <w:outlineLvl w:val="2"/>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服务内容5：新疆阿图什市喀拉别勒所一带铜矿调查评价</w:t>
      </w:r>
    </w:p>
    <w:p w14:paraId="281590D3">
      <w:pPr>
        <w:numPr>
          <w:ilvl w:val="0"/>
          <w:numId w:val="0"/>
        </w:numPr>
        <w:spacing w:line="360" w:lineRule="auto"/>
        <w:rPr>
          <w:rFonts w:hint="eastAsia" w:ascii="仿宋" w:hAnsi="仿宋" w:eastAsia="仿宋" w:cs="仿宋"/>
          <w:b/>
          <w:bCs/>
          <w:sz w:val="24"/>
          <w:szCs w:val="24"/>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rPr>
        <w:t>项目基本信息</w:t>
      </w:r>
    </w:p>
    <w:p w14:paraId="5158EF33">
      <w:pPr>
        <w:numPr>
          <w:ilvl w:val="0"/>
          <w:numId w:val="0"/>
        </w:numPr>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服务周期：</w:t>
      </w:r>
      <w:r>
        <w:rPr>
          <w:rFonts w:hint="eastAsia" w:ascii="仿宋" w:hAnsi="仿宋" w:eastAsia="仿宋" w:cs="仿宋"/>
          <w:b w:val="0"/>
          <w:bCs w:val="0"/>
          <w:kern w:val="0"/>
          <w:sz w:val="24"/>
          <w:szCs w:val="24"/>
          <w:highlight w:val="none"/>
          <w:lang w:val="en-US" w:eastAsia="zh-CN" w:bidi="ar"/>
        </w:rPr>
        <w:t>自合同签订之日起至2026年07月30日</w:t>
      </w:r>
      <w:r>
        <w:rPr>
          <w:rFonts w:hint="eastAsia" w:ascii="仿宋" w:hAnsi="仿宋" w:eastAsia="仿宋" w:cs="仿宋"/>
          <w:kern w:val="0"/>
          <w:sz w:val="24"/>
          <w:szCs w:val="24"/>
          <w:highlight w:val="none"/>
          <w:lang w:val="en-US" w:eastAsia="zh-CN" w:bidi="ar"/>
        </w:rPr>
        <w:t>。</w:t>
      </w:r>
    </w:p>
    <w:p w14:paraId="5EF9A24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租赁设备交付/使用地点：</w:t>
      </w:r>
      <w:r>
        <w:rPr>
          <w:rFonts w:hint="eastAsia" w:ascii="仿宋" w:hAnsi="仿宋" w:eastAsia="仿宋" w:cs="仿宋"/>
          <w:sz w:val="24"/>
          <w:szCs w:val="24"/>
          <w:highlight w:val="none"/>
          <w:lang w:val="en-US" w:eastAsia="zh-CN"/>
        </w:rPr>
        <w:t>阿图什市喀拉别勒所一带</w:t>
      </w:r>
    </w:p>
    <w:p w14:paraId="50EA697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工作内容：该项目的槽探开挖及回填。</w:t>
      </w:r>
    </w:p>
    <w:p w14:paraId="6FBD6643">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二、租赁标的物需求</w:t>
      </w:r>
    </w:p>
    <w:p w14:paraId="53A68D0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1、基本规格</w:t>
      </w:r>
    </w:p>
    <w:p w14:paraId="4A7BCD7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设备类型：履带式挖掘机。</w:t>
      </w:r>
    </w:p>
    <w:p w14:paraId="1931C12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环保要求排放标准符合国家现行法规，国四，</w:t>
      </w:r>
    </w:p>
    <w:p w14:paraId="732335A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安全要求：符合国家相关安全标准GB 25684《土方机械安全》系列标准.必备安全装置、后视镜/摄像头等.灯光、信号装置齐全有效。</w:t>
      </w:r>
    </w:p>
    <w:p w14:paraId="483AB15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设备数量：</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台</w:t>
      </w:r>
    </w:p>
    <w:p w14:paraId="20B3EB0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累计工作小时数不超过6000小时，并提供证明（如设备仪表盘照片、原厂维修保养记录）。</w:t>
      </w:r>
    </w:p>
    <w:p w14:paraId="56F1716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设备必须技术状况良好，各系统（发动机、液压、传动、电气、行走）工作正常，无影响安全和性能的隐患及故障。能通过采购人（或其委托方）的进场验收。</w:t>
      </w:r>
    </w:p>
    <w:p w14:paraId="32437D8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外观：设备外观整洁，无明显破损、锈蚀（不影响功能的除外）。</w:t>
      </w:r>
    </w:p>
    <w:p w14:paraId="0B58E14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合法来源：供应商拥有设备合法所有权或完全处置权，无产权纠纷、抵押、查封等情形。需提供设备发票或所有权证明文件复印件备查。</w:t>
      </w:r>
    </w:p>
    <w:p w14:paraId="77BDC31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随机附件：</w:t>
      </w:r>
    </w:p>
    <w:p w14:paraId="31E0A16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标准铲斗（斗容符合要求）。</w:t>
      </w:r>
    </w:p>
    <w:p w14:paraId="4959B0F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必要的随车工具（如：黄油枪、常用扳手等）。</w:t>
      </w:r>
    </w:p>
    <w:p w14:paraId="55C097C0">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三、服务要求</w:t>
      </w:r>
    </w:p>
    <w:p w14:paraId="20F1BA5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运输责任与费用：明确由供应商负责将设备安全、完好地运输至指定地点，并承担运输费用、保险费用及风险。</w:t>
      </w:r>
    </w:p>
    <w:p w14:paraId="611F027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进场验收：设备到达现场后，由采购人（或其代表）进行现场验收。验收内容包括：核对设备型号规格、检查外观及技术状况（可试运行）、核查工作小时数、检查安全装置、清点随机附件等。验收合格是租赁期开始和支付租金的前提。</w:t>
      </w:r>
    </w:p>
    <w:p w14:paraId="1B6C26F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操作人员配备：配备操作手（食宿及工资、社保由供应商承担）。</w:t>
      </w:r>
    </w:p>
    <w:p w14:paraId="2380C0A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数量：投标人中标后每台设备配备1名持有有效的《特种设备作业人员证》（挖掘机操作项目）或国家认可的工程机械操作证书（如住建部门核发），并符合项目所在地对特种作业人员的其他要求。</w:t>
      </w:r>
    </w:p>
    <w:p w14:paraId="7974CB3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工作要求：服从采购人现场管理人员的指挥调度，遵守现场安全、环保等各项规章制度。工作时间需满足项目要求（管理责任：操作手由供应商负责管理（包括工资、社保、保险、安全教育等），但其在现场工作期间必须遵守采购人的管理。</w:t>
      </w:r>
    </w:p>
    <w:p w14:paraId="28A10CC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更换：供应商需保证操作手稳定，如需更换，应提前通知并确保新操作手符合要求。</w:t>
      </w:r>
    </w:p>
    <w:p w14:paraId="47E5AB3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设备维护、保养与维修：</w:t>
      </w:r>
    </w:p>
    <w:p w14:paraId="4996774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定期保养：供应商必须按照设备制造商的要求或双方约定的周期进行定期保养（更换机油、机滤、液压油滤芯、空气滤芯等），并承担保养费用（人工和物料）。</w:t>
      </w:r>
    </w:p>
    <w:p w14:paraId="22FDE24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故障维修：</w:t>
      </w:r>
    </w:p>
    <w:p w14:paraId="6B447E68">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责任划分：维修责任和费用由供应商承担。</w:t>
      </w:r>
    </w:p>
    <w:p w14:paraId="5DE43C8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响应时间：设备发生故障时，供应商接到通知后应在8小时内响应，12小时内技术人员到达现场，一般故障应在24小时内修复。重大故障需明确修复或更换设备的时限。</w:t>
      </w:r>
    </w:p>
    <w:p w14:paraId="38BC232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燃油、润滑油及辅料供应：</w:t>
      </w:r>
    </w:p>
    <w:p w14:paraId="14B3067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由供应商提供设备正常工作所需的燃油（柴油）、润滑油、液压油、冷却液、黄油等，并承担费用。</w:t>
      </w:r>
    </w:p>
    <w:p w14:paraId="4BE6002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必保险种：中标人中标后需提供</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rPr>
        <w:t>三者不低于200万；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座位险不低于20万；人员死亡险（意外身故）：每人不得低于120万；还需要买操作员工伤保险；操作员操作证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保险期限应覆盖整个租赁期及运输过程。</w:t>
      </w:r>
    </w:p>
    <w:p w14:paraId="65751DD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安全与环保责任：</w:t>
      </w:r>
    </w:p>
    <w:p w14:paraId="18F72D37">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明确供应商对其设备本身安全性和操作手行为的安全责任。</w:t>
      </w:r>
    </w:p>
    <w:p w14:paraId="5F925FD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明确供应商需遵守项目现场的所有安全、环保规定。</w:t>
      </w:r>
    </w:p>
    <w:p w14:paraId="4B7505E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发生安全事故时的报告流程和责任划分原则。</w:t>
      </w:r>
    </w:p>
    <w:p w14:paraId="6859B996">
      <w:pPr>
        <w:spacing w:line="360" w:lineRule="auto"/>
        <w:ind w:firstLine="482" w:firstLineChars="200"/>
        <w:rPr>
          <w:rFonts w:hint="eastAsia" w:ascii="仿宋" w:hAnsi="仿宋" w:eastAsia="仿宋" w:cs="仿宋"/>
          <w:b/>
          <w:sz w:val="24"/>
          <w:szCs w:val="24"/>
          <w:highlight w:val="none"/>
        </w:rPr>
      </w:pPr>
    </w:p>
    <w:p w14:paraId="0FFD7C5B">
      <w:pPr>
        <w:rPr>
          <w:rFonts w:hint="eastAsia" w:ascii="仿宋" w:hAnsi="仿宋" w:eastAsia="仿宋" w:cs="仿宋"/>
          <w:b/>
          <w:color w:val="auto"/>
          <w:sz w:val="24"/>
          <w:szCs w:val="24"/>
          <w:highlight w:val="none"/>
        </w:rPr>
      </w:pPr>
      <w:r>
        <w:rPr>
          <w:rFonts w:hint="eastAsia" w:ascii="仿宋" w:hAnsi="仿宋" w:eastAsia="仿宋" w:cs="仿宋"/>
          <w:b/>
          <w:sz w:val="24"/>
          <w:szCs w:val="24"/>
          <w:highlight w:val="none"/>
        </w:rPr>
        <w:t>说明：投标人应注意采购人在技术规格中指出的参数、工艺、材料和设备等内容仅起说明作用，无任何倾向性或限制性；任何品牌的产品均可依法参加本项目的采购活动。在安装调试中所需辅材费用包含在投标人投标产品的报价中，不再单独计取。</w:t>
      </w:r>
      <w:r>
        <w:rPr>
          <w:rFonts w:hint="eastAsia" w:ascii="仿宋" w:hAnsi="仿宋" w:eastAsia="仿宋" w:cs="仿宋"/>
          <w:b/>
          <w:color w:val="auto"/>
          <w:sz w:val="24"/>
          <w:szCs w:val="24"/>
          <w:highlight w:val="none"/>
        </w:rPr>
        <w:br w:type="page"/>
      </w:r>
    </w:p>
    <w:p w14:paraId="4D9BB22F">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第五章 投标文件格式</w:t>
      </w:r>
      <w:bookmarkEnd w:id="313"/>
      <w:bookmarkEnd w:id="314"/>
    </w:p>
    <w:p w14:paraId="533C9DBC">
      <w:pPr>
        <w:rPr>
          <w:rFonts w:hint="eastAsia" w:ascii="仿宋" w:hAnsi="仿宋" w:eastAsia="仿宋" w:cs="仿宋"/>
          <w:b/>
          <w:color w:val="auto"/>
          <w:sz w:val="24"/>
          <w:szCs w:val="24"/>
          <w:highlight w:val="none"/>
        </w:rPr>
      </w:pPr>
    </w:p>
    <w:p w14:paraId="5EB6B1CB">
      <w:pPr>
        <w:rPr>
          <w:rFonts w:hint="eastAsia" w:ascii="仿宋" w:hAnsi="仿宋" w:eastAsia="仿宋" w:cs="仿宋"/>
          <w:b/>
          <w:color w:val="auto"/>
          <w:sz w:val="24"/>
          <w:szCs w:val="24"/>
          <w:highlight w:val="none"/>
        </w:rPr>
      </w:pPr>
    </w:p>
    <w:p w14:paraId="73DD11A3">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31985BD1">
      <w:pPr>
        <w:spacing w:line="480" w:lineRule="auto"/>
        <w:jc w:val="center"/>
        <w:rPr>
          <w:rFonts w:hint="eastAsia" w:ascii="仿宋" w:hAnsi="仿宋" w:eastAsia="仿宋" w:cs="仿宋"/>
          <w:b/>
          <w:color w:val="auto"/>
          <w:sz w:val="24"/>
          <w:szCs w:val="24"/>
          <w:highlight w:val="none"/>
          <w:bdr w:val="single" w:color="auto" w:sz="4" w:space="0"/>
        </w:rPr>
      </w:pPr>
    </w:p>
    <w:p w14:paraId="0A717214">
      <w:pPr>
        <w:spacing w:line="480" w:lineRule="auto"/>
        <w:jc w:val="center"/>
        <w:rPr>
          <w:rFonts w:hint="eastAsia" w:ascii="仿宋" w:hAnsi="仿宋" w:eastAsia="仿宋" w:cs="仿宋"/>
          <w:b/>
          <w:color w:val="auto"/>
          <w:sz w:val="24"/>
          <w:szCs w:val="24"/>
          <w:highlight w:val="none"/>
          <w:bdr w:val="single" w:color="auto" w:sz="4" w:space="0"/>
        </w:rPr>
      </w:pPr>
    </w:p>
    <w:p w14:paraId="5A6D865F">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（项目名称）</w:t>
      </w:r>
    </w:p>
    <w:p w14:paraId="592268B0">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（项目编号）</w:t>
      </w:r>
    </w:p>
    <w:p w14:paraId="5C076A1C">
      <w:pPr>
        <w:spacing w:line="48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标项</w:t>
      </w:r>
      <w:r>
        <w:rPr>
          <w:rFonts w:hint="eastAsia" w:ascii="仿宋" w:hAnsi="仿宋" w:eastAsia="仿宋" w:cs="仿宋"/>
          <w:b/>
          <w:bCs/>
          <w:color w:val="auto"/>
          <w:sz w:val="24"/>
          <w:szCs w:val="24"/>
          <w:highlight w:val="none"/>
          <w:u w:val="single"/>
        </w:rPr>
        <w:t>编号）</w:t>
      </w:r>
      <w:r>
        <w:rPr>
          <w:rFonts w:hint="eastAsia" w:ascii="仿宋" w:hAnsi="仿宋" w:eastAsia="仿宋" w:cs="仿宋"/>
          <w:b/>
          <w:bCs/>
          <w:color w:val="auto"/>
          <w:sz w:val="24"/>
          <w:szCs w:val="24"/>
          <w:highlight w:val="none"/>
          <w:u w:val="single"/>
        </w:rPr>
        <w:br w:type="textWrapping"/>
      </w:r>
    </w:p>
    <w:p w14:paraId="4BF3801A">
      <w:pPr>
        <w:spacing w:line="300" w:lineRule="exact"/>
        <w:jc w:val="center"/>
        <w:rPr>
          <w:rFonts w:hint="eastAsia" w:ascii="仿宋" w:hAnsi="仿宋" w:eastAsia="仿宋" w:cs="仿宋"/>
          <w:b/>
          <w:bCs/>
          <w:color w:val="auto"/>
          <w:sz w:val="24"/>
          <w:szCs w:val="24"/>
          <w:highlight w:val="none"/>
        </w:rPr>
      </w:pPr>
    </w:p>
    <w:p w14:paraId="60FB9DFD">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35BA56F5">
      <w:pPr>
        <w:spacing w:line="720" w:lineRule="auto"/>
        <w:rPr>
          <w:rFonts w:hint="eastAsia" w:ascii="仿宋" w:hAnsi="仿宋" w:eastAsia="仿宋" w:cs="仿宋"/>
          <w:color w:val="auto"/>
          <w:sz w:val="24"/>
          <w:szCs w:val="24"/>
          <w:highlight w:val="none"/>
        </w:rPr>
      </w:pPr>
    </w:p>
    <w:p w14:paraId="2B5542D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283858D">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p>
    <w:p w14:paraId="6B56C806">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14D3D16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3CDDF5D1">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264C3C03">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0F4DEC96">
      <w:pPr>
        <w:spacing w:line="720" w:lineRule="auto"/>
        <w:rPr>
          <w:rFonts w:hint="eastAsia" w:ascii="仿宋" w:hAnsi="仿宋" w:eastAsia="仿宋" w:cs="仿宋"/>
          <w:color w:val="auto"/>
          <w:sz w:val="24"/>
          <w:szCs w:val="24"/>
          <w:highlight w:val="none"/>
        </w:rPr>
      </w:pPr>
    </w:p>
    <w:p w14:paraId="07859F30">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年月日</w:t>
      </w:r>
    </w:p>
    <w:p w14:paraId="1D7C55D3">
      <w:pPr>
        <w:tabs>
          <w:tab w:val="center" w:pos="4832"/>
          <w:tab w:val="left" w:pos="7140"/>
        </w:tabs>
        <w:jc w:val="center"/>
        <w:outlineLvl w:val="1"/>
        <w:rPr>
          <w:rFonts w:hint="eastAsia" w:ascii="仿宋" w:hAnsi="仿宋" w:eastAsia="仿宋" w:cs="仿宋"/>
          <w:b/>
          <w:color w:val="auto"/>
          <w:sz w:val="24"/>
          <w:szCs w:val="24"/>
          <w:highlight w:val="none"/>
        </w:rPr>
      </w:pPr>
      <w:bookmarkStart w:id="315" w:name="_Toc1937"/>
      <w:bookmarkStart w:id="316" w:name="_Toc531016894"/>
      <w:r>
        <w:rPr>
          <w:rFonts w:hint="eastAsia" w:ascii="仿宋" w:hAnsi="仿宋" w:eastAsia="仿宋" w:cs="仿宋"/>
          <w:b/>
          <w:color w:val="auto"/>
          <w:sz w:val="24"/>
          <w:szCs w:val="24"/>
          <w:highlight w:val="none"/>
        </w:rPr>
        <w:t>目录</w:t>
      </w:r>
      <w:bookmarkEnd w:id="315"/>
      <w:bookmarkEnd w:id="316"/>
    </w:p>
    <w:p w14:paraId="0A69CF2E">
      <w:pPr>
        <w:spacing w:line="360" w:lineRule="auto"/>
        <w:rPr>
          <w:rFonts w:hint="eastAsia" w:ascii="仿宋" w:hAnsi="仿宋" w:eastAsia="仿宋" w:cs="仿宋"/>
          <w:bCs/>
          <w:color w:val="auto"/>
          <w:sz w:val="24"/>
          <w:szCs w:val="24"/>
          <w:highlight w:val="none"/>
          <w:shd w:val="clear" w:color="auto" w:fill="FFFFFF" w:themeFill="background1"/>
        </w:rPr>
      </w:pPr>
    </w:p>
    <w:p w14:paraId="68853A58">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一、投标函</w:t>
      </w:r>
    </w:p>
    <w:p w14:paraId="29FC6A5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二、开标一览表</w:t>
      </w:r>
    </w:p>
    <w:p w14:paraId="46874E0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三、投标价格明细表</w:t>
      </w:r>
    </w:p>
    <w:p w14:paraId="1F150F5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四、商务条款偏离表</w:t>
      </w:r>
    </w:p>
    <w:p w14:paraId="35080DF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五、技术条款偏离表</w:t>
      </w:r>
    </w:p>
    <w:p w14:paraId="0C165D5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六、法定代表人身份证明书</w:t>
      </w:r>
    </w:p>
    <w:p w14:paraId="671AB7D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七、法定代表人授权委托书</w:t>
      </w:r>
    </w:p>
    <w:p w14:paraId="71448FE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八、投标人基本情况</w:t>
      </w:r>
    </w:p>
    <w:p w14:paraId="62DE8B0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8.1法人或者其他组织的营业执照等证明文件，自然人的身份证明</w:t>
      </w:r>
    </w:p>
    <w:p w14:paraId="2338C8EF">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8.2财务状况报告，依法缴纳税收和社会保障资金的相关材料</w:t>
      </w:r>
    </w:p>
    <w:p w14:paraId="12A32F1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8.3具备履行合同所必需的设备和专业技术能力的证明材料</w:t>
      </w:r>
    </w:p>
    <w:p w14:paraId="67B3E74B">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8.4参加政府采购活动前3年内在经营活动中没有重大违法记录的书面声明</w:t>
      </w:r>
    </w:p>
    <w:p w14:paraId="36D81A5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8.5具备法律、行政法规规定的其他条件的证明材料</w:t>
      </w:r>
    </w:p>
    <w:p w14:paraId="281D507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九、投标人近三年类似项目业绩表</w:t>
      </w:r>
    </w:p>
    <w:p w14:paraId="68F4FA4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十、项目负责人简历表</w:t>
      </w:r>
    </w:p>
    <w:p w14:paraId="40E11A5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十一、拟派本项目服务人员情况表</w:t>
      </w:r>
    </w:p>
    <w:p w14:paraId="7AE6E98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十二、服务方案</w:t>
      </w:r>
    </w:p>
    <w:p w14:paraId="192F4A0F">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十三、其他需要提交的资料</w:t>
      </w:r>
    </w:p>
    <w:p w14:paraId="057C09A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41ADDBF9">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rPr>
        <w:br w:type="page"/>
      </w:r>
      <w:bookmarkStart w:id="317" w:name="_Toc533503181"/>
      <w:bookmarkStart w:id="318" w:name="_Toc38446470"/>
      <w:bookmarkStart w:id="319" w:name="_Toc507586166"/>
      <w:bookmarkStart w:id="320" w:name="_Toc11555"/>
      <w:bookmarkStart w:id="321" w:name="_Toc18067"/>
      <w:r>
        <w:rPr>
          <w:rFonts w:hint="eastAsia" w:ascii="仿宋" w:hAnsi="仿宋" w:eastAsia="仿宋" w:cs="仿宋"/>
          <w:b/>
          <w:color w:val="auto"/>
          <w:sz w:val="24"/>
          <w:szCs w:val="24"/>
          <w:highlight w:val="none"/>
          <w:shd w:val="clear" w:color="auto" w:fill="FFFFFF" w:themeFill="background1"/>
        </w:rPr>
        <w:t>一、投标函</w:t>
      </w:r>
      <w:bookmarkEnd w:id="317"/>
      <w:bookmarkEnd w:id="318"/>
      <w:bookmarkEnd w:id="319"/>
      <w:bookmarkEnd w:id="320"/>
      <w:bookmarkEnd w:id="321"/>
    </w:p>
    <w:p w14:paraId="18CD0FA5">
      <w:pPr>
        <w:widowControl/>
        <w:shd w:val="clear" w:color="auto" w:fill="FFFFFF"/>
        <w:snapToGrid w:val="0"/>
        <w:spacing w:line="336" w:lineRule="auto"/>
        <w:jc w:val="left"/>
        <w:rPr>
          <w:rFonts w:hint="eastAsia" w:ascii="仿宋" w:hAnsi="仿宋" w:eastAsia="仿宋" w:cs="仿宋"/>
          <w:color w:val="auto"/>
          <w:kern w:val="0"/>
          <w:sz w:val="24"/>
          <w:szCs w:val="24"/>
          <w:highlight w:val="none"/>
          <w:shd w:val="clear" w:color="auto" w:fill="FFFFFF" w:themeFill="background1"/>
        </w:rPr>
      </w:pPr>
    </w:p>
    <w:p w14:paraId="29372AC9">
      <w:pPr>
        <w:widowControl/>
        <w:shd w:val="clear" w:color="auto" w:fill="FFFFFF"/>
        <w:snapToGrid w:val="0"/>
        <w:spacing w:line="336"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25EAC3DA">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根据已收到的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项目的</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的全部内容后，我方郑重承诺如下：</w:t>
      </w:r>
    </w:p>
    <w:p w14:paraId="59CD34C3">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.如果我方中标，我方将在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规定的时间内签订合同。如果我方违约，除没收投标保证金外，贵方有权终止我方中标并选择其它成交投标人。</w:t>
      </w:r>
    </w:p>
    <w:p w14:paraId="15CE26A3">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rPr>
        <w:t>.本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0578BB20">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3</w:t>
      </w:r>
      <w:r>
        <w:rPr>
          <w:rFonts w:hint="eastAsia" w:ascii="仿宋" w:hAnsi="仿宋" w:eastAsia="仿宋" w:cs="仿宋"/>
          <w:color w:val="auto"/>
          <w:kern w:val="0"/>
          <w:sz w:val="24"/>
          <w:szCs w:val="24"/>
          <w:highlight w:val="none"/>
          <w:shd w:val="clear" w:color="auto" w:fill="FFFFFF" w:themeFill="background1"/>
        </w:rPr>
        <w:t>.我方已详细阅读</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全部内容且完全理解，同意放弃对这方面有不明及误解的权力。若有违反，同意被废除投标资格并接受处罚。</w:t>
      </w:r>
    </w:p>
    <w:p w14:paraId="2B7E69B0">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.我方保证</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内容无任何虚假、未侵犯他人知识产权。如有虚假，同意废除中标资格并被没收投标担保，承担因侵犯他人知识产权而由此引起的全部法律责任和经济责任。</w:t>
      </w:r>
    </w:p>
    <w:p w14:paraId="46D18ADF">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5</w:t>
      </w:r>
      <w:r>
        <w:rPr>
          <w:rFonts w:hint="eastAsia" w:ascii="仿宋" w:hAnsi="仿宋" w:eastAsia="仿宋" w:cs="仿宋"/>
          <w:color w:val="auto"/>
          <w:kern w:val="0"/>
          <w:sz w:val="24"/>
          <w:szCs w:val="24"/>
          <w:highlight w:val="none"/>
          <w:shd w:val="clear" w:color="auto" w:fill="FFFFFF" w:themeFill="background1"/>
        </w:rPr>
        <w:t>.我方愿意提供贵方可能要求的与投标有关的一切数据或资料，完全理解贵方不一定接受最低投标报价的投标或收到的任何投标。</w:t>
      </w:r>
    </w:p>
    <w:p w14:paraId="77A125C2">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.我方派法定代表人或其授权委托人作为我方代表，负责按时参加开标会并签署与投标有关的相关文件等。</w:t>
      </w:r>
    </w:p>
    <w:p w14:paraId="7D4028B6">
      <w:pPr>
        <w:widowControl/>
        <w:shd w:val="clear" w:color="auto" w:fill="FFFFFF"/>
        <w:snapToGrid w:val="0"/>
        <w:spacing w:line="336" w:lineRule="auto"/>
        <w:ind w:firstLine="42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7</w:t>
      </w:r>
      <w:r>
        <w:rPr>
          <w:rFonts w:hint="eastAsia" w:ascii="仿宋" w:hAnsi="仿宋" w:eastAsia="仿宋" w:cs="仿宋"/>
          <w:color w:val="auto"/>
          <w:kern w:val="0"/>
          <w:sz w:val="24"/>
          <w:szCs w:val="24"/>
          <w:highlight w:val="none"/>
          <w:shd w:val="clear" w:color="auto" w:fill="FFFFFF" w:themeFill="background1"/>
        </w:rPr>
        <w:t>.我方</w:t>
      </w:r>
      <w:r>
        <w:rPr>
          <w:rFonts w:hint="eastAsia" w:ascii="仿宋" w:hAnsi="仿宋" w:eastAsia="仿宋" w:cs="仿宋"/>
          <w:color w:val="auto"/>
          <w:sz w:val="24"/>
          <w:szCs w:val="24"/>
          <w:highlight w:val="none"/>
          <w:shd w:val="clear" w:color="auto" w:fill="FFFFFF" w:themeFill="background1"/>
        </w:rPr>
        <w:t>保证按招标文件及合同约定原则处理因采购人原因增加或调整的工作量及其他事宜。</w:t>
      </w:r>
    </w:p>
    <w:p w14:paraId="38E25BB7">
      <w:pPr>
        <w:widowControl/>
        <w:shd w:val="clear" w:color="auto" w:fill="FFFFFF"/>
        <w:snapToGrid w:val="0"/>
        <w:spacing w:line="336"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8</w:t>
      </w:r>
      <w:r>
        <w:rPr>
          <w:rFonts w:hint="eastAsia" w:ascii="仿宋" w:hAnsi="仿宋" w:eastAsia="仿宋" w:cs="仿宋"/>
          <w:color w:val="auto"/>
          <w:kern w:val="0"/>
          <w:sz w:val="24"/>
          <w:szCs w:val="24"/>
          <w:highlight w:val="none"/>
          <w:shd w:val="clear" w:color="auto" w:fill="FFFFFF" w:themeFill="background1"/>
        </w:rPr>
        <w:t>.如我方中标，我方自愿向采购代理机构支付咨询费，并在合同签订后3个工作日内向采购代理机构提供采购合同原件一份用于采购资料备案工作。</w:t>
      </w:r>
    </w:p>
    <w:p w14:paraId="44B45704">
      <w:pPr>
        <w:widowControl/>
        <w:shd w:val="clear" w:color="auto" w:fill="FFFFFF"/>
        <w:snapToGrid w:val="0"/>
        <w:spacing w:line="336" w:lineRule="auto"/>
        <w:jc w:val="left"/>
        <w:rPr>
          <w:rFonts w:hint="eastAsia" w:ascii="仿宋" w:hAnsi="仿宋" w:eastAsia="仿宋" w:cs="仿宋"/>
          <w:color w:val="auto"/>
          <w:kern w:val="0"/>
          <w:sz w:val="24"/>
          <w:szCs w:val="24"/>
          <w:highlight w:val="none"/>
          <w:shd w:val="clear" w:color="auto" w:fill="FFFFFF" w:themeFill="background1"/>
        </w:rPr>
      </w:pPr>
    </w:p>
    <w:p w14:paraId="44FA9BDB">
      <w:pPr>
        <w:widowControl/>
        <w:shd w:val="clear" w:color="auto" w:fill="FFFFFF"/>
        <w:snapToGrid w:val="0"/>
        <w:spacing w:line="336"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C46D2D4">
      <w:pPr>
        <w:widowControl/>
        <w:shd w:val="clear" w:color="auto" w:fill="FFFFFF"/>
        <w:snapToGrid w:val="0"/>
        <w:spacing w:line="336" w:lineRule="auto"/>
        <w:jc w:val="left"/>
        <w:rPr>
          <w:rFonts w:hint="eastAsia" w:ascii="仿宋" w:hAnsi="仿宋" w:eastAsia="仿宋" w:cs="仿宋"/>
          <w:color w:val="auto"/>
          <w:kern w:val="0"/>
          <w:sz w:val="24"/>
          <w:szCs w:val="24"/>
          <w:highlight w:val="none"/>
          <w:shd w:val="clear" w:color="auto" w:fill="FFFFFF" w:themeFill="background1"/>
        </w:rPr>
      </w:pPr>
    </w:p>
    <w:p w14:paraId="48E6341C">
      <w:pPr>
        <w:widowControl/>
        <w:shd w:val="clear" w:color="auto" w:fill="FFFFFF"/>
        <w:snapToGrid w:val="0"/>
        <w:spacing w:line="336"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（盖章）                       </w:t>
      </w:r>
    </w:p>
    <w:p w14:paraId="6ED98DE4">
      <w:pPr>
        <w:widowControl/>
        <w:shd w:val="clear" w:color="auto" w:fill="FFFFFF"/>
        <w:snapToGrid w:val="0"/>
        <w:spacing w:line="336"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5F2FFDD7">
      <w:pPr>
        <w:rPr>
          <w:rFonts w:hint="eastAsia" w:ascii="仿宋" w:hAnsi="仿宋" w:eastAsia="仿宋" w:cs="仿宋"/>
          <w:b/>
          <w:color w:val="auto"/>
          <w:sz w:val="24"/>
          <w:szCs w:val="24"/>
          <w:highlight w:val="none"/>
          <w:shd w:val="clear" w:color="auto" w:fill="FFFFFF" w:themeFill="background1"/>
        </w:rPr>
      </w:pPr>
      <w:bookmarkStart w:id="322" w:name="_Toc26164"/>
      <w:bookmarkStart w:id="323" w:name="_Toc38446474"/>
      <w:bookmarkStart w:id="324" w:name="_Toc533503184"/>
      <w:bookmarkStart w:id="325" w:name="_Toc507586169"/>
      <w:r>
        <w:rPr>
          <w:rFonts w:hint="eastAsia" w:ascii="仿宋" w:hAnsi="仿宋" w:eastAsia="仿宋" w:cs="仿宋"/>
          <w:b/>
          <w:color w:val="auto"/>
          <w:sz w:val="24"/>
          <w:szCs w:val="24"/>
          <w:highlight w:val="none"/>
          <w:shd w:val="clear" w:color="auto" w:fill="FFFFFF" w:themeFill="background1"/>
        </w:rPr>
        <w:br w:type="page"/>
      </w:r>
    </w:p>
    <w:p w14:paraId="168E9701">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26" w:name="_Toc21913"/>
      <w:r>
        <w:rPr>
          <w:rFonts w:hint="eastAsia" w:ascii="仿宋" w:hAnsi="仿宋" w:eastAsia="仿宋" w:cs="仿宋"/>
          <w:b/>
          <w:color w:val="auto"/>
          <w:sz w:val="24"/>
          <w:szCs w:val="24"/>
          <w:highlight w:val="none"/>
          <w:shd w:val="clear" w:color="auto" w:fill="FFFFFF" w:themeFill="background1"/>
        </w:rPr>
        <w:t>二、开标一览表</w:t>
      </w:r>
      <w:bookmarkEnd w:id="326"/>
    </w:p>
    <w:p w14:paraId="20650C28">
      <w:pPr>
        <w:pStyle w:val="40"/>
        <w:ind w:firstLine="234"/>
        <w:jc w:val="right"/>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报价单位：</w:t>
      </w:r>
      <w:r>
        <w:rPr>
          <w:rFonts w:hint="eastAsia" w:ascii="仿宋" w:hAnsi="仿宋" w:eastAsia="仿宋" w:cs="仿宋"/>
          <w:color w:val="auto"/>
          <w:sz w:val="24"/>
          <w:szCs w:val="24"/>
          <w:highlight w:val="none"/>
        </w:rPr>
        <w:t>人</w:t>
      </w:r>
      <w:r>
        <w:rPr>
          <w:rFonts w:hint="eastAsia" w:ascii="仿宋" w:hAnsi="仿宋" w:eastAsia="仿宋" w:cs="仿宋"/>
          <w:color w:val="auto"/>
          <w:spacing w:val="-3"/>
          <w:sz w:val="24"/>
          <w:szCs w:val="24"/>
          <w:highlight w:val="none"/>
        </w:rPr>
        <w:t>民</w:t>
      </w:r>
      <w:r>
        <w:rPr>
          <w:rFonts w:hint="eastAsia" w:ascii="仿宋" w:hAnsi="仿宋" w:eastAsia="仿宋" w:cs="仿宋"/>
          <w:color w:val="auto"/>
          <w:sz w:val="24"/>
          <w:szCs w:val="24"/>
          <w:highlight w:val="none"/>
        </w:rPr>
        <w:t>币元</w:t>
      </w:r>
    </w:p>
    <w:p w14:paraId="000CA0B7">
      <w:pPr>
        <w:pStyle w:val="40"/>
        <w:ind w:firstLine="240"/>
        <w:jc w:val="right"/>
        <w:rPr>
          <w:rFonts w:hint="eastAsia" w:ascii="仿宋" w:hAnsi="仿宋" w:eastAsia="仿宋" w:cs="仿宋"/>
          <w:color w:val="auto"/>
          <w:sz w:val="24"/>
          <w:szCs w:val="24"/>
          <w:highlight w:val="none"/>
        </w:rPr>
      </w:pPr>
    </w:p>
    <w:tbl>
      <w:tblPr>
        <w:tblStyle w:val="42"/>
        <w:tblW w:w="9220" w:type="dxa"/>
        <w:tblInd w:w="93" w:type="dxa"/>
        <w:tblLayout w:type="autofit"/>
        <w:tblCellMar>
          <w:top w:w="0" w:type="dxa"/>
          <w:left w:w="108" w:type="dxa"/>
          <w:bottom w:w="0" w:type="dxa"/>
          <w:right w:w="108" w:type="dxa"/>
        </w:tblCellMar>
      </w:tblPr>
      <w:tblGrid>
        <w:gridCol w:w="2384"/>
        <w:gridCol w:w="6836"/>
      </w:tblGrid>
      <w:tr w14:paraId="774F39F0">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274AAC89">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836" w:type="dxa"/>
            <w:tcBorders>
              <w:top w:val="single" w:color="auto" w:sz="4" w:space="0"/>
              <w:left w:val="nil"/>
              <w:bottom w:val="single" w:color="auto" w:sz="4" w:space="0"/>
              <w:right w:val="single" w:color="auto" w:sz="4" w:space="0"/>
            </w:tcBorders>
            <w:vAlign w:val="center"/>
          </w:tcPr>
          <w:p w14:paraId="682085D7">
            <w:pPr>
              <w:widowControl/>
              <w:spacing w:line="360" w:lineRule="auto"/>
              <w:rPr>
                <w:rFonts w:hint="eastAsia" w:ascii="仿宋" w:hAnsi="仿宋" w:eastAsia="仿宋" w:cs="仿宋"/>
                <w:color w:val="auto"/>
                <w:sz w:val="24"/>
                <w:szCs w:val="24"/>
                <w:highlight w:val="none"/>
              </w:rPr>
            </w:pPr>
          </w:p>
        </w:tc>
      </w:tr>
      <w:tr w14:paraId="4691E484">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2640FA11">
            <w:pPr>
              <w:widowControl/>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p>
        </w:tc>
        <w:tc>
          <w:tcPr>
            <w:tcW w:w="6836" w:type="dxa"/>
            <w:tcBorders>
              <w:top w:val="single" w:color="auto" w:sz="4" w:space="0"/>
              <w:left w:val="nil"/>
              <w:bottom w:val="single" w:color="auto" w:sz="4" w:space="0"/>
              <w:right w:val="single" w:color="auto" w:sz="4" w:space="0"/>
            </w:tcBorders>
            <w:vAlign w:val="center"/>
          </w:tcPr>
          <w:p w14:paraId="7FB8EAA6">
            <w:pPr>
              <w:widowControl/>
              <w:spacing w:line="360" w:lineRule="auto"/>
              <w:rPr>
                <w:rFonts w:hint="eastAsia" w:ascii="仿宋" w:hAnsi="仿宋" w:eastAsia="仿宋" w:cs="仿宋"/>
                <w:color w:val="auto"/>
                <w:sz w:val="24"/>
                <w:szCs w:val="24"/>
                <w:highlight w:val="none"/>
              </w:rPr>
            </w:pPr>
          </w:p>
        </w:tc>
      </w:tr>
      <w:tr w14:paraId="39163B5F">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6C63495D">
            <w:pPr>
              <w:widowControl/>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标项名称</w:t>
            </w:r>
          </w:p>
        </w:tc>
        <w:tc>
          <w:tcPr>
            <w:tcW w:w="6836" w:type="dxa"/>
            <w:tcBorders>
              <w:top w:val="single" w:color="auto" w:sz="4" w:space="0"/>
              <w:left w:val="nil"/>
              <w:bottom w:val="single" w:color="auto" w:sz="4" w:space="0"/>
              <w:right w:val="single" w:color="auto" w:sz="4" w:space="0"/>
            </w:tcBorders>
            <w:vAlign w:val="center"/>
          </w:tcPr>
          <w:p w14:paraId="2FAADF7C">
            <w:pPr>
              <w:widowControl/>
              <w:spacing w:line="360" w:lineRule="auto"/>
              <w:rPr>
                <w:rFonts w:hint="eastAsia" w:ascii="仿宋" w:hAnsi="仿宋" w:eastAsia="仿宋" w:cs="仿宋"/>
                <w:color w:val="auto"/>
                <w:sz w:val="24"/>
                <w:szCs w:val="24"/>
                <w:highlight w:val="none"/>
              </w:rPr>
            </w:pPr>
          </w:p>
        </w:tc>
      </w:tr>
      <w:tr w14:paraId="383A4DFC">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793B5C55">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6836" w:type="dxa"/>
            <w:tcBorders>
              <w:top w:val="single" w:color="auto" w:sz="4" w:space="0"/>
              <w:left w:val="nil"/>
              <w:bottom w:val="single" w:color="auto" w:sz="4" w:space="0"/>
              <w:right w:val="single" w:color="auto" w:sz="4" w:space="0"/>
            </w:tcBorders>
            <w:vAlign w:val="center"/>
          </w:tcPr>
          <w:p w14:paraId="0CDD2950">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大写：   </w:t>
            </w:r>
          </w:p>
          <w:p w14:paraId="59D35E03">
            <w:pPr>
              <w:widowControl/>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14:paraId="25404140">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50C6EFE0">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themeFill="background1"/>
              </w:rPr>
              <w:t>服务周期</w:t>
            </w:r>
          </w:p>
        </w:tc>
        <w:tc>
          <w:tcPr>
            <w:tcW w:w="6836" w:type="dxa"/>
            <w:tcBorders>
              <w:top w:val="single" w:color="auto" w:sz="4" w:space="0"/>
              <w:left w:val="nil"/>
              <w:bottom w:val="single" w:color="auto" w:sz="4" w:space="0"/>
              <w:right w:val="single" w:color="auto" w:sz="4" w:space="0"/>
            </w:tcBorders>
            <w:vAlign w:val="center"/>
          </w:tcPr>
          <w:p w14:paraId="291D16F2">
            <w:pPr>
              <w:widowControl/>
              <w:spacing w:line="360" w:lineRule="auto"/>
              <w:rPr>
                <w:rFonts w:hint="eastAsia" w:ascii="仿宋" w:hAnsi="仿宋" w:eastAsia="仿宋" w:cs="仿宋"/>
                <w:color w:val="auto"/>
                <w:sz w:val="24"/>
                <w:szCs w:val="24"/>
                <w:highlight w:val="none"/>
              </w:rPr>
            </w:pPr>
          </w:p>
        </w:tc>
      </w:tr>
      <w:tr w14:paraId="1EDE8848">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6E815BC1">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备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注</w:t>
            </w:r>
          </w:p>
        </w:tc>
        <w:tc>
          <w:tcPr>
            <w:tcW w:w="6836" w:type="dxa"/>
            <w:tcBorders>
              <w:top w:val="single" w:color="auto" w:sz="4" w:space="0"/>
              <w:left w:val="nil"/>
              <w:bottom w:val="single" w:color="auto" w:sz="4" w:space="0"/>
              <w:right w:val="single" w:color="auto" w:sz="4" w:space="0"/>
            </w:tcBorders>
            <w:vAlign w:val="center"/>
          </w:tcPr>
          <w:p w14:paraId="145334BE">
            <w:pPr>
              <w:widowControl/>
              <w:spacing w:line="360" w:lineRule="auto"/>
              <w:rPr>
                <w:rFonts w:hint="eastAsia" w:ascii="仿宋" w:hAnsi="仿宋" w:eastAsia="仿宋" w:cs="仿宋"/>
                <w:color w:val="auto"/>
                <w:sz w:val="24"/>
                <w:szCs w:val="24"/>
                <w:highlight w:val="none"/>
              </w:rPr>
            </w:pPr>
          </w:p>
        </w:tc>
      </w:tr>
    </w:tbl>
    <w:p w14:paraId="1B38516C">
      <w:pPr>
        <w:spacing w:line="360" w:lineRule="auto"/>
        <w:ind w:left="569" w:leftChars="-15" w:hanging="600" w:hanging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注：1、报价应是最终用户验收合格后的总价。 </w:t>
      </w:r>
    </w:p>
    <w:p w14:paraId="06F453AB">
      <w:pPr>
        <w:spacing w:line="360" w:lineRule="auto"/>
        <w:ind w:left="4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2、“开标一览表”为多页的，每页均需由法定代表人盖章并盖投标人印章。</w:t>
      </w:r>
    </w:p>
    <w:p w14:paraId="0A85BC1B">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3D76A7E6">
      <w:pPr>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66B336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6BCDEA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CAD13F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（盖章）                       </w:t>
      </w:r>
    </w:p>
    <w:p w14:paraId="39761259">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71B712A7">
      <w:pPr>
        <w:pStyle w:val="40"/>
        <w:ind w:firstLine="210"/>
        <w:rPr>
          <w:rFonts w:hint="eastAsia" w:ascii="仿宋" w:hAnsi="仿宋" w:eastAsia="仿宋" w:cs="仿宋"/>
          <w:color w:val="auto"/>
          <w:highlight w:val="none"/>
          <w:shd w:val="clear" w:color="auto" w:fill="FFFFFF" w:themeFill="background1"/>
        </w:rPr>
      </w:pPr>
    </w:p>
    <w:p w14:paraId="168EE4C1">
      <w:pPr>
        <w:widowControl/>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17FB9D70">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27" w:name="_Toc9746"/>
      <w:r>
        <w:rPr>
          <w:rFonts w:hint="eastAsia" w:ascii="仿宋" w:hAnsi="仿宋" w:eastAsia="仿宋" w:cs="仿宋"/>
          <w:b/>
          <w:color w:val="auto"/>
          <w:sz w:val="24"/>
          <w:szCs w:val="24"/>
          <w:highlight w:val="none"/>
          <w:shd w:val="clear" w:color="auto" w:fill="FFFFFF" w:themeFill="background1"/>
        </w:rPr>
        <w:t>三、投标价格明细表</w:t>
      </w:r>
      <w:bookmarkEnd w:id="322"/>
      <w:bookmarkEnd w:id="327"/>
    </w:p>
    <w:tbl>
      <w:tblPr>
        <w:tblStyle w:val="4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5"/>
        <w:gridCol w:w="1645"/>
        <w:gridCol w:w="1481"/>
        <w:gridCol w:w="1473"/>
        <w:gridCol w:w="1982"/>
        <w:gridCol w:w="973"/>
      </w:tblGrid>
      <w:tr w14:paraId="7B1C6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66" w:type="pct"/>
            <w:vAlign w:val="center"/>
          </w:tcPr>
          <w:p w14:paraId="43EE2497">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965" w:type="pct"/>
            <w:tcBorders>
              <w:right w:val="single" w:color="auto" w:sz="4" w:space="0"/>
            </w:tcBorders>
            <w:vAlign w:val="center"/>
          </w:tcPr>
          <w:p w14:paraId="671C69DD">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设备名称</w:t>
            </w:r>
          </w:p>
        </w:tc>
        <w:tc>
          <w:tcPr>
            <w:tcW w:w="869" w:type="pct"/>
            <w:tcBorders>
              <w:left w:val="single" w:color="auto" w:sz="4" w:space="0"/>
            </w:tcBorders>
            <w:vAlign w:val="center"/>
          </w:tcPr>
          <w:p w14:paraId="07BF53DD">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bCs/>
                <w:sz w:val="24"/>
                <w:szCs w:val="24"/>
                <w:highlight w:val="none"/>
                <w:lang w:val="en-US" w:eastAsia="zh-CN"/>
              </w:rPr>
            </w:pPr>
            <w:r>
              <w:rPr>
                <w:rFonts w:hint="eastAsia" w:ascii="仿宋" w:hAnsi="仿宋" w:eastAsia="仿宋" w:cs="仿宋"/>
                <w:color w:val="000000"/>
                <w:sz w:val="24"/>
                <w:szCs w:val="24"/>
                <w:highlight w:val="none"/>
                <w:vertAlign w:val="baseline"/>
              </w:rPr>
              <w:t>规格型号</w:t>
            </w:r>
          </w:p>
        </w:tc>
        <w:tc>
          <w:tcPr>
            <w:tcW w:w="862" w:type="pct"/>
            <w:tcBorders>
              <w:right w:val="single" w:color="auto" w:sz="4" w:space="0"/>
            </w:tcBorders>
            <w:vAlign w:val="center"/>
          </w:tcPr>
          <w:p w14:paraId="5321614B">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台</w:t>
            </w:r>
            <w:r>
              <w:rPr>
                <w:rFonts w:hint="eastAsia" w:ascii="仿宋" w:hAnsi="仿宋" w:eastAsia="仿宋" w:cs="仿宋"/>
                <w:sz w:val="24"/>
                <w:szCs w:val="24"/>
                <w:highlight w:val="none"/>
                <w:lang w:eastAsia="zh-CN"/>
              </w:rPr>
              <w:t>）</w:t>
            </w:r>
          </w:p>
        </w:tc>
        <w:tc>
          <w:tcPr>
            <w:tcW w:w="1163" w:type="pct"/>
            <w:vAlign w:val="center"/>
          </w:tcPr>
          <w:p w14:paraId="5EE3A953">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报价（元）</w:t>
            </w:r>
          </w:p>
        </w:tc>
        <w:tc>
          <w:tcPr>
            <w:tcW w:w="571" w:type="pct"/>
            <w:vAlign w:val="center"/>
          </w:tcPr>
          <w:p w14:paraId="4783CBCC">
            <w:pPr>
              <w:keepNext w:val="0"/>
              <w:keepLines w:val="0"/>
              <w:pageBreakBefore w:val="0"/>
              <w:widowControl w:val="0"/>
              <w:kinsoku/>
              <w:wordWrap/>
              <w:overflowPunct/>
              <w:topLinePunct w:val="0"/>
              <w:autoSpaceDE/>
              <w:autoSpaceDN/>
              <w:bidi w:val="0"/>
              <w:adjustRightInd w:val="0"/>
              <w:snapToGrid w:val="0"/>
              <w:spacing w:before="120" w:beforeLines="50"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4BFFB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566" w:type="pct"/>
            <w:vAlign w:val="center"/>
          </w:tcPr>
          <w:p w14:paraId="3F0CACD1">
            <w:pPr>
              <w:spacing w:line="360" w:lineRule="auto"/>
              <w:jc w:val="center"/>
              <w:rPr>
                <w:rFonts w:hint="eastAsia" w:ascii="仿宋" w:hAnsi="仿宋" w:eastAsia="仿宋" w:cs="仿宋"/>
                <w:bCs/>
                <w:sz w:val="24"/>
                <w:szCs w:val="24"/>
                <w:highlight w:val="none"/>
              </w:rPr>
            </w:pPr>
          </w:p>
        </w:tc>
        <w:tc>
          <w:tcPr>
            <w:tcW w:w="965" w:type="pct"/>
            <w:tcBorders>
              <w:right w:val="single" w:color="auto" w:sz="4" w:space="0"/>
            </w:tcBorders>
            <w:vAlign w:val="center"/>
          </w:tcPr>
          <w:p w14:paraId="7035B846">
            <w:pPr>
              <w:spacing w:line="360" w:lineRule="auto"/>
              <w:jc w:val="center"/>
              <w:rPr>
                <w:rFonts w:hint="eastAsia" w:ascii="仿宋" w:hAnsi="仿宋" w:eastAsia="仿宋" w:cs="仿宋"/>
                <w:bCs/>
                <w:sz w:val="24"/>
                <w:szCs w:val="24"/>
                <w:highlight w:val="none"/>
              </w:rPr>
            </w:pPr>
          </w:p>
        </w:tc>
        <w:tc>
          <w:tcPr>
            <w:tcW w:w="869" w:type="pct"/>
            <w:tcBorders>
              <w:left w:val="single" w:color="auto" w:sz="4" w:space="0"/>
            </w:tcBorders>
            <w:vAlign w:val="center"/>
          </w:tcPr>
          <w:p w14:paraId="777B3D55">
            <w:pPr>
              <w:spacing w:line="360" w:lineRule="auto"/>
              <w:jc w:val="center"/>
              <w:rPr>
                <w:rFonts w:hint="eastAsia" w:ascii="仿宋" w:hAnsi="仿宋" w:eastAsia="仿宋" w:cs="仿宋"/>
                <w:bCs/>
                <w:sz w:val="24"/>
                <w:szCs w:val="24"/>
                <w:highlight w:val="none"/>
              </w:rPr>
            </w:pPr>
          </w:p>
        </w:tc>
        <w:tc>
          <w:tcPr>
            <w:tcW w:w="862" w:type="pct"/>
            <w:tcBorders>
              <w:right w:val="single" w:color="auto" w:sz="4" w:space="0"/>
            </w:tcBorders>
            <w:vAlign w:val="center"/>
          </w:tcPr>
          <w:p w14:paraId="70DD8A9F">
            <w:pPr>
              <w:spacing w:line="360" w:lineRule="auto"/>
              <w:jc w:val="center"/>
              <w:rPr>
                <w:rFonts w:hint="eastAsia" w:ascii="仿宋" w:hAnsi="仿宋" w:eastAsia="仿宋" w:cs="仿宋"/>
                <w:kern w:val="0"/>
                <w:sz w:val="24"/>
                <w:szCs w:val="24"/>
                <w:highlight w:val="none"/>
              </w:rPr>
            </w:pPr>
          </w:p>
        </w:tc>
        <w:tc>
          <w:tcPr>
            <w:tcW w:w="1163" w:type="pct"/>
            <w:vAlign w:val="center"/>
          </w:tcPr>
          <w:p w14:paraId="06DDE8EB">
            <w:pPr>
              <w:spacing w:line="360" w:lineRule="auto"/>
              <w:jc w:val="center"/>
              <w:rPr>
                <w:rFonts w:hint="eastAsia" w:ascii="仿宋" w:hAnsi="仿宋" w:eastAsia="仿宋" w:cs="仿宋"/>
                <w:bCs/>
                <w:sz w:val="24"/>
                <w:szCs w:val="24"/>
                <w:highlight w:val="none"/>
              </w:rPr>
            </w:pPr>
          </w:p>
        </w:tc>
        <w:tc>
          <w:tcPr>
            <w:tcW w:w="571" w:type="pct"/>
            <w:vAlign w:val="center"/>
          </w:tcPr>
          <w:p w14:paraId="1FA8B9FC">
            <w:pPr>
              <w:spacing w:line="360" w:lineRule="auto"/>
              <w:jc w:val="center"/>
              <w:rPr>
                <w:rFonts w:hint="eastAsia" w:ascii="仿宋" w:hAnsi="仿宋" w:eastAsia="仿宋" w:cs="仿宋"/>
                <w:bCs/>
                <w:sz w:val="24"/>
                <w:szCs w:val="24"/>
                <w:highlight w:val="none"/>
              </w:rPr>
            </w:pPr>
          </w:p>
        </w:tc>
      </w:tr>
      <w:tr w14:paraId="5F2F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jc w:val="center"/>
        </w:trPr>
        <w:tc>
          <w:tcPr>
            <w:tcW w:w="566" w:type="pct"/>
            <w:vAlign w:val="center"/>
          </w:tcPr>
          <w:p w14:paraId="73A09D33">
            <w:pPr>
              <w:spacing w:line="360" w:lineRule="auto"/>
              <w:jc w:val="center"/>
              <w:rPr>
                <w:rFonts w:hint="eastAsia" w:ascii="仿宋" w:hAnsi="仿宋" w:eastAsia="仿宋" w:cs="仿宋"/>
                <w:bCs/>
                <w:sz w:val="24"/>
                <w:szCs w:val="24"/>
                <w:highlight w:val="none"/>
              </w:rPr>
            </w:pPr>
          </w:p>
        </w:tc>
        <w:tc>
          <w:tcPr>
            <w:tcW w:w="965" w:type="pct"/>
            <w:tcBorders>
              <w:right w:val="single" w:color="auto" w:sz="4" w:space="0"/>
            </w:tcBorders>
            <w:vAlign w:val="center"/>
          </w:tcPr>
          <w:p w14:paraId="5068FF71">
            <w:pPr>
              <w:spacing w:line="360" w:lineRule="auto"/>
              <w:jc w:val="center"/>
              <w:rPr>
                <w:rFonts w:hint="eastAsia" w:ascii="仿宋" w:hAnsi="仿宋" w:eastAsia="仿宋" w:cs="仿宋"/>
                <w:bCs/>
                <w:sz w:val="24"/>
                <w:szCs w:val="24"/>
                <w:highlight w:val="none"/>
              </w:rPr>
            </w:pPr>
          </w:p>
        </w:tc>
        <w:tc>
          <w:tcPr>
            <w:tcW w:w="869" w:type="pct"/>
            <w:tcBorders>
              <w:left w:val="single" w:color="auto" w:sz="4" w:space="0"/>
            </w:tcBorders>
            <w:vAlign w:val="center"/>
          </w:tcPr>
          <w:p w14:paraId="7B28DE46">
            <w:pPr>
              <w:spacing w:line="360" w:lineRule="auto"/>
              <w:jc w:val="center"/>
              <w:rPr>
                <w:rFonts w:hint="eastAsia" w:ascii="仿宋" w:hAnsi="仿宋" w:eastAsia="仿宋" w:cs="仿宋"/>
                <w:bCs/>
                <w:sz w:val="24"/>
                <w:szCs w:val="24"/>
                <w:highlight w:val="none"/>
              </w:rPr>
            </w:pPr>
          </w:p>
        </w:tc>
        <w:tc>
          <w:tcPr>
            <w:tcW w:w="862" w:type="pct"/>
            <w:tcBorders>
              <w:right w:val="single" w:color="auto" w:sz="4" w:space="0"/>
            </w:tcBorders>
            <w:vAlign w:val="center"/>
          </w:tcPr>
          <w:p w14:paraId="482C3059">
            <w:pPr>
              <w:spacing w:line="360" w:lineRule="auto"/>
              <w:jc w:val="center"/>
              <w:rPr>
                <w:rFonts w:hint="eastAsia" w:ascii="仿宋" w:hAnsi="仿宋" w:eastAsia="仿宋" w:cs="仿宋"/>
                <w:kern w:val="0"/>
                <w:sz w:val="24"/>
                <w:szCs w:val="24"/>
                <w:highlight w:val="none"/>
              </w:rPr>
            </w:pPr>
          </w:p>
        </w:tc>
        <w:tc>
          <w:tcPr>
            <w:tcW w:w="1163" w:type="pct"/>
            <w:vAlign w:val="center"/>
          </w:tcPr>
          <w:p w14:paraId="6B4D8D55">
            <w:pPr>
              <w:spacing w:line="360" w:lineRule="auto"/>
              <w:jc w:val="center"/>
              <w:rPr>
                <w:rFonts w:hint="eastAsia" w:ascii="仿宋" w:hAnsi="仿宋" w:eastAsia="仿宋" w:cs="仿宋"/>
                <w:bCs/>
                <w:sz w:val="24"/>
                <w:szCs w:val="24"/>
                <w:highlight w:val="none"/>
              </w:rPr>
            </w:pPr>
          </w:p>
        </w:tc>
        <w:tc>
          <w:tcPr>
            <w:tcW w:w="571" w:type="pct"/>
            <w:vAlign w:val="center"/>
          </w:tcPr>
          <w:p w14:paraId="2829ADB8">
            <w:pPr>
              <w:spacing w:line="360" w:lineRule="auto"/>
              <w:jc w:val="center"/>
              <w:rPr>
                <w:rFonts w:hint="eastAsia" w:ascii="仿宋" w:hAnsi="仿宋" w:eastAsia="仿宋" w:cs="仿宋"/>
                <w:bCs/>
                <w:sz w:val="24"/>
                <w:szCs w:val="24"/>
                <w:highlight w:val="none"/>
              </w:rPr>
            </w:pPr>
          </w:p>
        </w:tc>
      </w:tr>
      <w:tr w14:paraId="78CA9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66" w:type="pct"/>
            <w:vAlign w:val="center"/>
          </w:tcPr>
          <w:p w14:paraId="2E80D4CC">
            <w:pPr>
              <w:spacing w:line="360" w:lineRule="auto"/>
              <w:jc w:val="center"/>
              <w:rPr>
                <w:rFonts w:hint="eastAsia" w:ascii="仿宋" w:hAnsi="仿宋" w:eastAsia="仿宋" w:cs="仿宋"/>
                <w:bCs/>
                <w:sz w:val="24"/>
                <w:szCs w:val="24"/>
                <w:highlight w:val="none"/>
              </w:rPr>
            </w:pPr>
          </w:p>
        </w:tc>
        <w:tc>
          <w:tcPr>
            <w:tcW w:w="965" w:type="pct"/>
            <w:tcBorders>
              <w:right w:val="single" w:color="auto" w:sz="4" w:space="0"/>
            </w:tcBorders>
            <w:vAlign w:val="center"/>
          </w:tcPr>
          <w:p w14:paraId="21129D74">
            <w:pPr>
              <w:spacing w:line="360" w:lineRule="auto"/>
              <w:jc w:val="center"/>
              <w:rPr>
                <w:rFonts w:hint="eastAsia" w:ascii="仿宋" w:hAnsi="仿宋" w:eastAsia="仿宋" w:cs="仿宋"/>
                <w:bCs/>
                <w:sz w:val="24"/>
                <w:szCs w:val="24"/>
                <w:highlight w:val="none"/>
              </w:rPr>
            </w:pPr>
          </w:p>
        </w:tc>
        <w:tc>
          <w:tcPr>
            <w:tcW w:w="869" w:type="pct"/>
            <w:tcBorders>
              <w:left w:val="single" w:color="auto" w:sz="4" w:space="0"/>
            </w:tcBorders>
            <w:vAlign w:val="center"/>
          </w:tcPr>
          <w:p w14:paraId="66CBFD2E">
            <w:pPr>
              <w:spacing w:line="360" w:lineRule="auto"/>
              <w:jc w:val="center"/>
              <w:rPr>
                <w:rFonts w:hint="eastAsia" w:ascii="仿宋" w:hAnsi="仿宋" w:eastAsia="仿宋" w:cs="仿宋"/>
                <w:bCs/>
                <w:sz w:val="24"/>
                <w:szCs w:val="24"/>
                <w:highlight w:val="none"/>
              </w:rPr>
            </w:pPr>
          </w:p>
        </w:tc>
        <w:tc>
          <w:tcPr>
            <w:tcW w:w="862" w:type="pct"/>
            <w:tcBorders>
              <w:right w:val="single" w:color="auto" w:sz="4" w:space="0"/>
            </w:tcBorders>
            <w:vAlign w:val="center"/>
          </w:tcPr>
          <w:p w14:paraId="5871D1F1">
            <w:pPr>
              <w:spacing w:line="360" w:lineRule="auto"/>
              <w:jc w:val="center"/>
              <w:rPr>
                <w:rFonts w:hint="eastAsia" w:ascii="仿宋" w:hAnsi="仿宋" w:eastAsia="仿宋" w:cs="仿宋"/>
                <w:kern w:val="0"/>
                <w:sz w:val="24"/>
                <w:szCs w:val="24"/>
                <w:highlight w:val="none"/>
              </w:rPr>
            </w:pPr>
          </w:p>
        </w:tc>
        <w:tc>
          <w:tcPr>
            <w:tcW w:w="1163" w:type="pct"/>
            <w:vAlign w:val="center"/>
          </w:tcPr>
          <w:p w14:paraId="254D8A28">
            <w:pPr>
              <w:spacing w:line="360" w:lineRule="auto"/>
              <w:jc w:val="center"/>
              <w:rPr>
                <w:rFonts w:hint="eastAsia" w:ascii="仿宋" w:hAnsi="仿宋" w:eastAsia="仿宋" w:cs="仿宋"/>
                <w:bCs/>
                <w:sz w:val="24"/>
                <w:szCs w:val="24"/>
                <w:highlight w:val="none"/>
              </w:rPr>
            </w:pPr>
          </w:p>
        </w:tc>
        <w:tc>
          <w:tcPr>
            <w:tcW w:w="571" w:type="pct"/>
            <w:vAlign w:val="center"/>
          </w:tcPr>
          <w:p w14:paraId="23CCD34B">
            <w:pPr>
              <w:spacing w:line="360" w:lineRule="auto"/>
              <w:jc w:val="center"/>
              <w:rPr>
                <w:rFonts w:hint="eastAsia" w:ascii="仿宋" w:hAnsi="仿宋" w:eastAsia="仿宋" w:cs="仿宋"/>
                <w:bCs/>
                <w:sz w:val="24"/>
                <w:szCs w:val="24"/>
                <w:highlight w:val="none"/>
              </w:rPr>
            </w:pPr>
          </w:p>
        </w:tc>
      </w:tr>
      <w:tr w14:paraId="166E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66" w:type="pct"/>
            <w:vAlign w:val="center"/>
          </w:tcPr>
          <w:p w14:paraId="204BF385">
            <w:pPr>
              <w:spacing w:line="360" w:lineRule="auto"/>
              <w:jc w:val="center"/>
              <w:rPr>
                <w:rFonts w:hint="eastAsia" w:ascii="仿宋" w:hAnsi="仿宋" w:eastAsia="仿宋" w:cs="仿宋"/>
                <w:bCs/>
                <w:sz w:val="24"/>
                <w:szCs w:val="24"/>
                <w:highlight w:val="none"/>
              </w:rPr>
            </w:pPr>
          </w:p>
        </w:tc>
        <w:tc>
          <w:tcPr>
            <w:tcW w:w="965" w:type="pct"/>
            <w:tcBorders>
              <w:right w:val="single" w:color="auto" w:sz="4" w:space="0"/>
            </w:tcBorders>
            <w:vAlign w:val="center"/>
          </w:tcPr>
          <w:p w14:paraId="75C41003">
            <w:pPr>
              <w:spacing w:line="360" w:lineRule="auto"/>
              <w:jc w:val="center"/>
              <w:rPr>
                <w:rFonts w:hint="eastAsia" w:ascii="仿宋" w:hAnsi="仿宋" w:eastAsia="仿宋" w:cs="仿宋"/>
                <w:bCs/>
                <w:sz w:val="24"/>
                <w:szCs w:val="24"/>
                <w:highlight w:val="none"/>
              </w:rPr>
            </w:pPr>
          </w:p>
        </w:tc>
        <w:tc>
          <w:tcPr>
            <w:tcW w:w="869" w:type="pct"/>
            <w:tcBorders>
              <w:left w:val="single" w:color="auto" w:sz="4" w:space="0"/>
            </w:tcBorders>
            <w:vAlign w:val="center"/>
          </w:tcPr>
          <w:p w14:paraId="4EDAB86A">
            <w:pPr>
              <w:spacing w:line="360" w:lineRule="auto"/>
              <w:jc w:val="center"/>
              <w:rPr>
                <w:rFonts w:hint="eastAsia" w:ascii="仿宋" w:hAnsi="仿宋" w:eastAsia="仿宋" w:cs="仿宋"/>
                <w:bCs/>
                <w:sz w:val="24"/>
                <w:szCs w:val="24"/>
                <w:highlight w:val="none"/>
              </w:rPr>
            </w:pPr>
          </w:p>
        </w:tc>
        <w:tc>
          <w:tcPr>
            <w:tcW w:w="862" w:type="pct"/>
            <w:tcBorders>
              <w:right w:val="single" w:color="auto" w:sz="4" w:space="0"/>
            </w:tcBorders>
            <w:vAlign w:val="center"/>
          </w:tcPr>
          <w:p w14:paraId="2A854384">
            <w:pPr>
              <w:spacing w:line="360" w:lineRule="auto"/>
              <w:jc w:val="center"/>
              <w:rPr>
                <w:rFonts w:hint="eastAsia" w:ascii="仿宋" w:hAnsi="仿宋" w:eastAsia="仿宋" w:cs="仿宋"/>
                <w:kern w:val="0"/>
                <w:sz w:val="24"/>
                <w:szCs w:val="24"/>
                <w:highlight w:val="none"/>
              </w:rPr>
            </w:pPr>
          </w:p>
        </w:tc>
        <w:tc>
          <w:tcPr>
            <w:tcW w:w="1163" w:type="pct"/>
            <w:vAlign w:val="center"/>
          </w:tcPr>
          <w:p w14:paraId="4EA5BD88">
            <w:pPr>
              <w:spacing w:line="360" w:lineRule="auto"/>
              <w:jc w:val="center"/>
              <w:rPr>
                <w:rFonts w:hint="eastAsia" w:ascii="仿宋" w:hAnsi="仿宋" w:eastAsia="仿宋" w:cs="仿宋"/>
                <w:bCs/>
                <w:sz w:val="24"/>
                <w:szCs w:val="24"/>
                <w:highlight w:val="none"/>
              </w:rPr>
            </w:pPr>
          </w:p>
        </w:tc>
        <w:tc>
          <w:tcPr>
            <w:tcW w:w="571" w:type="pct"/>
            <w:vAlign w:val="center"/>
          </w:tcPr>
          <w:p w14:paraId="281906E3">
            <w:pPr>
              <w:spacing w:line="360" w:lineRule="auto"/>
              <w:jc w:val="center"/>
              <w:rPr>
                <w:rFonts w:hint="eastAsia" w:ascii="仿宋" w:hAnsi="仿宋" w:eastAsia="仿宋" w:cs="仿宋"/>
                <w:bCs/>
                <w:sz w:val="24"/>
                <w:szCs w:val="24"/>
                <w:highlight w:val="none"/>
              </w:rPr>
            </w:pPr>
          </w:p>
        </w:tc>
      </w:tr>
      <w:tr w14:paraId="79E3A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66" w:type="pct"/>
            <w:vAlign w:val="center"/>
          </w:tcPr>
          <w:p w14:paraId="36CF6677">
            <w:pPr>
              <w:spacing w:line="360" w:lineRule="auto"/>
              <w:jc w:val="center"/>
              <w:rPr>
                <w:rFonts w:hint="eastAsia" w:ascii="仿宋" w:hAnsi="仿宋" w:eastAsia="仿宋" w:cs="仿宋"/>
                <w:bCs/>
                <w:sz w:val="24"/>
                <w:szCs w:val="24"/>
                <w:highlight w:val="none"/>
              </w:rPr>
            </w:pPr>
          </w:p>
        </w:tc>
        <w:tc>
          <w:tcPr>
            <w:tcW w:w="965" w:type="pct"/>
            <w:tcBorders>
              <w:right w:val="single" w:color="auto" w:sz="4" w:space="0"/>
            </w:tcBorders>
            <w:vAlign w:val="center"/>
          </w:tcPr>
          <w:p w14:paraId="7178FB2B">
            <w:pPr>
              <w:spacing w:line="360" w:lineRule="auto"/>
              <w:jc w:val="center"/>
              <w:rPr>
                <w:rFonts w:hint="eastAsia" w:ascii="仿宋" w:hAnsi="仿宋" w:eastAsia="仿宋" w:cs="仿宋"/>
                <w:bCs/>
                <w:sz w:val="24"/>
                <w:szCs w:val="24"/>
                <w:highlight w:val="none"/>
              </w:rPr>
            </w:pPr>
          </w:p>
        </w:tc>
        <w:tc>
          <w:tcPr>
            <w:tcW w:w="869" w:type="pct"/>
            <w:tcBorders>
              <w:left w:val="single" w:color="auto" w:sz="4" w:space="0"/>
            </w:tcBorders>
            <w:vAlign w:val="center"/>
          </w:tcPr>
          <w:p w14:paraId="71E9BCA8">
            <w:pPr>
              <w:spacing w:line="360" w:lineRule="auto"/>
              <w:jc w:val="center"/>
              <w:rPr>
                <w:rFonts w:hint="eastAsia" w:ascii="仿宋" w:hAnsi="仿宋" w:eastAsia="仿宋" w:cs="仿宋"/>
                <w:bCs/>
                <w:sz w:val="24"/>
                <w:szCs w:val="24"/>
                <w:highlight w:val="none"/>
              </w:rPr>
            </w:pPr>
          </w:p>
        </w:tc>
        <w:tc>
          <w:tcPr>
            <w:tcW w:w="862" w:type="pct"/>
            <w:tcBorders>
              <w:right w:val="single" w:color="auto" w:sz="4" w:space="0"/>
            </w:tcBorders>
            <w:vAlign w:val="center"/>
          </w:tcPr>
          <w:p w14:paraId="68B76231">
            <w:pPr>
              <w:spacing w:line="360" w:lineRule="auto"/>
              <w:jc w:val="center"/>
              <w:rPr>
                <w:rFonts w:hint="eastAsia" w:ascii="仿宋" w:hAnsi="仿宋" w:eastAsia="仿宋" w:cs="仿宋"/>
                <w:kern w:val="0"/>
                <w:sz w:val="24"/>
                <w:szCs w:val="24"/>
                <w:highlight w:val="none"/>
              </w:rPr>
            </w:pPr>
          </w:p>
        </w:tc>
        <w:tc>
          <w:tcPr>
            <w:tcW w:w="1163" w:type="pct"/>
            <w:vAlign w:val="center"/>
          </w:tcPr>
          <w:p w14:paraId="3530CFA6">
            <w:pPr>
              <w:spacing w:line="360" w:lineRule="auto"/>
              <w:jc w:val="center"/>
              <w:rPr>
                <w:rFonts w:hint="eastAsia" w:ascii="仿宋" w:hAnsi="仿宋" w:eastAsia="仿宋" w:cs="仿宋"/>
                <w:bCs/>
                <w:sz w:val="24"/>
                <w:szCs w:val="24"/>
                <w:highlight w:val="none"/>
              </w:rPr>
            </w:pPr>
          </w:p>
        </w:tc>
        <w:tc>
          <w:tcPr>
            <w:tcW w:w="571" w:type="pct"/>
            <w:vAlign w:val="center"/>
          </w:tcPr>
          <w:p w14:paraId="60259F20">
            <w:pPr>
              <w:spacing w:line="360" w:lineRule="auto"/>
              <w:jc w:val="center"/>
              <w:rPr>
                <w:rFonts w:hint="eastAsia" w:ascii="仿宋" w:hAnsi="仿宋" w:eastAsia="仿宋" w:cs="仿宋"/>
                <w:bCs/>
                <w:sz w:val="24"/>
                <w:szCs w:val="24"/>
                <w:highlight w:val="none"/>
              </w:rPr>
            </w:pPr>
          </w:p>
        </w:tc>
      </w:tr>
      <w:tr w14:paraId="77A0A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66" w:type="pct"/>
            <w:vAlign w:val="center"/>
          </w:tcPr>
          <w:p w14:paraId="187E1D94">
            <w:pPr>
              <w:spacing w:line="360" w:lineRule="auto"/>
              <w:jc w:val="center"/>
              <w:rPr>
                <w:rFonts w:hint="eastAsia" w:ascii="仿宋" w:hAnsi="仿宋" w:eastAsia="仿宋" w:cs="仿宋"/>
                <w:bCs/>
                <w:sz w:val="24"/>
                <w:szCs w:val="24"/>
                <w:highlight w:val="none"/>
              </w:rPr>
            </w:pPr>
          </w:p>
        </w:tc>
        <w:tc>
          <w:tcPr>
            <w:tcW w:w="965" w:type="pct"/>
            <w:tcBorders>
              <w:right w:val="single" w:color="auto" w:sz="4" w:space="0"/>
            </w:tcBorders>
            <w:vAlign w:val="center"/>
          </w:tcPr>
          <w:p w14:paraId="0B49D90E">
            <w:pPr>
              <w:spacing w:line="360" w:lineRule="auto"/>
              <w:jc w:val="center"/>
              <w:rPr>
                <w:rFonts w:hint="eastAsia" w:ascii="仿宋" w:hAnsi="仿宋" w:eastAsia="仿宋" w:cs="仿宋"/>
                <w:kern w:val="0"/>
                <w:sz w:val="24"/>
                <w:szCs w:val="24"/>
                <w:highlight w:val="none"/>
              </w:rPr>
            </w:pPr>
          </w:p>
        </w:tc>
        <w:tc>
          <w:tcPr>
            <w:tcW w:w="869" w:type="pct"/>
            <w:tcBorders>
              <w:left w:val="single" w:color="auto" w:sz="4" w:space="0"/>
            </w:tcBorders>
            <w:vAlign w:val="center"/>
          </w:tcPr>
          <w:p w14:paraId="5A7FA9BF">
            <w:pPr>
              <w:spacing w:line="360" w:lineRule="auto"/>
              <w:jc w:val="center"/>
              <w:rPr>
                <w:rFonts w:hint="eastAsia" w:ascii="仿宋" w:hAnsi="仿宋" w:eastAsia="仿宋" w:cs="仿宋"/>
                <w:kern w:val="0"/>
                <w:sz w:val="24"/>
                <w:szCs w:val="24"/>
                <w:highlight w:val="none"/>
              </w:rPr>
            </w:pPr>
          </w:p>
        </w:tc>
        <w:tc>
          <w:tcPr>
            <w:tcW w:w="862" w:type="pct"/>
            <w:tcBorders>
              <w:right w:val="single" w:color="auto" w:sz="4" w:space="0"/>
            </w:tcBorders>
            <w:vAlign w:val="center"/>
          </w:tcPr>
          <w:p w14:paraId="5521D222">
            <w:pPr>
              <w:spacing w:line="360" w:lineRule="auto"/>
              <w:jc w:val="center"/>
              <w:rPr>
                <w:rFonts w:hint="eastAsia" w:ascii="仿宋" w:hAnsi="仿宋" w:eastAsia="仿宋" w:cs="仿宋"/>
                <w:kern w:val="0"/>
                <w:sz w:val="24"/>
                <w:szCs w:val="24"/>
                <w:highlight w:val="none"/>
              </w:rPr>
            </w:pPr>
          </w:p>
        </w:tc>
        <w:tc>
          <w:tcPr>
            <w:tcW w:w="1163" w:type="pct"/>
            <w:vAlign w:val="center"/>
          </w:tcPr>
          <w:p w14:paraId="7BA0041E">
            <w:pPr>
              <w:spacing w:line="360" w:lineRule="auto"/>
              <w:jc w:val="center"/>
              <w:rPr>
                <w:rFonts w:hint="eastAsia" w:ascii="仿宋" w:hAnsi="仿宋" w:eastAsia="仿宋" w:cs="仿宋"/>
                <w:bCs/>
                <w:sz w:val="24"/>
                <w:szCs w:val="24"/>
                <w:highlight w:val="none"/>
              </w:rPr>
            </w:pPr>
          </w:p>
        </w:tc>
        <w:tc>
          <w:tcPr>
            <w:tcW w:w="571" w:type="pct"/>
            <w:vAlign w:val="center"/>
          </w:tcPr>
          <w:p w14:paraId="5069BCEC">
            <w:pPr>
              <w:spacing w:line="360" w:lineRule="auto"/>
              <w:jc w:val="center"/>
              <w:rPr>
                <w:rFonts w:hint="eastAsia" w:ascii="仿宋" w:hAnsi="仿宋" w:eastAsia="仿宋" w:cs="仿宋"/>
                <w:bCs/>
                <w:sz w:val="24"/>
                <w:szCs w:val="24"/>
                <w:highlight w:val="none"/>
              </w:rPr>
            </w:pPr>
          </w:p>
        </w:tc>
      </w:tr>
      <w:tr w14:paraId="278E7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3264" w:type="pct"/>
            <w:gridSpan w:val="4"/>
            <w:tcBorders>
              <w:right w:val="single" w:color="auto" w:sz="4" w:space="0"/>
            </w:tcBorders>
            <w:vAlign w:val="center"/>
          </w:tcPr>
          <w:p w14:paraId="1A3B9E2C">
            <w:pPr>
              <w:spacing w:line="360" w:lineRule="auto"/>
              <w:jc w:val="center"/>
              <w:rPr>
                <w:rFonts w:hint="eastAsia" w:ascii="仿宋" w:hAnsi="仿宋" w:eastAsia="仿宋" w:cs="仿宋"/>
                <w:bCs/>
                <w:sz w:val="24"/>
                <w:szCs w:val="24"/>
                <w:highlight w:val="none"/>
              </w:rPr>
            </w:pPr>
            <w:r>
              <w:rPr>
                <w:rFonts w:hint="eastAsia" w:ascii="仿宋" w:hAnsi="仿宋" w:eastAsia="仿宋" w:cs="仿宋"/>
                <w:kern w:val="0"/>
                <w:sz w:val="24"/>
                <w:szCs w:val="24"/>
                <w:highlight w:val="none"/>
              </w:rPr>
              <w:t>合计</w:t>
            </w:r>
          </w:p>
        </w:tc>
        <w:tc>
          <w:tcPr>
            <w:tcW w:w="1163" w:type="pct"/>
            <w:vAlign w:val="center"/>
          </w:tcPr>
          <w:p w14:paraId="676771EA">
            <w:pPr>
              <w:spacing w:line="360" w:lineRule="auto"/>
              <w:jc w:val="center"/>
              <w:rPr>
                <w:rFonts w:hint="eastAsia" w:ascii="仿宋" w:hAnsi="仿宋" w:eastAsia="仿宋" w:cs="仿宋"/>
                <w:bCs/>
                <w:sz w:val="24"/>
                <w:szCs w:val="24"/>
                <w:highlight w:val="none"/>
              </w:rPr>
            </w:pPr>
          </w:p>
        </w:tc>
        <w:tc>
          <w:tcPr>
            <w:tcW w:w="571" w:type="pct"/>
            <w:vAlign w:val="center"/>
          </w:tcPr>
          <w:p w14:paraId="637288AF">
            <w:pPr>
              <w:spacing w:line="360" w:lineRule="auto"/>
              <w:jc w:val="center"/>
              <w:rPr>
                <w:rFonts w:hint="eastAsia" w:ascii="仿宋" w:hAnsi="仿宋" w:eastAsia="仿宋" w:cs="仿宋"/>
                <w:bCs/>
                <w:sz w:val="24"/>
                <w:szCs w:val="24"/>
                <w:highlight w:val="none"/>
              </w:rPr>
            </w:pPr>
          </w:p>
        </w:tc>
      </w:tr>
    </w:tbl>
    <w:p w14:paraId="00029E8B">
      <w:pPr>
        <w:spacing w:line="360" w:lineRule="auto"/>
        <w:rPr>
          <w:rFonts w:hint="eastAsia" w:ascii="仿宋" w:hAnsi="仿宋" w:eastAsia="仿宋" w:cs="仿宋"/>
          <w:color w:val="auto"/>
          <w:sz w:val="24"/>
          <w:szCs w:val="24"/>
          <w:highlight w:val="none"/>
          <w:shd w:val="clear" w:color="auto" w:fill="FFFFFF" w:themeFill="background1"/>
        </w:rPr>
      </w:pPr>
    </w:p>
    <w:p w14:paraId="220B9A67">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w:t>
      </w:r>
    </w:p>
    <w:p w14:paraId="0A5B2F8C">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1、投标人填报投标价格合计应与投标函载明价格一致，若不一致，应按照第二章评审办法修正原则进行修正。</w:t>
      </w:r>
    </w:p>
    <w:p w14:paraId="3B4D5718">
      <w:pPr>
        <w:spacing w:line="360" w:lineRule="auto"/>
        <w:rPr>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2、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512494CD">
      <w:pPr>
        <w:spacing w:line="360" w:lineRule="auto"/>
        <w:jc w:val="left"/>
        <w:rPr>
          <w:rFonts w:hint="eastAsia" w:ascii="仿宋" w:hAnsi="仿宋" w:eastAsia="仿宋" w:cs="仿宋"/>
          <w:color w:val="auto"/>
          <w:sz w:val="24"/>
          <w:szCs w:val="24"/>
          <w:highlight w:val="none"/>
          <w:shd w:val="clear" w:color="auto" w:fill="FFFFFF" w:themeFill="background1"/>
        </w:rPr>
      </w:pPr>
    </w:p>
    <w:p w14:paraId="2426E921">
      <w:pPr>
        <w:spacing w:line="360" w:lineRule="auto"/>
        <w:jc w:val="left"/>
        <w:rPr>
          <w:rFonts w:hint="eastAsia" w:ascii="仿宋" w:hAnsi="仿宋" w:eastAsia="仿宋" w:cs="仿宋"/>
          <w:color w:val="auto"/>
          <w:sz w:val="24"/>
          <w:szCs w:val="24"/>
          <w:highlight w:val="none"/>
          <w:shd w:val="clear" w:color="auto" w:fill="FFFFFF" w:themeFill="background1"/>
        </w:rPr>
      </w:pPr>
    </w:p>
    <w:p w14:paraId="048A84B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4919E20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45488C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5E93718">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31B76A8D">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5A96D184">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328" w:name="_Toc22264"/>
      <w:bookmarkStart w:id="329" w:name="_Toc10230"/>
      <w:r>
        <w:rPr>
          <w:rFonts w:hint="eastAsia" w:ascii="仿宋" w:hAnsi="仿宋" w:eastAsia="仿宋" w:cs="仿宋"/>
          <w:b/>
          <w:color w:val="auto"/>
          <w:sz w:val="24"/>
          <w:szCs w:val="24"/>
          <w:highlight w:val="none"/>
          <w:shd w:val="clear" w:color="auto" w:fill="FFFFFF" w:themeFill="background1"/>
        </w:rPr>
        <w:t>四、商务条款偏离表</w:t>
      </w:r>
      <w:bookmarkEnd w:id="323"/>
      <w:bookmarkEnd w:id="324"/>
      <w:bookmarkEnd w:id="325"/>
      <w:bookmarkEnd w:id="328"/>
      <w:bookmarkEnd w:id="329"/>
    </w:p>
    <w:tbl>
      <w:tblPr>
        <w:tblStyle w:val="42"/>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699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3AFDCB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8F65EE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招标文件条目号</w:t>
            </w:r>
          </w:p>
        </w:tc>
        <w:tc>
          <w:tcPr>
            <w:tcW w:w="2083" w:type="dxa"/>
            <w:vAlign w:val="center"/>
          </w:tcPr>
          <w:p w14:paraId="4A636E9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招标文件商务条款</w:t>
            </w:r>
          </w:p>
        </w:tc>
        <w:tc>
          <w:tcPr>
            <w:tcW w:w="2182" w:type="dxa"/>
            <w:vAlign w:val="center"/>
          </w:tcPr>
          <w:p w14:paraId="5AC4937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投标文件商务条款</w:t>
            </w:r>
          </w:p>
        </w:tc>
        <w:tc>
          <w:tcPr>
            <w:tcW w:w="1155" w:type="dxa"/>
            <w:vAlign w:val="center"/>
          </w:tcPr>
          <w:p w14:paraId="4153460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210C4EF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66EB5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532C97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5E763C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0D6FAD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3A77C0F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D52CF0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61DD0107">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1967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F86F99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024720A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2F7B4D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B8CE8E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4D02A6B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F64A24A">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6223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E7E1BC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CF19FC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0D913C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0B8B8D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1A6384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1979093A">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83E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028F70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FC7192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6FB17F3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1851233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6FF00B8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BD19121">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1826F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1040A1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0E0552F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B706A6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3DD1848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CF7465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372E905C">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220AD476">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备注：投标人对招标文件商务条款有偏离的，应在此表中列明实际响应的内容并加以说明，以便查对。请在此偏离表“偏离”中填写无偏离或正偏离或负偏离。商务条款是指投标人须知前附表中的实质性内容。</w:t>
      </w:r>
    </w:p>
    <w:p w14:paraId="609B0BD8">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5D587229">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250D247A">
      <w:pPr>
        <w:spacing w:line="360" w:lineRule="auto"/>
        <w:jc w:val="left"/>
        <w:rPr>
          <w:rFonts w:hint="eastAsia" w:ascii="仿宋" w:hAnsi="仿宋" w:eastAsia="仿宋" w:cs="仿宋"/>
          <w:color w:val="auto"/>
          <w:sz w:val="24"/>
          <w:szCs w:val="24"/>
          <w:highlight w:val="none"/>
          <w:shd w:val="clear" w:color="auto" w:fill="FFFFFF" w:themeFill="background1"/>
        </w:rPr>
      </w:pPr>
    </w:p>
    <w:p w14:paraId="2A41CD16">
      <w:pPr>
        <w:spacing w:line="360" w:lineRule="auto"/>
        <w:jc w:val="left"/>
        <w:rPr>
          <w:rFonts w:hint="eastAsia" w:ascii="仿宋" w:hAnsi="仿宋" w:eastAsia="仿宋" w:cs="仿宋"/>
          <w:color w:val="auto"/>
          <w:sz w:val="24"/>
          <w:szCs w:val="24"/>
          <w:highlight w:val="none"/>
          <w:shd w:val="clear" w:color="auto" w:fill="FFFFFF" w:themeFill="background1"/>
        </w:rPr>
      </w:pPr>
    </w:p>
    <w:p w14:paraId="0DC80D98">
      <w:pPr>
        <w:spacing w:line="360" w:lineRule="auto"/>
        <w:jc w:val="left"/>
        <w:rPr>
          <w:rFonts w:hint="eastAsia" w:ascii="仿宋" w:hAnsi="仿宋" w:eastAsia="仿宋" w:cs="仿宋"/>
          <w:color w:val="auto"/>
          <w:sz w:val="24"/>
          <w:szCs w:val="24"/>
          <w:highlight w:val="none"/>
          <w:shd w:val="clear" w:color="auto" w:fill="FFFFFF" w:themeFill="background1"/>
        </w:rPr>
      </w:pPr>
    </w:p>
    <w:p w14:paraId="442510A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65ED7B5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60EFF1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5ADDBAF">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431BC006">
      <w:pPr>
        <w:widowControl/>
        <w:spacing w:line="360" w:lineRule="auto"/>
        <w:jc w:val="left"/>
        <w:rPr>
          <w:rFonts w:hint="eastAsia"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4B8E192E">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330" w:name="_Toc19585"/>
      <w:bookmarkStart w:id="331" w:name="_Toc4958"/>
      <w:r>
        <w:rPr>
          <w:rFonts w:hint="eastAsia" w:ascii="仿宋" w:hAnsi="仿宋" w:eastAsia="仿宋" w:cs="仿宋"/>
          <w:b/>
          <w:color w:val="auto"/>
          <w:sz w:val="24"/>
          <w:szCs w:val="24"/>
          <w:highlight w:val="none"/>
          <w:shd w:val="clear" w:color="auto" w:fill="FFFFFF" w:themeFill="background1"/>
        </w:rPr>
        <w:t>五、技术条款偏离表</w:t>
      </w:r>
      <w:bookmarkEnd w:id="330"/>
      <w:bookmarkEnd w:id="331"/>
    </w:p>
    <w:tbl>
      <w:tblPr>
        <w:tblStyle w:val="42"/>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BFD0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35C3E44">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1076A5B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招标文件条目号</w:t>
            </w:r>
          </w:p>
        </w:tc>
        <w:tc>
          <w:tcPr>
            <w:tcW w:w="2083" w:type="dxa"/>
            <w:vAlign w:val="center"/>
          </w:tcPr>
          <w:p w14:paraId="75271D4B">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招标文件技术条款</w:t>
            </w:r>
          </w:p>
        </w:tc>
        <w:tc>
          <w:tcPr>
            <w:tcW w:w="2182" w:type="dxa"/>
            <w:vAlign w:val="center"/>
          </w:tcPr>
          <w:p w14:paraId="6996187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投标文件技术条款</w:t>
            </w:r>
          </w:p>
        </w:tc>
        <w:tc>
          <w:tcPr>
            <w:tcW w:w="1155" w:type="dxa"/>
            <w:vAlign w:val="center"/>
          </w:tcPr>
          <w:p w14:paraId="282D9436">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449CF985">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40A5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201EAA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363F989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E1B7CA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018553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838610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391BB04E">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BF2B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3347C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792B455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5808210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64E7633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30B01A2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2F5975C8">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7C3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186D1B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055E5C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76F03B5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6688725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68089BF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1DE722C">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A1DA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2BD62E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7AAFFA0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5EE0E8A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42A258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F52DD3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DB037AF">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562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DD3EFB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73C4206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B3D683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629E59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3A2C2F7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4EA7D9C9">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0E3AE8F3">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备注：投标人对招标文件</w:t>
      </w:r>
      <w:r>
        <w:rPr>
          <w:rFonts w:hint="eastAsia" w:ascii="仿宋" w:hAnsi="仿宋" w:eastAsia="仿宋" w:cs="仿宋"/>
          <w:bCs/>
          <w:color w:val="auto"/>
          <w:szCs w:val="21"/>
          <w:highlight w:val="none"/>
          <w:shd w:val="clear" w:color="auto" w:fill="FFFFFF" w:themeFill="background1"/>
        </w:rPr>
        <w:t>技术</w:t>
      </w:r>
      <w:r>
        <w:rPr>
          <w:rFonts w:hint="eastAsia" w:ascii="仿宋" w:hAnsi="仿宋" w:eastAsia="仿宋" w:cs="仿宋"/>
          <w:color w:val="auto"/>
          <w:szCs w:val="24"/>
          <w:highlight w:val="none"/>
          <w:shd w:val="clear" w:color="auto" w:fill="FFFFFF" w:themeFill="background1"/>
        </w:rPr>
        <w:t>条款有偏离的，应在此表中列明实际响应的内容并加以说明，以便查对。请在此偏离表“偏离”中填写无偏离或正偏离或负偏离。技术条款是指服务标准和要求中的实质性内容。</w:t>
      </w:r>
    </w:p>
    <w:p w14:paraId="5E4B676E">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428A30F9">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3BD5B4B3">
      <w:pPr>
        <w:spacing w:line="360" w:lineRule="auto"/>
        <w:jc w:val="left"/>
        <w:rPr>
          <w:rFonts w:hint="eastAsia" w:ascii="仿宋" w:hAnsi="仿宋" w:eastAsia="仿宋" w:cs="仿宋"/>
          <w:color w:val="auto"/>
          <w:sz w:val="24"/>
          <w:szCs w:val="24"/>
          <w:highlight w:val="none"/>
          <w:shd w:val="clear" w:color="auto" w:fill="FFFFFF" w:themeFill="background1"/>
        </w:rPr>
      </w:pPr>
    </w:p>
    <w:p w14:paraId="1E154531">
      <w:pPr>
        <w:spacing w:line="360" w:lineRule="auto"/>
        <w:jc w:val="left"/>
        <w:rPr>
          <w:rFonts w:hint="eastAsia" w:ascii="仿宋" w:hAnsi="仿宋" w:eastAsia="仿宋" w:cs="仿宋"/>
          <w:color w:val="auto"/>
          <w:sz w:val="24"/>
          <w:szCs w:val="24"/>
          <w:highlight w:val="none"/>
          <w:shd w:val="clear" w:color="auto" w:fill="FFFFFF" w:themeFill="background1"/>
        </w:rPr>
      </w:pPr>
    </w:p>
    <w:p w14:paraId="067A2476">
      <w:pPr>
        <w:spacing w:line="360" w:lineRule="auto"/>
        <w:jc w:val="left"/>
        <w:rPr>
          <w:rFonts w:hint="eastAsia" w:ascii="仿宋" w:hAnsi="仿宋" w:eastAsia="仿宋" w:cs="仿宋"/>
          <w:color w:val="auto"/>
          <w:sz w:val="24"/>
          <w:szCs w:val="24"/>
          <w:highlight w:val="none"/>
          <w:shd w:val="clear" w:color="auto" w:fill="FFFFFF" w:themeFill="background1"/>
        </w:rPr>
      </w:pPr>
    </w:p>
    <w:p w14:paraId="58552C9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783F5F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7DD2A9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92807E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2BDB8EA7">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332" w:name="_Toc31121"/>
      <w:bookmarkStart w:id="333" w:name="_Toc17833"/>
      <w:bookmarkStart w:id="334" w:name="_Toc38446475"/>
      <w:bookmarkStart w:id="335" w:name="_Toc533503185"/>
      <w:bookmarkStart w:id="336" w:name="_Toc507586170"/>
      <w:r>
        <w:rPr>
          <w:rFonts w:hint="eastAsia" w:ascii="仿宋" w:hAnsi="仿宋" w:eastAsia="仿宋" w:cs="仿宋"/>
          <w:b/>
          <w:color w:val="auto"/>
          <w:sz w:val="24"/>
          <w:szCs w:val="24"/>
          <w:highlight w:val="none"/>
          <w:shd w:val="clear" w:color="auto" w:fill="FFFFFF" w:themeFill="background1"/>
        </w:rPr>
        <w:t>六、法定代表人身份证明书</w:t>
      </w:r>
      <w:bookmarkEnd w:id="332"/>
      <w:bookmarkEnd w:id="333"/>
      <w:bookmarkEnd w:id="334"/>
      <w:bookmarkEnd w:id="335"/>
      <w:bookmarkEnd w:id="336"/>
    </w:p>
    <w:p w14:paraId="0FBCD18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B8A082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 标 人：</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008F553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4DD234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13BB97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6A3D4C6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07084ED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DF04908">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（投标人名称）的法定代表人。</w:t>
      </w:r>
    </w:p>
    <w:p w14:paraId="6B0C08CE">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4BC0C7F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B874677">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31A42BB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tbl>
      <w:tblPr>
        <w:tblStyle w:val="42"/>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8A6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03124B0">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法定代表人身份证复印件（正面）</w:t>
            </w:r>
          </w:p>
        </w:tc>
      </w:tr>
    </w:tbl>
    <w:p w14:paraId="473474D7">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42"/>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5368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E0B4AAE">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法定代表人身份证复印件（反面）</w:t>
            </w:r>
          </w:p>
        </w:tc>
      </w:tr>
    </w:tbl>
    <w:p w14:paraId="3473E59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0E9071F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3C4904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3E76626">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 年  月  日</w:t>
      </w:r>
    </w:p>
    <w:p w14:paraId="1D0E18A1">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4BA8AD4A">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3A87C0B1">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337" w:name="_Toc24163"/>
      <w:bookmarkStart w:id="338" w:name="_Toc13722"/>
      <w:bookmarkStart w:id="339" w:name="_Toc533503186"/>
      <w:bookmarkStart w:id="340" w:name="_Toc38446476"/>
      <w:bookmarkStart w:id="341" w:name="_Toc507586171"/>
      <w:r>
        <w:rPr>
          <w:rFonts w:hint="eastAsia" w:ascii="仿宋" w:hAnsi="仿宋" w:eastAsia="仿宋" w:cs="仿宋"/>
          <w:b/>
          <w:color w:val="auto"/>
          <w:sz w:val="24"/>
          <w:szCs w:val="24"/>
          <w:highlight w:val="none"/>
          <w:shd w:val="clear" w:color="auto" w:fill="FFFFFF" w:themeFill="background1"/>
        </w:rPr>
        <w:t>七、法定代表人授权委托书</w:t>
      </w:r>
      <w:bookmarkEnd w:id="337"/>
      <w:bookmarkEnd w:id="338"/>
      <w:bookmarkEnd w:id="339"/>
      <w:bookmarkEnd w:id="340"/>
      <w:bookmarkEnd w:id="341"/>
    </w:p>
    <w:p w14:paraId="583612A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C2EB2D4">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（投标人名称）的法定代表人，现拟派我单位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val="en-US" w:eastAsia="zh-CN"/>
        </w:rPr>
        <w:t>项目</w:t>
      </w:r>
      <w:r>
        <w:rPr>
          <w:rFonts w:hint="eastAsia" w:ascii="仿宋" w:hAnsi="仿宋" w:eastAsia="仿宋" w:cs="仿宋"/>
          <w:color w:val="auto"/>
          <w:kern w:val="0"/>
          <w:sz w:val="24"/>
          <w:szCs w:val="24"/>
          <w:highlight w:val="none"/>
          <w:shd w:val="clear" w:color="auto" w:fill="FFFFFF" w:themeFill="background1"/>
        </w:rPr>
        <w:t>名称）的投标，以本公司名义处理一切与之有关的事务，其法律后果由我方承担。</w:t>
      </w:r>
    </w:p>
    <w:p w14:paraId="63D91008">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3121C8B9">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88453D3">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3DFBFC4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28E356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p w14:paraId="1B85B8A2">
      <w:pPr>
        <w:pStyle w:val="14"/>
        <w:spacing w:before="6"/>
        <w:rPr>
          <w:rFonts w:hint="eastAsia" w:ascii="仿宋" w:hAnsi="仿宋" w:eastAsia="仿宋" w:cs="仿宋"/>
          <w:color w:val="auto"/>
          <w:sz w:val="21"/>
          <w:szCs w:val="21"/>
          <w:highlight w:val="none"/>
        </w:rPr>
      </w:pPr>
    </w:p>
    <w:p w14:paraId="7858600A">
      <w:pPr>
        <w:pStyle w:val="14"/>
        <w:rPr>
          <w:rFonts w:hint="eastAsia" w:ascii="仿宋" w:hAnsi="仿宋" w:eastAsia="仿宋" w:cs="仿宋"/>
          <w:color w:val="auto"/>
          <w:sz w:val="21"/>
          <w:szCs w:val="21"/>
          <w:highlight w:val="none"/>
        </w:rPr>
      </w:pPr>
      <w:r>
        <w:rPr>
          <w:rFonts w:hint="eastAsia" w:ascii="仿宋" w:hAnsi="仿宋" w:eastAsia="仿宋" w:cs="仿宋"/>
          <w:color w:val="auto"/>
          <w:highlight w:val="none"/>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10795" b="1397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10795" b="1397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10795" b="1397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10795" b="1397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p>
    <w:p w14:paraId="31A7D8D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D2E20E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E9AB91B">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0B81344">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772641D5">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D08260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F128AD3">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38EC4311">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42" w:name="_Toc507586173"/>
      <w:r>
        <w:rPr>
          <w:rFonts w:hint="eastAsia" w:ascii="仿宋" w:hAnsi="仿宋" w:eastAsia="仿宋" w:cs="仿宋"/>
          <w:b/>
          <w:color w:val="auto"/>
          <w:sz w:val="24"/>
          <w:szCs w:val="24"/>
          <w:highlight w:val="none"/>
          <w:shd w:val="clear" w:color="auto" w:fill="FFFFFF" w:themeFill="background1"/>
        </w:rPr>
        <w:br w:type="page"/>
      </w:r>
      <w:bookmarkStart w:id="343" w:name="_Toc30621"/>
      <w:bookmarkStart w:id="344" w:name="_Toc533503189"/>
      <w:bookmarkStart w:id="345" w:name="_Toc22909"/>
      <w:bookmarkStart w:id="346" w:name="_Toc38446478"/>
      <w:r>
        <w:rPr>
          <w:rFonts w:hint="eastAsia" w:ascii="仿宋" w:hAnsi="仿宋" w:eastAsia="仿宋" w:cs="仿宋"/>
          <w:b/>
          <w:color w:val="auto"/>
          <w:sz w:val="24"/>
          <w:szCs w:val="24"/>
          <w:highlight w:val="none"/>
          <w:shd w:val="clear" w:color="auto" w:fill="FFFFFF" w:themeFill="background1"/>
        </w:rPr>
        <w:t>八、投标人基本情况</w:t>
      </w:r>
      <w:bookmarkEnd w:id="342"/>
      <w:bookmarkEnd w:id="343"/>
      <w:bookmarkEnd w:id="344"/>
      <w:bookmarkEnd w:id="345"/>
      <w:bookmarkEnd w:id="346"/>
    </w:p>
    <w:p w14:paraId="1414B865">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2"/>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142C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33E78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投标人名称</w:t>
            </w:r>
          </w:p>
        </w:tc>
        <w:tc>
          <w:tcPr>
            <w:tcW w:w="7300" w:type="dxa"/>
            <w:gridSpan w:val="3"/>
            <w:vAlign w:val="center"/>
          </w:tcPr>
          <w:p w14:paraId="7E123F4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481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B59A43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注册地址</w:t>
            </w:r>
          </w:p>
        </w:tc>
        <w:tc>
          <w:tcPr>
            <w:tcW w:w="3165" w:type="dxa"/>
            <w:vAlign w:val="center"/>
          </w:tcPr>
          <w:p w14:paraId="36EFCC2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2F31451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邮政编码</w:t>
            </w:r>
          </w:p>
        </w:tc>
        <w:tc>
          <w:tcPr>
            <w:tcW w:w="2140" w:type="dxa"/>
            <w:vAlign w:val="center"/>
          </w:tcPr>
          <w:p w14:paraId="7CDF8A2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ED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521BB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p>
        </w:tc>
        <w:tc>
          <w:tcPr>
            <w:tcW w:w="3165" w:type="dxa"/>
            <w:vAlign w:val="center"/>
          </w:tcPr>
          <w:p w14:paraId="20C31BF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75C7BD6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企业性质</w:t>
            </w:r>
          </w:p>
        </w:tc>
        <w:tc>
          <w:tcPr>
            <w:tcW w:w="2140" w:type="dxa"/>
            <w:vAlign w:val="center"/>
          </w:tcPr>
          <w:p w14:paraId="6268DCA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AF2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F32806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营业执照号</w:t>
            </w:r>
          </w:p>
        </w:tc>
        <w:tc>
          <w:tcPr>
            <w:tcW w:w="3165" w:type="dxa"/>
            <w:vAlign w:val="center"/>
          </w:tcPr>
          <w:p w14:paraId="08D8370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63AA4C8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注册资金</w:t>
            </w:r>
          </w:p>
        </w:tc>
        <w:tc>
          <w:tcPr>
            <w:tcW w:w="2140" w:type="dxa"/>
            <w:vAlign w:val="center"/>
          </w:tcPr>
          <w:p w14:paraId="2BFF329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980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C230AF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p>
        </w:tc>
        <w:tc>
          <w:tcPr>
            <w:tcW w:w="3165" w:type="dxa"/>
            <w:vAlign w:val="center"/>
          </w:tcPr>
          <w:p w14:paraId="4005D32A">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230B7108">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电话</w:t>
            </w:r>
          </w:p>
        </w:tc>
        <w:tc>
          <w:tcPr>
            <w:tcW w:w="2140" w:type="dxa"/>
            <w:vAlign w:val="center"/>
          </w:tcPr>
          <w:p w14:paraId="502FEC8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11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3F0B75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联系人</w:t>
            </w:r>
          </w:p>
        </w:tc>
        <w:tc>
          <w:tcPr>
            <w:tcW w:w="3165" w:type="dxa"/>
            <w:vAlign w:val="center"/>
          </w:tcPr>
          <w:p w14:paraId="4C34F908">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28A8CF1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电话</w:t>
            </w:r>
          </w:p>
        </w:tc>
        <w:tc>
          <w:tcPr>
            <w:tcW w:w="2140" w:type="dxa"/>
            <w:vAlign w:val="center"/>
          </w:tcPr>
          <w:p w14:paraId="74B969BA">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839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D24C31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传真</w:t>
            </w:r>
          </w:p>
        </w:tc>
        <w:tc>
          <w:tcPr>
            <w:tcW w:w="3165" w:type="dxa"/>
            <w:vAlign w:val="center"/>
          </w:tcPr>
          <w:p w14:paraId="45F69199">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00E3FEE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网址</w:t>
            </w:r>
          </w:p>
        </w:tc>
        <w:tc>
          <w:tcPr>
            <w:tcW w:w="2140" w:type="dxa"/>
            <w:vAlign w:val="center"/>
          </w:tcPr>
          <w:p w14:paraId="48AB7F4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789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0C797D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开户银行</w:t>
            </w:r>
          </w:p>
        </w:tc>
        <w:tc>
          <w:tcPr>
            <w:tcW w:w="3165" w:type="dxa"/>
            <w:vAlign w:val="center"/>
          </w:tcPr>
          <w:p w14:paraId="502089C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c>
          <w:tcPr>
            <w:tcW w:w="1995" w:type="dxa"/>
            <w:vAlign w:val="center"/>
          </w:tcPr>
          <w:p w14:paraId="23D3C15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银行</w:t>
            </w:r>
            <w:r>
              <w:rPr>
                <w:rFonts w:hint="eastAsia" w:ascii="仿宋" w:hAnsi="仿宋" w:eastAsia="仿宋" w:cs="仿宋"/>
                <w:color w:val="auto"/>
                <w:kern w:val="0"/>
                <w:sz w:val="24"/>
                <w:szCs w:val="24"/>
                <w:highlight w:val="none"/>
                <w:shd w:val="clear" w:color="auto" w:fill="FFFFFF" w:themeFill="background1"/>
                <w:lang w:eastAsia="zh-CN"/>
              </w:rPr>
              <w:t>账号</w:t>
            </w:r>
          </w:p>
        </w:tc>
        <w:tc>
          <w:tcPr>
            <w:tcW w:w="2140" w:type="dxa"/>
            <w:vAlign w:val="center"/>
          </w:tcPr>
          <w:p w14:paraId="236FF3D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B3D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79CDD2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职工概况</w:t>
            </w:r>
          </w:p>
        </w:tc>
        <w:tc>
          <w:tcPr>
            <w:tcW w:w="7300" w:type="dxa"/>
            <w:gridSpan w:val="3"/>
            <w:vAlign w:val="center"/>
          </w:tcPr>
          <w:p w14:paraId="0B5DB4D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6F4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82D219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经营范围</w:t>
            </w:r>
          </w:p>
        </w:tc>
        <w:tc>
          <w:tcPr>
            <w:tcW w:w="7300" w:type="dxa"/>
            <w:gridSpan w:val="3"/>
            <w:vAlign w:val="center"/>
          </w:tcPr>
          <w:p w14:paraId="7EE94BA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bl>
    <w:p w14:paraId="6E074D6D">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69BA6B4F">
      <w:pPr>
        <w:widowControl/>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0971CE7C">
      <w:pPr>
        <w:rPr>
          <w:rFonts w:hint="eastAsia" w:ascii="仿宋" w:hAnsi="仿宋" w:eastAsia="仿宋" w:cs="仿宋"/>
          <w:color w:val="auto"/>
          <w:highlight w:val="none"/>
          <w:shd w:val="clear" w:color="auto" w:fill="FFFFFF" w:themeFill="background1"/>
        </w:rPr>
      </w:pPr>
      <w:bookmarkStart w:id="347" w:name="_Toc109143671"/>
      <w:bookmarkStart w:id="348" w:name="_Toc11207"/>
      <w:bookmarkStart w:id="349" w:name="_Toc32366"/>
      <w:bookmarkStart w:id="350" w:name="_Toc107422184"/>
      <w:bookmarkStart w:id="351" w:name="_Toc111556487"/>
    </w:p>
    <w:p w14:paraId="18A357C7">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52" w:name="_Toc113901849"/>
      <w:bookmarkStart w:id="353" w:name="_Toc128476878"/>
      <w:bookmarkStart w:id="354" w:name="_Toc133453662"/>
      <w:bookmarkStart w:id="355" w:name="_Toc16611"/>
      <w:bookmarkStart w:id="356" w:name="_Toc20683"/>
      <w:r>
        <w:rPr>
          <w:rFonts w:hint="eastAsia" w:ascii="仿宋" w:hAnsi="仿宋" w:eastAsia="仿宋" w:cs="仿宋"/>
          <w:b/>
          <w:color w:val="auto"/>
          <w:sz w:val="24"/>
          <w:szCs w:val="24"/>
          <w:highlight w:val="none"/>
          <w:shd w:val="clear" w:color="auto" w:fill="FFFFFF" w:themeFill="background1"/>
        </w:rPr>
        <w:t>8.1</w:t>
      </w:r>
      <w:bookmarkEnd w:id="347"/>
      <w:bookmarkEnd w:id="348"/>
      <w:bookmarkEnd w:id="349"/>
      <w:bookmarkEnd w:id="350"/>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352"/>
      <w:bookmarkEnd w:id="353"/>
      <w:bookmarkEnd w:id="354"/>
      <w:bookmarkEnd w:id="355"/>
      <w:bookmarkEnd w:id="356"/>
    </w:p>
    <w:p w14:paraId="68AAA4D6">
      <w:pPr>
        <w:spacing w:line="360" w:lineRule="auto"/>
        <w:rPr>
          <w:rFonts w:hint="eastAsia" w:ascii="仿宋" w:hAnsi="仿宋" w:eastAsia="仿宋" w:cs="仿宋"/>
          <w:color w:val="auto"/>
          <w:sz w:val="24"/>
          <w:szCs w:val="24"/>
          <w:highlight w:val="none"/>
          <w:shd w:val="clear" w:color="auto" w:fill="FFFFFF" w:themeFill="background1"/>
        </w:rPr>
      </w:pPr>
    </w:p>
    <w:p w14:paraId="44AAAA2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1</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rPr>
        <w:t>如投标人是企业（包括合伙企业)，应提供在工商部门注册的有效“企业法人营业执照”或“营业执照”;</w:t>
      </w:r>
    </w:p>
    <w:p w14:paraId="5331273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2</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rPr>
        <w:t>如投标人是事业单位，应提供有效的“事业单位法人证书”;</w:t>
      </w:r>
    </w:p>
    <w:p w14:paraId="1F40C6F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3</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rPr>
        <w:t>投标人是非企业专业服务机构的，应提供执业许可证等证明文件;</w:t>
      </w:r>
    </w:p>
    <w:p w14:paraId="49F89BFD">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4</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rPr>
        <w:t>如投标人是个体工商户，应提供有效的“个体工商户营业执照”;</w:t>
      </w:r>
    </w:p>
    <w:p w14:paraId="6063B544">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lang w:val="en-US" w:eastAsia="zh-CN"/>
        </w:rPr>
        <w:t>5</w:t>
      </w:r>
      <w:r>
        <w:rPr>
          <w:rFonts w:hint="eastAsia" w:ascii="仿宋" w:hAnsi="仿宋" w:eastAsia="仿宋" w:cs="仿宋"/>
          <w:color w:val="auto"/>
          <w:sz w:val="24"/>
          <w:szCs w:val="24"/>
          <w:highlight w:val="none"/>
          <w:shd w:val="clear" w:color="auto" w:fill="FFFFFF" w:themeFill="background1"/>
          <w:lang w:eastAsia="zh-CN"/>
        </w:rPr>
        <w:t>）</w:t>
      </w:r>
      <w:r>
        <w:rPr>
          <w:rFonts w:hint="eastAsia" w:ascii="仿宋" w:hAnsi="仿宋" w:eastAsia="仿宋" w:cs="仿宋"/>
          <w:color w:val="auto"/>
          <w:sz w:val="24"/>
          <w:szCs w:val="24"/>
          <w:highlight w:val="none"/>
          <w:shd w:val="clear" w:color="auto" w:fill="FFFFFF" w:themeFill="background1"/>
        </w:rPr>
        <w:t>如投标人是自然人，应提供有效的自然人身份证明。</w:t>
      </w:r>
    </w:p>
    <w:p w14:paraId="7615C9FE">
      <w:pPr>
        <w:spacing w:line="360" w:lineRule="auto"/>
        <w:rPr>
          <w:rFonts w:hint="eastAsia" w:ascii="仿宋" w:hAnsi="仿宋" w:eastAsia="仿宋" w:cs="仿宋"/>
          <w:color w:val="auto"/>
          <w:sz w:val="24"/>
          <w:szCs w:val="24"/>
          <w:highlight w:val="none"/>
          <w:shd w:val="clear" w:color="auto" w:fill="FFFFFF" w:themeFill="background1"/>
        </w:rPr>
      </w:pPr>
    </w:p>
    <w:p w14:paraId="56EC4867">
      <w:pPr>
        <w:spacing w:line="360" w:lineRule="auto"/>
        <w:rPr>
          <w:rFonts w:hint="eastAsia" w:ascii="仿宋" w:hAnsi="仿宋" w:eastAsia="仿宋" w:cs="仿宋"/>
          <w:color w:val="auto"/>
          <w:sz w:val="24"/>
          <w:szCs w:val="24"/>
          <w:highlight w:val="none"/>
          <w:shd w:val="clear" w:color="auto" w:fill="FFFFFF" w:themeFill="background1"/>
        </w:rPr>
      </w:pPr>
    </w:p>
    <w:p w14:paraId="592A6BAA">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27148B54">
      <w:pPr>
        <w:rPr>
          <w:rFonts w:hint="eastAsia" w:ascii="仿宋" w:hAnsi="仿宋" w:eastAsia="仿宋" w:cs="仿宋"/>
          <w:color w:val="auto"/>
          <w:highlight w:val="none"/>
          <w:shd w:val="clear" w:color="auto" w:fill="FFFFFF" w:themeFill="background1"/>
        </w:rPr>
      </w:pPr>
    </w:p>
    <w:p w14:paraId="3727347B">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57" w:name="_Toc128476879"/>
      <w:bookmarkStart w:id="358" w:name="_Toc113901850"/>
      <w:bookmarkStart w:id="359" w:name="_Toc133453663"/>
      <w:bookmarkStart w:id="360" w:name="_Toc18165"/>
      <w:bookmarkStart w:id="361" w:name="_Toc10010"/>
      <w:r>
        <w:rPr>
          <w:rFonts w:hint="eastAsia" w:ascii="仿宋" w:hAnsi="仿宋" w:eastAsia="仿宋" w:cs="仿宋"/>
          <w:b/>
          <w:color w:val="auto"/>
          <w:sz w:val="24"/>
          <w:szCs w:val="24"/>
          <w:highlight w:val="none"/>
          <w:shd w:val="clear" w:color="auto" w:fill="FFFFFF" w:themeFill="background1"/>
        </w:rPr>
        <w:t>8.2</w:t>
      </w:r>
      <w:bookmarkEnd w:id="351"/>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357"/>
      <w:bookmarkEnd w:id="358"/>
      <w:bookmarkEnd w:id="359"/>
      <w:bookmarkEnd w:id="360"/>
      <w:bookmarkEnd w:id="361"/>
    </w:p>
    <w:p w14:paraId="6B435AAF">
      <w:pPr>
        <w:pStyle w:val="14"/>
        <w:spacing w:line="360" w:lineRule="auto"/>
        <w:rPr>
          <w:rFonts w:hint="eastAsia" w:ascii="仿宋" w:hAnsi="仿宋" w:eastAsia="仿宋" w:cs="仿宋"/>
          <w:color w:val="auto"/>
          <w:spacing w:val="10"/>
          <w:szCs w:val="24"/>
          <w:highlight w:val="none"/>
          <w:shd w:val="clear" w:color="auto" w:fill="FFFFFF" w:themeFill="background1"/>
        </w:rPr>
      </w:pPr>
    </w:p>
    <w:p w14:paraId="26861CBF">
      <w:pPr>
        <w:spacing w:line="360" w:lineRule="auto"/>
        <w:ind w:firstLine="480" w:firstLineChars="200"/>
        <w:rPr>
          <w:rFonts w:hint="eastAsia" w:ascii="仿宋" w:hAnsi="仿宋" w:eastAsia="仿宋" w:cs="仿宋"/>
          <w:color w:val="auto"/>
          <w:sz w:val="24"/>
          <w:szCs w:val="24"/>
          <w:highlight w:val="none"/>
        </w:rPr>
      </w:pPr>
      <w:bookmarkStart w:id="362" w:name="_Toc113901851"/>
      <w:bookmarkStart w:id="363" w:name="_Toc30348"/>
      <w:bookmarkStart w:id="364" w:name="_Toc128476880"/>
      <w:bookmarkStart w:id="365" w:name="_Toc111556488"/>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财务状况报告（满足下述一条要求即可）：</w:t>
      </w:r>
    </w:p>
    <w:p w14:paraId="3001E9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要求1、经审计的财务报告（202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年度</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年度，包括“四表-注”，即资产负债表、利润表、现金流量表、所有者权益变动表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及其附注）或银行出具的资信/金证明。</w:t>
      </w:r>
    </w:p>
    <w:p w14:paraId="480235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要求2、财政部门认可的政府采购专业担保机构出具的有效期内的投标担保函。</w:t>
      </w:r>
    </w:p>
    <w:p w14:paraId="2B03E3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要求3、</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rPr>
        <w:t>度成立的</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无需提供。</w:t>
      </w:r>
      <w:bookmarkStart w:id="413" w:name="_GoBack"/>
      <w:bookmarkEnd w:id="413"/>
    </w:p>
    <w:p w14:paraId="4E319B9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依法缴纳税收和社会保障资金的相关材料</w:t>
      </w:r>
    </w:p>
    <w:p w14:paraId="3AF7EBF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依法缴纳税收的证明材料：</w:t>
      </w:r>
    </w:p>
    <w:p w14:paraId="54C7570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参加政府采购活动前一段时间（响应文件递交截止之日前六个月内任一个月）内缴纳税收的完税凭证（指各种完税证、缴款书、印花税票、扣（收）税凭证以及其他完税证明）。</w:t>
      </w:r>
    </w:p>
    <w:p w14:paraId="455D27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依法缴纳社会保障资金的证明材料：</w:t>
      </w:r>
    </w:p>
    <w:p w14:paraId="7D2214F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参加政府采购活动前一段时间（响应文件递交截止之日前六个月内任一个月）内缴纳社会保险的凭据，其他组织和自然人也需要提供缴纳税收的凭据和缴纳社会保险的凭据。</w:t>
      </w:r>
    </w:p>
    <w:p w14:paraId="21E8703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依法免税或不需要缴纳社会保障资金的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，应提供相应文件证明其依法免税或不需要缴纳社会保障资金。</w:t>
      </w:r>
    </w:p>
    <w:p w14:paraId="478C33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注：</w:t>
      </w:r>
    </w:p>
    <w:p w14:paraId="25EB32E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如因有关主管部门政策调整，部分证明材料有所增减，以最新政策要求为准；</w:t>
      </w:r>
    </w:p>
    <w:p w14:paraId="041A96AD">
      <w:pPr>
        <w:spacing w:line="360" w:lineRule="auto"/>
        <w:ind w:firstLine="480" w:firstLineChars="20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所在地有关主管部门反馈的证明材料与本文中要求不一致时，以当地要求为准，但须</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提供文字说明。</w:t>
      </w:r>
      <w:r>
        <w:rPr>
          <w:rFonts w:hint="eastAsia" w:ascii="仿宋" w:hAnsi="仿宋" w:eastAsia="仿宋" w:cs="仿宋"/>
          <w:b/>
          <w:color w:val="auto"/>
          <w:sz w:val="24"/>
          <w:szCs w:val="24"/>
          <w:highlight w:val="none"/>
          <w:shd w:val="clear" w:color="auto" w:fill="FFFFFF" w:themeFill="background1"/>
        </w:rPr>
        <w:br w:type="page"/>
      </w:r>
    </w:p>
    <w:p w14:paraId="5968D9CF">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66" w:name="_Toc8098"/>
      <w:bookmarkStart w:id="367" w:name="_Toc133453664"/>
      <w:r>
        <w:rPr>
          <w:rFonts w:hint="eastAsia" w:ascii="仿宋" w:hAnsi="仿宋" w:eastAsia="仿宋" w:cs="仿宋"/>
          <w:b/>
          <w:color w:val="auto"/>
          <w:sz w:val="24"/>
          <w:szCs w:val="24"/>
          <w:highlight w:val="none"/>
          <w:shd w:val="clear" w:color="auto" w:fill="FFFFFF" w:themeFill="background1"/>
        </w:rPr>
        <w:t>8.3具备履行合同所必需的设备和专业技术能力的证明材料</w:t>
      </w:r>
      <w:bookmarkEnd w:id="362"/>
      <w:bookmarkEnd w:id="363"/>
      <w:bookmarkEnd w:id="364"/>
      <w:bookmarkEnd w:id="366"/>
      <w:bookmarkEnd w:id="367"/>
    </w:p>
    <w:p w14:paraId="29CE6D73">
      <w:pPr>
        <w:spacing w:line="360" w:lineRule="auto"/>
        <w:rPr>
          <w:rFonts w:hint="eastAsia" w:ascii="仿宋" w:hAnsi="仿宋" w:eastAsia="仿宋" w:cs="仿宋"/>
          <w:color w:val="auto"/>
          <w:sz w:val="24"/>
          <w:szCs w:val="24"/>
          <w:highlight w:val="none"/>
          <w:shd w:val="clear" w:color="auto" w:fill="FFFFFF" w:themeFill="background1"/>
        </w:rPr>
      </w:pPr>
    </w:p>
    <w:p w14:paraId="428FCDD4">
      <w:pPr>
        <w:spacing w:line="360" w:lineRule="auto"/>
        <w:rPr>
          <w:rFonts w:hint="eastAsia" w:ascii="仿宋" w:hAnsi="仿宋" w:eastAsia="仿宋" w:cs="仿宋"/>
          <w:color w:val="auto"/>
          <w:sz w:val="24"/>
          <w:szCs w:val="24"/>
          <w:highlight w:val="none"/>
          <w:shd w:val="clear" w:color="auto" w:fill="FFFFFF" w:themeFill="background1"/>
        </w:rPr>
      </w:pPr>
    </w:p>
    <w:p w14:paraId="3A1E5E36">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365"/>
      <w:r>
        <w:rPr>
          <w:rFonts w:hint="eastAsia" w:ascii="仿宋" w:hAnsi="仿宋" w:eastAsia="仿宋" w:cs="仿宋"/>
          <w:b/>
          <w:color w:val="auto"/>
          <w:sz w:val="24"/>
          <w:szCs w:val="24"/>
          <w:highlight w:val="none"/>
          <w:shd w:val="clear" w:color="auto" w:fill="FFFFFF" w:themeFill="background1"/>
        </w:rPr>
        <w:t>函</w:t>
      </w:r>
    </w:p>
    <w:p w14:paraId="236E50B9">
      <w:pPr>
        <w:adjustRightInd w:val="0"/>
        <w:snapToGrid w:val="0"/>
        <w:spacing w:line="360" w:lineRule="auto"/>
        <w:ind w:firstLine="480" w:firstLineChars="200"/>
        <w:jc w:val="center"/>
        <w:rPr>
          <w:rFonts w:hint="eastAsia" w:ascii="仿宋" w:hAnsi="仿宋" w:eastAsia="仿宋" w:cs="仿宋"/>
          <w:color w:val="auto"/>
          <w:sz w:val="24"/>
          <w:szCs w:val="24"/>
          <w:highlight w:val="none"/>
          <w:shd w:val="clear" w:color="auto" w:fill="FFFFFF" w:themeFill="background1"/>
        </w:rPr>
      </w:pPr>
    </w:p>
    <w:p w14:paraId="11918A3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8C77D2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p>
    <w:p w14:paraId="21776272">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1E38CF23">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val="en-US" w:eastAsia="zh-CN"/>
        </w:rPr>
        <w:t>项目</w:t>
      </w:r>
      <w:r>
        <w:rPr>
          <w:rFonts w:hint="eastAsia" w:ascii="仿宋" w:hAnsi="仿宋" w:eastAsia="仿宋" w:cs="仿宋"/>
          <w:color w:val="auto"/>
          <w:kern w:val="0"/>
          <w:sz w:val="24"/>
          <w:szCs w:val="24"/>
          <w:highlight w:val="none"/>
          <w:shd w:val="clear" w:color="auto" w:fill="FFFFFF" w:themeFill="background1"/>
        </w:rPr>
        <w:t>名称）合同所必需的设备和专业技术能力；</w:t>
      </w:r>
    </w:p>
    <w:p w14:paraId="74B4CB69">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75E8A92B">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BC5B0E6">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29D666F">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A0FA2C8">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C1C7C20">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877C69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414C8D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12EC44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770C7ED">
      <w:pPr>
        <w:adjustRightInd w:val="0"/>
        <w:snapToGrid w:val="0"/>
        <w:spacing w:line="360" w:lineRule="auto"/>
        <w:rPr>
          <w:rFonts w:hint="eastAsia" w:ascii="仿宋" w:hAnsi="仿宋" w:eastAsia="仿宋" w:cs="仿宋"/>
          <w:bCs/>
          <w:color w:val="auto"/>
          <w:sz w:val="24"/>
          <w:szCs w:val="24"/>
          <w:highlight w:val="none"/>
          <w:shd w:val="clear" w:color="auto" w:fill="FFFFFF" w:themeFill="background1"/>
        </w:rPr>
      </w:pPr>
    </w:p>
    <w:p w14:paraId="66381B0D">
      <w:pPr>
        <w:spacing w:line="360" w:lineRule="auto"/>
        <w:rPr>
          <w:rFonts w:hint="eastAsia" w:ascii="仿宋" w:hAnsi="仿宋" w:eastAsia="仿宋" w:cs="仿宋"/>
          <w:color w:val="auto"/>
          <w:sz w:val="24"/>
          <w:szCs w:val="24"/>
          <w:highlight w:val="none"/>
          <w:shd w:val="clear" w:color="auto" w:fill="FFFFFF" w:themeFill="background1"/>
        </w:rPr>
      </w:pPr>
    </w:p>
    <w:p w14:paraId="37A7F0CC">
      <w:pPr>
        <w:spacing w:line="360" w:lineRule="auto"/>
        <w:rPr>
          <w:rFonts w:hint="eastAsia" w:ascii="仿宋" w:hAnsi="仿宋" w:eastAsia="仿宋" w:cs="仿宋"/>
          <w:color w:val="auto"/>
          <w:sz w:val="24"/>
          <w:szCs w:val="24"/>
          <w:highlight w:val="none"/>
          <w:shd w:val="clear" w:color="auto" w:fill="FFFFFF" w:themeFill="background1"/>
        </w:rPr>
      </w:pPr>
    </w:p>
    <w:p w14:paraId="160F2A7B">
      <w:pPr>
        <w:spacing w:line="360" w:lineRule="auto"/>
        <w:rPr>
          <w:rFonts w:hint="eastAsia" w:ascii="仿宋" w:hAnsi="仿宋" w:eastAsia="仿宋" w:cs="仿宋"/>
          <w:color w:val="auto"/>
          <w:sz w:val="24"/>
          <w:szCs w:val="24"/>
          <w:highlight w:val="none"/>
          <w:shd w:val="clear" w:color="auto" w:fill="FFFFFF" w:themeFill="background1"/>
        </w:rPr>
      </w:pPr>
    </w:p>
    <w:p w14:paraId="32015380">
      <w:pPr>
        <w:spacing w:line="360" w:lineRule="auto"/>
        <w:rPr>
          <w:rFonts w:hint="eastAsia" w:ascii="仿宋" w:hAnsi="仿宋" w:eastAsia="仿宋" w:cs="仿宋"/>
          <w:color w:val="auto"/>
          <w:sz w:val="24"/>
          <w:szCs w:val="24"/>
          <w:highlight w:val="none"/>
          <w:shd w:val="clear" w:color="auto" w:fill="FFFFFF" w:themeFill="background1"/>
        </w:rPr>
      </w:pPr>
    </w:p>
    <w:p w14:paraId="724FF1E5">
      <w:pPr>
        <w:spacing w:line="360" w:lineRule="auto"/>
        <w:rPr>
          <w:rFonts w:hint="eastAsia" w:ascii="仿宋" w:hAnsi="仿宋" w:eastAsia="仿宋" w:cs="仿宋"/>
          <w:color w:val="auto"/>
          <w:sz w:val="24"/>
          <w:szCs w:val="24"/>
          <w:highlight w:val="none"/>
          <w:shd w:val="clear" w:color="auto" w:fill="FFFFFF" w:themeFill="background1"/>
        </w:rPr>
      </w:pPr>
    </w:p>
    <w:p w14:paraId="142C93E5">
      <w:pPr>
        <w:spacing w:line="360" w:lineRule="auto"/>
        <w:rPr>
          <w:rFonts w:hint="eastAsia" w:ascii="仿宋" w:hAnsi="仿宋" w:eastAsia="仿宋" w:cs="仿宋"/>
          <w:color w:val="auto"/>
          <w:sz w:val="24"/>
          <w:szCs w:val="24"/>
          <w:highlight w:val="none"/>
          <w:shd w:val="clear" w:color="auto" w:fill="FFFFFF" w:themeFill="background1"/>
        </w:rPr>
      </w:pPr>
    </w:p>
    <w:p w14:paraId="57D0B5D9">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20CFC1BE">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68" w:name="_Toc113901852"/>
      <w:bookmarkStart w:id="369" w:name="_Toc128476881"/>
      <w:bookmarkStart w:id="370" w:name="_Toc13792"/>
      <w:bookmarkStart w:id="371" w:name="_Toc133453665"/>
      <w:bookmarkStart w:id="372" w:name="_Toc5703"/>
      <w:bookmarkStart w:id="373" w:name="_Toc111556490"/>
      <w:r>
        <w:rPr>
          <w:rFonts w:hint="eastAsia" w:ascii="仿宋" w:hAnsi="仿宋" w:eastAsia="仿宋" w:cs="仿宋"/>
          <w:b/>
          <w:color w:val="auto"/>
          <w:sz w:val="24"/>
          <w:szCs w:val="24"/>
          <w:highlight w:val="none"/>
          <w:shd w:val="clear" w:color="auto" w:fill="FFFFFF" w:themeFill="background1"/>
        </w:rPr>
        <w:t>8.4参加政府采购活动前3年内在经营活动中没有重大违法记录的书面声明</w:t>
      </w:r>
      <w:bookmarkEnd w:id="368"/>
      <w:bookmarkEnd w:id="369"/>
      <w:bookmarkEnd w:id="370"/>
      <w:bookmarkEnd w:id="371"/>
      <w:bookmarkEnd w:id="372"/>
    </w:p>
    <w:bookmarkEnd w:id="373"/>
    <w:p w14:paraId="2F63140E">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5C8763B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6ADC5F87">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D08A78B">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val="en-US" w:eastAsia="zh-CN"/>
        </w:rPr>
        <w:t>项目</w:t>
      </w:r>
      <w:r>
        <w:rPr>
          <w:rFonts w:hint="eastAsia" w:ascii="仿宋" w:hAnsi="仿宋" w:eastAsia="仿宋" w:cs="仿宋"/>
          <w:color w:val="auto"/>
          <w:kern w:val="0"/>
          <w:sz w:val="24"/>
          <w:szCs w:val="24"/>
          <w:highlight w:val="none"/>
          <w:shd w:val="clear" w:color="auto" w:fill="FFFFFF" w:themeFill="background1"/>
        </w:rPr>
        <w:t>名称</w:t>
      </w:r>
      <w:r>
        <w:rPr>
          <w:rFonts w:hint="eastAsia" w:ascii="仿宋" w:hAnsi="仿宋" w:eastAsia="仿宋" w:cs="仿宋"/>
          <w:color w:val="auto"/>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rPr>
        <w:t>前三年内（以</w:t>
      </w:r>
      <w:r>
        <w:rPr>
          <w:rFonts w:hint="eastAsia" w:ascii="仿宋" w:hAnsi="仿宋" w:eastAsia="仿宋" w:cs="仿宋"/>
          <w:color w:val="auto"/>
          <w:sz w:val="24"/>
          <w:szCs w:val="24"/>
          <w:highlight w:val="none"/>
          <w:shd w:val="clear" w:color="auto" w:fill="FFFFFF" w:themeFill="background1"/>
        </w:rPr>
        <w:t>投标文件递交截止之日为期限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5E4ED008">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将无条件退出本项目的投标，并承担因此引起的一切后果。我方对此声明负全部法律责任。</w:t>
      </w:r>
    </w:p>
    <w:p w14:paraId="59013C5F">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42FD44A8">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48C34D6">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48D46E3">
      <w:pPr>
        <w:adjustRightInd w:val="0"/>
        <w:snapToGrid w:val="0"/>
        <w:spacing w:line="360" w:lineRule="auto"/>
        <w:ind w:firstLine="420" w:firstLineChars="200"/>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w:t>
      </w:r>
    </w:p>
    <w:p w14:paraId="5F47CA02">
      <w:pPr>
        <w:adjustRightInd w:val="0"/>
        <w:snapToGrid w:val="0"/>
        <w:spacing w:line="360" w:lineRule="auto"/>
        <w:ind w:firstLine="42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若投标人在投标文件递交截止之日成立时间不足三年，以自成立以来的时间计取。</w:t>
      </w:r>
    </w:p>
    <w:p w14:paraId="2A45FB97">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p>
    <w:p w14:paraId="433A5492">
      <w:pPr>
        <w:adjustRightInd w:val="0"/>
        <w:snapToGrid w:val="0"/>
        <w:spacing w:line="360" w:lineRule="auto"/>
        <w:ind w:firstLine="3112" w:firstLineChars="1297"/>
        <w:rPr>
          <w:rFonts w:hint="eastAsia" w:ascii="仿宋" w:hAnsi="仿宋" w:eastAsia="仿宋" w:cs="仿宋"/>
          <w:color w:val="auto"/>
          <w:sz w:val="24"/>
          <w:szCs w:val="24"/>
          <w:highlight w:val="none"/>
          <w:shd w:val="clear" w:color="auto" w:fill="FFFFFF" w:themeFill="background1"/>
        </w:rPr>
      </w:pPr>
    </w:p>
    <w:p w14:paraId="7E59395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0886455">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63B1E7C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358DA0A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3144215">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07717102">
      <w:pPr>
        <w:widowControl/>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3A3A8B67">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374" w:name="_Toc15699"/>
      <w:bookmarkStart w:id="375" w:name="_Toc133453666"/>
      <w:bookmarkStart w:id="376" w:name="_Toc128476882"/>
      <w:bookmarkStart w:id="377" w:name="_Toc12167"/>
      <w:bookmarkStart w:id="378" w:name="_Toc113901853"/>
      <w:r>
        <w:rPr>
          <w:rFonts w:hint="eastAsia" w:ascii="仿宋" w:hAnsi="仿宋" w:eastAsia="仿宋" w:cs="仿宋"/>
          <w:b/>
          <w:color w:val="auto"/>
          <w:sz w:val="24"/>
          <w:szCs w:val="24"/>
          <w:highlight w:val="none"/>
          <w:shd w:val="clear" w:color="auto" w:fill="FFFFFF" w:themeFill="background1"/>
        </w:rPr>
        <w:t>8.5具备法律、行政法规规定的其他条件的证明材料</w:t>
      </w:r>
      <w:bookmarkEnd w:id="374"/>
      <w:bookmarkEnd w:id="375"/>
      <w:bookmarkEnd w:id="376"/>
      <w:bookmarkEnd w:id="377"/>
      <w:bookmarkEnd w:id="378"/>
    </w:p>
    <w:p w14:paraId="64068D36">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01E46E9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国家有关主管部门的行政许可（如有时）。</w:t>
      </w:r>
    </w:p>
    <w:p w14:paraId="7C29531F">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投标人如为</w:t>
      </w:r>
      <w:r>
        <w:rPr>
          <w:rFonts w:hint="eastAsia" w:ascii="仿宋" w:hAnsi="仿宋" w:eastAsia="仿宋" w:cs="仿宋"/>
          <w:color w:val="auto"/>
          <w:kern w:val="0"/>
          <w:sz w:val="24"/>
          <w:szCs w:val="24"/>
          <w:highlight w:val="none"/>
          <w:shd w:val="clear" w:color="auto" w:fill="FFFFFF" w:themeFill="background1"/>
          <w:lang w:val="en-US" w:eastAsia="zh-CN"/>
        </w:rPr>
        <w:t>中</w:t>
      </w:r>
      <w:r>
        <w:rPr>
          <w:rFonts w:hint="eastAsia" w:ascii="仿宋" w:hAnsi="仿宋" w:eastAsia="仿宋" w:cs="仿宋"/>
          <w:color w:val="auto"/>
          <w:kern w:val="0"/>
          <w:sz w:val="24"/>
          <w:szCs w:val="24"/>
          <w:highlight w:val="none"/>
          <w:shd w:val="clear" w:color="auto" w:fill="FFFFFF" w:themeFill="background1"/>
        </w:rPr>
        <w:t>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79AFBB82">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2897C49A">
      <w:pPr>
        <w:pStyle w:val="36"/>
        <w:spacing w:line="360" w:lineRule="auto"/>
        <w:rPr>
          <w:rStyle w:val="45"/>
          <w:rFonts w:hint="eastAsia"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 xml:space="preserve"> </w:t>
      </w:r>
      <w:r>
        <w:rPr>
          <w:rStyle w:val="45"/>
          <w:rFonts w:hint="eastAsia" w:ascii="仿宋" w:hAnsi="仿宋" w:eastAsia="仿宋" w:cs="仿宋"/>
          <w:color w:val="auto"/>
          <w:highlight w:val="none"/>
          <w:shd w:val="clear" w:color="auto" w:fill="FFFFFF" w:themeFill="background1"/>
        </w:rPr>
        <w:t xml:space="preserve">附表一、           </w:t>
      </w:r>
    </w:p>
    <w:p w14:paraId="139BFFF7">
      <w:pPr>
        <w:pStyle w:val="36"/>
        <w:spacing w:line="360" w:lineRule="auto"/>
        <w:jc w:val="center"/>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4"/>
          <w:highlight w:val="none"/>
        </w:rPr>
        <w:t>中小企业声明函（工程、服务）</w:t>
      </w:r>
    </w:p>
    <w:p w14:paraId="0871B03C">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（项目名称）</w:t>
      </w:r>
      <w:r>
        <w:rPr>
          <w:rFonts w:hint="eastAsia" w:ascii="仿宋" w:hAnsi="仿宋" w:eastAsia="仿宋" w:cs="仿宋"/>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E806A1B">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 xml:space="preserve"> ，属于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3BDA78AA">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 xml:space="preserve"> ，属于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44477348">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516693A1">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2AFECBB6">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42104DF8">
      <w:pPr>
        <w:spacing w:line="588" w:lineRule="exact"/>
        <w:ind w:firstLine="480" w:firstLineChars="20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企业名称（盖章）：</w:t>
      </w:r>
    </w:p>
    <w:p w14:paraId="251BEFE6">
      <w:pPr>
        <w:spacing w:line="588" w:lineRule="exact"/>
        <w:ind w:right="480" w:firstLine="480" w:firstLineChars="200"/>
        <w:jc w:val="right"/>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t>日期：</w:t>
      </w:r>
    </w:p>
    <w:p w14:paraId="7E5D2C34">
      <w:pPr>
        <w:spacing w:line="588" w:lineRule="exact"/>
        <w:rPr>
          <w:rStyle w:val="45"/>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注：人员、营业收入、资产总额填报上一年度数据，无上一年度数据的新成立企业可不填报。</w:t>
      </w:r>
    </w:p>
    <w:p w14:paraId="4DDDEC85">
      <w:pPr>
        <w:spacing w:line="360" w:lineRule="auto"/>
        <w:ind w:firstLine="420" w:firstLineChars="200"/>
        <w:rPr>
          <w:rFonts w:hint="eastAsia" w:ascii="仿宋" w:hAnsi="仿宋" w:eastAsia="仿宋" w:cs="仿宋"/>
          <w:color w:val="auto"/>
          <w:highlight w:val="none"/>
        </w:rPr>
      </w:pPr>
    </w:p>
    <w:p w14:paraId="5271AC7E">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bookmarkStart w:id="379" w:name="_Toc3480"/>
      <w:bookmarkStart w:id="380" w:name="_Toc28587"/>
      <w:bookmarkStart w:id="381" w:name="_Toc2253"/>
      <w:bookmarkStart w:id="382" w:name="_Toc138177925"/>
      <w:r>
        <w:rPr>
          <w:rFonts w:hint="eastAsia" w:ascii="仿宋" w:hAnsi="仿宋" w:eastAsia="仿宋" w:cs="仿宋"/>
          <w:b/>
          <w:color w:val="auto"/>
          <w:spacing w:val="6"/>
          <w:sz w:val="24"/>
          <w:highlight w:val="none"/>
        </w:rPr>
        <w:t>监狱企业声明函</w:t>
      </w:r>
      <w:bookmarkEnd w:id="379"/>
      <w:bookmarkEnd w:id="380"/>
      <w:bookmarkEnd w:id="381"/>
      <w:bookmarkEnd w:id="382"/>
    </w:p>
    <w:p w14:paraId="1FF6AC1F">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（监狱企业适用）</w:t>
      </w:r>
    </w:p>
    <w:p w14:paraId="64274BF6">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本公司郑重声明，根据《关于政府采购支持监狱企业发展有关问题的通知》（财库[2014]68号）的规定，本公司为监狱企业。</w:t>
      </w:r>
    </w:p>
    <w:p w14:paraId="462429E9">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本公司参加______单位的______项目采购活动，采购活动提供本企业（填写制造的货物，由本企业承担工程、提供服务）。</w:t>
      </w:r>
    </w:p>
    <w:p w14:paraId="42A7BDFF">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本条所称货物不包括使用大型企业注册商标的货物和服务。</w:t>
      </w:r>
    </w:p>
    <w:p w14:paraId="2F43855B">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本公司对上述声明的真实性负责。如有虚假，将依法承担相应责任。</w:t>
      </w:r>
    </w:p>
    <w:p w14:paraId="753B4322">
      <w:pPr>
        <w:keepNext w:val="0"/>
        <w:keepLines w:val="0"/>
        <w:pageBreakBefore w:val="0"/>
        <w:kinsoku/>
        <w:wordWrap/>
        <w:overflowPunct/>
        <w:topLinePunct w:val="0"/>
        <w:bidi w:val="0"/>
        <w:spacing w:line="360" w:lineRule="auto"/>
        <w:ind w:firstLine="4860" w:firstLineChars="2025"/>
        <w:textAlignment w:val="auto"/>
        <w:outlineLvl w:val="9"/>
        <w:rPr>
          <w:rFonts w:hint="eastAsia" w:ascii="仿宋" w:hAnsi="仿宋" w:eastAsia="仿宋" w:cs="仿宋"/>
          <w:color w:val="auto"/>
          <w:sz w:val="24"/>
          <w:szCs w:val="24"/>
          <w:highlight w:val="none"/>
        </w:rPr>
      </w:pPr>
    </w:p>
    <w:p w14:paraId="4104A7AC">
      <w:pPr>
        <w:keepNext w:val="0"/>
        <w:keepLines w:val="0"/>
        <w:pageBreakBefore w:val="0"/>
        <w:kinsoku/>
        <w:wordWrap/>
        <w:overflowPunct/>
        <w:topLinePunct w:val="0"/>
        <w:bidi w:val="0"/>
        <w:spacing w:line="360" w:lineRule="auto"/>
        <w:ind w:firstLine="4320" w:firstLine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企业名称（加盖公章）：</w:t>
      </w:r>
    </w:p>
    <w:p w14:paraId="640A408F">
      <w:pPr>
        <w:keepNext w:val="0"/>
        <w:keepLines w:val="0"/>
        <w:pageBreakBefore w:val="0"/>
        <w:kinsoku/>
        <w:wordWrap/>
        <w:overflowPunct/>
        <w:topLinePunct w:val="0"/>
        <w:bidi w:val="0"/>
        <w:spacing w:line="360" w:lineRule="auto"/>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法定代表人（负责人）或其授权代表(签字)：</w:t>
      </w:r>
    </w:p>
    <w:p w14:paraId="13846868">
      <w:pPr>
        <w:keepNext w:val="0"/>
        <w:keepLines w:val="0"/>
        <w:pageBreakBefore w:val="0"/>
        <w:tabs>
          <w:tab w:val="left" w:pos="2880"/>
        </w:tabs>
        <w:kinsoku/>
        <w:wordWrap/>
        <w:overflowPunct/>
        <w:topLinePunct w:val="0"/>
        <w:bidi w:val="0"/>
        <w:spacing w:line="460" w:lineRule="atLeast"/>
        <w:ind w:firstLine="4560" w:firstLineChars="19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5E14B18D">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注：后附监狱企业资格证明文件</w:t>
      </w:r>
    </w:p>
    <w:p w14:paraId="575BDAD3">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省级以上监狱管理局、戒毒管理局（含新疆生产建设兵团）出具的属于监狱企业的证明文件；</w:t>
      </w:r>
    </w:p>
    <w:p w14:paraId="33EAABBB">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2.证明材料加盖供应商公章。</w:t>
      </w:r>
    </w:p>
    <w:p w14:paraId="3B4A7A76">
      <w:pPr>
        <w:keepNext w:val="0"/>
        <w:keepLines w:val="0"/>
        <w:pageBreakBefore w:val="0"/>
        <w:kinsoku/>
        <w:wordWrap/>
        <w:overflowPunct/>
        <w:topLinePunct w:val="0"/>
        <w:bidi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（若响应性文件中无上述证明文件，则在评审时不考虑对该监狱企业的相关优惠。） </w:t>
      </w:r>
    </w:p>
    <w:p w14:paraId="3A3907F7">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color w:val="auto"/>
          <w:spacing w:val="6"/>
          <w:sz w:val="24"/>
          <w:highlight w:val="none"/>
        </w:rPr>
      </w:pPr>
      <w:bookmarkStart w:id="383" w:name="_Toc12565"/>
      <w:bookmarkStart w:id="384" w:name="_Toc20936"/>
      <w:bookmarkStart w:id="385" w:name="_Toc138177926"/>
      <w:bookmarkStart w:id="386" w:name="_Toc2606"/>
      <w:r>
        <w:rPr>
          <w:rFonts w:hint="eastAsia" w:ascii="仿宋" w:hAnsi="仿宋" w:eastAsia="仿宋" w:cs="仿宋"/>
          <w:b/>
          <w:color w:val="auto"/>
          <w:spacing w:val="6"/>
          <w:sz w:val="24"/>
          <w:highlight w:val="none"/>
        </w:rPr>
        <w:t>残疾人福利性单位声明函</w:t>
      </w:r>
      <w:bookmarkEnd w:id="383"/>
      <w:bookmarkEnd w:id="384"/>
      <w:bookmarkEnd w:id="385"/>
      <w:bookmarkEnd w:id="386"/>
    </w:p>
    <w:p w14:paraId="09FEA8B1">
      <w:pPr>
        <w:keepNext w:val="0"/>
        <w:keepLines w:val="0"/>
        <w:pageBreakBefore w:val="0"/>
        <w:kinsoku/>
        <w:wordWrap/>
        <w:overflowPunct/>
        <w:topLinePunct w:val="0"/>
        <w:autoSpaceDE w:val="0"/>
        <w:autoSpaceDN w:val="0"/>
        <w:bidi w:val="0"/>
        <w:adjustRightInd w:val="0"/>
        <w:spacing w:line="440" w:lineRule="exact"/>
        <w:textAlignment w:val="auto"/>
        <w:outlineLvl w:val="9"/>
        <w:rPr>
          <w:rFonts w:hint="eastAsia" w:ascii="仿宋" w:hAnsi="仿宋" w:eastAsia="仿宋" w:cs="仿宋"/>
          <w:b/>
          <w:bCs/>
          <w:color w:val="auto"/>
          <w:spacing w:val="6"/>
          <w:highlight w:val="none"/>
        </w:rPr>
      </w:pPr>
    </w:p>
    <w:p w14:paraId="25B31A08">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color w:val="auto"/>
          <w:spacing w:val="6"/>
          <w:sz w:val="24"/>
          <w:szCs w:val="28"/>
          <w:highlight w:val="none"/>
        </w:rPr>
      </w:pPr>
      <w:r>
        <w:rPr>
          <w:rFonts w:hint="eastAsia" w:ascii="仿宋" w:hAnsi="仿宋" w:eastAsia="仿宋" w:cs="仿宋"/>
          <w:color w:val="auto"/>
          <w:spacing w:val="6"/>
          <w:sz w:val="24"/>
          <w:szCs w:val="28"/>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6467BA">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color w:val="auto"/>
          <w:spacing w:val="6"/>
          <w:sz w:val="24"/>
          <w:szCs w:val="28"/>
          <w:highlight w:val="none"/>
        </w:rPr>
      </w:pPr>
      <w:r>
        <w:rPr>
          <w:rFonts w:hint="eastAsia" w:ascii="仿宋" w:hAnsi="仿宋" w:eastAsia="仿宋" w:cs="仿宋"/>
          <w:color w:val="auto"/>
          <w:spacing w:val="6"/>
          <w:sz w:val="24"/>
          <w:szCs w:val="28"/>
          <w:highlight w:val="none"/>
        </w:rPr>
        <w:t xml:space="preserve">本单位对上述声明的真实性负责。如有虚假，将依法承担相应责任。 </w:t>
      </w:r>
    </w:p>
    <w:p w14:paraId="7D35CF31">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color w:val="auto"/>
          <w:spacing w:val="6"/>
          <w:sz w:val="24"/>
          <w:szCs w:val="28"/>
          <w:highlight w:val="none"/>
        </w:rPr>
      </w:pPr>
    </w:p>
    <w:p w14:paraId="67F500DE">
      <w:pPr>
        <w:keepNext w:val="0"/>
        <w:keepLines w:val="0"/>
        <w:pageBreakBefore w:val="0"/>
        <w:kinsoku/>
        <w:wordWrap/>
        <w:overflowPunct/>
        <w:topLinePunct w:val="0"/>
        <w:bidi w:val="0"/>
        <w:adjustRightInd w:val="0"/>
        <w:snapToGrid w:val="0"/>
        <w:spacing w:line="440" w:lineRule="exact"/>
        <w:ind w:firstLine="5544" w:firstLineChars="2200"/>
        <w:textAlignment w:val="auto"/>
        <w:outlineLvl w:val="9"/>
        <w:rPr>
          <w:rFonts w:hint="eastAsia" w:ascii="仿宋" w:hAnsi="仿宋" w:eastAsia="仿宋" w:cs="仿宋"/>
          <w:color w:val="auto"/>
          <w:spacing w:val="6"/>
          <w:sz w:val="24"/>
          <w:szCs w:val="28"/>
          <w:highlight w:val="none"/>
        </w:rPr>
      </w:pPr>
      <w:r>
        <w:rPr>
          <w:rFonts w:hint="eastAsia" w:ascii="仿宋" w:hAnsi="仿宋" w:eastAsia="仿宋" w:cs="仿宋"/>
          <w:color w:val="auto"/>
          <w:spacing w:val="6"/>
          <w:sz w:val="24"/>
          <w:szCs w:val="28"/>
          <w:highlight w:val="none"/>
        </w:rPr>
        <w:t>单位名称（盖章）：</w:t>
      </w:r>
    </w:p>
    <w:p w14:paraId="207EA999">
      <w:pPr>
        <w:keepNext w:val="0"/>
        <w:keepLines w:val="0"/>
        <w:pageBreakBefore w:val="0"/>
        <w:widowControl/>
        <w:kinsoku/>
        <w:wordWrap/>
        <w:overflowPunct/>
        <w:topLinePunct w:val="0"/>
        <w:bidi w:val="0"/>
        <w:spacing w:line="360" w:lineRule="auto"/>
        <w:jc w:val="center"/>
        <w:textAlignment w:val="auto"/>
        <w:outlineLvl w:val="9"/>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pacing w:val="6"/>
          <w:sz w:val="24"/>
          <w:szCs w:val="28"/>
          <w:highlight w:val="none"/>
          <w:lang w:val="en-US" w:eastAsia="zh-CN"/>
        </w:rPr>
        <w:t xml:space="preserve">                      </w:t>
      </w:r>
      <w:r>
        <w:rPr>
          <w:rFonts w:hint="eastAsia" w:ascii="仿宋" w:hAnsi="仿宋" w:eastAsia="仿宋" w:cs="仿宋"/>
          <w:color w:val="auto"/>
          <w:spacing w:val="6"/>
          <w:sz w:val="24"/>
          <w:szCs w:val="28"/>
          <w:highlight w:val="none"/>
        </w:rPr>
        <w:t>日  期：</w:t>
      </w:r>
    </w:p>
    <w:p w14:paraId="02DC825F">
      <w:pPr>
        <w:keepNext w:val="0"/>
        <w:keepLines w:val="0"/>
        <w:pageBreakBefore w:val="0"/>
        <w:widowControl/>
        <w:kinsoku/>
        <w:wordWrap/>
        <w:overflowPunct/>
        <w:topLinePunct w:val="0"/>
        <w:bidi w:val="0"/>
        <w:spacing w:line="360" w:lineRule="auto"/>
        <w:jc w:val="left"/>
        <w:textAlignment w:val="auto"/>
        <w:outlineLvl w:val="9"/>
        <w:rPr>
          <w:rFonts w:hint="eastAsia" w:ascii="仿宋" w:hAnsi="仿宋" w:eastAsia="仿宋" w:cs="仿宋"/>
          <w:b/>
          <w:color w:val="auto"/>
          <w:sz w:val="24"/>
          <w:szCs w:val="24"/>
          <w:highlight w:val="none"/>
          <w:shd w:val="clear" w:color="auto" w:fill="FFFFFF" w:themeFill="background1"/>
        </w:rPr>
      </w:pPr>
    </w:p>
    <w:p w14:paraId="154BC4E1">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387" w:name="_Toc507586174"/>
      <w:bookmarkStart w:id="388" w:name="_Toc25643"/>
      <w:bookmarkStart w:id="389" w:name="_Toc533503190"/>
      <w:bookmarkStart w:id="390" w:name="_Toc38446479"/>
      <w:bookmarkStart w:id="391" w:name="_Toc30180"/>
      <w:r>
        <w:rPr>
          <w:rFonts w:hint="eastAsia" w:ascii="仿宋" w:hAnsi="仿宋" w:eastAsia="仿宋" w:cs="仿宋"/>
          <w:b/>
          <w:color w:val="auto"/>
          <w:sz w:val="24"/>
          <w:szCs w:val="24"/>
          <w:highlight w:val="none"/>
          <w:shd w:val="clear" w:color="auto" w:fill="FFFFFF" w:themeFill="background1"/>
        </w:rPr>
        <w:t>九、</w:t>
      </w:r>
      <w:bookmarkEnd w:id="387"/>
      <w:bookmarkEnd w:id="388"/>
      <w:bookmarkEnd w:id="389"/>
      <w:bookmarkEnd w:id="390"/>
      <w:r>
        <w:rPr>
          <w:rFonts w:hint="eastAsia" w:ascii="仿宋" w:hAnsi="仿宋" w:eastAsia="仿宋" w:cs="仿宋"/>
          <w:b/>
          <w:bCs/>
          <w:color w:val="auto"/>
          <w:sz w:val="24"/>
          <w:szCs w:val="24"/>
          <w:highlight w:val="none"/>
          <w:shd w:val="clear" w:color="auto" w:fill="FFFFFF" w:themeFill="background1"/>
        </w:rPr>
        <w:t>投标人近三年类似项目业绩表</w:t>
      </w:r>
      <w:bookmarkEnd w:id="391"/>
    </w:p>
    <w:p w14:paraId="7F3AB0D6">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3"/>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1402"/>
        <w:gridCol w:w="1043"/>
        <w:gridCol w:w="1246"/>
        <w:gridCol w:w="1095"/>
        <w:gridCol w:w="1111"/>
        <w:gridCol w:w="1111"/>
        <w:gridCol w:w="742"/>
      </w:tblGrid>
      <w:tr w14:paraId="4FCB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BAFF660">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25737E2F">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37757B8E">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4E6DCBF8">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p w14:paraId="7AA8A25E">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7B03615A">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557520FE">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540D07B">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275B3836">
            <w:pPr>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备注</w:t>
            </w:r>
          </w:p>
        </w:tc>
      </w:tr>
      <w:tr w14:paraId="4FA1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310E08C">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F0A195F">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15E17D">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ADC8711">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29E9148">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434F5E7">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9168248">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1B5A755">
            <w:pPr>
              <w:jc w:val="center"/>
              <w:rPr>
                <w:rFonts w:hint="eastAsia" w:ascii="仿宋" w:hAnsi="仿宋" w:eastAsia="仿宋" w:cs="仿宋"/>
                <w:color w:val="auto"/>
                <w:kern w:val="0"/>
                <w:sz w:val="24"/>
                <w:szCs w:val="24"/>
                <w:highlight w:val="none"/>
                <w:shd w:val="clear" w:color="auto" w:fill="FFFFFF" w:themeFill="background1"/>
              </w:rPr>
            </w:pPr>
          </w:p>
        </w:tc>
      </w:tr>
      <w:tr w14:paraId="0A3FA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17E1667">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C21E8D9">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F47275">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85BF752">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B845EC0">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327D19E">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F934748">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54E7D94">
            <w:pPr>
              <w:jc w:val="center"/>
              <w:rPr>
                <w:rFonts w:hint="eastAsia" w:ascii="仿宋" w:hAnsi="仿宋" w:eastAsia="仿宋" w:cs="仿宋"/>
                <w:color w:val="auto"/>
                <w:kern w:val="0"/>
                <w:sz w:val="24"/>
                <w:szCs w:val="24"/>
                <w:highlight w:val="none"/>
                <w:shd w:val="clear" w:color="auto" w:fill="FFFFFF" w:themeFill="background1"/>
              </w:rPr>
            </w:pPr>
          </w:p>
        </w:tc>
      </w:tr>
      <w:tr w14:paraId="35FA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C0817B4">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5619ECC">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86D97C1">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F9F6EC7">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13011DA">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C5F7CBD">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26073C">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AEDE31D">
            <w:pPr>
              <w:jc w:val="center"/>
              <w:rPr>
                <w:rFonts w:hint="eastAsia" w:ascii="仿宋" w:hAnsi="仿宋" w:eastAsia="仿宋" w:cs="仿宋"/>
                <w:color w:val="auto"/>
                <w:kern w:val="0"/>
                <w:sz w:val="24"/>
                <w:szCs w:val="24"/>
                <w:highlight w:val="none"/>
                <w:shd w:val="clear" w:color="auto" w:fill="FFFFFF" w:themeFill="background1"/>
              </w:rPr>
            </w:pPr>
          </w:p>
        </w:tc>
      </w:tr>
      <w:tr w14:paraId="5DA3E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6F4930C">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CDB7864">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B26C64">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56A1E7F">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D930068">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3380647">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41179F">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36777BA">
            <w:pPr>
              <w:jc w:val="center"/>
              <w:rPr>
                <w:rFonts w:hint="eastAsia" w:ascii="仿宋" w:hAnsi="仿宋" w:eastAsia="仿宋" w:cs="仿宋"/>
                <w:color w:val="auto"/>
                <w:kern w:val="0"/>
                <w:sz w:val="24"/>
                <w:szCs w:val="24"/>
                <w:highlight w:val="none"/>
                <w:shd w:val="clear" w:color="auto" w:fill="FFFFFF" w:themeFill="background1"/>
              </w:rPr>
            </w:pPr>
          </w:p>
        </w:tc>
      </w:tr>
      <w:tr w14:paraId="499F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BA0FFCF">
            <w:pPr>
              <w:jc w:val="center"/>
              <w:rPr>
                <w:rFonts w:hint="eastAsia"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1E179A3">
            <w:pPr>
              <w:jc w:val="center"/>
              <w:rPr>
                <w:rFonts w:hint="eastAsia"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D017DD">
            <w:pPr>
              <w:jc w:val="center"/>
              <w:rPr>
                <w:rFonts w:hint="eastAsia"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A407899">
            <w:pPr>
              <w:jc w:val="center"/>
              <w:rPr>
                <w:rFonts w:hint="eastAsia"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6797969">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886573">
            <w:pPr>
              <w:jc w:val="center"/>
              <w:rPr>
                <w:rFonts w:hint="eastAsia"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1372B7">
            <w:pPr>
              <w:jc w:val="center"/>
              <w:rPr>
                <w:rFonts w:hint="eastAsia"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C09293D">
            <w:pPr>
              <w:jc w:val="center"/>
              <w:rPr>
                <w:rFonts w:hint="eastAsia" w:ascii="仿宋" w:hAnsi="仿宋" w:eastAsia="仿宋" w:cs="仿宋"/>
                <w:color w:val="auto"/>
                <w:kern w:val="0"/>
                <w:sz w:val="24"/>
                <w:szCs w:val="24"/>
                <w:highlight w:val="none"/>
                <w:shd w:val="clear" w:color="auto" w:fill="FFFFFF" w:themeFill="background1"/>
              </w:rPr>
            </w:pPr>
          </w:p>
        </w:tc>
      </w:tr>
    </w:tbl>
    <w:p w14:paraId="7EC46C53">
      <w:pPr>
        <w:spacing w:line="360" w:lineRule="auto"/>
        <w:jc w:val="left"/>
        <w:rPr>
          <w:rFonts w:hint="eastAsia" w:ascii="仿宋" w:hAnsi="仿宋" w:eastAsia="仿宋" w:cs="仿宋"/>
          <w:color w:val="auto"/>
          <w:sz w:val="24"/>
          <w:szCs w:val="24"/>
          <w:highlight w:val="none"/>
          <w:shd w:val="clear" w:color="auto" w:fill="FFFFFF" w:themeFill="background1"/>
        </w:rPr>
      </w:pPr>
    </w:p>
    <w:p w14:paraId="49726652">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备注：本表后须附业绩的证明资料：</w:t>
      </w:r>
      <w:r>
        <w:rPr>
          <w:rFonts w:hint="eastAsia" w:ascii="仿宋" w:hAnsi="仿宋" w:eastAsia="仿宋" w:cs="仿宋"/>
          <w:color w:val="auto"/>
          <w:sz w:val="24"/>
          <w:szCs w:val="24"/>
          <w:highlight w:val="none"/>
          <w:u w:val="single"/>
          <w:shd w:val="clear" w:color="auto" w:fill="FFFFFF" w:themeFill="background1"/>
        </w:rPr>
        <w:t>需提供招标文件要求的有关书面证明材料。</w:t>
      </w:r>
    </w:p>
    <w:p w14:paraId="32EAD2EA">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5AEFC81F">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6C8143EA">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064DE4BE">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392" w:name="_Toc3975"/>
      <w:bookmarkStart w:id="393" w:name="_Toc38446480"/>
      <w:bookmarkStart w:id="394" w:name="_Toc533503191"/>
      <w:bookmarkStart w:id="395" w:name="_Toc507586175"/>
      <w:bookmarkStart w:id="396" w:name="_Toc20381"/>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bCs/>
          <w:color w:val="auto"/>
          <w:sz w:val="24"/>
          <w:szCs w:val="24"/>
          <w:highlight w:val="none"/>
          <w:shd w:val="clear" w:color="auto" w:fill="FFFFFF" w:themeFill="background1"/>
        </w:rPr>
        <w:t>项目负责人简历表</w:t>
      </w:r>
      <w:bookmarkEnd w:id="392"/>
      <w:bookmarkEnd w:id="393"/>
      <w:bookmarkEnd w:id="394"/>
      <w:bookmarkEnd w:id="395"/>
      <w:bookmarkEnd w:id="396"/>
    </w:p>
    <w:p w14:paraId="377DBA2F">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42"/>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40D8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F1E98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姓名</w:t>
            </w:r>
          </w:p>
        </w:tc>
        <w:tc>
          <w:tcPr>
            <w:tcW w:w="2602" w:type="dxa"/>
            <w:gridSpan w:val="2"/>
            <w:vAlign w:val="center"/>
          </w:tcPr>
          <w:p w14:paraId="454DFA8D">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6AE7D753">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性别</w:t>
            </w:r>
          </w:p>
        </w:tc>
        <w:tc>
          <w:tcPr>
            <w:tcW w:w="2639" w:type="dxa"/>
            <w:gridSpan w:val="2"/>
            <w:vAlign w:val="center"/>
          </w:tcPr>
          <w:p w14:paraId="56E8C7ED">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452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5230F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身份证号码</w:t>
            </w:r>
          </w:p>
        </w:tc>
        <w:tc>
          <w:tcPr>
            <w:tcW w:w="2602" w:type="dxa"/>
            <w:gridSpan w:val="2"/>
            <w:vAlign w:val="center"/>
          </w:tcPr>
          <w:p w14:paraId="2970429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35590CD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学历</w:t>
            </w:r>
          </w:p>
        </w:tc>
        <w:tc>
          <w:tcPr>
            <w:tcW w:w="2639" w:type="dxa"/>
            <w:gridSpan w:val="2"/>
            <w:vAlign w:val="center"/>
          </w:tcPr>
          <w:p w14:paraId="12D7F424">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7A46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62562B6">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毕业学校</w:t>
            </w:r>
          </w:p>
        </w:tc>
        <w:tc>
          <w:tcPr>
            <w:tcW w:w="2602" w:type="dxa"/>
            <w:gridSpan w:val="2"/>
            <w:vAlign w:val="center"/>
          </w:tcPr>
          <w:p w14:paraId="651CB580">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154C807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专业</w:t>
            </w:r>
          </w:p>
        </w:tc>
        <w:tc>
          <w:tcPr>
            <w:tcW w:w="2639" w:type="dxa"/>
            <w:gridSpan w:val="2"/>
            <w:vAlign w:val="center"/>
          </w:tcPr>
          <w:p w14:paraId="1A834C85">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1EEE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07DE084">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参加工作时间</w:t>
            </w:r>
          </w:p>
        </w:tc>
        <w:tc>
          <w:tcPr>
            <w:tcW w:w="2602" w:type="dxa"/>
            <w:gridSpan w:val="2"/>
            <w:vAlign w:val="center"/>
          </w:tcPr>
          <w:p w14:paraId="59D361BE">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1D528D5F">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从事本职业年限</w:t>
            </w:r>
          </w:p>
        </w:tc>
        <w:tc>
          <w:tcPr>
            <w:tcW w:w="2639" w:type="dxa"/>
            <w:gridSpan w:val="2"/>
            <w:vAlign w:val="center"/>
          </w:tcPr>
          <w:p w14:paraId="584F4C31">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4F0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B7648D7">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在公司担任职务</w:t>
            </w:r>
          </w:p>
        </w:tc>
        <w:tc>
          <w:tcPr>
            <w:tcW w:w="2602" w:type="dxa"/>
            <w:gridSpan w:val="2"/>
            <w:vAlign w:val="center"/>
          </w:tcPr>
          <w:p w14:paraId="00D2DB6D">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67A42C3F">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联系方式</w:t>
            </w:r>
          </w:p>
        </w:tc>
        <w:tc>
          <w:tcPr>
            <w:tcW w:w="2639" w:type="dxa"/>
            <w:gridSpan w:val="2"/>
            <w:vAlign w:val="center"/>
          </w:tcPr>
          <w:p w14:paraId="36A480BB">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1A22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425AD8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证书名称</w:t>
            </w:r>
          </w:p>
        </w:tc>
        <w:tc>
          <w:tcPr>
            <w:tcW w:w="2602" w:type="dxa"/>
            <w:gridSpan w:val="2"/>
            <w:vAlign w:val="center"/>
          </w:tcPr>
          <w:p w14:paraId="3FCE1B5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935" w:type="dxa"/>
            <w:gridSpan w:val="2"/>
            <w:vAlign w:val="center"/>
          </w:tcPr>
          <w:p w14:paraId="61A8301E">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证书编号</w:t>
            </w:r>
          </w:p>
        </w:tc>
        <w:tc>
          <w:tcPr>
            <w:tcW w:w="2639" w:type="dxa"/>
            <w:gridSpan w:val="2"/>
            <w:vAlign w:val="center"/>
          </w:tcPr>
          <w:p w14:paraId="475E2DD2">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E7D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0F5E75B0">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近三年类似业绩</w:t>
            </w:r>
          </w:p>
        </w:tc>
        <w:tc>
          <w:tcPr>
            <w:tcW w:w="1372" w:type="dxa"/>
            <w:vAlign w:val="center"/>
          </w:tcPr>
          <w:p w14:paraId="599A4B08">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项目名称</w:t>
            </w:r>
          </w:p>
        </w:tc>
        <w:tc>
          <w:tcPr>
            <w:tcW w:w="1463" w:type="dxa"/>
            <w:gridSpan w:val="2"/>
            <w:vAlign w:val="center"/>
          </w:tcPr>
          <w:p w14:paraId="1CEA20A6">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采购人</w:t>
            </w:r>
          </w:p>
        </w:tc>
        <w:tc>
          <w:tcPr>
            <w:tcW w:w="1702" w:type="dxa"/>
            <w:vAlign w:val="center"/>
          </w:tcPr>
          <w:p w14:paraId="7FC91594">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合同内容</w:t>
            </w:r>
          </w:p>
        </w:tc>
        <w:tc>
          <w:tcPr>
            <w:tcW w:w="1275" w:type="dxa"/>
            <w:vAlign w:val="center"/>
          </w:tcPr>
          <w:p w14:paraId="21A03BE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合同价格</w:t>
            </w:r>
          </w:p>
        </w:tc>
        <w:tc>
          <w:tcPr>
            <w:tcW w:w="1364" w:type="dxa"/>
            <w:vAlign w:val="center"/>
          </w:tcPr>
          <w:p w14:paraId="1C2F5389">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签约日期</w:t>
            </w:r>
          </w:p>
        </w:tc>
      </w:tr>
      <w:tr w14:paraId="79D7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6F9C60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4C78CD9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739FE1F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37E77769">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0ED3D2AF">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62B1912F">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46AA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3A0A442">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4E162D1F">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6FB11DE9">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5BE1787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0E18E698">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6466682B">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1A45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BF35109">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07F60F2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132A4DD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43911FC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2DD6DB95">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039EA435">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1D0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4EBB40D">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5E534F5C">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3733653E">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3A052A4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35DB590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1E43C495">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75B1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32BCA8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2" w:type="dxa"/>
            <w:vAlign w:val="center"/>
          </w:tcPr>
          <w:p w14:paraId="28F64FF0">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63" w:type="dxa"/>
            <w:gridSpan w:val="2"/>
            <w:vAlign w:val="center"/>
          </w:tcPr>
          <w:p w14:paraId="0BE451B8">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702" w:type="dxa"/>
            <w:vAlign w:val="center"/>
          </w:tcPr>
          <w:p w14:paraId="16ED4B6C">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75" w:type="dxa"/>
            <w:vAlign w:val="center"/>
          </w:tcPr>
          <w:p w14:paraId="5267E0A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64" w:type="dxa"/>
            <w:vAlign w:val="center"/>
          </w:tcPr>
          <w:p w14:paraId="3852179B">
            <w:pPr>
              <w:spacing w:line="360" w:lineRule="auto"/>
              <w:jc w:val="center"/>
              <w:rPr>
                <w:rFonts w:hint="eastAsia" w:ascii="仿宋" w:hAnsi="仿宋" w:eastAsia="仿宋" w:cs="仿宋"/>
                <w:color w:val="auto"/>
                <w:sz w:val="24"/>
                <w:szCs w:val="24"/>
                <w:highlight w:val="none"/>
                <w:shd w:val="clear" w:color="auto" w:fill="FFFFFF" w:themeFill="background1"/>
              </w:rPr>
            </w:pPr>
          </w:p>
        </w:tc>
      </w:tr>
    </w:tbl>
    <w:p w14:paraId="5468EBDB">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7062E10B">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备注：本表后需提供招标文件要求</w:t>
      </w:r>
      <w:r>
        <w:rPr>
          <w:rFonts w:hint="eastAsia" w:ascii="仿宋" w:hAnsi="仿宋" w:eastAsia="仿宋" w:cs="仿宋"/>
          <w:color w:val="auto"/>
          <w:sz w:val="24"/>
          <w:szCs w:val="24"/>
          <w:highlight w:val="none"/>
          <w:shd w:val="clear" w:color="auto" w:fill="FFFFFF" w:themeFill="background1"/>
          <w:lang w:val="en-US" w:eastAsia="zh-CN"/>
        </w:rPr>
        <w:t>或与本项目</w:t>
      </w:r>
      <w:r>
        <w:rPr>
          <w:rFonts w:hint="eastAsia" w:ascii="仿宋" w:hAnsi="仿宋" w:eastAsia="仿宋" w:cs="仿宋"/>
          <w:color w:val="auto"/>
          <w:sz w:val="24"/>
          <w:szCs w:val="24"/>
          <w:highlight w:val="none"/>
          <w:shd w:val="clear" w:color="auto" w:fill="FFFFFF" w:themeFill="background1"/>
        </w:rPr>
        <w:t>有关的书面证明材料。</w:t>
      </w:r>
    </w:p>
    <w:p w14:paraId="2468B98E">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397" w:name="_Toc507586176"/>
      <w:r>
        <w:rPr>
          <w:rFonts w:hint="eastAsia" w:ascii="仿宋" w:hAnsi="仿宋" w:eastAsia="仿宋" w:cs="仿宋"/>
          <w:b/>
          <w:bCs/>
          <w:color w:val="auto"/>
          <w:sz w:val="24"/>
          <w:szCs w:val="24"/>
          <w:highlight w:val="none"/>
          <w:shd w:val="clear" w:color="auto" w:fill="FFFFFF" w:themeFill="background1"/>
        </w:rPr>
        <w:br w:type="page"/>
      </w:r>
      <w:bookmarkStart w:id="398" w:name="_Toc38446481"/>
      <w:bookmarkStart w:id="399" w:name="_Toc533503192"/>
      <w:bookmarkStart w:id="400" w:name="_Toc10335"/>
      <w:bookmarkStart w:id="401" w:name="_Toc4484"/>
      <w:r>
        <w:rPr>
          <w:rFonts w:hint="eastAsia" w:ascii="仿宋" w:hAnsi="仿宋" w:eastAsia="仿宋" w:cs="仿宋"/>
          <w:b/>
          <w:bCs/>
          <w:color w:val="auto"/>
          <w:sz w:val="24"/>
          <w:szCs w:val="24"/>
          <w:highlight w:val="none"/>
          <w:shd w:val="clear" w:color="auto" w:fill="FFFFFF" w:themeFill="background1"/>
        </w:rPr>
        <w:t>十一、</w:t>
      </w:r>
      <w:bookmarkEnd w:id="397"/>
      <w:bookmarkEnd w:id="398"/>
      <w:bookmarkEnd w:id="399"/>
      <w:r>
        <w:rPr>
          <w:rFonts w:hint="eastAsia" w:ascii="仿宋" w:hAnsi="仿宋" w:eastAsia="仿宋" w:cs="仿宋"/>
          <w:b/>
          <w:bCs/>
          <w:color w:val="auto"/>
          <w:sz w:val="24"/>
          <w:szCs w:val="24"/>
          <w:highlight w:val="none"/>
          <w:shd w:val="clear" w:color="auto" w:fill="FFFFFF" w:themeFill="background1"/>
        </w:rPr>
        <w:t>拟派本项目服务人员情况表</w:t>
      </w:r>
      <w:bookmarkEnd w:id="400"/>
      <w:bookmarkEnd w:id="401"/>
    </w:p>
    <w:p w14:paraId="7B7F783C">
      <w:pPr>
        <w:spacing w:line="360" w:lineRule="auto"/>
        <w:rPr>
          <w:rFonts w:hint="eastAsia" w:ascii="仿宋" w:hAnsi="仿宋" w:eastAsia="仿宋" w:cs="仿宋"/>
          <w:color w:val="auto"/>
          <w:sz w:val="24"/>
          <w:szCs w:val="24"/>
          <w:highlight w:val="none"/>
          <w:shd w:val="clear" w:color="auto" w:fill="FFFFFF" w:themeFill="background1"/>
        </w:rPr>
      </w:pPr>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14"/>
        <w:gridCol w:w="1196"/>
        <w:gridCol w:w="1558"/>
        <w:gridCol w:w="1299"/>
        <w:gridCol w:w="1455"/>
        <w:gridCol w:w="1377"/>
        <w:gridCol w:w="742"/>
      </w:tblGrid>
      <w:tr w14:paraId="38FD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71552A8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序号</w:t>
            </w:r>
          </w:p>
        </w:tc>
        <w:tc>
          <w:tcPr>
            <w:tcW w:w="1214" w:type="dxa"/>
            <w:vAlign w:val="center"/>
          </w:tcPr>
          <w:p w14:paraId="26997BA7">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姓名</w:t>
            </w:r>
          </w:p>
        </w:tc>
        <w:tc>
          <w:tcPr>
            <w:tcW w:w="1196" w:type="dxa"/>
            <w:vAlign w:val="center"/>
          </w:tcPr>
          <w:p w14:paraId="3E686F54">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性别</w:t>
            </w:r>
          </w:p>
        </w:tc>
        <w:tc>
          <w:tcPr>
            <w:tcW w:w="1558" w:type="dxa"/>
            <w:vAlign w:val="center"/>
          </w:tcPr>
          <w:p w14:paraId="5ED0B05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身份证号码</w:t>
            </w:r>
          </w:p>
        </w:tc>
        <w:tc>
          <w:tcPr>
            <w:tcW w:w="1299" w:type="dxa"/>
            <w:vAlign w:val="center"/>
          </w:tcPr>
          <w:p w14:paraId="138F9849">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学历</w:t>
            </w:r>
          </w:p>
        </w:tc>
        <w:tc>
          <w:tcPr>
            <w:tcW w:w="1455" w:type="dxa"/>
            <w:vAlign w:val="center"/>
          </w:tcPr>
          <w:p w14:paraId="123271F6">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担任岗位</w:t>
            </w:r>
          </w:p>
        </w:tc>
        <w:tc>
          <w:tcPr>
            <w:tcW w:w="1377" w:type="dxa"/>
            <w:vAlign w:val="center"/>
          </w:tcPr>
          <w:p w14:paraId="5B35F24D">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从事类似</w:t>
            </w:r>
          </w:p>
          <w:p w14:paraId="783AEE15">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工作年限</w:t>
            </w:r>
          </w:p>
        </w:tc>
        <w:tc>
          <w:tcPr>
            <w:tcW w:w="742" w:type="dxa"/>
            <w:vAlign w:val="center"/>
          </w:tcPr>
          <w:p w14:paraId="2CC7A121">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备注</w:t>
            </w:r>
          </w:p>
        </w:tc>
      </w:tr>
      <w:tr w14:paraId="5E04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3BBD571A">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14" w:type="dxa"/>
            <w:vAlign w:val="center"/>
          </w:tcPr>
          <w:p w14:paraId="2104074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196" w:type="dxa"/>
            <w:vAlign w:val="center"/>
          </w:tcPr>
          <w:p w14:paraId="4C1F6E69">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558" w:type="dxa"/>
            <w:vAlign w:val="center"/>
          </w:tcPr>
          <w:p w14:paraId="0577B01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99" w:type="dxa"/>
            <w:vAlign w:val="center"/>
          </w:tcPr>
          <w:p w14:paraId="71B1A863">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55" w:type="dxa"/>
            <w:vAlign w:val="center"/>
          </w:tcPr>
          <w:p w14:paraId="52489265">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7" w:type="dxa"/>
            <w:vAlign w:val="center"/>
          </w:tcPr>
          <w:p w14:paraId="112F3F28">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742" w:type="dxa"/>
            <w:vAlign w:val="center"/>
          </w:tcPr>
          <w:p w14:paraId="2725874F">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6138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759F77D8">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14" w:type="dxa"/>
            <w:vAlign w:val="center"/>
          </w:tcPr>
          <w:p w14:paraId="6B72AE2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196" w:type="dxa"/>
            <w:vAlign w:val="center"/>
          </w:tcPr>
          <w:p w14:paraId="4D3316BE">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558" w:type="dxa"/>
            <w:vAlign w:val="center"/>
          </w:tcPr>
          <w:p w14:paraId="0633EFE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99" w:type="dxa"/>
            <w:vAlign w:val="center"/>
          </w:tcPr>
          <w:p w14:paraId="37A298D0">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55" w:type="dxa"/>
            <w:vAlign w:val="center"/>
          </w:tcPr>
          <w:p w14:paraId="70D75DDF">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7" w:type="dxa"/>
            <w:vAlign w:val="center"/>
          </w:tcPr>
          <w:p w14:paraId="0B8FCF30">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742" w:type="dxa"/>
            <w:vAlign w:val="center"/>
          </w:tcPr>
          <w:p w14:paraId="28538A1B">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3500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1246D369">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14" w:type="dxa"/>
            <w:vAlign w:val="center"/>
          </w:tcPr>
          <w:p w14:paraId="3F6E4892">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196" w:type="dxa"/>
            <w:vAlign w:val="center"/>
          </w:tcPr>
          <w:p w14:paraId="341EBC4A">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558" w:type="dxa"/>
            <w:vAlign w:val="center"/>
          </w:tcPr>
          <w:p w14:paraId="45FC1EF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99" w:type="dxa"/>
            <w:vAlign w:val="center"/>
          </w:tcPr>
          <w:p w14:paraId="52E381B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55" w:type="dxa"/>
            <w:vAlign w:val="center"/>
          </w:tcPr>
          <w:p w14:paraId="5856E33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7" w:type="dxa"/>
            <w:vAlign w:val="center"/>
          </w:tcPr>
          <w:p w14:paraId="373094FE">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742" w:type="dxa"/>
            <w:vAlign w:val="center"/>
          </w:tcPr>
          <w:p w14:paraId="4BB42A8C">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7292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60F570A5">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14" w:type="dxa"/>
            <w:vAlign w:val="center"/>
          </w:tcPr>
          <w:p w14:paraId="15FD922B">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196" w:type="dxa"/>
            <w:vAlign w:val="center"/>
          </w:tcPr>
          <w:p w14:paraId="623F453F">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558" w:type="dxa"/>
            <w:vAlign w:val="center"/>
          </w:tcPr>
          <w:p w14:paraId="0DE826F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99" w:type="dxa"/>
            <w:vAlign w:val="center"/>
          </w:tcPr>
          <w:p w14:paraId="09C89DB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55" w:type="dxa"/>
            <w:vAlign w:val="center"/>
          </w:tcPr>
          <w:p w14:paraId="0BF85A82">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7" w:type="dxa"/>
            <w:vAlign w:val="center"/>
          </w:tcPr>
          <w:p w14:paraId="2B83A891">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742" w:type="dxa"/>
            <w:vAlign w:val="center"/>
          </w:tcPr>
          <w:p w14:paraId="27299D31">
            <w:pPr>
              <w:spacing w:line="360" w:lineRule="auto"/>
              <w:jc w:val="center"/>
              <w:rPr>
                <w:rFonts w:hint="eastAsia" w:ascii="仿宋" w:hAnsi="仿宋" w:eastAsia="仿宋" w:cs="仿宋"/>
                <w:color w:val="auto"/>
                <w:sz w:val="24"/>
                <w:szCs w:val="24"/>
                <w:highlight w:val="none"/>
                <w:shd w:val="clear" w:color="auto" w:fill="FFFFFF" w:themeFill="background1"/>
              </w:rPr>
            </w:pPr>
          </w:p>
        </w:tc>
      </w:tr>
      <w:tr w14:paraId="291D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44DBA8C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14" w:type="dxa"/>
            <w:vAlign w:val="center"/>
          </w:tcPr>
          <w:p w14:paraId="641B41E4">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196" w:type="dxa"/>
            <w:vAlign w:val="center"/>
          </w:tcPr>
          <w:p w14:paraId="33B96352">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558" w:type="dxa"/>
            <w:vAlign w:val="center"/>
          </w:tcPr>
          <w:p w14:paraId="06509CC7">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299" w:type="dxa"/>
            <w:vAlign w:val="center"/>
          </w:tcPr>
          <w:p w14:paraId="27A5FAD2">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455" w:type="dxa"/>
            <w:vAlign w:val="center"/>
          </w:tcPr>
          <w:p w14:paraId="1752D9F2">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1377" w:type="dxa"/>
            <w:vAlign w:val="center"/>
          </w:tcPr>
          <w:p w14:paraId="34E618F6">
            <w:pPr>
              <w:spacing w:line="360" w:lineRule="auto"/>
              <w:jc w:val="center"/>
              <w:rPr>
                <w:rFonts w:hint="eastAsia" w:ascii="仿宋" w:hAnsi="仿宋" w:eastAsia="仿宋" w:cs="仿宋"/>
                <w:color w:val="auto"/>
                <w:sz w:val="24"/>
                <w:szCs w:val="24"/>
                <w:highlight w:val="none"/>
                <w:shd w:val="clear" w:color="auto" w:fill="FFFFFF" w:themeFill="background1"/>
              </w:rPr>
            </w:pPr>
          </w:p>
        </w:tc>
        <w:tc>
          <w:tcPr>
            <w:tcW w:w="742" w:type="dxa"/>
            <w:vAlign w:val="center"/>
          </w:tcPr>
          <w:p w14:paraId="3C092BD6">
            <w:pPr>
              <w:spacing w:line="360" w:lineRule="auto"/>
              <w:jc w:val="center"/>
              <w:rPr>
                <w:rFonts w:hint="eastAsia" w:ascii="仿宋" w:hAnsi="仿宋" w:eastAsia="仿宋" w:cs="仿宋"/>
                <w:color w:val="auto"/>
                <w:sz w:val="24"/>
                <w:szCs w:val="24"/>
                <w:highlight w:val="none"/>
                <w:shd w:val="clear" w:color="auto" w:fill="FFFFFF" w:themeFill="background1"/>
              </w:rPr>
            </w:pPr>
          </w:p>
        </w:tc>
      </w:tr>
    </w:tbl>
    <w:p w14:paraId="3F7E358C">
      <w:pPr>
        <w:spacing w:line="360" w:lineRule="auto"/>
        <w:jc w:val="left"/>
        <w:rPr>
          <w:rFonts w:hint="eastAsia" w:ascii="仿宋" w:hAnsi="仿宋" w:eastAsia="仿宋" w:cs="仿宋"/>
          <w:bCs/>
          <w:color w:val="auto"/>
          <w:sz w:val="24"/>
          <w:szCs w:val="24"/>
          <w:highlight w:val="none"/>
          <w:shd w:val="clear" w:color="auto" w:fill="FFFFFF" w:themeFill="background1"/>
        </w:rPr>
      </w:pPr>
    </w:p>
    <w:p w14:paraId="7F252D70">
      <w:pPr>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备注：</w:t>
      </w:r>
      <w:r>
        <w:rPr>
          <w:rFonts w:hint="eastAsia" w:ascii="仿宋" w:hAnsi="仿宋" w:eastAsia="仿宋" w:cs="仿宋"/>
          <w:color w:val="auto"/>
          <w:sz w:val="24"/>
          <w:szCs w:val="24"/>
          <w:highlight w:val="none"/>
          <w:shd w:val="clear" w:color="auto" w:fill="FFFFFF" w:themeFill="background1"/>
        </w:rPr>
        <w:t>本表后需提供招标文件要求</w:t>
      </w:r>
      <w:r>
        <w:rPr>
          <w:rFonts w:hint="eastAsia" w:ascii="仿宋" w:hAnsi="仿宋" w:eastAsia="仿宋" w:cs="仿宋"/>
          <w:color w:val="auto"/>
          <w:sz w:val="24"/>
          <w:szCs w:val="24"/>
          <w:highlight w:val="none"/>
          <w:shd w:val="clear" w:color="auto" w:fill="FFFFFF" w:themeFill="background1"/>
          <w:lang w:val="en-US" w:eastAsia="zh-CN"/>
        </w:rPr>
        <w:t>或与本项目</w:t>
      </w:r>
      <w:r>
        <w:rPr>
          <w:rFonts w:hint="eastAsia" w:ascii="仿宋" w:hAnsi="仿宋" w:eastAsia="仿宋" w:cs="仿宋"/>
          <w:color w:val="auto"/>
          <w:sz w:val="24"/>
          <w:szCs w:val="24"/>
          <w:highlight w:val="none"/>
          <w:shd w:val="clear" w:color="auto" w:fill="FFFFFF" w:themeFill="background1"/>
        </w:rPr>
        <w:t>有关的书面证明材料。</w:t>
      </w:r>
    </w:p>
    <w:p w14:paraId="4E17AC42">
      <w:pPr>
        <w:spacing w:line="360" w:lineRule="auto"/>
        <w:jc w:val="center"/>
        <w:outlineLvl w:val="1"/>
        <w:rPr>
          <w:rFonts w:hint="eastAsia" w:ascii="仿宋" w:hAnsi="仿宋" w:eastAsia="仿宋" w:cs="仿宋"/>
          <w:bCs/>
          <w:color w:val="auto"/>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402" w:name="_Toc38446482"/>
      <w:bookmarkStart w:id="403" w:name="_Toc507586177"/>
      <w:bookmarkStart w:id="404" w:name="_Toc26818"/>
      <w:bookmarkStart w:id="405" w:name="_Toc4741"/>
      <w:bookmarkStart w:id="406" w:name="_Toc533503193"/>
      <w:r>
        <w:rPr>
          <w:rFonts w:hint="eastAsia" w:ascii="仿宋" w:hAnsi="仿宋" w:eastAsia="仿宋" w:cs="仿宋"/>
          <w:b/>
          <w:color w:val="auto"/>
          <w:sz w:val="24"/>
          <w:szCs w:val="24"/>
          <w:highlight w:val="none"/>
          <w:shd w:val="clear" w:color="auto" w:fill="FFFFFF" w:themeFill="background1"/>
        </w:rPr>
        <w:t>十二、</w:t>
      </w:r>
      <w:r>
        <w:rPr>
          <w:rFonts w:hint="eastAsia" w:ascii="仿宋" w:hAnsi="仿宋" w:eastAsia="仿宋" w:cs="仿宋"/>
          <w:b/>
          <w:bCs/>
          <w:color w:val="auto"/>
          <w:sz w:val="24"/>
          <w:szCs w:val="24"/>
          <w:highlight w:val="none"/>
          <w:shd w:val="clear" w:color="auto" w:fill="FFFFFF" w:themeFill="background1"/>
        </w:rPr>
        <w:t>服务方案</w:t>
      </w:r>
      <w:bookmarkEnd w:id="402"/>
      <w:bookmarkEnd w:id="403"/>
      <w:bookmarkEnd w:id="404"/>
      <w:bookmarkEnd w:id="405"/>
      <w:bookmarkEnd w:id="406"/>
    </w:p>
    <w:p w14:paraId="66CCE494">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投标人须提交拟完成本项目的服务方案，服务方案的格式和内容由投标人根据本项目的具体情况</w:t>
      </w:r>
      <w:r>
        <w:rPr>
          <w:rFonts w:hint="eastAsia" w:ascii="仿宋" w:hAnsi="仿宋" w:eastAsia="仿宋" w:cs="仿宋"/>
          <w:color w:val="auto"/>
          <w:sz w:val="24"/>
          <w:szCs w:val="24"/>
          <w:highlight w:val="none"/>
          <w:shd w:val="clear" w:color="auto" w:fill="FFFFFF" w:themeFill="background1"/>
        </w:rPr>
        <w:t>自行拟定。</w:t>
      </w:r>
    </w:p>
    <w:p w14:paraId="7C2B0DF3">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p>
    <w:p w14:paraId="2A753C26">
      <w:pPr>
        <w:pStyle w:val="14"/>
        <w:rPr>
          <w:rFonts w:hint="eastAsia" w:ascii="仿宋" w:hAnsi="仿宋" w:eastAsia="仿宋" w:cs="仿宋"/>
          <w:color w:val="auto"/>
          <w:highlight w:val="none"/>
        </w:rPr>
      </w:pPr>
    </w:p>
    <w:p w14:paraId="6F79FAE4">
      <w:pPr>
        <w:rPr>
          <w:rFonts w:hint="eastAsia" w:ascii="仿宋" w:hAnsi="仿宋" w:eastAsia="仿宋" w:cs="仿宋"/>
          <w:color w:val="auto"/>
          <w:highlight w:val="none"/>
        </w:rPr>
      </w:pPr>
    </w:p>
    <w:p w14:paraId="74D25154">
      <w:pPr>
        <w:pStyle w:val="14"/>
        <w:rPr>
          <w:rFonts w:hint="eastAsia" w:ascii="仿宋" w:hAnsi="仿宋" w:eastAsia="仿宋" w:cs="仿宋"/>
          <w:color w:val="auto"/>
          <w:highlight w:val="none"/>
        </w:rPr>
      </w:pPr>
    </w:p>
    <w:p w14:paraId="56770526">
      <w:pPr>
        <w:rPr>
          <w:rFonts w:hint="eastAsia" w:ascii="仿宋" w:hAnsi="仿宋" w:eastAsia="仿宋" w:cs="仿宋"/>
          <w:color w:val="auto"/>
          <w:highlight w:val="none"/>
        </w:rPr>
      </w:pPr>
    </w:p>
    <w:p w14:paraId="5A386DB7">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407" w:name="_Toc38446484"/>
      <w:bookmarkStart w:id="408" w:name="_Toc274"/>
      <w:bookmarkStart w:id="409" w:name="_Toc533503194"/>
      <w:bookmarkStart w:id="410" w:name="_Toc507586178"/>
      <w:bookmarkStart w:id="411" w:name="_Toc4676"/>
      <w:r>
        <w:rPr>
          <w:rFonts w:hint="eastAsia" w:ascii="仿宋" w:hAnsi="仿宋" w:eastAsia="仿宋" w:cs="仿宋"/>
          <w:b/>
          <w:color w:val="auto"/>
          <w:sz w:val="24"/>
          <w:szCs w:val="24"/>
          <w:highlight w:val="none"/>
          <w:shd w:val="clear" w:color="auto" w:fill="FFFFFF" w:themeFill="background1"/>
        </w:rPr>
        <w:t>十三、其他需要提交的资料</w:t>
      </w:r>
      <w:bookmarkEnd w:id="407"/>
      <w:bookmarkEnd w:id="408"/>
      <w:bookmarkEnd w:id="409"/>
      <w:bookmarkEnd w:id="410"/>
      <w:bookmarkEnd w:id="411"/>
    </w:p>
    <w:p w14:paraId="7B283E7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根据招标文件的要求和投标人认为需要提供的资料（如投标保证金缴纳凭证等）。</w:t>
      </w:r>
    </w:p>
    <w:p w14:paraId="2AFAB32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2CE87C2E">
      <w:pPr>
        <w:widowControl/>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A66AB28">
      <w:pPr>
        <w:tabs>
          <w:tab w:val="center" w:pos="4832"/>
          <w:tab w:val="left" w:pos="7140"/>
        </w:tabs>
        <w:spacing w:line="360" w:lineRule="auto"/>
        <w:jc w:val="center"/>
        <w:outlineLvl w:val="0"/>
        <w:rPr>
          <w:rFonts w:hint="eastAsia" w:ascii="仿宋" w:hAnsi="仿宋" w:eastAsia="仿宋" w:cs="仿宋"/>
          <w:b/>
          <w:color w:val="auto"/>
          <w:sz w:val="24"/>
          <w:szCs w:val="24"/>
          <w:highlight w:val="none"/>
        </w:rPr>
      </w:pPr>
      <w:bookmarkStart w:id="412" w:name="_Toc29549"/>
      <w:r>
        <w:rPr>
          <w:rFonts w:hint="eastAsia" w:ascii="仿宋" w:hAnsi="仿宋" w:eastAsia="仿宋" w:cs="仿宋"/>
          <w:b/>
          <w:color w:val="auto"/>
          <w:sz w:val="24"/>
          <w:szCs w:val="24"/>
          <w:highlight w:val="none"/>
        </w:rPr>
        <w:t>第六章 补充条款</w:t>
      </w:r>
      <w:bookmarkEnd w:id="412"/>
    </w:p>
    <w:p w14:paraId="365F124B">
      <w:pPr>
        <w:spacing w:line="360" w:lineRule="auto"/>
        <w:ind w:firstLine="480" w:firstLineChars="200"/>
        <w:jc w:val="center"/>
        <w:rPr>
          <w:rFonts w:hint="eastAsia" w:ascii="仿宋" w:hAnsi="仿宋" w:eastAsia="仿宋" w:cs="仿宋"/>
          <w:color w:val="auto"/>
          <w:sz w:val="24"/>
          <w:szCs w:val="24"/>
          <w:highlight w:val="none"/>
        </w:rPr>
      </w:pPr>
    </w:p>
    <w:sectPr>
      <w:headerReference r:id="rId10" w:type="default"/>
      <w:footerReference r:id="rId11" w:type="default"/>
      <w:pgSz w:w="11906" w:h="16838"/>
      <w:pgMar w:top="1440" w:right="1800" w:bottom="1440" w:left="180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3278">
    <w:pPr>
      <w:pStyle w:val="24"/>
      <w:ind w:right="90"/>
      <w:jc w:val="right"/>
    </w:pPr>
  </w:p>
  <w:p w14:paraId="69C610E3">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1E19">
    <w:pPr>
      <w:pStyle w:val="24"/>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68</w:t>
    </w:r>
    <w:r>
      <w:rPr>
        <w:rStyle w:val="46"/>
      </w:rPr>
      <w:fldChar w:fldCharType="end"/>
    </w:r>
  </w:p>
  <w:p w14:paraId="1C8A5B83">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CBCA">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2A9EE">
    <w:pPr>
      <w:pStyle w:val="24"/>
      <w:rPr>
        <w:rFonts w:asciiTheme="minorEastAsia" w:hAnsiTheme="minorEastAsia" w:eastAsiaTheme="minorEastAsia"/>
        <w:sz w:val="21"/>
        <w:szCs w:val="21"/>
        <w:lang w:val="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8C554">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298C554">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884A">
    <w:pPr>
      <w:pStyle w:val="2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4137F">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B74137F">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E3CC">
    <w:pPr>
      <w:pStyle w:val="24"/>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56764">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56764">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571A">
    <w:pPr>
      <w:pStyle w:val="2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582B">
    <w:pPr>
      <w:pStyle w:val="25"/>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D43F8">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MDBkMjE1ZmU1YzVjODI4OGVlMjZiNjA0YzViN2EifQ=="/>
    <w:docVar w:name="KSO_WPS_MARK_KEY" w:val="85996549-4f80-4e2e-9ba0-20f7c0168d15"/>
  </w:docVars>
  <w:rsids>
    <w:rsidRoot w:val="00101AA4"/>
    <w:rsid w:val="000002B4"/>
    <w:rsid w:val="00001340"/>
    <w:rsid w:val="00002143"/>
    <w:rsid w:val="00004DAA"/>
    <w:rsid w:val="00005C75"/>
    <w:rsid w:val="00006BD9"/>
    <w:rsid w:val="00007BA8"/>
    <w:rsid w:val="000104D6"/>
    <w:rsid w:val="00010CE2"/>
    <w:rsid w:val="000111C4"/>
    <w:rsid w:val="00012108"/>
    <w:rsid w:val="00012E01"/>
    <w:rsid w:val="00013899"/>
    <w:rsid w:val="00014F7D"/>
    <w:rsid w:val="00015EBB"/>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0D1"/>
    <w:rsid w:val="00054F47"/>
    <w:rsid w:val="0005551C"/>
    <w:rsid w:val="00057565"/>
    <w:rsid w:val="000604DE"/>
    <w:rsid w:val="0006199F"/>
    <w:rsid w:val="000641A9"/>
    <w:rsid w:val="000653CD"/>
    <w:rsid w:val="000661C0"/>
    <w:rsid w:val="00070AF5"/>
    <w:rsid w:val="00070BFE"/>
    <w:rsid w:val="0007362D"/>
    <w:rsid w:val="00073D96"/>
    <w:rsid w:val="000762D4"/>
    <w:rsid w:val="00077D54"/>
    <w:rsid w:val="00077DB3"/>
    <w:rsid w:val="0008025F"/>
    <w:rsid w:val="00080E16"/>
    <w:rsid w:val="000829F2"/>
    <w:rsid w:val="00082FC4"/>
    <w:rsid w:val="0008328D"/>
    <w:rsid w:val="0008436D"/>
    <w:rsid w:val="000904A3"/>
    <w:rsid w:val="00090F37"/>
    <w:rsid w:val="000916AB"/>
    <w:rsid w:val="000923E8"/>
    <w:rsid w:val="000946D4"/>
    <w:rsid w:val="00094989"/>
    <w:rsid w:val="000976AE"/>
    <w:rsid w:val="000A0272"/>
    <w:rsid w:val="000A02F9"/>
    <w:rsid w:val="000A1ECD"/>
    <w:rsid w:val="000A32B9"/>
    <w:rsid w:val="000A3552"/>
    <w:rsid w:val="000A452A"/>
    <w:rsid w:val="000A53A5"/>
    <w:rsid w:val="000A7B36"/>
    <w:rsid w:val="000B210F"/>
    <w:rsid w:val="000B318F"/>
    <w:rsid w:val="000B331B"/>
    <w:rsid w:val="000B4C6A"/>
    <w:rsid w:val="000B4FF0"/>
    <w:rsid w:val="000B7C76"/>
    <w:rsid w:val="000C364C"/>
    <w:rsid w:val="000C3FDE"/>
    <w:rsid w:val="000D171A"/>
    <w:rsid w:val="000D5DA0"/>
    <w:rsid w:val="000D728E"/>
    <w:rsid w:val="000D7CE7"/>
    <w:rsid w:val="000E2D54"/>
    <w:rsid w:val="000E40A6"/>
    <w:rsid w:val="000E5B9C"/>
    <w:rsid w:val="000E674D"/>
    <w:rsid w:val="000E7461"/>
    <w:rsid w:val="000F186E"/>
    <w:rsid w:val="000F56EE"/>
    <w:rsid w:val="00100D44"/>
    <w:rsid w:val="00101966"/>
    <w:rsid w:val="00101AA4"/>
    <w:rsid w:val="00102AB6"/>
    <w:rsid w:val="00104F86"/>
    <w:rsid w:val="001063D0"/>
    <w:rsid w:val="0010650C"/>
    <w:rsid w:val="00106BA4"/>
    <w:rsid w:val="00111383"/>
    <w:rsid w:val="001145B2"/>
    <w:rsid w:val="00115901"/>
    <w:rsid w:val="00115A4B"/>
    <w:rsid w:val="0011725D"/>
    <w:rsid w:val="00121DF5"/>
    <w:rsid w:val="001248E7"/>
    <w:rsid w:val="00124E50"/>
    <w:rsid w:val="00127B38"/>
    <w:rsid w:val="00127C9A"/>
    <w:rsid w:val="0013312B"/>
    <w:rsid w:val="00134210"/>
    <w:rsid w:val="00134F82"/>
    <w:rsid w:val="00137BC9"/>
    <w:rsid w:val="00142BB8"/>
    <w:rsid w:val="00143169"/>
    <w:rsid w:val="0014554F"/>
    <w:rsid w:val="00146E26"/>
    <w:rsid w:val="001543A3"/>
    <w:rsid w:val="001575BE"/>
    <w:rsid w:val="00157673"/>
    <w:rsid w:val="0015794E"/>
    <w:rsid w:val="00160311"/>
    <w:rsid w:val="00161961"/>
    <w:rsid w:val="00162DD4"/>
    <w:rsid w:val="001652C6"/>
    <w:rsid w:val="0016644B"/>
    <w:rsid w:val="00170A17"/>
    <w:rsid w:val="00171110"/>
    <w:rsid w:val="00172AA0"/>
    <w:rsid w:val="001733AF"/>
    <w:rsid w:val="001753D2"/>
    <w:rsid w:val="00176FAD"/>
    <w:rsid w:val="0017733A"/>
    <w:rsid w:val="00181200"/>
    <w:rsid w:val="001930FC"/>
    <w:rsid w:val="00193402"/>
    <w:rsid w:val="00194DD8"/>
    <w:rsid w:val="00197628"/>
    <w:rsid w:val="001A1D16"/>
    <w:rsid w:val="001A2117"/>
    <w:rsid w:val="001A24E6"/>
    <w:rsid w:val="001A45DD"/>
    <w:rsid w:val="001A4E5A"/>
    <w:rsid w:val="001A4E90"/>
    <w:rsid w:val="001A71AF"/>
    <w:rsid w:val="001B1372"/>
    <w:rsid w:val="001B1748"/>
    <w:rsid w:val="001B4413"/>
    <w:rsid w:val="001B5A4C"/>
    <w:rsid w:val="001B7239"/>
    <w:rsid w:val="001B74E2"/>
    <w:rsid w:val="001C15DD"/>
    <w:rsid w:val="001C4134"/>
    <w:rsid w:val="001D4B73"/>
    <w:rsid w:val="001D50A5"/>
    <w:rsid w:val="001D5DEA"/>
    <w:rsid w:val="001E288B"/>
    <w:rsid w:val="001E33A7"/>
    <w:rsid w:val="001E3D69"/>
    <w:rsid w:val="001E4755"/>
    <w:rsid w:val="001E634A"/>
    <w:rsid w:val="001E6E8F"/>
    <w:rsid w:val="001E794E"/>
    <w:rsid w:val="001F292C"/>
    <w:rsid w:val="001F3A08"/>
    <w:rsid w:val="001F610A"/>
    <w:rsid w:val="001F79E8"/>
    <w:rsid w:val="001F7C95"/>
    <w:rsid w:val="00200BA8"/>
    <w:rsid w:val="0020240F"/>
    <w:rsid w:val="002055DD"/>
    <w:rsid w:val="00205968"/>
    <w:rsid w:val="00205DF6"/>
    <w:rsid w:val="00205F22"/>
    <w:rsid w:val="0021147C"/>
    <w:rsid w:val="00214257"/>
    <w:rsid w:val="00214392"/>
    <w:rsid w:val="002144B8"/>
    <w:rsid w:val="00215BA5"/>
    <w:rsid w:val="00215F58"/>
    <w:rsid w:val="00217E00"/>
    <w:rsid w:val="0022016C"/>
    <w:rsid w:val="0022177D"/>
    <w:rsid w:val="002224AE"/>
    <w:rsid w:val="00223931"/>
    <w:rsid w:val="002246D6"/>
    <w:rsid w:val="00226DEC"/>
    <w:rsid w:val="0022747A"/>
    <w:rsid w:val="00227871"/>
    <w:rsid w:val="0023151C"/>
    <w:rsid w:val="002324EA"/>
    <w:rsid w:val="0023323E"/>
    <w:rsid w:val="002357A0"/>
    <w:rsid w:val="00236058"/>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72E96"/>
    <w:rsid w:val="00280F38"/>
    <w:rsid w:val="00283C54"/>
    <w:rsid w:val="00285885"/>
    <w:rsid w:val="00285ABC"/>
    <w:rsid w:val="002939C8"/>
    <w:rsid w:val="002967DA"/>
    <w:rsid w:val="002A6197"/>
    <w:rsid w:val="002A7CE2"/>
    <w:rsid w:val="002B0041"/>
    <w:rsid w:val="002B01D0"/>
    <w:rsid w:val="002B3DBF"/>
    <w:rsid w:val="002B77E1"/>
    <w:rsid w:val="002C02A1"/>
    <w:rsid w:val="002C2DD2"/>
    <w:rsid w:val="002C4DD6"/>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21AD"/>
    <w:rsid w:val="00313F13"/>
    <w:rsid w:val="00315623"/>
    <w:rsid w:val="00315D4B"/>
    <w:rsid w:val="00315D59"/>
    <w:rsid w:val="003160D4"/>
    <w:rsid w:val="00316DBA"/>
    <w:rsid w:val="00317D34"/>
    <w:rsid w:val="00321036"/>
    <w:rsid w:val="00323AFC"/>
    <w:rsid w:val="00326152"/>
    <w:rsid w:val="003317E6"/>
    <w:rsid w:val="00331C14"/>
    <w:rsid w:val="0033231B"/>
    <w:rsid w:val="00332D2E"/>
    <w:rsid w:val="00333E01"/>
    <w:rsid w:val="00336EED"/>
    <w:rsid w:val="00344BCD"/>
    <w:rsid w:val="00347E66"/>
    <w:rsid w:val="0035118C"/>
    <w:rsid w:val="003537E4"/>
    <w:rsid w:val="0035581F"/>
    <w:rsid w:val="00357E91"/>
    <w:rsid w:val="00360813"/>
    <w:rsid w:val="00360D30"/>
    <w:rsid w:val="00361C9D"/>
    <w:rsid w:val="00363991"/>
    <w:rsid w:val="00364473"/>
    <w:rsid w:val="003646E5"/>
    <w:rsid w:val="00366F29"/>
    <w:rsid w:val="00367BA8"/>
    <w:rsid w:val="00370F25"/>
    <w:rsid w:val="00372324"/>
    <w:rsid w:val="00373602"/>
    <w:rsid w:val="00373826"/>
    <w:rsid w:val="00373AD1"/>
    <w:rsid w:val="00376E83"/>
    <w:rsid w:val="003879AD"/>
    <w:rsid w:val="00390A3C"/>
    <w:rsid w:val="003964F5"/>
    <w:rsid w:val="003A28C5"/>
    <w:rsid w:val="003A5B50"/>
    <w:rsid w:val="003A6107"/>
    <w:rsid w:val="003A7427"/>
    <w:rsid w:val="003B0D63"/>
    <w:rsid w:val="003B70AD"/>
    <w:rsid w:val="003B7226"/>
    <w:rsid w:val="003C0B9E"/>
    <w:rsid w:val="003C21E8"/>
    <w:rsid w:val="003C558B"/>
    <w:rsid w:val="003D01BB"/>
    <w:rsid w:val="003D05EA"/>
    <w:rsid w:val="003D3CCB"/>
    <w:rsid w:val="003D4211"/>
    <w:rsid w:val="003E11F4"/>
    <w:rsid w:val="003E4A7A"/>
    <w:rsid w:val="003F08DC"/>
    <w:rsid w:val="003F3849"/>
    <w:rsid w:val="003F4611"/>
    <w:rsid w:val="003F59D7"/>
    <w:rsid w:val="004011D8"/>
    <w:rsid w:val="0040310D"/>
    <w:rsid w:val="00404253"/>
    <w:rsid w:val="00407128"/>
    <w:rsid w:val="004079CE"/>
    <w:rsid w:val="004143A5"/>
    <w:rsid w:val="004220B6"/>
    <w:rsid w:val="00423980"/>
    <w:rsid w:val="004252CD"/>
    <w:rsid w:val="0042662D"/>
    <w:rsid w:val="004270EF"/>
    <w:rsid w:val="00427533"/>
    <w:rsid w:val="00432C0C"/>
    <w:rsid w:val="00433EED"/>
    <w:rsid w:val="00435310"/>
    <w:rsid w:val="0044198C"/>
    <w:rsid w:val="0044280B"/>
    <w:rsid w:val="00443888"/>
    <w:rsid w:val="004449F3"/>
    <w:rsid w:val="00444EE1"/>
    <w:rsid w:val="00445872"/>
    <w:rsid w:val="0044799D"/>
    <w:rsid w:val="0045091A"/>
    <w:rsid w:val="00452BB8"/>
    <w:rsid w:val="00455196"/>
    <w:rsid w:val="004575EA"/>
    <w:rsid w:val="004639BC"/>
    <w:rsid w:val="004640C1"/>
    <w:rsid w:val="00464725"/>
    <w:rsid w:val="00464BAE"/>
    <w:rsid w:val="004660B0"/>
    <w:rsid w:val="004704FB"/>
    <w:rsid w:val="00480C32"/>
    <w:rsid w:val="0048512D"/>
    <w:rsid w:val="00494431"/>
    <w:rsid w:val="00497C15"/>
    <w:rsid w:val="004A010F"/>
    <w:rsid w:val="004A01F6"/>
    <w:rsid w:val="004A1F5D"/>
    <w:rsid w:val="004A3D6D"/>
    <w:rsid w:val="004A4981"/>
    <w:rsid w:val="004A5190"/>
    <w:rsid w:val="004A5376"/>
    <w:rsid w:val="004A6517"/>
    <w:rsid w:val="004A67FA"/>
    <w:rsid w:val="004A68AF"/>
    <w:rsid w:val="004A7D7E"/>
    <w:rsid w:val="004B029E"/>
    <w:rsid w:val="004B0537"/>
    <w:rsid w:val="004B7ACC"/>
    <w:rsid w:val="004B7DE5"/>
    <w:rsid w:val="004C1AE6"/>
    <w:rsid w:val="004C6BAD"/>
    <w:rsid w:val="004D0A4A"/>
    <w:rsid w:val="004D0E18"/>
    <w:rsid w:val="004D11B3"/>
    <w:rsid w:val="004D3C30"/>
    <w:rsid w:val="004D40F7"/>
    <w:rsid w:val="004D5AE9"/>
    <w:rsid w:val="004D5C23"/>
    <w:rsid w:val="004D5F63"/>
    <w:rsid w:val="004D75D5"/>
    <w:rsid w:val="004E0230"/>
    <w:rsid w:val="004E2088"/>
    <w:rsid w:val="004E419C"/>
    <w:rsid w:val="004E56D8"/>
    <w:rsid w:val="004E606C"/>
    <w:rsid w:val="004E76F6"/>
    <w:rsid w:val="004E7786"/>
    <w:rsid w:val="004F0D23"/>
    <w:rsid w:val="00501303"/>
    <w:rsid w:val="0050507E"/>
    <w:rsid w:val="00507DCF"/>
    <w:rsid w:val="00511664"/>
    <w:rsid w:val="00520FE8"/>
    <w:rsid w:val="0052394D"/>
    <w:rsid w:val="00524F86"/>
    <w:rsid w:val="00526F0E"/>
    <w:rsid w:val="005271EF"/>
    <w:rsid w:val="00527A46"/>
    <w:rsid w:val="005307A5"/>
    <w:rsid w:val="0053132A"/>
    <w:rsid w:val="0053466A"/>
    <w:rsid w:val="00536952"/>
    <w:rsid w:val="005369FB"/>
    <w:rsid w:val="00537638"/>
    <w:rsid w:val="0054181E"/>
    <w:rsid w:val="00541AC4"/>
    <w:rsid w:val="00541FB5"/>
    <w:rsid w:val="0054485F"/>
    <w:rsid w:val="0055435D"/>
    <w:rsid w:val="005574D7"/>
    <w:rsid w:val="00560740"/>
    <w:rsid w:val="00561AD0"/>
    <w:rsid w:val="005627EE"/>
    <w:rsid w:val="00562B2E"/>
    <w:rsid w:val="00566F28"/>
    <w:rsid w:val="00570015"/>
    <w:rsid w:val="00573EAA"/>
    <w:rsid w:val="00576ADE"/>
    <w:rsid w:val="00577ECB"/>
    <w:rsid w:val="00577FFA"/>
    <w:rsid w:val="0058012A"/>
    <w:rsid w:val="00582F95"/>
    <w:rsid w:val="00586658"/>
    <w:rsid w:val="005879D1"/>
    <w:rsid w:val="0059145C"/>
    <w:rsid w:val="005948FE"/>
    <w:rsid w:val="00594BE3"/>
    <w:rsid w:val="00596BA7"/>
    <w:rsid w:val="005A215C"/>
    <w:rsid w:val="005A6326"/>
    <w:rsid w:val="005A69CA"/>
    <w:rsid w:val="005A770A"/>
    <w:rsid w:val="005C11E5"/>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3F0"/>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382"/>
    <w:rsid w:val="006447A2"/>
    <w:rsid w:val="00644CAA"/>
    <w:rsid w:val="0064722F"/>
    <w:rsid w:val="00647D58"/>
    <w:rsid w:val="0065082F"/>
    <w:rsid w:val="00650F27"/>
    <w:rsid w:val="00651977"/>
    <w:rsid w:val="006523BD"/>
    <w:rsid w:val="00652A1B"/>
    <w:rsid w:val="00652A7E"/>
    <w:rsid w:val="00652A9D"/>
    <w:rsid w:val="00653B67"/>
    <w:rsid w:val="00653FFE"/>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650"/>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1DD"/>
    <w:rsid w:val="006B14EC"/>
    <w:rsid w:val="006B2DDD"/>
    <w:rsid w:val="006B6739"/>
    <w:rsid w:val="006B72B0"/>
    <w:rsid w:val="006B72D9"/>
    <w:rsid w:val="006B7760"/>
    <w:rsid w:val="006C06C9"/>
    <w:rsid w:val="006C08F0"/>
    <w:rsid w:val="006C214D"/>
    <w:rsid w:val="006C3250"/>
    <w:rsid w:val="006C551A"/>
    <w:rsid w:val="006C5A93"/>
    <w:rsid w:val="006D0395"/>
    <w:rsid w:val="006D0D54"/>
    <w:rsid w:val="006D21CC"/>
    <w:rsid w:val="006D3A5D"/>
    <w:rsid w:val="006D5419"/>
    <w:rsid w:val="006D541A"/>
    <w:rsid w:val="006D54D4"/>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26A9E"/>
    <w:rsid w:val="00731CAD"/>
    <w:rsid w:val="00737F44"/>
    <w:rsid w:val="00742828"/>
    <w:rsid w:val="00747623"/>
    <w:rsid w:val="00750F56"/>
    <w:rsid w:val="0075151D"/>
    <w:rsid w:val="0075182A"/>
    <w:rsid w:val="00751E8B"/>
    <w:rsid w:val="00752409"/>
    <w:rsid w:val="0075307E"/>
    <w:rsid w:val="007555F9"/>
    <w:rsid w:val="00756E59"/>
    <w:rsid w:val="007574D1"/>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1EC4"/>
    <w:rsid w:val="00794BDB"/>
    <w:rsid w:val="007952C7"/>
    <w:rsid w:val="00796034"/>
    <w:rsid w:val="007A0C42"/>
    <w:rsid w:val="007A0E43"/>
    <w:rsid w:val="007A1947"/>
    <w:rsid w:val="007A237A"/>
    <w:rsid w:val="007A3B2A"/>
    <w:rsid w:val="007A4FBA"/>
    <w:rsid w:val="007A5319"/>
    <w:rsid w:val="007A7C18"/>
    <w:rsid w:val="007A7EF1"/>
    <w:rsid w:val="007B29C9"/>
    <w:rsid w:val="007B2A84"/>
    <w:rsid w:val="007C2D89"/>
    <w:rsid w:val="007C4912"/>
    <w:rsid w:val="007C4B8E"/>
    <w:rsid w:val="007C66D2"/>
    <w:rsid w:val="007C6BBF"/>
    <w:rsid w:val="007D1C55"/>
    <w:rsid w:val="007D2E1C"/>
    <w:rsid w:val="007D3CF4"/>
    <w:rsid w:val="007D3DC6"/>
    <w:rsid w:val="007D4455"/>
    <w:rsid w:val="007D62D7"/>
    <w:rsid w:val="007D68A5"/>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3EB0"/>
    <w:rsid w:val="008247D9"/>
    <w:rsid w:val="0082538B"/>
    <w:rsid w:val="00825A15"/>
    <w:rsid w:val="00825F46"/>
    <w:rsid w:val="00825FAA"/>
    <w:rsid w:val="00826C3A"/>
    <w:rsid w:val="0082760F"/>
    <w:rsid w:val="00830296"/>
    <w:rsid w:val="0083223D"/>
    <w:rsid w:val="008330C9"/>
    <w:rsid w:val="00835F52"/>
    <w:rsid w:val="00840117"/>
    <w:rsid w:val="00843C8F"/>
    <w:rsid w:val="00844290"/>
    <w:rsid w:val="008443B1"/>
    <w:rsid w:val="00844507"/>
    <w:rsid w:val="0084490D"/>
    <w:rsid w:val="00844A00"/>
    <w:rsid w:val="00846F1B"/>
    <w:rsid w:val="008526D9"/>
    <w:rsid w:val="008534E7"/>
    <w:rsid w:val="00854E30"/>
    <w:rsid w:val="00857654"/>
    <w:rsid w:val="00857B62"/>
    <w:rsid w:val="008618C1"/>
    <w:rsid w:val="00862BE3"/>
    <w:rsid w:val="00862EBB"/>
    <w:rsid w:val="008631DD"/>
    <w:rsid w:val="00864330"/>
    <w:rsid w:val="008703DB"/>
    <w:rsid w:val="00872CE4"/>
    <w:rsid w:val="0087459C"/>
    <w:rsid w:val="00877E4D"/>
    <w:rsid w:val="00880D74"/>
    <w:rsid w:val="00880ED3"/>
    <w:rsid w:val="00881BAB"/>
    <w:rsid w:val="00881D84"/>
    <w:rsid w:val="00882B2C"/>
    <w:rsid w:val="00883470"/>
    <w:rsid w:val="00884BA6"/>
    <w:rsid w:val="008858F6"/>
    <w:rsid w:val="00890712"/>
    <w:rsid w:val="00892BDA"/>
    <w:rsid w:val="00892DE8"/>
    <w:rsid w:val="008A072E"/>
    <w:rsid w:val="008A08DB"/>
    <w:rsid w:val="008A3A9E"/>
    <w:rsid w:val="008A4942"/>
    <w:rsid w:val="008A4B8E"/>
    <w:rsid w:val="008A53DE"/>
    <w:rsid w:val="008A561B"/>
    <w:rsid w:val="008A6628"/>
    <w:rsid w:val="008B01C2"/>
    <w:rsid w:val="008B029B"/>
    <w:rsid w:val="008B1D39"/>
    <w:rsid w:val="008B1E52"/>
    <w:rsid w:val="008B372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33E"/>
    <w:rsid w:val="009209E8"/>
    <w:rsid w:val="009211B4"/>
    <w:rsid w:val="00922373"/>
    <w:rsid w:val="00922592"/>
    <w:rsid w:val="00923C4A"/>
    <w:rsid w:val="009259D5"/>
    <w:rsid w:val="00925B9C"/>
    <w:rsid w:val="00926CDD"/>
    <w:rsid w:val="00926EE7"/>
    <w:rsid w:val="009278C5"/>
    <w:rsid w:val="0093107D"/>
    <w:rsid w:val="00931A8B"/>
    <w:rsid w:val="009324FE"/>
    <w:rsid w:val="00932976"/>
    <w:rsid w:val="00933150"/>
    <w:rsid w:val="00933165"/>
    <w:rsid w:val="0093334D"/>
    <w:rsid w:val="00934B57"/>
    <w:rsid w:val="00935307"/>
    <w:rsid w:val="0094041C"/>
    <w:rsid w:val="0094055B"/>
    <w:rsid w:val="00941545"/>
    <w:rsid w:val="009435A6"/>
    <w:rsid w:val="009437A7"/>
    <w:rsid w:val="00946789"/>
    <w:rsid w:val="00950163"/>
    <w:rsid w:val="00950CB5"/>
    <w:rsid w:val="009546B7"/>
    <w:rsid w:val="00954D08"/>
    <w:rsid w:val="00955047"/>
    <w:rsid w:val="00955238"/>
    <w:rsid w:val="009558DD"/>
    <w:rsid w:val="009613A3"/>
    <w:rsid w:val="0096147D"/>
    <w:rsid w:val="0096479F"/>
    <w:rsid w:val="00965552"/>
    <w:rsid w:val="0096574A"/>
    <w:rsid w:val="0096617A"/>
    <w:rsid w:val="00967429"/>
    <w:rsid w:val="009700E7"/>
    <w:rsid w:val="009701A2"/>
    <w:rsid w:val="00971FF1"/>
    <w:rsid w:val="00972DDE"/>
    <w:rsid w:val="00975775"/>
    <w:rsid w:val="009775FC"/>
    <w:rsid w:val="00977BAE"/>
    <w:rsid w:val="00977D99"/>
    <w:rsid w:val="0098099B"/>
    <w:rsid w:val="00981749"/>
    <w:rsid w:val="0098383B"/>
    <w:rsid w:val="00983BD4"/>
    <w:rsid w:val="00983E4E"/>
    <w:rsid w:val="009840B0"/>
    <w:rsid w:val="00984531"/>
    <w:rsid w:val="0098659E"/>
    <w:rsid w:val="009869E5"/>
    <w:rsid w:val="00991F92"/>
    <w:rsid w:val="0099239A"/>
    <w:rsid w:val="00992683"/>
    <w:rsid w:val="009930AE"/>
    <w:rsid w:val="009930CA"/>
    <w:rsid w:val="00994368"/>
    <w:rsid w:val="009960AD"/>
    <w:rsid w:val="00997017"/>
    <w:rsid w:val="009A089A"/>
    <w:rsid w:val="009A170D"/>
    <w:rsid w:val="009A1ABA"/>
    <w:rsid w:val="009A1D1C"/>
    <w:rsid w:val="009A456E"/>
    <w:rsid w:val="009A6799"/>
    <w:rsid w:val="009A693B"/>
    <w:rsid w:val="009A7284"/>
    <w:rsid w:val="009A75CB"/>
    <w:rsid w:val="009B074B"/>
    <w:rsid w:val="009B0A3E"/>
    <w:rsid w:val="009B72EB"/>
    <w:rsid w:val="009B792F"/>
    <w:rsid w:val="009C4BB9"/>
    <w:rsid w:val="009C4C50"/>
    <w:rsid w:val="009C4EA2"/>
    <w:rsid w:val="009C7D0A"/>
    <w:rsid w:val="009C7FD8"/>
    <w:rsid w:val="009D05BF"/>
    <w:rsid w:val="009D2432"/>
    <w:rsid w:val="009D245C"/>
    <w:rsid w:val="009E0EA7"/>
    <w:rsid w:val="009E36F0"/>
    <w:rsid w:val="009E7471"/>
    <w:rsid w:val="009F064F"/>
    <w:rsid w:val="009F11C8"/>
    <w:rsid w:val="009F15EF"/>
    <w:rsid w:val="009F24D1"/>
    <w:rsid w:val="009F3D47"/>
    <w:rsid w:val="009F4563"/>
    <w:rsid w:val="009F487E"/>
    <w:rsid w:val="00A01EFD"/>
    <w:rsid w:val="00A039D2"/>
    <w:rsid w:val="00A04B51"/>
    <w:rsid w:val="00A05781"/>
    <w:rsid w:val="00A068B7"/>
    <w:rsid w:val="00A069FC"/>
    <w:rsid w:val="00A06A22"/>
    <w:rsid w:val="00A0749F"/>
    <w:rsid w:val="00A127F1"/>
    <w:rsid w:val="00A12C82"/>
    <w:rsid w:val="00A1322D"/>
    <w:rsid w:val="00A17158"/>
    <w:rsid w:val="00A2031C"/>
    <w:rsid w:val="00A20856"/>
    <w:rsid w:val="00A2140F"/>
    <w:rsid w:val="00A22375"/>
    <w:rsid w:val="00A24145"/>
    <w:rsid w:val="00A24411"/>
    <w:rsid w:val="00A252A2"/>
    <w:rsid w:val="00A30F32"/>
    <w:rsid w:val="00A319A4"/>
    <w:rsid w:val="00A320D2"/>
    <w:rsid w:val="00A32455"/>
    <w:rsid w:val="00A32D75"/>
    <w:rsid w:val="00A33C82"/>
    <w:rsid w:val="00A33EC9"/>
    <w:rsid w:val="00A377F1"/>
    <w:rsid w:val="00A40087"/>
    <w:rsid w:val="00A41CA5"/>
    <w:rsid w:val="00A426D2"/>
    <w:rsid w:val="00A46BC3"/>
    <w:rsid w:val="00A47BEB"/>
    <w:rsid w:val="00A51A47"/>
    <w:rsid w:val="00A5296E"/>
    <w:rsid w:val="00A5323E"/>
    <w:rsid w:val="00A5538A"/>
    <w:rsid w:val="00A5692F"/>
    <w:rsid w:val="00A57C84"/>
    <w:rsid w:val="00A6358C"/>
    <w:rsid w:val="00A63DE3"/>
    <w:rsid w:val="00A648D2"/>
    <w:rsid w:val="00A648FB"/>
    <w:rsid w:val="00A665B8"/>
    <w:rsid w:val="00A67621"/>
    <w:rsid w:val="00A70DE0"/>
    <w:rsid w:val="00A72947"/>
    <w:rsid w:val="00A73132"/>
    <w:rsid w:val="00A73E82"/>
    <w:rsid w:val="00A80815"/>
    <w:rsid w:val="00A81B56"/>
    <w:rsid w:val="00A83F70"/>
    <w:rsid w:val="00A841E3"/>
    <w:rsid w:val="00A86E53"/>
    <w:rsid w:val="00A920ED"/>
    <w:rsid w:val="00A92497"/>
    <w:rsid w:val="00A94B95"/>
    <w:rsid w:val="00A95164"/>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1FF"/>
    <w:rsid w:val="00AB7635"/>
    <w:rsid w:val="00AB7D40"/>
    <w:rsid w:val="00AC0195"/>
    <w:rsid w:val="00AC169A"/>
    <w:rsid w:val="00AC17BD"/>
    <w:rsid w:val="00AC627A"/>
    <w:rsid w:val="00AC6C9F"/>
    <w:rsid w:val="00AC7076"/>
    <w:rsid w:val="00AD0219"/>
    <w:rsid w:val="00AD0858"/>
    <w:rsid w:val="00AD159E"/>
    <w:rsid w:val="00AD25AF"/>
    <w:rsid w:val="00AD3FA3"/>
    <w:rsid w:val="00AD5B00"/>
    <w:rsid w:val="00AE0905"/>
    <w:rsid w:val="00AE2F7F"/>
    <w:rsid w:val="00AF2729"/>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36D"/>
    <w:rsid w:val="00B55DD4"/>
    <w:rsid w:val="00B601DE"/>
    <w:rsid w:val="00B60D21"/>
    <w:rsid w:val="00B60F8C"/>
    <w:rsid w:val="00B61DB0"/>
    <w:rsid w:val="00B628A3"/>
    <w:rsid w:val="00B635C3"/>
    <w:rsid w:val="00B64E0D"/>
    <w:rsid w:val="00B65DD7"/>
    <w:rsid w:val="00B66B82"/>
    <w:rsid w:val="00B67C8D"/>
    <w:rsid w:val="00B67DE8"/>
    <w:rsid w:val="00B71A77"/>
    <w:rsid w:val="00B746DE"/>
    <w:rsid w:val="00B75E89"/>
    <w:rsid w:val="00B761D0"/>
    <w:rsid w:val="00B76B5B"/>
    <w:rsid w:val="00B76E0A"/>
    <w:rsid w:val="00B770A1"/>
    <w:rsid w:val="00B826E5"/>
    <w:rsid w:val="00B836E8"/>
    <w:rsid w:val="00B83FBC"/>
    <w:rsid w:val="00B841A4"/>
    <w:rsid w:val="00B871DD"/>
    <w:rsid w:val="00B87B57"/>
    <w:rsid w:val="00B93135"/>
    <w:rsid w:val="00B95CAD"/>
    <w:rsid w:val="00B9774B"/>
    <w:rsid w:val="00BA1954"/>
    <w:rsid w:val="00BA376F"/>
    <w:rsid w:val="00BA5F64"/>
    <w:rsid w:val="00BA61A9"/>
    <w:rsid w:val="00BB06A4"/>
    <w:rsid w:val="00BB0A71"/>
    <w:rsid w:val="00BB33FD"/>
    <w:rsid w:val="00BB33FE"/>
    <w:rsid w:val="00BB4913"/>
    <w:rsid w:val="00BB5C5F"/>
    <w:rsid w:val="00BB612A"/>
    <w:rsid w:val="00BB627A"/>
    <w:rsid w:val="00BC193E"/>
    <w:rsid w:val="00BC4F1B"/>
    <w:rsid w:val="00BC6F1B"/>
    <w:rsid w:val="00BC753E"/>
    <w:rsid w:val="00BC7668"/>
    <w:rsid w:val="00BC7E29"/>
    <w:rsid w:val="00BD1D60"/>
    <w:rsid w:val="00BD1FA5"/>
    <w:rsid w:val="00BD2812"/>
    <w:rsid w:val="00BD6949"/>
    <w:rsid w:val="00BE4B8D"/>
    <w:rsid w:val="00BE5EB9"/>
    <w:rsid w:val="00BE73E9"/>
    <w:rsid w:val="00BF0B2C"/>
    <w:rsid w:val="00BF0C97"/>
    <w:rsid w:val="00BF28EC"/>
    <w:rsid w:val="00BF4BF5"/>
    <w:rsid w:val="00BF51F6"/>
    <w:rsid w:val="00BF682C"/>
    <w:rsid w:val="00BF7476"/>
    <w:rsid w:val="00C02D9A"/>
    <w:rsid w:val="00C06808"/>
    <w:rsid w:val="00C10EEC"/>
    <w:rsid w:val="00C12240"/>
    <w:rsid w:val="00C138B2"/>
    <w:rsid w:val="00C13F57"/>
    <w:rsid w:val="00C17074"/>
    <w:rsid w:val="00C1758E"/>
    <w:rsid w:val="00C21672"/>
    <w:rsid w:val="00C21ACC"/>
    <w:rsid w:val="00C22755"/>
    <w:rsid w:val="00C230AB"/>
    <w:rsid w:val="00C31F14"/>
    <w:rsid w:val="00C34E9B"/>
    <w:rsid w:val="00C34FE2"/>
    <w:rsid w:val="00C36041"/>
    <w:rsid w:val="00C36B8D"/>
    <w:rsid w:val="00C36C5A"/>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2E07"/>
    <w:rsid w:val="00C62F1B"/>
    <w:rsid w:val="00C63C53"/>
    <w:rsid w:val="00C70B15"/>
    <w:rsid w:val="00C70F4F"/>
    <w:rsid w:val="00C749C1"/>
    <w:rsid w:val="00C74A12"/>
    <w:rsid w:val="00C7603F"/>
    <w:rsid w:val="00C80ECD"/>
    <w:rsid w:val="00C8206E"/>
    <w:rsid w:val="00C83BA2"/>
    <w:rsid w:val="00C840F2"/>
    <w:rsid w:val="00C8538F"/>
    <w:rsid w:val="00C9122B"/>
    <w:rsid w:val="00C93D82"/>
    <w:rsid w:val="00C948CD"/>
    <w:rsid w:val="00C94904"/>
    <w:rsid w:val="00C9683B"/>
    <w:rsid w:val="00CA0EF6"/>
    <w:rsid w:val="00CA31DB"/>
    <w:rsid w:val="00CA4361"/>
    <w:rsid w:val="00CA69D3"/>
    <w:rsid w:val="00CA7A2A"/>
    <w:rsid w:val="00CB21A0"/>
    <w:rsid w:val="00CB26B0"/>
    <w:rsid w:val="00CB2ACC"/>
    <w:rsid w:val="00CB717B"/>
    <w:rsid w:val="00CC0A81"/>
    <w:rsid w:val="00CC2EA3"/>
    <w:rsid w:val="00CC41D4"/>
    <w:rsid w:val="00CD0EFC"/>
    <w:rsid w:val="00CD2724"/>
    <w:rsid w:val="00CD33AB"/>
    <w:rsid w:val="00CD4A09"/>
    <w:rsid w:val="00CD5E71"/>
    <w:rsid w:val="00CD6B61"/>
    <w:rsid w:val="00CE4E7B"/>
    <w:rsid w:val="00CF08A4"/>
    <w:rsid w:val="00CF0C7B"/>
    <w:rsid w:val="00CF1C70"/>
    <w:rsid w:val="00CF291C"/>
    <w:rsid w:val="00CF4B54"/>
    <w:rsid w:val="00CF6AA7"/>
    <w:rsid w:val="00D02613"/>
    <w:rsid w:val="00D060F5"/>
    <w:rsid w:val="00D06613"/>
    <w:rsid w:val="00D114B4"/>
    <w:rsid w:val="00D119E0"/>
    <w:rsid w:val="00D1210A"/>
    <w:rsid w:val="00D12679"/>
    <w:rsid w:val="00D13574"/>
    <w:rsid w:val="00D13FCC"/>
    <w:rsid w:val="00D149B3"/>
    <w:rsid w:val="00D14E0D"/>
    <w:rsid w:val="00D14EAA"/>
    <w:rsid w:val="00D1522D"/>
    <w:rsid w:val="00D15B9A"/>
    <w:rsid w:val="00D15D80"/>
    <w:rsid w:val="00D1666A"/>
    <w:rsid w:val="00D17D8C"/>
    <w:rsid w:val="00D21BE7"/>
    <w:rsid w:val="00D26793"/>
    <w:rsid w:val="00D27953"/>
    <w:rsid w:val="00D27B89"/>
    <w:rsid w:val="00D33441"/>
    <w:rsid w:val="00D334C0"/>
    <w:rsid w:val="00D36619"/>
    <w:rsid w:val="00D3707C"/>
    <w:rsid w:val="00D43AF8"/>
    <w:rsid w:val="00D450F4"/>
    <w:rsid w:val="00D45431"/>
    <w:rsid w:val="00D505AC"/>
    <w:rsid w:val="00D50730"/>
    <w:rsid w:val="00D50E55"/>
    <w:rsid w:val="00D50E97"/>
    <w:rsid w:val="00D539DF"/>
    <w:rsid w:val="00D53B3B"/>
    <w:rsid w:val="00D542EE"/>
    <w:rsid w:val="00D54F3E"/>
    <w:rsid w:val="00D577AF"/>
    <w:rsid w:val="00D57932"/>
    <w:rsid w:val="00D65F39"/>
    <w:rsid w:val="00D664CF"/>
    <w:rsid w:val="00D67757"/>
    <w:rsid w:val="00D72D71"/>
    <w:rsid w:val="00D7654E"/>
    <w:rsid w:val="00D7698D"/>
    <w:rsid w:val="00D76D8D"/>
    <w:rsid w:val="00D83166"/>
    <w:rsid w:val="00D8329A"/>
    <w:rsid w:val="00D85475"/>
    <w:rsid w:val="00D86304"/>
    <w:rsid w:val="00D87DC8"/>
    <w:rsid w:val="00D9044D"/>
    <w:rsid w:val="00D90F3B"/>
    <w:rsid w:val="00D94EB2"/>
    <w:rsid w:val="00D96521"/>
    <w:rsid w:val="00D97881"/>
    <w:rsid w:val="00DA2563"/>
    <w:rsid w:val="00DA318F"/>
    <w:rsid w:val="00DA380B"/>
    <w:rsid w:val="00DA5364"/>
    <w:rsid w:val="00DB160F"/>
    <w:rsid w:val="00DB2F65"/>
    <w:rsid w:val="00DB4270"/>
    <w:rsid w:val="00DB50E6"/>
    <w:rsid w:val="00DB5B28"/>
    <w:rsid w:val="00DB7459"/>
    <w:rsid w:val="00DC2BD1"/>
    <w:rsid w:val="00DC32BC"/>
    <w:rsid w:val="00DC3C54"/>
    <w:rsid w:val="00DC499D"/>
    <w:rsid w:val="00DC7034"/>
    <w:rsid w:val="00DC770C"/>
    <w:rsid w:val="00DD3685"/>
    <w:rsid w:val="00DD5A57"/>
    <w:rsid w:val="00DD5B1D"/>
    <w:rsid w:val="00DE664E"/>
    <w:rsid w:val="00DE6FEA"/>
    <w:rsid w:val="00DF29E0"/>
    <w:rsid w:val="00DF4654"/>
    <w:rsid w:val="00E00DF4"/>
    <w:rsid w:val="00E0178C"/>
    <w:rsid w:val="00E0297A"/>
    <w:rsid w:val="00E0354C"/>
    <w:rsid w:val="00E05CD7"/>
    <w:rsid w:val="00E12168"/>
    <w:rsid w:val="00E121FC"/>
    <w:rsid w:val="00E12BD3"/>
    <w:rsid w:val="00E14149"/>
    <w:rsid w:val="00E155EB"/>
    <w:rsid w:val="00E17B8A"/>
    <w:rsid w:val="00E27F9E"/>
    <w:rsid w:val="00E30852"/>
    <w:rsid w:val="00E311A1"/>
    <w:rsid w:val="00E34833"/>
    <w:rsid w:val="00E34FF9"/>
    <w:rsid w:val="00E3576F"/>
    <w:rsid w:val="00E3696F"/>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3C91"/>
    <w:rsid w:val="00E656AA"/>
    <w:rsid w:val="00E6785B"/>
    <w:rsid w:val="00E67BB4"/>
    <w:rsid w:val="00E702E4"/>
    <w:rsid w:val="00E705A5"/>
    <w:rsid w:val="00E71356"/>
    <w:rsid w:val="00E713BE"/>
    <w:rsid w:val="00E715AA"/>
    <w:rsid w:val="00E718FA"/>
    <w:rsid w:val="00E73C64"/>
    <w:rsid w:val="00E751F6"/>
    <w:rsid w:val="00E761CC"/>
    <w:rsid w:val="00E76A25"/>
    <w:rsid w:val="00E82AFE"/>
    <w:rsid w:val="00E8351B"/>
    <w:rsid w:val="00E8434D"/>
    <w:rsid w:val="00E847F7"/>
    <w:rsid w:val="00E84BDF"/>
    <w:rsid w:val="00E869A1"/>
    <w:rsid w:val="00E86E6A"/>
    <w:rsid w:val="00E87230"/>
    <w:rsid w:val="00E872AD"/>
    <w:rsid w:val="00E87666"/>
    <w:rsid w:val="00E9078D"/>
    <w:rsid w:val="00E912E2"/>
    <w:rsid w:val="00E92B97"/>
    <w:rsid w:val="00E92E6C"/>
    <w:rsid w:val="00E94407"/>
    <w:rsid w:val="00E964E5"/>
    <w:rsid w:val="00E96D5C"/>
    <w:rsid w:val="00EA076E"/>
    <w:rsid w:val="00EA75E3"/>
    <w:rsid w:val="00EB19B3"/>
    <w:rsid w:val="00EB312C"/>
    <w:rsid w:val="00EC012F"/>
    <w:rsid w:val="00EC22AB"/>
    <w:rsid w:val="00EC767D"/>
    <w:rsid w:val="00ED4D77"/>
    <w:rsid w:val="00ED7DB6"/>
    <w:rsid w:val="00EE1040"/>
    <w:rsid w:val="00EE2F7B"/>
    <w:rsid w:val="00EE35B9"/>
    <w:rsid w:val="00EE4888"/>
    <w:rsid w:val="00EE4A7D"/>
    <w:rsid w:val="00EE7991"/>
    <w:rsid w:val="00EF0DD2"/>
    <w:rsid w:val="00EF3196"/>
    <w:rsid w:val="00EF4BD4"/>
    <w:rsid w:val="00EF61BD"/>
    <w:rsid w:val="00F00A1D"/>
    <w:rsid w:val="00F00D73"/>
    <w:rsid w:val="00F011EE"/>
    <w:rsid w:val="00F0325A"/>
    <w:rsid w:val="00F077F5"/>
    <w:rsid w:val="00F101CF"/>
    <w:rsid w:val="00F10359"/>
    <w:rsid w:val="00F11AEB"/>
    <w:rsid w:val="00F141A0"/>
    <w:rsid w:val="00F1438C"/>
    <w:rsid w:val="00F21F0C"/>
    <w:rsid w:val="00F22CC8"/>
    <w:rsid w:val="00F2452B"/>
    <w:rsid w:val="00F24F7D"/>
    <w:rsid w:val="00F27F0C"/>
    <w:rsid w:val="00F31749"/>
    <w:rsid w:val="00F31B0F"/>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5A84"/>
    <w:rsid w:val="00F94DA0"/>
    <w:rsid w:val="00F95020"/>
    <w:rsid w:val="00F95580"/>
    <w:rsid w:val="00F95C1E"/>
    <w:rsid w:val="00FA6BE0"/>
    <w:rsid w:val="00FA6E45"/>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1C65E1"/>
    <w:rsid w:val="01872357"/>
    <w:rsid w:val="019239B4"/>
    <w:rsid w:val="01B86B06"/>
    <w:rsid w:val="01C401C9"/>
    <w:rsid w:val="02125852"/>
    <w:rsid w:val="028271B2"/>
    <w:rsid w:val="02957E3E"/>
    <w:rsid w:val="03151A50"/>
    <w:rsid w:val="03346C50"/>
    <w:rsid w:val="034D62DE"/>
    <w:rsid w:val="036C262D"/>
    <w:rsid w:val="038965C0"/>
    <w:rsid w:val="03AD7315"/>
    <w:rsid w:val="03CA02A5"/>
    <w:rsid w:val="03CD5B4A"/>
    <w:rsid w:val="03D075ED"/>
    <w:rsid w:val="03EC32E0"/>
    <w:rsid w:val="04107E55"/>
    <w:rsid w:val="043C0AB7"/>
    <w:rsid w:val="048552F8"/>
    <w:rsid w:val="0488627D"/>
    <w:rsid w:val="04CF69F1"/>
    <w:rsid w:val="051416E4"/>
    <w:rsid w:val="05155D56"/>
    <w:rsid w:val="05336F74"/>
    <w:rsid w:val="053946FE"/>
    <w:rsid w:val="053F44DA"/>
    <w:rsid w:val="0556347F"/>
    <w:rsid w:val="05657965"/>
    <w:rsid w:val="056A6870"/>
    <w:rsid w:val="057F2246"/>
    <w:rsid w:val="05934EED"/>
    <w:rsid w:val="059D7485"/>
    <w:rsid w:val="05A218FD"/>
    <w:rsid w:val="05E32826"/>
    <w:rsid w:val="05EC584B"/>
    <w:rsid w:val="05FB57C1"/>
    <w:rsid w:val="060B799A"/>
    <w:rsid w:val="06425AFA"/>
    <w:rsid w:val="0651104B"/>
    <w:rsid w:val="065135D3"/>
    <w:rsid w:val="066901FE"/>
    <w:rsid w:val="068B2EE2"/>
    <w:rsid w:val="06B02C31"/>
    <w:rsid w:val="06C00186"/>
    <w:rsid w:val="06CB2EB0"/>
    <w:rsid w:val="070A598E"/>
    <w:rsid w:val="070C00E2"/>
    <w:rsid w:val="07215923"/>
    <w:rsid w:val="075676BA"/>
    <w:rsid w:val="075926EA"/>
    <w:rsid w:val="07C90EA0"/>
    <w:rsid w:val="07F01A92"/>
    <w:rsid w:val="082D0DDC"/>
    <w:rsid w:val="0838462F"/>
    <w:rsid w:val="084654BA"/>
    <w:rsid w:val="088031A4"/>
    <w:rsid w:val="0888458F"/>
    <w:rsid w:val="08A06B4F"/>
    <w:rsid w:val="08C5160C"/>
    <w:rsid w:val="08CC7FAB"/>
    <w:rsid w:val="08F8767A"/>
    <w:rsid w:val="09197B3E"/>
    <w:rsid w:val="094C39EC"/>
    <w:rsid w:val="09527571"/>
    <w:rsid w:val="09546F15"/>
    <w:rsid w:val="09AE2D28"/>
    <w:rsid w:val="09BD43C3"/>
    <w:rsid w:val="09D472EE"/>
    <w:rsid w:val="09E45CBE"/>
    <w:rsid w:val="09E61F4C"/>
    <w:rsid w:val="09FB10FF"/>
    <w:rsid w:val="0A3D5C6E"/>
    <w:rsid w:val="0A603E15"/>
    <w:rsid w:val="0ABF5C4C"/>
    <w:rsid w:val="0B0F368D"/>
    <w:rsid w:val="0B3A5CA3"/>
    <w:rsid w:val="0B4162E6"/>
    <w:rsid w:val="0B6017B9"/>
    <w:rsid w:val="0B735A0F"/>
    <w:rsid w:val="0B7A2E36"/>
    <w:rsid w:val="0B99525E"/>
    <w:rsid w:val="0BCE34E9"/>
    <w:rsid w:val="0BD41778"/>
    <w:rsid w:val="0BDB1D67"/>
    <w:rsid w:val="0BE95E9A"/>
    <w:rsid w:val="0C15127E"/>
    <w:rsid w:val="0C5F5889"/>
    <w:rsid w:val="0C7F638D"/>
    <w:rsid w:val="0C994A55"/>
    <w:rsid w:val="0CAA4C53"/>
    <w:rsid w:val="0CD168E1"/>
    <w:rsid w:val="0D0667FF"/>
    <w:rsid w:val="0D415C54"/>
    <w:rsid w:val="0D50435C"/>
    <w:rsid w:val="0D5B600F"/>
    <w:rsid w:val="0D7A754F"/>
    <w:rsid w:val="0D7F775F"/>
    <w:rsid w:val="0D895471"/>
    <w:rsid w:val="0DB822CE"/>
    <w:rsid w:val="0DD62318"/>
    <w:rsid w:val="0DFD4250"/>
    <w:rsid w:val="0E347BBB"/>
    <w:rsid w:val="0E4C5684"/>
    <w:rsid w:val="0E4E0B87"/>
    <w:rsid w:val="0E90348C"/>
    <w:rsid w:val="0E9272B5"/>
    <w:rsid w:val="0E971A98"/>
    <w:rsid w:val="0EA145B8"/>
    <w:rsid w:val="0EDD7260"/>
    <w:rsid w:val="0EFE142F"/>
    <w:rsid w:val="0F0D2C42"/>
    <w:rsid w:val="0F24532B"/>
    <w:rsid w:val="0F3E048F"/>
    <w:rsid w:val="0F4E7C06"/>
    <w:rsid w:val="0F522FDA"/>
    <w:rsid w:val="0F5576A6"/>
    <w:rsid w:val="0F681E28"/>
    <w:rsid w:val="0F75161B"/>
    <w:rsid w:val="0F833182"/>
    <w:rsid w:val="0F837C65"/>
    <w:rsid w:val="0FAB6F93"/>
    <w:rsid w:val="0FE872AF"/>
    <w:rsid w:val="0FED3DE9"/>
    <w:rsid w:val="102B2696"/>
    <w:rsid w:val="102E7CFD"/>
    <w:rsid w:val="103F078A"/>
    <w:rsid w:val="10411A22"/>
    <w:rsid w:val="104834EE"/>
    <w:rsid w:val="104E41AE"/>
    <w:rsid w:val="10612D17"/>
    <w:rsid w:val="1083059A"/>
    <w:rsid w:val="10B75798"/>
    <w:rsid w:val="10C152C4"/>
    <w:rsid w:val="10C6436B"/>
    <w:rsid w:val="10DF70BF"/>
    <w:rsid w:val="10EB46B0"/>
    <w:rsid w:val="1148579C"/>
    <w:rsid w:val="116746F9"/>
    <w:rsid w:val="118515F1"/>
    <w:rsid w:val="11DE1CDD"/>
    <w:rsid w:val="11E07ECD"/>
    <w:rsid w:val="11F70C71"/>
    <w:rsid w:val="122E65E4"/>
    <w:rsid w:val="123518F7"/>
    <w:rsid w:val="127F50E9"/>
    <w:rsid w:val="12826F09"/>
    <w:rsid w:val="128F3808"/>
    <w:rsid w:val="12D10C57"/>
    <w:rsid w:val="131320DA"/>
    <w:rsid w:val="131462C7"/>
    <w:rsid w:val="131C2A52"/>
    <w:rsid w:val="132C47D1"/>
    <w:rsid w:val="1388614A"/>
    <w:rsid w:val="139C2C55"/>
    <w:rsid w:val="13B44B40"/>
    <w:rsid w:val="13F3080A"/>
    <w:rsid w:val="13F74913"/>
    <w:rsid w:val="14012977"/>
    <w:rsid w:val="140372DF"/>
    <w:rsid w:val="14642A47"/>
    <w:rsid w:val="148E4F94"/>
    <w:rsid w:val="14A4376A"/>
    <w:rsid w:val="14AB7030"/>
    <w:rsid w:val="14AD6CB5"/>
    <w:rsid w:val="14E47444"/>
    <w:rsid w:val="14F53290"/>
    <w:rsid w:val="1505030B"/>
    <w:rsid w:val="151948F4"/>
    <w:rsid w:val="151C212F"/>
    <w:rsid w:val="152E1F10"/>
    <w:rsid w:val="156B3533"/>
    <w:rsid w:val="159A1A9C"/>
    <w:rsid w:val="15DA30A6"/>
    <w:rsid w:val="15FD6214"/>
    <w:rsid w:val="16022C53"/>
    <w:rsid w:val="160A7825"/>
    <w:rsid w:val="16114A98"/>
    <w:rsid w:val="16184950"/>
    <w:rsid w:val="161F42DB"/>
    <w:rsid w:val="163B00F8"/>
    <w:rsid w:val="16547C2D"/>
    <w:rsid w:val="16590EFE"/>
    <w:rsid w:val="167B5CCB"/>
    <w:rsid w:val="1684137A"/>
    <w:rsid w:val="168510F5"/>
    <w:rsid w:val="16BA03A1"/>
    <w:rsid w:val="16CB4C00"/>
    <w:rsid w:val="16DC6423"/>
    <w:rsid w:val="16E85228"/>
    <w:rsid w:val="16FF7D3A"/>
    <w:rsid w:val="1703505F"/>
    <w:rsid w:val="170556EF"/>
    <w:rsid w:val="172B1502"/>
    <w:rsid w:val="17454AD8"/>
    <w:rsid w:val="174B5E12"/>
    <w:rsid w:val="17627DEA"/>
    <w:rsid w:val="17666976"/>
    <w:rsid w:val="1779455B"/>
    <w:rsid w:val="17911BEA"/>
    <w:rsid w:val="17AF0188"/>
    <w:rsid w:val="17D06220"/>
    <w:rsid w:val="18DE36FC"/>
    <w:rsid w:val="19043F59"/>
    <w:rsid w:val="19047893"/>
    <w:rsid w:val="190D7E26"/>
    <w:rsid w:val="190E0680"/>
    <w:rsid w:val="19351120"/>
    <w:rsid w:val="19E21BB8"/>
    <w:rsid w:val="1A4A621C"/>
    <w:rsid w:val="1AA057B7"/>
    <w:rsid w:val="1AEF00AA"/>
    <w:rsid w:val="1B196E8E"/>
    <w:rsid w:val="1B456999"/>
    <w:rsid w:val="1B4B1512"/>
    <w:rsid w:val="1B672584"/>
    <w:rsid w:val="1B7C5240"/>
    <w:rsid w:val="1B8F0552"/>
    <w:rsid w:val="1BD0376A"/>
    <w:rsid w:val="1BD10986"/>
    <w:rsid w:val="1BD664C1"/>
    <w:rsid w:val="1BE62E2C"/>
    <w:rsid w:val="1C5521A2"/>
    <w:rsid w:val="1C6401A7"/>
    <w:rsid w:val="1C6C5F2C"/>
    <w:rsid w:val="1CAE4A99"/>
    <w:rsid w:val="1CD207E0"/>
    <w:rsid w:val="1D2027D7"/>
    <w:rsid w:val="1D374D5D"/>
    <w:rsid w:val="1DC97089"/>
    <w:rsid w:val="1DEA22A2"/>
    <w:rsid w:val="1E0C5F9A"/>
    <w:rsid w:val="1E1F3F63"/>
    <w:rsid w:val="1E3962F7"/>
    <w:rsid w:val="1E45218B"/>
    <w:rsid w:val="1E4A58C3"/>
    <w:rsid w:val="1E546218"/>
    <w:rsid w:val="1E5633AE"/>
    <w:rsid w:val="1ECD0317"/>
    <w:rsid w:val="1EFB0E1B"/>
    <w:rsid w:val="1F0C54A8"/>
    <w:rsid w:val="1F5714F9"/>
    <w:rsid w:val="1F9A75ED"/>
    <w:rsid w:val="1FAA2EDE"/>
    <w:rsid w:val="1FB91219"/>
    <w:rsid w:val="1FC0465F"/>
    <w:rsid w:val="1FFE0644"/>
    <w:rsid w:val="20347290"/>
    <w:rsid w:val="20371C1F"/>
    <w:rsid w:val="20646A1B"/>
    <w:rsid w:val="20693865"/>
    <w:rsid w:val="206D0AF9"/>
    <w:rsid w:val="208A0EA9"/>
    <w:rsid w:val="209A5FCA"/>
    <w:rsid w:val="20A2140E"/>
    <w:rsid w:val="20A4060B"/>
    <w:rsid w:val="20A90FFA"/>
    <w:rsid w:val="20E65B96"/>
    <w:rsid w:val="20EE2B7C"/>
    <w:rsid w:val="20F82B96"/>
    <w:rsid w:val="210A4BA1"/>
    <w:rsid w:val="211704C9"/>
    <w:rsid w:val="21274D1A"/>
    <w:rsid w:val="212C5FC3"/>
    <w:rsid w:val="214116AB"/>
    <w:rsid w:val="217A373D"/>
    <w:rsid w:val="21A732AA"/>
    <w:rsid w:val="21D06385"/>
    <w:rsid w:val="21DB371C"/>
    <w:rsid w:val="21E77118"/>
    <w:rsid w:val="21E9221E"/>
    <w:rsid w:val="21EE7D57"/>
    <w:rsid w:val="221F0D41"/>
    <w:rsid w:val="2225798F"/>
    <w:rsid w:val="22361626"/>
    <w:rsid w:val="22714B76"/>
    <w:rsid w:val="22D25477"/>
    <w:rsid w:val="231F0CAA"/>
    <w:rsid w:val="238F6834"/>
    <w:rsid w:val="23912854"/>
    <w:rsid w:val="239F4BBF"/>
    <w:rsid w:val="23AA06E5"/>
    <w:rsid w:val="23B3087D"/>
    <w:rsid w:val="23B77CC6"/>
    <w:rsid w:val="23D71570"/>
    <w:rsid w:val="23FC3666"/>
    <w:rsid w:val="23FC43CB"/>
    <w:rsid w:val="242023D2"/>
    <w:rsid w:val="24265EF9"/>
    <w:rsid w:val="24422247"/>
    <w:rsid w:val="2452597D"/>
    <w:rsid w:val="24586FAC"/>
    <w:rsid w:val="248A691A"/>
    <w:rsid w:val="24A00BB7"/>
    <w:rsid w:val="24AE0D3C"/>
    <w:rsid w:val="24B51932"/>
    <w:rsid w:val="24F309A0"/>
    <w:rsid w:val="25001A40"/>
    <w:rsid w:val="252E6649"/>
    <w:rsid w:val="254C0545"/>
    <w:rsid w:val="259C66EA"/>
    <w:rsid w:val="25B53702"/>
    <w:rsid w:val="25B86E36"/>
    <w:rsid w:val="25C15CCE"/>
    <w:rsid w:val="25CE6C15"/>
    <w:rsid w:val="25CE7CE7"/>
    <w:rsid w:val="25DC0129"/>
    <w:rsid w:val="25FD7F08"/>
    <w:rsid w:val="26303A95"/>
    <w:rsid w:val="26461889"/>
    <w:rsid w:val="26565067"/>
    <w:rsid w:val="2687240F"/>
    <w:rsid w:val="269C4F84"/>
    <w:rsid w:val="26E0318F"/>
    <w:rsid w:val="26E8008C"/>
    <w:rsid w:val="270A580F"/>
    <w:rsid w:val="271742D6"/>
    <w:rsid w:val="27535154"/>
    <w:rsid w:val="27541D8F"/>
    <w:rsid w:val="27650367"/>
    <w:rsid w:val="27B76579"/>
    <w:rsid w:val="27C7230C"/>
    <w:rsid w:val="27D51A6E"/>
    <w:rsid w:val="28092E82"/>
    <w:rsid w:val="280A70F0"/>
    <w:rsid w:val="28241E16"/>
    <w:rsid w:val="2828418B"/>
    <w:rsid w:val="285831A2"/>
    <w:rsid w:val="2880705B"/>
    <w:rsid w:val="28935078"/>
    <w:rsid w:val="28BA032F"/>
    <w:rsid w:val="28D771B3"/>
    <w:rsid w:val="28F22610"/>
    <w:rsid w:val="291F32E1"/>
    <w:rsid w:val="292B7661"/>
    <w:rsid w:val="29583B07"/>
    <w:rsid w:val="296576F6"/>
    <w:rsid w:val="2970151A"/>
    <w:rsid w:val="297A26A8"/>
    <w:rsid w:val="297F5D39"/>
    <w:rsid w:val="29D37D2A"/>
    <w:rsid w:val="29F66FE5"/>
    <w:rsid w:val="2A0C6CC3"/>
    <w:rsid w:val="2A0E7F0F"/>
    <w:rsid w:val="2A1213E4"/>
    <w:rsid w:val="2A207473"/>
    <w:rsid w:val="2A396D97"/>
    <w:rsid w:val="2A832468"/>
    <w:rsid w:val="2A881708"/>
    <w:rsid w:val="2A965A80"/>
    <w:rsid w:val="2AAD386A"/>
    <w:rsid w:val="2AEB1EBC"/>
    <w:rsid w:val="2AEC58C2"/>
    <w:rsid w:val="2B25315D"/>
    <w:rsid w:val="2B272BDA"/>
    <w:rsid w:val="2B4861ED"/>
    <w:rsid w:val="2B605293"/>
    <w:rsid w:val="2B612554"/>
    <w:rsid w:val="2B8354F2"/>
    <w:rsid w:val="2B94670F"/>
    <w:rsid w:val="2B9F4376"/>
    <w:rsid w:val="2BBB30E2"/>
    <w:rsid w:val="2BC17F92"/>
    <w:rsid w:val="2BDB76C2"/>
    <w:rsid w:val="2BE3057D"/>
    <w:rsid w:val="2C013CDC"/>
    <w:rsid w:val="2C2124F4"/>
    <w:rsid w:val="2C3579BB"/>
    <w:rsid w:val="2C4F3D60"/>
    <w:rsid w:val="2C6C6D68"/>
    <w:rsid w:val="2C750052"/>
    <w:rsid w:val="2C8A2821"/>
    <w:rsid w:val="2C9D6E98"/>
    <w:rsid w:val="2CEC37BF"/>
    <w:rsid w:val="2CF56F7A"/>
    <w:rsid w:val="2D0504C1"/>
    <w:rsid w:val="2D5B1AF1"/>
    <w:rsid w:val="2D645A8B"/>
    <w:rsid w:val="2D795EE6"/>
    <w:rsid w:val="2DA75C8B"/>
    <w:rsid w:val="2DB61DC2"/>
    <w:rsid w:val="2DDC5444"/>
    <w:rsid w:val="2DE509DA"/>
    <w:rsid w:val="2DE57602"/>
    <w:rsid w:val="2DE8326D"/>
    <w:rsid w:val="2E4A429A"/>
    <w:rsid w:val="2E6426E9"/>
    <w:rsid w:val="2E742A36"/>
    <w:rsid w:val="2E806AC0"/>
    <w:rsid w:val="2EB10C98"/>
    <w:rsid w:val="2EC41B6D"/>
    <w:rsid w:val="2F371186"/>
    <w:rsid w:val="2F7B3348"/>
    <w:rsid w:val="2F8C4860"/>
    <w:rsid w:val="2F9873EC"/>
    <w:rsid w:val="2FB1436E"/>
    <w:rsid w:val="2FBB13DF"/>
    <w:rsid w:val="2FC46C7B"/>
    <w:rsid w:val="2FFA3CBF"/>
    <w:rsid w:val="305A3A1C"/>
    <w:rsid w:val="307C573E"/>
    <w:rsid w:val="30D17ACB"/>
    <w:rsid w:val="30E01C26"/>
    <w:rsid w:val="30FA62A5"/>
    <w:rsid w:val="31164EE4"/>
    <w:rsid w:val="311E2D72"/>
    <w:rsid w:val="312430B7"/>
    <w:rsid w:val="3137444E"/>
    <w:rsid w:val="314D541F"/>
    <w:rsid w:val="31833619"/>
    <w:rsid w:val="31982EEE"/>
    <w:rsid w:val="31A313C1"/>
    <w:rsid w:val="31AD16AC"/>
    <w:rsid w:val="31C02162"/>
    <w:rsid w:val="31C35F31"/>
    <w:rsid w:val="31D75B44"/>
    <w:rsid w:val="321F68AE"/>
    <w:rsid w:val="322D5960"/>
    <w:rsid w:val="322F18A1"/>
    <w:rsid w:val="323A4C76"/>
    <w:rsid w:val="32453F0C"/>
    <w:rsid w:val="32916000"/>
    <w:rsid w:val="32A323B5"/>
    <w:rsid w:val="32BF029E"/>
    <w:rsid w:val="32BF4ECF"/>
    <w:rsid w:val="32F609DC"/>
    <w:rsid w:val="32FC6F32"/>
    <w:rsid w:val="330A715A"/>
    <w:rsid w:val="330D309E"/>
    <w:rsid w:val="332561EC"/>
    <w:rsid w:val="33384636"/>
    <w:rsid w:val="336530DF"/>
    <w:rsid w:val="33663C27"/>
    <w:rsid w:val="338A6244"/>
    <w:rsid w:val="338E7B26"/>
    <w:rsid w:val="33936F97"/>
    <w:rsid w:val="339B7F3D"/>
    <w:rsid w:val="33BD766E"/>
    <w:rsid w:val="33C022CD"/>
    <w:rsid w:val="33C865FF"/>
    <w:rsid w:val="33EE55C1"/>
    <w:rsid w:val="341C2C0D"/>
    <w:rsid w:val="342C7624"/>
    <w:rsid w:val="34620568"/>
    <w:rsid w:val="34797724"/>
    <w:rsid w:val="349E59C5"/>
    <w:rsid w:val="34C52530"/>
    <w:rsid w:val="34F22E60"/>
    <w:rsid w:val="34F52E22"/>
    <w:rsid w:val="34FD5173"/>
    <w:rsid w:val="35132EF4"/>
    <w:rsid w:val="351E0F07"/>
    <w:rsid w:val="35403AD5"/>
    <w:rsid w:val="356F0F35"/>
    <w:rsid w:val="35773A99"/>
    <w:rsid w:val="3599165E"/>
    <w:rsid w:val="35B93F94"/>
    <w:rsid w:val="35D26A5B"/>
    <w:rsid w:val="35DF6709"/>
    <w:rsid w:val="35E42AC7"/>
    <w:rsid w:val="362B686B"/>
    <w:rsid w:val="363641A4"/>
    <w:rsid w:val="365454CD"/>
    <w:rsid w:val="36596B7F"/>
    <w:rsid w:val="36915EB5"/>
    <w:rsid w:val="36AB7421"/>
    <w:rsid w:val="36C074C4"/>
    <w:rsid w:val="36DE5C94"/>
    <w:rsid w:val="3709455A"/>
    <w:rsid w:val="371344B3"/>
    <w:rsid w:val="37213DE5"/>
    <w:rsid w:val="374B4FC3"/>
    <w:rsid w:val="37846422"/>
    <w:rsid w:val="37906B8B"/>
    <w:rsid w:val="37912C2B"/>
    <w:rsid w:val="38007C07"/>
    <w:rsid w:val="380A685C"/>
    <w:rsid w:val="386901D1"/>
    <w:rsid w:val="38A06A11"/>
    <w:rsid w:val="38AB7278"/>
    <w:rsid w:val="38EA11EC"/>
    <w:rsid w:val="39206C68"/>
    <w:rsid w:val="392574AE"/>
    <w:rsid w:val="3937661B"/>
    <w:rsid w:val="394A04AD"/>
    <w:rsid w:val="396F4CC8"/>
    <w:rsid w:val="397E34F9"/>
    <w:rsid w:val="39C946FC"/>
    <w:rsid w:val="39D66090"/>
    <w:rsid w:val="39F96C47"/>
    <w:rsid w:val="3A0B267A"/>
    <w:rsid w:val="3A22009D"/>
    <w:rsid w:val="3A6504E4"/>
    <w:rsid w:val="3A7E0A06"/>
    <w:rsid w:val="3A7E1162"/>
    <w:rsid w:val="3A942F44"/>
    <w:rsid w:val="3A972710"/>
    <w:rsid w:val="3AF61384"/>
    <w:rsid w:val="3AF82491"/>
    <w:rsid w:val="3B013DDA"/>
    <w:rsid w:val="3B475B9C"/>
    <w:rsid w:val="3B620EA2"/>
    <w:rsid w:val="3B621B39"/>
    <w:rsid w:val="3B697D24"/>
    <w:rsid w:val="3B930097"/>
    <w:rsid w:val="3B9B709C"/>
    <w:rsid w:val="3BB97A2D"/>
    <w:rsid w:val="3BF54D88"/>
    <w:rsid w:val="3C5C4E6F"/>
    <w:rsid w:val="3C6D19FB"/>
    <w:rsid w:val="3C815AE6"/>
    <w:rsid w:val="3CAE1E2C"/>
    <w:rsid w:val="3CC842D5"/>
    <w:rsid w:val="3CDE6407"/>
    <w:rsid w:val="3CF03605"/>
    <w:rsid w:val="3CF53E5E"/>
    <w:rsid w:val="3CFB076D"/>
    <w:rsid w:val="3D1847CA"/>
    <w:rsid w:val="3D3C3CA5"/>
    <w:rsid w:val="3D404689"/>
    <w:rsid w:val="3D4E29E8"/>
    <w:rsid w:val="3D5B6155"/>
    <w:rsid w:val="3D5D508F"/>
    <w:rsid w:val="3D6F4456"/>
    <w:rsid w:val="3D942A8E"/>
    <w:rsid w:val="3DA44151"/>
    <w:rsid w:val="3DBE7231"/>
    <w:rsid w:val="3DD806C4"/>
    <w:rsid w:val="3DF82424"/>
    <w:rsid w:val="3E327332"/>
    <w:rsid w:val="3E7873E6"/>
    <w:rsid w:val="3E7D4B7E"/>
    <w:rsid w:val="3EA1023D"/>
    <w:rsid w:val="3ED5433F"/>
    <w:rsid w:val="3EF4545B"/>
    <w:rsid w:val="3F2A5350"/>
    <w:rsid w:val="3F4F373E"/>
    <w:rsid w:val="3F543E53"/>
    <w:rsid w:val="3F5B494A"/>
    <w:rsid w:val="3F634A8A"/>
    <w:rsid w:val="3F6527BE"/>
    <w:rsid w:val="3F9A1E5E"/>
    <w:rsid w:val="3FAE10D2"/>
    <w:rsid w:val="3FB30094"/>
    <w:rsid w:val="3FC221AA"/>
    <w:rsid w:val="3FC24DFB"/>
    <w:rsid w:val="3FF3077A"/>
    <w:rsid w:val="40424194"/>
    <w:rsid w:val="404C36C2"/>
    <w:rsid w:val="40774F6D"/>
    <w:rsid w:val="40AC6ABD"/>
    <w:rsid w:val="40F70F22"/>
    <w:rsid w:val="41022B36"/>
    <w:rsid w:val="410C33C4"/>
    <w:rsid w:val="410C6A04"/>
    <w:rsid w:val="41271642"/>
    <w:rsid w:val="412B3CFA"/>
    <w:rsid w:val="415572CF"/>
    <w:rsid w:val="41614DC5"/>
    <w:rsid w:val="41714924"/>
    <w:rsid w:val="418C2A9A"/>
    <w:rsid w:val="41A91B94"/>
    <w:rsid w:val="41BE5103"/>
    <w:rsid w:val="41F01338"/>
    <w:rsid w:val="42260647"/>
    <w:rsid w:val="423F17DF"/>
    <w:rsid w:val="425A3496"/>
    <w:rsid w:val="429F4798"/>
    <w:rsid w:val="42B503FB"/>
    <w:rsid w:val="42BC385C"/>
    <w:rsid w:val="42C24FD0"/>
    <w:rsid w:val="433B4099"/>
    <w:rsid w:val="434F4ECF"/>
    <w:rsid w:val="43AB2A94"/>
    <w:rsid w:val="43BC2723"/>
    <w:rsid w:val="43E06C09"/>
    <w:rsid w:val="43EE44B2"/>
    <w:rsid w:val="44127EBA"/>
    <w:rsid w:val="441B2477"/>
    <w:rsid w:val="442E77EA"/>
    <w:rsid w:val="443E6826"/>
    <w:rsid w:val="44A761AF"/>
    <w:rsid w:val="44BE6C6C"/>
    <w:rsid w:val="44CC6850"/>
    <w:rsid w:val="44D37F54"/>
    <w:rsid w:val="44D90D2D"/>
    <w:rsid w:val="44E1728E"/>
    <w:rsid w:val="44F338DE"/>
    <w:rsid w:val="451435D9"/>
    <w:rsid w:val="45344663"/>
    <w:rsid w:val="45924D5C"/>
    <w:rsid w:val="45FA3D9C"/>
    <w:rsid w:val="45FA5C41"/>
    <w:rsid w:val="460A786B"/>
    <w:rsid w:val="4656787E"/>
    <w:rsid w:val="465765F5"/>
    <w:rsid w:val="46683C12"/>
    <w:rsid w:val="46AA30C5"/>
    <w:rsid w:val="46B11CD5"/>
    <w:rsid w:val="47071FDC"/>
    <w:rsid w:val="47390B3E"/>
    <w:rsid w:val="4739459F"/>
    <w:rsid w:val="4740699E"/>
    <w:rsid w:val="47501485"/>
    <w:rsid w:val="475F7C6C"/>
    <w:rsid w:val="47683C93"/>
    <w:rsid w:val="47B578DE"/>
    <w:rsid w:val="490364C8"/>
    <w:rsid w:val="491F5084"/>
    <w:rsid w:val="49375169"/>
    <w:rsid w:val="49547913"/>
    <w:rsid w:val="496137C4"/>
    <w:rsid w:val="496C50A6"/>
    <w:rsid w:val="49711339"/>
    <w:rsid w:val="498F50D9"/>
    <w:rsid w:val="49977984"/>
    <w:rsid w:val="49FF361D"/>
    <w:rsid w:val="4A523DC6"/>
    <w:rsid w:val="4A7466FF"/>
    <w:rsid w:val="4AA352A0"/>
    <w:rsid w:val="4AB06EC7"/>
    <w:rsid w:val="4AFD2145"/>
    <w:rsid w:val="4B344C32"/>
    <w:rsid w:val="4B560286"/>
    <w:rsid w:val="4B6A50B4"/>
    <w:rsid w:val="4B7A3338"/>
    <w:rsid w:val="4B9316C9"/>
    <w:rsid w:val="4BC304DA"/>
    <w:rsid w:val="4BE84ADE"/>
    <w:rsid w:val="4BEA35E2"/>
    <w:rsid w:val="4BFD05CC"/>
    <w:rsid w:val="4C1116CD"/>
    <w:rsid w:val="4C261041"/>
    <w:rsid w:val="4C357B95"/>
    <w:rsid w:val="4C7321DD"/>
    <w:rsid w:val="4C81306E"/>
    <w:rsid w:val="4CEA7917"/>
    <w:rsid w:val="4D1A675C"/>
    <w:rsid w:val="4D237EEE"/>
    <w:rsid w:val="4D36236B"/>
    <w:rsid w:val="4D426A4E"/>
    <w:rsid w:val="4D447ACD"/>
    <w:rsid w:val="4D69372C"/>
    <w:rsid w:val="4DE20C4E"/>
    <w:rsid w:val="4E121B55"/>
    <w:rsid w:val="4E1409B4"/>
    <w:rsid w:val="4E244E42"/>
    <w:rsid w:val="4E5A6974"/>
    <w:rsid w:val="4E6F2738"/>
    <w:rsid w:val="4E822DD2"/>
    <w:rsid w:val="4E8376D0"/>
    <w:rsid w:val="4E8A3AF9"/>
    <w:rsid w:val="4E904C65"/>
    <w:rsid w:val="4EA33192"/>
    <w:rsid w:val="4ED14E3B"/>
    <w:rsid w:val="4EDB451F"/>
    <w:rsid w:val="4EDE6994"/>
    <w:rsid w:val="4EF574D2"/>
    <w:rsid w:val="4F375E50"/>
    <w:rsid w:val="4F3A4FAD"/>
    <w:rsid w:val="4F404EF3"/>
    <w:rsid w:val="4F413421"/>
    <w:rsid w:val="4F5542BA"/>
    <w:rsid w:val="4F5B6A7C"/>
    <w:rsid w:val="4F902DE8"/>
    <w:rsid w:val="4FEF31B4"/>
    <w:rsid w:val="4FF108B5"/>
    <w:rsid w:val="4FF727BF"/>
    <w:rsid w:val="505D37E8"/>
    <w:rsid w:val="505E5044"/>
    <w:rsid w:val="50645371"/>
    <w:rsid w:val="50783615"/>
    <w:rsid w:val="50975B14"/>
    <w:rsid w:val="50CE2008"/>
    <w:rsid w:val="50E161AA"/>
    <w:rsid w:val="5103512C"/>
    <w:rsid w:val="51051CE7"/>
    <w:rsid w:val="512833BF"/>
    <w:rsid w:val="51C46FD2"/>
    <w:rsid w:val="52026457"/>
    <w:rsid w:val="523D05D3"/>
    <w:rsid w:val="52596244"/>
    <w:rsid w:val="527B17DD"/>
    <w:rsid w:val="527B1A36"/>
    <w:rsid w:val="528662F0"/>
    <w:rsid w:val="529E3019"/>
    <w:rsid w:val="52FA3944"/>
    <w:rsid w:val="53125FE1"/>
    <w:rsid w:val="531E4716"/>
    <w:rsid w:val="534C582B"/>
    <w:rsid w:val="534E07B4"/>
    <w:rsid w:val="536729EA"/>
    <w:rsid w:val="5385080E"/>
    <w:rsid w:val="53B355D7"/>
    <w:rsid w:val="53F33750"/>
    <w:rsid w:val="541E31C1"/>
    <w:rsid w:val="54226DAD"/>
    <w:rsid w:val="54B57C0A"/>
    <w:rsid w:val="54C2149E"/>
    <w:rsid w:val="54D072C3"/>
    <w:rsid w:val="551845E5"/>
    <w:rsid w:val="55741A72"/>
    <w:rsid w:val="55AD5A35"/>
    <w:rsid w:val="55CD5707"/>
    <w:rsid w:val="55D05DD8"/>
    <w:rsid w:val="55DF072A"/>
    <w:rsid w:val="561719BF"/>
    <w:rsid w:val="561C4D71"/>
    <w:rsid w:val="561F0A81"/>
    <w:rsid w:val="562070BA"/>
    <w:rsid w:val="562654E2"/>
    <w:rsid w:val="56276D69"/>
    <w:rsid w:val="567B0D05"/>
    <w:rsid w:val="5687274B"/>
    <w:rsid w:val="56AF7B24"/>
    <w:rsid w:val="56E3240E"/>
    <w:rsid w:val="56EB2994"/>
    <w:rsid w:val="56F077A0"/>
    <w:rsid w:val="57580AC9"/>
    <w:rsid w:val="577E4D9D"/>
    <w:rsid w:val="57C91F73"/>
    <w:rsid w:val="57F55ADD"/>
    <w:rsid w:val="57F87AFA"/>
    <w:rsid w:val="58350BDD"/>
    <w:rsid w:val="58365C18"/>
    <w:rsid w:val="58BB07A8"/>
    <w:rsid w:val="58D16635"/>
    <w:rsid w:val="58F93587"/>
    <w:rsid w:val="590B7E1B"/>
    <w:rsid w:val="59235EE6"/>
    <w:rsid w:val="593A6196"/>
    <w:rsid w:val="593D5A74"/>
    <w:rsid w:val="59634AD2"/>
    <w:rsid w:val="596F7DF9"/>
    <w:rsid w:val="59700CB2"/>
    <w:rsid w:val="5992590A"/>
    <w:rsid w:val="59F667CF"/>
    <w:rsid w:val="59F73FA9"/>
    <w:rsid w:val="5A006E37"/>
    <w:rsid w:val="5A0709C0"/>
    <w:rsid w:val="5A443ABB"/>
    <w:rsid w:val="5A4D392F"/>
    <w:rsid w:val="5A6A2C63"/>
    <w:rsid w:val="5A7979FA"/>
    <w:rsid w:val="5A863E8E"/>
    <w:rsid w:val="5AB74E18"/>
    <w:rsid w:val="5ABE73D9"/>
    <w:rsid w:val="5AD51BB4"/>
    <w:rsid w:val="5AD621DB"/>
    <w:rsid w:val="5AE557FF"/>
    <w:rsid w:val="5AF20017"/>
    <w:rsid w:val="5AF5329F"/>
    <w:rsid w:val="5AF542D9"/>
    <w:rsid w:val="5B1512E1"/>
    <w:rsid w:val="5B307A41"/>
    <w:rsid w:val="5B4D5A36"/>
    <w:rsid w:val="5B664ADB"/>
    <w:rsid w:val="5B785F50"/>
    <w:rsid w:val="5B7A4125"/>
    <w:rsid w:val="5B877940"/>
    <w:rsid w:val="5BA81C2A"/>
    <w:rsid w:val="5BFA7EF6"/>
    <w:rsid w:val="5C116D59"/>
    <w:rsid w:val="5C32271D"/>
    <w:rsid w:val="5C45068B"/>
    <w:rsid w:val="5C5A3EE7"/>
    <w:rsid w:val="5C784F41"/>
    <w:rsid w:val="5CAC42F9"/>
    <w:rsid w:val="5CBA7FC0"/>
    <w:rsid w:val="5D2C38E4"/>
    <w:rsid w:val="5D333476"/>
    <w:rsid w:val="5D34491A"/>
    <w:rsid w:val="5D411F85"/>
    <w:rsid w:val="5D4F642A"/>
    <w:rsid w:val="5D536E7C"/>
    <w:rsid w:val="5D7828E6"/>
    <w:rsid w:val="5D874EB5"/>
    <w:rsid w:val="5DA028CB"/>
    <w:rsid w:val="5DB85ED3"/>
    <w:rsid w:val="5DC871F5"/>
    <w:rsid w:val="5DFB2D6D"/>
    <w:rsid w:val="5E090D78"/>
    <w:rsid w:val="5E2C6546"/>
    <w:rsid w:val="5E4F72F6"/>
    <w:rsid w:val="5E6721EE"/>
    <w:rsid w:val="5EA12141"/>
    <w:rsid w:val="5EC827A4"/>
    <w:rsid w:val="5ECD6188"/>
    <w:rsid w:val="5ED65FEF"/>
    <w:rsid w:val="5EE12163"/>
    <w:rsid w:val="5F052914"/>
    <w:rsid w:val="5F0A4BA5"/>
    <w:rsid w:val="5F0A5F36"/>
    <w:rsid w:val="5F187E14"/>
    <w:rsid w:val="5F517590"/>
    <w:rsid w:val="5F931193"/>
    <w:rsid w:val="5F995DE3"/>
    <w:rsid w:val="5FD157E9"/>
    <w:rsid w:val="60183D36"/>
    <w:rsid w:val="60316A8A"/>
    <w:rsid w:val="60352E49"/>
    <w:rsid w:val="604307FB"/>
    <w:rsid w:val="60436DFE"/>
    <w:rsid w:val="60587F6C"/>
    <w:rsid w:val="60745B86"/>
    <w:rsid w:val="60757548"/>
    <w:rsid w:val="60922EA7"/>
    <w:rsid w:val="60D276FD"/>
    <w:rsid w:val="60DD09F9"/>
    <w:rsid w:val="60EB1D7C"/>
    <w:rsid w:val="60FB43D3"/>
    <w:rsid w:val="61215C6A"/>
    <w:rsid w:val="614822A7"/>
    <w:rsid w:val="615467BF"/>
    <w:rsid w:val="615E13D9"/>
    <w:rsid w:val="61891392"/>
    <w:rsid w:val="619A74DB"/>
    <w:rsid w:val="61D536CC"/>
    <w:rsid w:val="61D95419"/>
    <w:rsid w:val="61E46B07"/>
    <w:rsid w:val="61E559A8"/>
    <w:rsid w:val="61E72504"/>
    <w:rsid w:val="62082855"/>
    <w:rsid w:val="62201DCB"/>
    <w:rsid w:val="6254509F"/>
    <w:rsid w:val="62670855"/>
    <w:rsid w:val="626B2E63"/>
    <w:rsid w:val="62722BF9"/>
    <w:rsid w:val="62781254"/>
    <w:rsid w:val="628F56D7"/>
    <w:rsid w:val="62AD77BF"/>
    <w:rsid w:val="62B6401D"/>
    <w:rsid w:val="62C55BA5"/>
    <w:rsid w:val="62F04C62"/>
    <w:rsid w:val="62F77B79"/>
    <w:rsid w:val="63357CC5"/>
    <w:rsid w:val="63417E63"/>
    <w:rsid w:val="63586D06"/>
    <w:rsid w:val="639B5D89"/>
    <w:rsid w:val="63A32E81"/>
    <w:rsid w:val="63A82549"/>
    <w:rsid w:val="640052D8"/>
    <w:rsid w:val="6402249F"/>
    <w:rsid w:val="6417398B"/>
    <w:rsid w:val="64382979"/>
    <w:rsid w:val="646D3538"/>
    <w:rsid w:val="64DC72A8"/>
    <w:rsid w:val="64F13D73"/>
    <w:rsid w:val="65114B98"/>
    <w:rsid w:val="65170A3D"/>
    <w:rsid w:val="651E4C38"/>
    <w:rsid w:val="65365292"/>
    <w:rsid w:val="65436AE1"/>
    <w:rsid w:val="65704466"/>
    <w:rsid w:val="6584222B"/>
    <w:rsid w:val="65CD26B4"/>
    <w:rsid w:val="65D214B6"/>
    <w:rsid w:val="660A60F8"/>
    <w:rsid w:val="661253BE"/>
    <w:rsid w:val="6612692A"/>
    <w:rsid w:val="66161F0A"/>
    <w:rsid w:val="66196145"/>
    <w:rsid w:val="665F2CA6"/>
    <w:rsid w:val="6670389E"/>
    <w:rsid w:val="66C60A29"/>
    <w:rsid w:val="66D042E9"/>
    <w:rsid w:val="66F34812"/>
    <w:rsid w:val="66F66FFA"/>
    <w:rsid w:val="66F73355"/>
    <w:rsid w:val="67116F88"/>
    <w:rsid w:val="671921DE"/>
    <w:rsid w:val="6731565E"/>
    <w:rsid w:val="673536B8"/>
    <w:rsid w:val="674E497A"/>
    <w:rsid w:val="675608AD"/>
    <w:rsid w:val="675B1FDC"/>
    <w:rsid w:val="677D30E0"/>
    <w:rsid w:val="68006EE8"/>
    <w:rsid w:val="68166C87"/>
    <w:rsid w:val="6819202A"/>
    <w:rsid w:val="68401238"/>
    <w:rsid w:val="684727D9"/>
    <w:rsid w:val="68535FE0"/>
    <w:rsid w:val="68683D31"/>
    <w:rsid w:val="68A06278"/>
    <w:rsid w:val="68B3726E"/>
    <w:rsid w:val="68BD171A"/>
    <w:rsid w:val="68C1349D"/>
    <w:rsid w:val="69264754"/>
    <w:rsid w:val="694420CC"/>
    <w:rsid w:val="696E1C4C"/>
    <w:rsid w:val="6979511F"/>
    <w:rsid w:val="69816C11"/>
    <w:rsid w:val="69E07828"/>
    <w:rsid w:val="6A1224A0"/>
    <w:rsid w:val="6A1802E3"/>
    <w:rsid w:val="6A31115D"/>
    <w:rsid w:val="6A502F91"/>
    <w:rsid w:val="6A5C2E89"/>
    <w:rsid w:val="6A6B1379"/>
    <w:rsid w:val="6A6F21B0"/>
    <w:rsid w:val="6A87109B"/>
    <w:rsid w:val="6A996FCF"/>
    <w:rsid w:val="6AB6268C"/>
    <w:rsid w:val="6B0C0A7D"/>
    <w:rsid w:val="6B195F9E"/>
    <w:rsid w:val="6B2F7019"/>
    <w:rsid w:val="6B7B77ED"/>
    <w:rsid w:val="6B834A11"/>
    <w:rsid w:val="6BA5799B"/>
    <w:rsid w:val="6BAF3BBE"/>
    <w:rsid w:val="6BD86705"/>
    <w:rsid w:val="6BDC6768"/>
    <w:rsid w:val="6BE33C8F"/>
    <w:rsid w:val="6BFD6A38"/>
    <w:rsid w:val="6C26003F"/>
    <w:rsid w:val="6C39469E"/>
    <w:rsid w:val="6C81224F"/>
    <w:rsid w:val="6C8E09FD"/>
    <w:rsid w:val="6CAA1438"/>
    <w:rsid w:val="6CB674EB"/>
    <w:rsid w:val="6CC3417C"/>
    <w:rsid w:val="6CF751CD"/>
    <w:rsid w:val="6CFE2A90"/>
    <w:rsid w:val="6D033406"/>
    <w:rsid w:val="6D101F46"/>
    <w:rsid w:val="6D363AA9"/>
    <w:rsid w:val="6D6A23A6"/>
    <w:rsid w:val="6D747C94"/>
    <w:rsid w:val="6D7A7986"/>
    <w:rsid w:val="6D843218"/>
    <w:rsid w:val="6DAA3AC3"/>
    <w:rsid w:val="6DB27C2E"/>
    <w:rsid w:val="6DB33789"/>
    <w:rsid w:val="6DC349D7"/>
    <w:rsid w:val="6DCF3E9D"/>
    <w:rsid w:val="6DD01ED5"/>
    <w:rsid w:val="6DD1579D"/>
    <w:rsid w:val="6E520A94"/>
    <w:rsid w:val="6E583149"/>
    <w:rsid w:val="6E722676"/>
    <w:rsid w:val="6E725242"/>
    <w:rsid w:val="6E7716CA"/>
    <w:rsid w:val="6E7D3E7D"/>
    <w:rsid w:val="6E8B036B"/>
    <w:rsid w:val="6E916298"/>
    <w:rsid w:val="6E946B8C"/>
    <w:rsid w:val="6EA83F00"/>
    <w:rsid w:val="6EA84809"/>
    <w:rsid w:val="6EA86D11"/>
    <w:rsid w:val="6ED64481"/>
    <w:rsid w:val="6EF041DC"/>
    <w:rsid w:val="6F225078"/>
    <w:rsid w:val="6F4F5C6B"/>
    <w:rsid w:val="6F6D5808"/>
    <w:rsid w:val="6F7F79D1"/>
    <w:rsid w:val="6FF3443A"/>
    <w:rsid w:val="6FF40BBB"/>
    <w:rsid w:val="70013752"/>
    <w:rsid w:val="70317E9E"/>
    <w:rsid w:val="7032319A"/>
    <w:rsid w:val="70342CA5"/>
    <w:rsid w:val="70363C29"/>
    <w:rsid w:val="705410A6"/>
    <w:rsid w:val="705D2BE9"/>
    <w:rsid w:val="708A7E30"/>
    <w:rsid w:val="70E26C32"/>
    <w:rsid w:val="70E86DEE"/>
    <w:rsid w:val="712307DD"/>
    <w:rsid w:val="71356F33"/>
    <w:rsid w:val="719C3171"/>
    <w:rsid w:val="71B6648E"/>
    <w:rsid w:val="71C66055"/>
    <w:rsid w:val="71DA2984"/>
    <w:rsid w:val="71E81E35"/>
    <w:rsid w:val="71F31696"/>
    <w:rsid w:val="721169B3"/>
    <w:rsid w:val="723D3F29"/>
    <w:rsid w:val="72556B12"/>
    <w:rsid w:val="725F4533"/>
    <w:rsid w:val="72665AB1"/>
    <w:rsid w:val="726B0346"/>
    <w:rsid w:val="729F603C"/>
    <w:rsid w:val="72A21144"/>
    <w:rsid w:val="72AC5DEC"/>
    <w:rsid w:val="72BA11D4"/>
    <w:rsid w:val="72C34BC0"/>
    <w:rsid w:val="72EF0842"/>
    <w:rsid w:val="736D13CC"/>
    <w:rsid w:val="73C34FB0"/>
    <w:rsid w:val="73E630B6"/>
    <w:rsid w:val="74107293"/>
    <w:rsid w:val="747709E7"/>
    <w:rsid w:val="74A75C74"/>
    <w:rsid w:val="74AE727B"/>
    <w:rsid w:val="74B72109"/>
    <w:rsid w:val="74BC79F6"/>
    <w:rsid w:val="74BD356E"/>
    <w:rsid w:val="74DE2D28"/>
    <w:rsid w:val="74DE6273"/>
    <w:rsid w:val="75034DA5"/>
    <w:rsid w:val="75055E9E"/>
    <w:rsid w:val="750B5416"/>
    <w:rsid w:val="75317F36"/>
    <w:rsid w:val="75434148"/>
    <w:rsid w:val="75536301"/>
    <w:rsid w:val="757731F2"/>
    <w:rsid w:val="75A84F6F"/>
    <w:rsid w:val="75A872BD"/>
    <w:rsid w:val="75C46A48"/>
    <w:rsid w:val="75E13D13"/>
    <w:rsid w:val="763E2F56"/>
    <w:rsid w:val="76582980"/>
    <w:rsid w:val="765B603D"/>
    <w:rsid w:val="765C7713"/>
    <w:rsid w:val="76671C9E"/>
    <w:rsid w:val="767B6F1E"/>
    <w:rsid w:val="76820B5D"/>
    <w:rsid w:val="768E1D0F"/>
    <w:rsid w:val="76BA5152"/>
    <w:rsid w:val="76E97262"/>
    <w:rsid w:val="77411B76"/>
    <w:rsid w:val="77482DDB"/>
    <w:rsid w:val="774B2396"/>
    <w:rsid w:val="778012E8"/>
    <w:rsid w:val="77AA1492"/>
    <w:rsid w:val="782F7348"/>
    <w:rsid w:val="783025F2"/>
    <w:rsid w:val="78582600"/>
    <w:rsid w:val="7881670C"/>
    <w:rsid w:val="78967EE6"/>
    <w:rsid w:val="78B25E04"/>
    <w:rsid w:val="78BD4522"/>
    <w:rsid w:val="78C42AEC"/>
    <w:rsid w:val="78DA4DE9"/>
    <w:rsid w:val="78EA6A67"/>
    <w:rsid w:val="79010C64"/>
    <w:rsid w:val="79164A8A"/>
    <w:rsid w:val="79343267"/>
    <w:rsid w:val="794A3E9B"/>
    <w:rsid w:val="796304EA"/>
    <w:rsid w:val="799042FF"/>
    <w:rsid w:val="79D96301"/>
    <w:rsid w:val="79E9164D"/>
    <w:rsid w:val="7A213F9F"/>
    <w:rsid w:val="7A25707D"/>
    <w:rsid w:val="7A446928"/>
    <w:rsid w:val="7AB824C3"/>
    <w:rsid w:val="7ABD52ED"/>
    <w:rsid w:val="7B0D13DE"/>
    <w:rsid w:val="7B6A2E87"/>
    <w:rsid w:val="7B743B30"/>
    <w:rsid w:val="7B7A6518"/>
    <w:rsid w:val="7BA82B1B"/>
    <w:rsid w:val="7BB15250"/>
    <w:rsid w:val="7BD754B6"/>
    <w:rsid w:val="7BE36163"/>
    <w:rsid w:val="7BEE2FE2"/>
    <w:rsid w:val="7C1039EF"/>
    <w:rsid w:val="7C2C6B33"/>
    <w:rsid w:val="7C7310AD"/>
    <w:rsid w:val="7C79405E"/>
    <w:rsid w:val="7C814E20"/>
    <w:rsid w:val="7C9D2643"/>
    <w:rsid w:val="7CC22674"/>
    <w:rsid w:val="7CDE07EA"/>
    <w:rsid w:val="7D07504F"/>
    <w:rsid w:val="7D083A4C"/>
    <w:rsid w:val="7D1A3539"/>
    <w:rsid w:val="7D2D49BC"/>
    <w:rsid w:val="7D5D46AB"/>
    <w:rsid w:val="7D851A94"/>
    <w:rsid w:val="7D88777A"/>
    <w:rsid w:val="7DAB34EE"/>
    <w:rsid w:val="7DE06C1B"/>
    <w:rsid w:val="7DE1182D"/>
    <w:rsid w:val="7DF34CB6"/>
    <w:rsid w:val="7E035813"/>
    <w:rsid w:val="7E1410AD"/>
    <w:rsid w:val="7E4253D3"/>
    <w:rsid w:val="7E46459C"/>
    <w:rsid w:val="7E753D6C"/>
    <w:rsid w:val="7E905C32"/>
    <w:rsid w:val="7EC30AC6"/>
    <w:rsid w:val="7EFB1398"/>
    <w:rsid w:val="7F1926C7"/>
    <w:rsid w:val="7F1D6B1B"/>
    <w:rsid w:val="7F5D7905"/>
    <w:rsid w:val="7F7416AC"/>
    <w:rsid w:val="7F8A0016"/>
    <w:rsid w:val="7F960A48"/>
    <w:rsid w:val="7FD36A43"/>
    <w:rsid w:val="7FE27B5E"/>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4"/>
    <w:autoRedefine/>
    <w:qFormat/>
    <w:uiPriority w:val="9"/>
    <w:pPr>
      <w:keepNext/>
      <w:widowControl/>
      <w:spacing w:before="340" w:after="330" w:line="576" w:lineRule="auto"/>
      <w:outlineLvl w:val="0"/>
    </w:pPr>
    <w:rPr>
      <w:rFonts w:ascii="???" w:hAnsi="???" w:eastAsia="宋体" w:cs="Arial"/>
      <w:color w:val="020000"/>
      <w:kern w:val="36"/>
      <w:sz w:val="44"/>
      <w:szCs w:val="44"/>
    </w:rPr>
  </w:style>
  <w:style w:type="paragraph" w:styleId="3">
    <w:name w:val="heading 2"/>
    <w:basedOn w:val="1"/>
    <w:next w:val="1"/>
    <w:link w:val="66"/>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5"/>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paragraph" w:styleId="7">
    <w:name w:val="heading 5"/>
    <w:basedOn w:val="1"/>
    <w:next w:val="6"/>
    <w:autoRedefine/>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7"/>
    <w:autoRedefine/>
    <w:qFormat/>
    <w:uiPriority w:val="0"/>
    <w:pPr>
      <w:ind w:firstLine="420" w:firstLineChars="200"/>
    </w:pPr>
    <w:rPr>
      <w:rFonts w:ascii="Times New Roman" w:hAnsi="Times New Roman" w:eastAsia="宋体" w:cs="Times New Roman"/>
      <w:kern w:val="0"/>
      <w:sz w:val="24"/>
      <w:szCs w:val="20"/>
    </w:rPr>
  </w:style>
  <w:style w:type="paragraph" w:styleId="9">
    <w:name w:val="toc 7"/>
    <w:basedOn w:val="1"/>
    <w:next w:val="1"/>
    <w:qFormat/>
    <w:uiPriority w:val="0"/>
    <w:pPr>
      <w:ind w:left="2520" w:leftChars="1200"/>
    </w:pPr>
    <w:rPr>
      <w:rFonts w:ascii="Times New Roman" w:hAnsi="Times New Roman" w:eastAsia="宋体" w:cs="Times New Roman"/>
      <w:szCs w:val="24"/>
    </w:rPr>
  </w:style>
  <w:style w:type="paragraph" w:styleId="10">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Document Map"/>
    <w:basedOn w:val="1"/>
    <w:link w:val="135"/>
    <w:autoRedefine/>
    <w:qFormat/>
    <w:uiPriority w:val="0"/>
    <w:rPr>
      <w:rFonts w:ascii="宋体" w:hAnsi="Calibri" w:eastAsia="宋体" w:cs="Times New Roman"/>
      <w:kern w:val="0"/>
      <w:sz w:val="18"/>
      <w:szCs w:val="20"/>
    </w:rPr>
  </w:style>
  <w:style w:type="paragraph" w:styleId="12">
    <w:name w:val="toa heading"/>
    <w:basedOn w:val="1"/>
    <w:next w:val="1"/>
    <w:qFormat/>
    <w:uiPriority w:val="0"/>
    <w:pPr>
      <w:spacing w:before="120"/>
    </w:pPr>
    <w:rPr>
      <w:rFonts w:ascii="Cambria" w:hAnsi="Cambria"/>
      <w:sz w:val="24"/>
      <w:szCs w:val="20"/>
    </w:rPr>
  </w:style>
  <w:style w:type="paragraph" w:styleId="13">
    <w:name w:val="annotation text"/>
    <w:basedOn w:val="1"/>
    <w:link w:val="163"/>
    <w:qFormat/>
    <w:uiPriority w:val="0"/>
    <w:pPr>
      <w:jc w:val="left"/>
    </w:pPr>
  </w:style>
  <w:style w:type="paragraph" w:styleId="14">
    <w:name w:val="Body Text"/>
    <w:basedOn w:val="1"/>
    <w:next w:val="15"/>
    <w:link w:val="138"/>
    <w:autoRedefine/>
    <w:qFormat/>
    <w:uiPriority w:val="99"/>
    <w:pPr>
      <w:spacing w:after="120"/>
    </w:pPr>
    <w:rPr>
      <w:rFonts w:ascii="Calibri" w:hAnsi="Calibri" w:eastAsia="宋体" w:cs="Times New Roman"/>
      <w:kern w:val="0"/>
      <w:sz w:val="24"/>
      <w:szCs w:val="20"/>
    </w:rPr>
  </w:style>
  <w:style w:type="paragraph" w:customStyle="1" w:styleId="15">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6">
    <w:name w:val="Body Text Indent"/>
    <w:basedOn w:val="1"/>
    <w:link w:val="69"/>
    <w:qFormat/>
    <w:uiPriority w:val="0"/>
    <w:pPr>
      <w:widowControl/>
      <w:spacing w:after="120"/>
      <w:ind w:left="420"/>
    </w:pPr>
    <w:rPr>
      <w:rFonts w:ascii="??" w:hAnsi="??" w:eastAsia="宋体" w:cs="Arial"/>
      <w:kern w:val="0"/>
      <w:sz w:val="24"/>
      <w:szCs w:val="24"/>
    </w:rPr>
  </w:style>
  <w:style w:type="paragraph" w:styleId="17">
    <w:name w:val="toc 5"/>
    <w:basedOn w:val="1"/>
    <w:next w:val="1"/>
    <w:qFormat/>
    <w:uiPriority w:val="0"/>
    <w:pPr>
      <w:ind w:left="1680" w:leftChars="800"/>
    </w:pPr>
    <w:rPr>
      <w:rFonts w:ascii="Times New Roman" w:hAnsi="Times New Roman" w:eastAsia="宋体" w:cs="Times New Roman"/>
      <w:szCs w:val="24"/>
    </w:rPr>
  </w:style>
  <w:style w:type="paragraph" w:styleId="18">
    <w:name w:val="toc 3"/>
    <w:basedOn w:val="1"/>
    <w:next w:val="1"/>
    <w:autoRedefine/>
    <w:qFormat/>
    <w:uiPriority w:val="39"/>
    <w:pPr>
      <w:ind w:left="840" w:leftChars="400"/>
    </w:pPr>
    <w:rPr>
      <w:rFonts w:ascii="Times New Roman" w:hAnsi="Times New Roman" w:eastAsia="宋体" w:cs="Times New Roman"/>
      <w:szCs w:val="24"/>
    </w:rPr>
  </w:style>
  <w:style w:type="paragraph" w:styleId="19">
    <w:name w:val="Plain Text"/>
    <w:basedOn w:val="1"/>
    <w:link w:val="198"/>
    <w:qFormat/>
    <w:uiPriority w:val="99"/>
    <w:rPr>
      <w:rFonts w:ascii="宋体" w:hAnsi="Courier New" w:eastAsia="宋体"/>
      <w:szCs w:val="21"/>
    </w:rPr>
  </w:style>
  <w:style w:type="paragraph" w:styleId="20">
    <w:name w:val="toc 8"/>
    <w:basedOn w:val="1"/>
    <w:next w:val="1"/>
    <w:qFormat/>
    <w:uiPriority w:val="0"/>
    <w:pPr>
      <w:ind w:left="2940" w:leftChars="1400"/>
    </w:pPr>
    <w:rPr>
      <w:rFonts w:ascii="Times New Roman" w:hAnsi="Times New Roman" w:eastAsia="宋体" w:cs="Times New Roman"/>
      <w:szCs w:val="24"/>
    </w:rPr>
  </w:style>
  <w:style w:type="paragraph" w:styleId="21">
    <w:name w:val="Date"/>
    <w:basedOn w:val="1"/>
    <w:next w:val="1"/>
    <w:link w:val="158"/>
    <w:autoRedefine/>
    <w:qFormat/>
    <w:uiPriority w:val="0"/>
    <w:rPr>
      <w:szCs w:val="21"/>
    </w:rPr>
  </w:style>
  <w:style w:type="paragraph" w:styleId="22">
    <w:name w:val="Body Text Indent 2"/>
    <w:basedOn w:val="1"/>
    <w:link w:val="131"/>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3">
    <w:name w:val="Balloon Text"/>
    <w:basedOn w:val="1"/>
    <w:link w:val="81"/>
    <w:qFormat/>
    <w:uiPriority w:val="99"/>
    <w:rPr>
      <w:rFonts w:ascii="Calibri" w:hAnsi="Calibri" w:eastAsia="宋体" w:cs="Times New Roman"/>
      <w:sz w:val="18"/>
      <w:szCs w:val="18"/>
    </w:rPr>
  </w:style>
  <w:style w:type="paragraph" w:styleId="24">
    <w:name w:val="footer"/>
    <w:basedOn w:val="1"/>
    <w:link w:val="68"/>
    <w:qFormat/>
    <w:uiPriority w:val="99"/>
    <w:pPr>
      <w:tabs>
        <w:tab w:val="center" w:pos="4153"/>
        <w:tab w:val="right" w:pos="8306"/>
      </w:tabs>
      <w:snapToGrid w:val="0"/>
      <w:jc w:val="left"/>
    </w:pPr>
    <w:rPr>
      <w:rFonts w:ascii="Calibri" w:hAnsi="Calibri" w:eastAsia="宋体" w:cs="Times New Roman"/>
      <w:sz w:val="18"/>
      <w:szCs w:val="18"/>
    </w:rPr>
  </w:style>
  <w:style w:type="paragraph" w:styleId="25">
    <w:name w:val="header"/>
    <w:basedOn w:val="1"/>
    <w:link w:val="67"/>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6">
    <w:name w:val="toc 1"/>
    <w:basedOn w:val="1"/>
    <w:next w:val="1"/>
    <w:qFormat/>
    <w:uiPriority w:val="39"/>
    <w:rPr>
      <w:rFonts w:ascii="Times New Roman" w:hAnsi="Times New Roman" w:eastAsia="宋体" w:cs="Times New Roman"/>
      <w:szCs w:val="24"/>
    </w:rPr>
  </w:style>
  <w:style w:type="paragraph" w:styleId="27">
    <w:name w:val="toc 4"/>
    <w:basedOn w:val="1"/>
    <w:next w:val="1"/>
    <w:qFormat/>
    <w:uiPriority w:val="0"/>
    <w:pPr>
      <w:ind w:left="1260" w:leftChars="600"/>
    </w:pPr>
    <w:rPr>
      <w:rFonts w:ascii="Times New Roman" w:hAnsi="Times New Roman" w:eastAsia="宋体" w:cs="Times New Roman"/>
      <w:szCs w:val="24"/>
    </w:rPr>
  </w:style>
  <w:style w:type="paragraph" w:styleId="28">
    <w:name w:val="Subtitle"/>
    <w:basedOn w:val="1"/>
    <w:next w:val="1"/>
    <w:qFormat/>
    <w:uiPriority w:val="0"/>
    <w:pPr>
      <w:wordWrap w:val="0"/>
      <w:spacing w:after="60"/>
      <w:jc w:val="center"/>
    </w:pPr>
    <w:rPr>
      <w:sz w:val="24"/>
    </w:rPr>
  </w:style>
  <w:style w:type="paragraph" w:styleId="29">
    <w:name w:val="footnote text"/>
    <w:basedOn w:val="1"/>
    <w:link w:val="175"/>
    <w:semiHidden/>
    <w:qFormat/>
    <w:uiPriority w:val="0"/>
    <w:pPr>
      <w:snapToGrid w:val="0"/>
      <w:jc w:val="left"/>
    </w:pPr>
    <w:rPr>
      <w:rFonts w:ascii="Times New Roman" w:hAnsi="Times New Roman" w:eastAsia="宋体" w:cs="Times New Roman"/>
      <w:sz w:val="18"/>
      <w:szCs w:val="18"/>
    </w:rPr>
  </w:style>
  <w:style w:type="paragraph" w:styleId="30">
    <w:name w:val="toc 6"/>
    <w:basedOn w:val="1"/>
    <w:next w:val="1"/>
    <w:qFormat/>
    <w:uiPriority w:val="0"/>
    <w:pPr>
      <w:ind w:left="2100" w:leftChars="1000"/>
    </w:pPr>
    <w:rPr>
      <w:rFonts w:ascii="Times New Roman" w:hAnsi="Times New Roman" w:eastAsia="宋体" w:cs="Times New Roman"/>
      <w:szCs w:val="24"/>
    </w:rPr>
  </w:style>
  <w:style w:type="paragraph" w:styleId="31">
    <w:name w:val="Body Text Indent 3"/>
    <w:basedOn w:val="1"/>
    <w:link w:val="133"/>
    <w:qFormat/>
    <w:uiPriority w:val="99"/>
    <w:pPr>
      <w:spacing w:line="440" w:lineRule="exact"/>
      <w:ind w:firstLine="412" w:firstLineChars="200"/>
    </w:pPr>
    <w:rPr>
      <w:rFonts w:ascii="宋体" w:hAnsi="Calibri" w:eastAsia="宋体" w:cs="Times New Roman"/>
      <w:kern w:val="0"/>
      <w:sz w:val="20"/>
      <w:szCs w:val="20"/>
    </w:rPr>
  </w:style>
  <w:style w:type="paragraph" w:styleId="32">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3">
    <w:name w:val="toc 2"/>
    <w:basedOn w:val="1"/>
    <w:next w:val="1"/>
    <w:qFormat/>
    <w:uiPriority w:val="39"/>
    <w:pPr>
      <w:ind w:left="420" w:leftChars="200"/>
    </w:pPr>
    <w:rPr>
      <w:rFonts w:ascii="Times New Roman" w:hAnsi="Times New Roman" w:eastAsia="宋体" w:cs="Times New Roman"/>
      <w:szCs w:val="24"/>
    </w:rPr>
  </w:style>
  <w:style w:type="paragraph" w:styleId="34">
    <w:name w:val="toc 9"/>
    <w:basedOn w:val="1"/>
    <w:next w:val="1"/>
    <w:qFormat/>
    <w:uiPriority w:val="0"/>
    <w:pPr>
      <w:ind w:left="3360" w:leftChars="1600"/>
    </w:pPr>
    <w:rPr>
      <w:rFonts w:ascii="Times New Roman" w:hAnsi="Times New Roman" w:eastAsia="宋体" w:cs="Times New Roman"/>
      <w:szCs w:val="24"/>
    </w:rPr>
  </w:style>
  <w:style w:type="paragraph" w:styleId="35">
    <w:name w:val="List Continue 2"/>
    <w:basedOn w:val="1"/>
    <w:qFormat/>
    <w:uiPriority w:val="99"/>
    <w:pPr>
      <w:spacing w:after="120"/>
      <w:ind w:left="840" w:leftChars="400"/>
    </w:pPr>
    <w:rPr>
      <w:rFonts w:ascii="Times New Roman" w:hAnsi="Times New Roman" w:eastAsia="宋体" w:cs="Times New Roman"/>
      <w:szCs w:val="24"/>
    </w:rPr>
  </w:style>
  <w:style w:type="paragraph" w:styleId="3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8">
    <w:name w:val="Title"/>
    <w:basedOn w:val="1"/>
    <w:next w:val="1"/>
    <w:link w:val="161"/>
    <w:qFormat/>
    <w:uiPriority w:val="0"/>
    <w:pPr>
      <w:spacing w:before="240" w:after="60"/>
      <w:jc w:val="center"/>
      <w:outlineLvl w:val="0"/>
    </w:pPr>
    <w:rPr>
      <w:rFonts w:ascii="Cambria" w:hAnsi="Cambria" w:cs="Times New Roman"/>
      <w:b/>
      <w:bCs/>
      <w:sz w:val="32"/>
      <w:szCs w:val="32"/>
    </w:rPr>
  </w:style>
  <w:style w:type="paragraph" w:styleId="39">
    <w:name w:val="annotation subject"/>
    <w:basedOn w:val="13"/>
    <w:next w:val="13"/>
    <w:link w:val="168"/>
    <w:qFormat/>
    <w:uiPriority w:val="0"/>
    <w:rPr>
      <w:b/>
      <w:bCs/>
    </w:rPr>
  </w:style>
  <w:style w:type="paragraph" w:styleId="40">
    <w:name w:val="Body Text First Indent"/>
    <w:basedOn w:val="14"/>
    <w:link w:val="208"/>
    <w:unhideWhenUsed/>
    <w:qFormat/>
    <w:uiPriority w:val="99"/>
    <w:pPr>
      <w:ind w:firstLine="420" w:firstLineChars="100"/>
    </w:pPr>
    <w:rPr>
      <w:rFonts w:asciiTheme="minorHAnsi" w:hAnsiTheme="minorHAnsi" w:eastAsiaTheme="minorEastAsia" w:cstheme="minorBidi"/>
      <w:kern w:val="2"/>
      <w:sz w:val="21"/>
      <w:szCs w:val="22"/>
    </w:rPr>
  </w:style>
  <w:style w:type="paragraph" w:styleId="41">
    <w:name w:val="Body Text First Indent 2"/>
    <w:basedOn w:val="16"/>
    <w:next w:val="1"/>
    <w:link w:val="212"/>
    <w:semiHidden/>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3">
    <w:name w:val="Table Grid"/>
    <w:basedOn w:val="4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qFormat/>
    <w:uiPriority w:val="22"/>
    <w:rPr>
      <w:rFonts w:cs="Times New Roman"/>
      <w:b/>
    </w:rPr>
  </w:style>
  <w:style w:type="character" w:styleId="46">
    <w:name w:val="page number"/>
    <w:basedOn w:val="44"/>
    <w:qFormat/>
    <w:uiPriority w:val="0"/>
    <w:rPr>
      <w:rFonts w:cs="Times New Roman"/>
    </w:rPr>
  </w:style>
  <w:style w:type="character" w:styleId="47">
    <w:name w:val="FollowedHyperlink"/>
    <w:basedOn w:val="44"/>
    <w:qFormat/>
    <w:uiPriority w:val="99"/>
    <w:rPr>
      <w:rFonts w:cs="Times New Roman"/>
      <w:color w:val="555555"/>
      <w:u w:val="none"/>
    </w:rPr>
  </w:style>
  <w:style w:type="character" w:styleId="48">
    <w:name w:val="Emphasis"/>
    <w:basedOn w:val="44"/>
    <w:qFormat/>
    <w:uiPriority w:val="0"/>
    <w:rPr>
      <w:rFonts w:cs="Times New Roman"/>
      <w:i/>
    </w:rPr>
  </w:style>
  <w:style w:type="character" w:styleId="49">
    <w:name w:val="HTML Definition"/>
    <w:basedOn w:val="44"/>
    <w:qFormat/>
    <w:uiPriority w:val="99"/>
    <w:rPr>
      <w:rFonts w:cs="Times New Roman"/>
    </w:rPr>
  </w:style>
  <w:style w:type="character" w:styleId="50">
    <w:name w:val="HTML Acronym"/>
    <w:basedOn w:val="44"/>
    <w:qFormat/>
    <w:uiPriority w:val="99"/>
    <w:rPr>
      <w:rFonts w:cs="Times New Roman"/>
    </w:rPr>
  </w:style>
  <w:style w:type="character" w:styleId="51">
    <w:name w:val="HTML Variable"/>
    <w:basedOn w:val="44"/>
    <w:qFormat/>
    <w:uiPriority w:val="99"/>
    <w:rPr>
      <w:rFonts w:cs="Times New Roman"/>
    </w:rPr>
  </w:style>
  <w:style w:type="character" w:styleId="52">
    <w:name w:val="Hyperlink"/>
    <w:basedOn w:val="44"/>
    <w:qFormat/>
    <w:uiPriority w:val="99"/>
    <w:rPr>
      <w:rFonts w:cs="Times New Roman"/>
      <w:color w:val="555555"/>
      <w:u w:val="none"/>
    </w:rPr>
  </w:style>
  <w:style w:type="character" w:styleId="53">
    <w:name w:val="HTML Code"/>
    <w:basedOn w:val="44"/>
    <w:qFormat/>
    <w:uiPriority w:val="99"/>
    <w:rPr>
      <w:rFonts w:ascii="monospace" w:hAnsi="monospace" w:cs="Times New Roman"/>
      <w:sz w:val="24"/>
    </w:rPr>
  </w:style>
  <w:style w:type="character" w:styleId="54">
    <w:name w:val="annotation reference"/>
    <w:qFormat/>
    <w:uiPriority w:val="0"/>
    <w:rPr>
      <w:sz w:val="21"/>
      <w:szCs w:val="21"/>
    </w:rPr>
  </w:style>
  <w:style w:type="character" w:styleId="55">
    <w:name w:val="HTML Cite"/>
    <w:basedOn w:val="44"/>
    <w:qFormat/>
    <w:uiPriority w:val="99"/>
    <w:rPr>
      <w:rFonts w:cs="Times New Roman"/>
    </w:rPr>
  </w:style>
  <w:style w:type="character" w:styleId="56">
    <w:name w:val="footnote reference"/>
    <w:semiHidden/>
    <w:qFormat/>
    <w:uiPriority w:val="0"/>
    <w:rPr>
      <w:vertAlign w:val="superscript"/>
    </w:rPr>
  </w:style>
  <w:style w:type="character" w:styleId="57">
    <w:name w:val="HTML Keyboard"/>
    <w:basedOn w:val="44"/>
    <w:qFormat/>
    <w:uiPriority w:val="99"/>
    <w:rPr>
      <w:rFonts w:ascii="monospace" w:hAnsi="monospace" w:cs="Times New Roman"/>
      <w:sz w:val="24"/>
    </w:rPr>
  </w:style>
  <w:style w:type="character" w:styleId="58">
    <w:name w:val="HTML Sample"/>
    <w:basedOn w:val="44"/>
    <w:qFormat/>
    <w:uiPriority w:val="99"/>
    <w:rPr>
      <w:rFonts w:ascii="monospace" w:hAnsi="monospace" w:cs="Times New Roman"/>
      <w:sz w:val="24"/>
    </w:rPr>
  </w:style>
  <w:style w:type="paragraph" w:customStyle="1" w:styleId="59">
    <w:name w:val="H3-HXDI"/>
    <w:basedOn w:val="60"/>
    <w:next w:val="62"/>
    <w:qFormat/>
    <w:uiPriority w:val="0"/>
    <w:pPr>
      <w:spacing w:before="0" w:after="0"/>
      <w:outlineLvl w:val="2"/>
    </w:pPr>
  </w:style>
  <w:style w:type="paragraph" w:customStyle="1" w:styleId="60">
    <w:name w:val="H2-HXDI"/>
    <w:basedOn w:val="61"/>
    <w:next w:val="62"/>
    <w:qFormat/>
    <w:uiPriority w:val="0"/>
    <w:pPr>
      <w:pageBreakBefore w:val="0"/>
      <w:outlineLvl w:val="1"/>
    </w:pPr>
    <w:rPr>
      <w:sz w:val="24"/>
    </w:rPr>
  </w:style>
  <w:style w:type="paragraph" w:customStyle="1" w:styleId="61">
    <w:name w:val="H1-HXDI"/>
    <w:basedOn w:val="62"/>
    <w:next w:val="62"/>
    <w:qFormat/>
    <w:uiPriority w:val="0"/>
    <w:pPr>
      <w:pageBreakBefore/>
      <w:spacing w:before="120" w:after="120"/>
      <w:outlineLvl w:val="0"/>
    </w:pPr>
    <w:rPr>
      <w:rFonts w:eastAsia="黑体"/>
      <w:sz w:val="28"/>
    </w:rPr>
  </w:style>
  <w:style w:type="paragraph" w:customStyle="1" w:styleId="62">
    <w:name w:val="正文-HXDI"/>
    <w:basedOn w:val="1"/>
    <w:qFormat/>
    <w:uiPriority w:val="0"/>
    <w:pPr>
      <w:adjustRightInd w:val="0"/>
      <w:textAlignment w:val="baseline"/>
    </w:pPr>
    <w:rPr>
      <w:kern w:val="0"/>
    </w:rPr>
  </w:style>
  <w:style w:type="paragraph" w:customStyle="1" w:styleId="63">
    <w:name w:val="方案正文"/>
    <w:basedOn w:val="14"/>
    <w:qFormat/>
    <w:uiPriority w:val="0"/>
    <w:pPr>
      <w:spacing w:after="0"/>
      <w:ind w:firstLine="560" w:firstLineChars="200"/>
      <w:jc w:val="left"/>
    </w:pPr>
    <w:rPr>
      <w:rFonts w:ascii="Arial" w:hAnsi="Arial" w:eastAsia="仿宋" w:cs="宋体"/>
      <w:sz w:val="28"/>
      <w:szCs w:val="21"/>
    </w:rPr>
  </w:style>
  <w:style w:type="character" w:customStyle="1" w:styleId="64">
    <w:name w:val="标题 1 Char"/>
    <w:basedOn w:val="44"/>
    <w:link w:val="2"/>
    <w:qFormat/>
    <w:uiPriority w:val="9"/>
    <w:rPr>
      <w:rFonts w:ascii="???" w:hAnsi="???" w:eastAsia="宋体" w:cs="Arial"/>
      <w:b/>
      <w:bCs/>
      <w:color w:val="020000"/>
      <w:kern w:val="36"/>
      <w:sz w:val="44"/>
      <w:szCs w:val="44"/>
    </w:rPr>
  </w:style>
  <w:style w:type="character" w:customStyle="1" w:styleId="65">
    <w:name w:val="标题 3 Char"/>
    <w:basedOn w:val="44"/>
    <w:link w:val="4"/>
    <w:qFormat/>
    <w:uiPriority w:val="0"/>
    <w:rPr>
      <w:rFonts w:ascii="??" w:hAnsi="??" w:eastAsia="宋体" w:cs="Arial"/>
      <w:b/>
      <w:bCs/>
      <w:color w:val="000000"/>
      <w:kern w:val="0"/>
      <w:sz w:val="32"/>
      <w:szCs w:val="32"/>
    </w:rPr>
  </w:style>
  <w:style w:type="character" w:customStyle="1" w:styleId="66">
    <w:name w:val="标题 2 Char"/>
    <w:basedOn w:val="44"/>
    <w:link w:val="3"/>
    <w:qFormat/>
    <w:uiPriority w:val="99"/>
    <w:rPr>
      <w:rFonts w:ascii="???" w:hAnsi="???" w:eastAsia="宋体" w:cs="Arial"/>
      <w:b/>
      <w:bCs/>
      <w:color w:val="020000"/>
      <w:kern w:val="0"/>
      <w:sz w:val="32"/>
      <w:szCs w:val="32"/>
    </w:rPr>
  </w:style>
  <w:style w:type="character" w:customStyle="1" w:styleId="67">
    <w:name w:val="页眉 Char"/>
    <w:basedOn w:val="44"/>
    <w:link w:val="25"/>
    <w:qFormat/>
    <w:uiPriority w:val="99"/>
    <w:rPr>
      <w:rFonts w:ascii="Calibri" w:hAnsi="Calibri" w:eastAsia="宋体" w:cs="Times New Roman"/>
      <w:sz w:val="18"/>
      <w:szCs w:val="18"/>
    </w:rPr>
  </w:style>
  <w:style w:type="character" w:customStyle="1" w:styleId="68">
    <w:name w:val="页脚 Char"/>
    <w:basedOn w:val="44"/>
    <w:link w:val="24"/>
    <w:qFormat/>
    <w:uiPriority w:val="99"/>
    <w:rPr>
      <w:rFonts w:ascii="Calibri" w:hAnsi="Calibri" w:eastAsia="宋体" w:cs="Times New Roman"/>
      <w:sz w:val="18"/>
      <w:szCs w:val="18"/>
    </w:rPr>
  </w:style>
  <w:style w:type="character" w:customStyle="1" w:styleId="69">
    <w:name w:val="正文文本缩进 Char"/>
    <w:basedOn w:val="44"/>
    <w:link w:val="16"/>
    <w:qFormat/>
    <w:uiPriority w:val="0"/>
    <w:rPr>
      <w:rFonts w:ascii="??" w:hAnsi="??" w:eastAsia="宋体" w:cs="Arial"/>
      <w:kern w:val="0"/>
      <w:sz w:val="24"/>
      <w:szCs w:val="24"/>
    </w:rPr>
  </w:style>
  <w:style w:type="paragraph" w:customStyle="1" w:styleId="70">
    <w:name w:val="列出段落1"/>
    <w:basedOn w:val="1"/>
    <w:qFormat/>
    <w:uiPriority w:val="34"/>
    <w:pPr>
      <w:ind w:firstLine="420" w:firstLineChars="200"/>
    </w:pPr>
    <w:rPr>
      <w:rFonts w:ascii="Calibri" w:hAnsi="Calibri" w:eastAsia="宋体" w:cs="Times New Roman"/>
    </w:rPr>
  </w:style>
  <w:style w:type="character" w:customStyle="1" w:styleId="71">
    <w:name w:val="标题 2 Char Char"/>
    <w:qFormat/>
    <w:uiPriority w:val="99"/>
    <w:rPr>
      <w:rFonts w:ascii="Arial" w:hAnsi="Arial" w:eastAsia="黑体"/>
      <w:b/>
      <w:kern w:val="2"/>
      <w:sz w:val="32"/>
      <w:lang w:val="en-US" w:eastAsia="zh-CN"/>
    </w:rPr>
  </w:style>
  <w:style w:type="character" w:customStyle="1" w:styleId="72">
    <w:name w:val="2charchar"/>
    <w:basedOn w:val="44"/>
    <w:qFormat/>
    <w:uiPriority w:val="99"/>
    <w:rPr>
      <w:rFonts w:cs="Times New Roman"/>
    </w:rPr>
  </w:style>
  <w:style w:type="paragraph" w:customStyle="1" w:styleId="73">
    <w:name w:val="表格文字"/>
    <w:basedOn w:val="1"/>
    <w:next w:val="14"/>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4">
    <w:name w:val="z-窗体顶端1"/>
    <w:basedOn w:val="1"/>
    <w:next w:val="1"/>
    <w:link w:val="75"/>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5">
    <w:name w:val="z-窗体顶端 Char"/>
    <w:basedOn w:val="44"/>
    <w:link w:val="74"/>
    <w:semiHidden/>
    <w:qFormat/>
    <w:uiPriority w:val="99"/>
    <w:rPr>
      <w:rFonts w:ascii="Arial" w:hAnsi="Arial" w:eastAsia="宋体" w:cs="Arial"/>
      <w:vanish/>
      <w:kern w:val="0"/>
      <w:sz w:val="16"/>
      <w:szCs w:val="16"/>
    </w:rPr>
  </w:style>
  <w:style w:type="paragraph" w:customStyle="1" w:styleId="76">
    <w:name w:val="z-窗体底端1"/>
    <w:basedOn w:val="1"/>
    <w:next w:val="1"/>
    <w:link w:val="77"/>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7">
    <w:name w:val="z-窗体底端 Char"/>
    <w:basedOn w:val="44"/>
    <w:link w:val="76"/>
    <w:semiHidden/>
    <w:qFormat/>
    <w:uiPriority w:val="99"/>
    <w:rPr>
      <w:rFonts w:ascii="Arial" w:hAnsi="Arial" w:eastAsia="宋体" w:cs="Arial"/>
      <w:vanish/>
      <w:kern w:val="0"/>
      <w:sz w:val="16"/>
      <w:szCs w:val="16"/>
    </w:rPr>
  </w:style>
  <w:style w:type="paragraph" w:customStyle="1" w:styleId="78">
    <w:name w:val="hu正文"/>
    <w:basedOn w:val="1"/>
    <w:link w:val="79"/>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9">
    <w:name w:val="hu正文 Char"/>
    <w:link w:val="78"/>
    <w:qFormat/>
    <w:locked/>
    <w:uiPriority w:val="99"/>
    <w:rPr>
      <w:rFonts w:ascii="Times New Roman" w:hAnsi="Times New Roman" w:eastAsia="宋体" w:cs="Times New Roman"/>
      <w:kern w:val="0"/>
      <w:sz w:val="24"/>
      <w:szCs w:val="20"/>
    </w:rPr>
  </w:style>
  <w:style w:type="paragraph" w:customStyle="1" w:styleId="80">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1">
    <w:name w:val="批注框文本 Char"/>
    <w:basedOn w:val="44"/>
    <w:link w:val="23"/>
    <w:qFormat/>
    <w:uiPriority w:val="99"/>
    <w:rPr>
      <w:rFonts w:ascii="Calibri" w:hAnsi="Calibri" w:eastAsia="宋体" w:cs="Times New Roman"/>
      <w:sz w:val="18"/>
      <w:szCs w:val="18"/>
    </w:rPr>
  </w:style>
  <w:style w:type="character" w:customStyle="1" w:styleId="82">
    <w:name w:val="ui-bz-bg-hover1"/>
    <w:basedOn w:val="44"/>
    <w:qFormat/>
    <w:uiPriority w:val="99"/>
    <w:rPr>
      <w:rFonts w:cs="Times New Roman"/>
    </w:rPr>
  </w:style>
  <w:style w:type="character" w:customStyle="1" w:styleId="83">
    <w:name w:val="批注框文本 Char1"/>
    <w:qFormat/>
    <w:uiPriority w:val="99"/>
    <w:rPr>
      <w:rFonts w:ascii="Times New Roman" w:hAnsi="Times New Roman" w:eastAsia="宋体"/>
      <w:sz w:val="18"/>
    </w:rPr>
  </w:style>
  <w:style w:type="character" w:customStyle="1" w:styleId="84">
    <w:name w:val="bds_nopic"/>
    <w:basedOn w:val="44"/>
    <w:qFormat/>
    <w:uiPriority w:val="99"/>
    <w:rPr>
      <w:rFonts w:cs="Times New Roman"/>
    </w:rPr>
  </w:style>
  <w:style w:type="character" w:customStyle="1" w:styleId="85">
    <w:name w:val="tip12"/>
    <w:qFormat/>
    <w:uiPriority w:val="99"/>
    <w:rPr>
      <w:vanish/>
      <w:color w:val="FF0000"/>
      <w:sz w:val="18"/>
    </w:rPr>
  </w:style>
  <w:style w:type="character" w:customStyle="1" w:styleId="86">
    <w:name w:val="Body Text Indent 3 Char"/>
    <w:qFormat/>
    <w:locked/>
    <w:uiPriority w:val="99"/>
    <w:rPr>
      <w:rFonts w:ascii="宋体" w:eastAsia="宋体"/>
    </w:rPr>
  </w:style>
  <w:style w:type="character" w:customStyle="1" w:styleId="87">
    <w:name w:val="HTML Markup"/>
    <w:qFormat/>
    <w:uiPriority w:val="99"/>
    <w:rPr>
      <w:vanish/>
      <w:color w:val="FF0000"/>
    </w:rPr>
  </w:style>
  <w:style w:type="character" w:customStyle="1" w:styleId="88">
    <w:name w:val="tip7"/>
    <w:qFormat/>
    <w:uiPriority w:val="99"/>
    <w:rPr>
      <w:vanish/>
      <w:color w:val="FF0000"/>
      <w:sz w:val="18"/>
    </w:rPr>
  </w:style>
  <w:style w:type="character" w:customStyle="1" w:styleId="89">
    <w:name w:val="f-star"/>
    <w:qFormat/>
    <w:uiPriority w:val="99"/>
    <w:rPr>
      <w:color w:val="999999"/>
      <w:sz w:val="21"/>
    </w:rPr>
  </w:style>
  <w:style w:type="character" w:customStyle="1" w:styleId="90">
    <w:name w:val="Document Map Char1"/>
    <w:qFormat/>
    <w:uiPriority w:val="99"/>
    <w:rPr>
      <w:rFonts w:ascii="Times New Roman" w:hAnsi="Times New Roman"/>
      <w:kern w:val="2"/>
      <w:sz w:val="2"/>
    </w:rPr>
  </w:style>
  <w:style w:type="character" w:customStyle="1" w:styleId="91">
    <w:name w:val="my-class2"/>
    <w:basedOn w:val="44"/>
    <w:qFormat/>
    <w:uiPriority w:val="99"/>
    <w:rPr>
      <w:rFonts w:cs="Times New Roman"/>
    </w:rPr>
  </w:style>
  <w:style w:type="character" w:customStyle="1" w:styleId="92">
    <w:name w:val="no52"/>
    <w:basedOn w:val="44"/>
    <w:qFormat/>
    <w:uiPriority w:val="99"/>
    <w:rPr>
      <w:rFonts w:cs="Times New Roman"/>
    </w:rPr>
  </w:style>
  <w:style w:type="character" w:customStyle="1" w:styleId="93">
    <w:name w:val="no4"/>
    <w:basedOn w:val="44"/>
    <w:qFormat/>
    <w:uiPriority w:val="99"/>
    <w:rPr>
      <w:rFonts w:cs="Times New Roman"/>
    </w:rPr>
  </w:style>
  <w:style w:type="character" w:customStyle="1" w:styleId="94">
    <w:name w:val="my-notice"/>
    <w:basedOn w:val="44"/>
    <w:qFormat/>
    <w:uiPriority w:val="99"/>
    <w:rPr>
      <w:rFonts w:cs="Times New Roman"/>
    </w:rPr>
  </w:style>
  <w:style w:type="character" w:customStyle="1" w:styleId="95">
    <w:name w:val="ico-jiang"/>
    <w:basedOn w:val="44"/>
    <w:qFormat/>
    <w:uiPriority w:val="99"/>
    <w:rPr>
      <w:rFonts w:cs="Times New Roman"/>
    </w:rPr>
  </w:style>
  <w:style w:type="character" w:customStyle="1" w:styleId="96">
    <w:name w:val="ico-jiang2"/>
    <w:basedOn w:val="44"/>
    <w:qFormat/>
    <w:uiPriority w:val="99"/>
    <w:rPr>
      <w:rFonts w:cs="Times New Roman"/>
    </w:rPr>
  </w:style>
  <w:style w:type="character" w:customStyle="1" w:styleId="97">
    <w:name w:val="bds_more1"/>
    <w:qFormat/>
    <w:uiPriority w:val="99"/>
    <w:rPr>
      <w:rFonts w:ascii="宋体" w:hAnsi="宋体" w:eastAsia="宋体"/>
    </w:rPr>
  </w:style>
  <w:style w:type="character" w:customStyle="1" w:styleId="98">
    <w:name w:val="Body Text Indent 2 Char"/>
    <w:qFormat/>
    <w:locked/>
    <w:uiPriority w:val="99"/>
    <w:rPr>
      <w:rFonts w:ascii="宋体" w:eastAsia="宋体"/>
      <w:sz w:val="24"/>
    </w:rPr>
  </w:style>
  <w:style w:type="character" w:customStyle="1" w:styleId="99">
    <w:name w:val="org_name"/>
    <w:basedOn w:val="44"/>
    <w:qFormat/>
    <w:uiPriority w:val="99"/>
    <w:rPr>
      <w:rFonts w:cs="Times New Roman"/>
    </w:rPr>
  </w:style>
  <w:style w:type="character" w:customStyle="1" w:styleId="100">
    <w:name w:val="org_name2"/>
    <w:basedOn w:val="44"/>
    <w:qFormat/>
    <w:uiPriority w:val="99"/>
    <w:rPr>
      <w:rFonts w:cs="Times New Roman"/>
    </w:rPr>
  </w:style>
  <w:style w:type="character" w:customStyle="1" w:styleId="101">
    <w:name w:val="tip10"/>
    <w:qFormat/>
    <w:uiPriority w:val="99"/>
    <w:rPr>
      <w:vanish/>
      <w:color w:val="FF0000"/>
      <w:sz w:val="18"/>
    </w:rPr>
  </w:style>
  <w:style w:type="character" w:customStyle="1" w:styleId="102">
    <w:name w:val="orange"/>
    <w:qFormat/>
    <w:uiPriority w:val="99"/>
    <w:rPr>
      <w:color w:val="3FB58F"/>
    </w:rPr>
  </w:style>
  <w:style w:type="character" w:customStyle="1" w:styleId="103">
    <w:name w:val="bds_more"/>
    <w:basedOn w:val="44"/>
    <w:qFormat/>
    <w:uiPriority w:val="99"/>
    <w:rPr>
      <w:rFonts w:cs="Times New Roman"/>
    </w:rPr>
  </w:style>
  <w:style w:type="character" w:customStyle="1" w:styleId="104">
    <w:name w:val="t-tag"/>
    <w:qFormat/>
    <w:uiPriority w:val="99"/>
    <w:rPr>
      <w:color w:val="FFFFFF"/>
      <w:sz w:val="18"/>
      <w:shd w:val="clear" w:color="auto" w:fill="FE8833"/>
    </w:rPr>
  </w:style>
  <w:style w:type="character" w:customStyle="1" w:styleId="105">
    <w:name w:val="top-icon"/>
    <w:basedOn w:val="44"/>
    <w:qFormat/>
    <w:uiPriority w:val="99"/>
    <w:rPr>
      <w:rFonts w:cs="Times New Roman"/>
    </w:rPr>
  </w:style>
  <w:style w:type="character" w:customStyle="1" w:styleId="106">
    <w:name w:val="Body Text Char"/>
    <w:qFormat/>
    <w:locked/>
    <w:uiPriority w:val="99"/>
    <w:rPr>
      <w:sz w:val="24"/>
    </w:rPr>
  </w:style>
  <w:style w:type="character" w:customStyle="1" w:styleId="107">
    <w:name w:val="no72"/>
    <w:basedOn w:val="44"/>
    <w:qFormat/>
    <w:uiPriority w:val="99"/>
    <w:rPr>
      <w:rFonts w:cs="Times New Roman"/>
    </w:rPr>
  </w:style>
  <w:style w:type="character" w:customStyle="1" w:styleId="108">
    <w:name w:val="bds_nopic2"/>
    <w:basedOn w:val="44"/>
    <w:qFormat/>
    <w:uiPriority w:val="99"/>
    <w:rPr>
      <w:rFonts w:cs="Times New Roman"/>
    </w:rPr>
  </w:style>
  <w:style w:type="character" w:customStyle="1" w:styleId="109">
    <w:name w:val="Document Map Char"/>
    <w:qFormat/>
    <w:uiPriority w:val="99"/>
    <w:rPr>
      <w:rFonts w:ascii="宋体"/>
      <w:sz w:val="18"/>
    </w:rPr>
  </w:style>
  <w:style w:type="character" w:customStyle="1" w:styleId="110">
    <w:name w:val="no6"/>
    <w:basedOn w:val="44"/>
    <w:qFormat/>
    <w:uiPriority w:val="99"/>
    <w:rPr>
      <w:rFonts w:cs="Times New Roman"/>
    </w:rPr>
  </w:style>
  <w:style w:type="character" w:customStyle="1" w:styleId="111">
    <w:name w:val="tip"/>
    <w:qFormat/>
    <w:uiPriority w:val="99"/>
    <w:rPr>
      <w:vanish/>
      <w:color w:val="FF0000"/>
      <w:sz w:val="18"/>
    </w:rPr>
  </w:style>
  <w:style w:type="character" w:customStyle="1" w:styleId="112">
    <w:name w:val="apple-converted-space"/>
    <w:basedOn w:val="44"/>
    <w:qFormat/>
    <w:uiPriority w:val="99"/>
    <w:rPr>
      <w:rFonts w:cs="Times New Roman"/>
    </w:rPr>
  </w:style>
  <w:style w:type="character" w:customStyle="1" w:styleId="113">
    <w:name w:val="bds_more2"/>
    <w:basedOn w:val="44"/>
    <w:qFormat/>
    <w:uiPriority w:val="99"/>
    <w:rPr>
      <w:rFonts w:cs="Times New Roman"/>
    </w:rPr>
  </w:style>
  <w:style w:type="character" w:customStyle="1" w:styleId="114">
    <w:name w:val="my-class"/>
    <w:basedOn w:val="44"/>
    <w:qFormat/>
    <w:uiPriority w:val="99"/>
    <w:rPr>
      <w:rFonts w:cs="Times New Roman"/>
    </w:rPr>
  </w:style>
  <w:style w:type="character" w:customStyle="1" w:styleId="115">
    <w:name w:val="ui-bz-bg-hover"/>
    <w:qFormat/>
    <w:uiPriority w:val="99"/>
    <w:rPr>
      <w:shd w:val="clear" w:color="auto" w:fill="000000"/>
    </w:rPr>
  </w:style>
  <w:style w:type="character" w:customStyle="1" w:styleId="116">
    <w:name w:val="no7"/>
    <w:basedOn w:val="44"/>
    <w:qFormat/>
    <w:uiPriority w:val="99"/>
    <w:rPr>
      <w:rFonts w:cs="Times New Roman"/>
    </w:rPr>
  </w:style>
  <w:style w:type="character" w:customStyle="1" w:styleId="117">
    <w:name w:val="正文缩进 Char"/>
    <w:link w:val="6"/>
    <w:qFormat/>
    <w:locked/>
    <w:uiPriority w:val="0"/>
    <w:rPr>
      <w:rFonts w:ascii="Times New Roman" w:hAnsi="Times New Roman" w:eastAsia="宋体" w:cs="Times New Roman"/>
      <w:kern w:val="0"/>
      <w:sz w:val="24"/>
      <w:szCs w:val="20"/>
    </w:rPr>
  </w:style>
  <w:style w:type="character" w:customStyle="1" w:styleId="118">
    <w:name w:val="ico-jiang1"/>
    <w:basedOn w:val="44"/>
    <w:qFormat/>
    <w:uiPriority w:val="99"/>
    <w:rPr>
      <w:rFonts w:cs="Times New Roman"/>
    </w:rPr>
  </w:style>
  <w:style w:type="character" w:customStyle="1" w:styleId="119">
    <w:name w:val="no62"/>
    <w:basedOn w:val="44"/>
    <w:qFormat/>
    <w:uiPriority w:val="99"/>
    <w:rPr>
      <w:rFonts w:cs="Times New Roman"/>
    </w:rPr>
  </w:style>
  <w:style w:type="character" w:customStyle="1" w:styleId="120">
    <w:name w:val="orange5"/>
    <w:qFormat/>
    <w:uiPriority w:val="99"/>
    <w:rPr>
      <w:color w:val="3FB58F"/>
    </w:rPr>
  </w:style>
  <w:style w:type="character" w:customStyle="1" w:styleId="121">
    <w:name w:val="bds_more4"/>
    <w:basedOn w:val="44"/>
    <w:qFormat/>
    <w:uiPriority w:val="99"/>
    <w:rPr>
      <w:rFonts w:cs="Times New Roman"/>
    </w:rPr>
  </w:style>
  <w:style w:type="character" w:customStyle="1" w:styleId="122">
    <w:name w:val="no5"/>
    <w:basedOn w:val="44"/>
    <w:qFormat/>
    <w:uiPriority w:val="99"/>
    <w:rPr>
      <w:rFonts w:cs="Times New Roman"/>
    </w:rPr>
  </w:style>
  <w:style w:type="character" w:customStyle="1" w:styleId="123">
    <w:name w:val="bds_more3"/>
    <w:basedOn w:val="44"/>
    <w:qFormat/>
    <w:uiPriority w:val="99"/>
    <w:rPr>
      <w:rFonts w:cs="Times New Roman"/>
    </w:rPr>
  </w:style>
  <w:style w:type="character" w:customStyle="1" w:styleId="124">
    <w:name w:val="no42"/>
    <w:basedOn w:val="44"/>
    <w:qFormat/>
    <w:uiPriority w:val="99"/>
    <w:rPr>
      <w:rFonts w:cs="Times New Roman"/>
    </w:rPr>
  </w:style>
  <w:style w:type="character" w:customStyle="1" w:styleId="125">
    <w:name w:val="bds_nopic1"/>
    <w:basedOn w:val="44"/>
    <w:qFormat/>
    <w:uiPriority w:val="99"/>
    <w:rPr>
      <w:rFonts w:cs="Times New Roman"/>
    </w:rPr>
  </w:style>
  <w:style w:type="character" w:customStyle="1" w:styleId="126">
    <w:name w:val="my-notice1"/>
    <w:basedOn w:val="44"/>
    <w:qFormat/>
    <w:uiPriority w:val="99"/>
    <w:rPr>
      <w:rFonts w:cs="Times New Roman"/>
    </w:rPr>
  </w:style>
  <w:style w:type="character" w:customStyle="1" w:styleId="127">
    <w:name w:val="orange6"/>
    <w:qFormat/>
    <w:uiPriority w:val="99"/>
    <w:rPr>
      <w:color w:val="3FB58F"/>
    </w:rPr>
  </w:style>
  <w:style w:type="character" w:customStyle="1" w:styleId="128">
    <w:name w:val="Document Map Char2"/>
    <w:qFormat/>
    <w:locked/>
    <w:uiPriority w:val="99"/>
    <w:rPr>
      <w:rFonts w:ascii="宋体"/>
      <w:sz w:val="18"/>
    </w:rPr>
  </w:style>
  <w:style w:type="character" w:customStyle="1" w:styleId="129">
    <w:name w:val="ico-jiang3"/>
    <w:basedOn w:val="44"/>
    <w:qFormat/>
    <w:uiPriority w:val="99"/>
    <w:rPr>
      <w:rFonts w:cs="Times New Roman"/>
    </w:rPr>
  </w:style>
  <w:style w:type="character" w:customStyle="1" w:styleId="130">
    <w:name w:val="tip13"/>
    <w:qFormat/>
    <w:uiPriority w:val="99"/>
    <w:rPr>
      <w:vanish/>
      <w:color w:val="FF0000"/>
      <w:sz w:val="18"/>
    </w:rPr>
  </w:style>
  <w:style w:type="character" w:customStyle="1" w:styleId="131">
    <w:name w:val="正文文本缩进 2 Char"/>
    <w:basedOn w:val="44"/>
    <w:link w:val="22"/>
    <w:qFormat/>
    <w:uiPriority w:val="99"/>
    <w:rPr>
      <w:rFonts w:ascii="宋体" w:hAnsi="Calibri" w:eastAsia="宋体" w:cs="Times New Roman"/>
      <w:kern w:val="0"/>
      <w:sz w:val="24"/>
      <w:szCs w:val="20"/>
    </w:rPr>
  </w:style>
  <w:style w:type="character" w:customStyle="1" w:styleId="132">
    <w:name w:val="Body Text Indent 2 Char1"/>
    <w:basedOn w:val="44"/>
    <w:semiHidden/>
    <w:qFormat/>
    <w:locked/>
    <w:uiPriority w:val="99"/>
    <w:rPr>
      <w:rFonts w:cs="Times New Roman"/>
    </w:rPr>
  </w:style>
  <w:style w:type="character" w:customStyle="1" w:styleId="133">
    <w:name w:val="正文文本缩进 3 Char"/>
    <w:basedOn w:val="44"/>
    <w:link w:val="31"/>
    <w:qFormat/>
    <w:uiPriority w:val="99"/>
    <w:rPr>
      <w:rFonts w:ascii="宋体" w:hAnsi="Calibri" w:eastAsia="宋体" w:cs="Times New Roman"/>
      <w:kern w:val="0"/>
      <w:sz w:val="20"/>
      <w:szCs w:val="20"/>
    </w:rPr>
  </w:style>
  <w:style w:type="character" w:customStyle="1" w:styleId="134">
    <w:name w:val="Body Text Indent 3 Char1"/>
    <w:basedOn w:val="44"/>
    <w:semiHidden/>
    <w:qFormat/>
    <w:locked/>
    <w:uiPriority w:val="99"/>
    <w:rPr>
      <w:rFonts w:cs="Times New Roman"/>
      <w:sz w:val="16"/>
      <w:szCs w:val="16"/>
    </w:rPr>
  </w:style>
  <w:style w:type="character" w:customStyle="1" w:styleId="135">
    <w:name w:val="文档结构图 Char"/>
    <w:basedOn w:val="44"/>
    <w:link w:val="11"/>
    <w:qFormat/>
    <w:uiPriority w:val="99"/>
    <w:rPr>
      <w:rFonts w:ascii="宋体" w:hAnsi="Calibri" w:eastAsia="宋体" w:cs="Times New Roman"/>
      <w:kern w:val="0"/>
      <w:sz w:val="18"/>
      <w:szCs w:val="20"/>
    </w:rPr>
  </w:style>
  <w:style w:type="character" w:customStyle="1" w:styleId="136">
    <w:name w:val="Document Map Char3"/>
    <w:basedOn w:val="44"/>
    <w:semiHidden/>
    <w:qFormat/>
    <w:locked/>
    <w:uiPriority w:val="99"/>
    <w:rPr>
      <w:rFonts w:ascii="Times New Roman" w:hAnsi="Times New Roman" w:cs="Times New Roman"/>
      <w:sz w:val="2"/>
    </w:rPr>
  </w:style>
  <w:style w:type="paragraph" w:customStyle="1" w:styleId="137">
    <w:name w:val="_Style 1"/>
    <w:basedOn w:val="1"/>
    <w:qFormat/>
    <w:uiPriority w:val="99"/>
    <w:pPr>
      <w:ind w:firstLine="420" w:firstLineChars="200"/>
    </w:pPr>
    <w:rPr>
      <w:rFonts w:ascii="Times New Roman" w:hAnsi="Times New Roman" w:eastAsia="宋体" w:cs="Times New Roman"/>
      <w:szCs w:val="24"/>
    </w:rPr>
  </w:style>
  <w:style w:type="character" w:customStyle="1" w:styleId="138">
    <w:name w:val="正文文本 Char"/>
    <w:basedOn w:val="44"/>
    <w:link w:val="14"/>
    <w:qFormat/>
    <w:uiPriority w:val="99"/>
    <w:rPr>
      <w:rFonts w:ascii="Calibri" w:hAnsi="Calibri" w:eastAsia="宋体" w:cs="Times New Roman"/>
      <w:kern w:val="0"/>
      <w:sz w:val="24"/>
      <w:szCs w:val="20"/>
    </w:rPr>
  </w:style>
  <w:style w:type="character" w:customStyle="1" w:styleId="139">
    <w:name w:val="Body Text Char1"/>
    <w:basedOn w:val="44"/>
    <w:semiHidden/>
    <w:qFormat/>
    <w:locked/>
    <w:uiPriority w:val="99"/>
    <w:rPr>
      <w:rFonts w:cs="Times New Roman"/>
    </w:rPr>
  </w:style>
  <w:style w:type="paragraph" w:customStyle="1" w:styleId="140">
    <w:name w:val="_Style 21"/>
    <w:basedOn w:val="1"/>
    <w:qFormat/>
    <w:uiPriority w:val="99"/>
    <w:rPr>
      <w:rFonts w:ascii="Times New Roman" w:hAnsi="Times New Roman" w:eastAsia="宋体" w:cs="Times New Roman"/>
      <w:szCs w:val="20"/>
    </w:rPr>
  </w:style>
  <w:style w:type="paragraph" w:customStyle="1" w:styleId="141">
    <w:name w:val="p0"/>
    <w:basedOn w:val="1"/>
    <w:qFormat/>
    <w:uiPriority w:val="99"/>
    <w:pPr>
      <w:widowControl/>
    </w:pPr>
    <w:rPr>
      <w:rFonts w:ascii="Times New Roman" w:hAnsi="Times New Roman" w:eastAsia="宋体" w:cs="Times New Roman"/>
      <w:kern w:val="0"/>
      <w:szCs w:val="21"/>
    </w:rPr>
  </w:style>
  <w:style w:type="paragraph" w:customStyle="1" w:styleId="142">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3">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4">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5">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6">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7">
    <w:name w:val="_Style 2"/>
    <w:basedOn w:val="1"/>
    <w:qFormat/>
    <w:uiPriority w:val="99"/>
    <w:pPr>
      <w:ind w:firstLine="420" w:firstLineChars="200"/>
    </w:pPr>
    <w:rPr>
      <w:rFonts w:ascii="Calibri" w:hAnsi="Calibri" w:eastAsia="宋体" w:cs="Times New Roman"/>
    </w:rPr>
  </w:style>
  <w:style w:type="paragraph" w:customStyle="1" w:styleId="148">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9">
    <w:name w:val="_Style 11"/>
    <w:basedOn w:val="1"/>
    <w:qFormat/>
    <w:uiPriority w:val="99"/>
    <w:rPr>
      <w:rFonts w:ascii="Times New Roman" w:hAnsi="Times New Roman" w:eastAsia="宋体" w:cs="Times New Roman"/>
      <w:szCs w:val="24"/>
    </w:rPr>
  </w:style>
  <w:style w:type="paragraph" w:customStyle="1" w:styleId="150">
    <w:name w:val="Char"/>
    <w:basedOn w:val="1"/>
    <w:qFormat/>
    <w:uiPriority w:val="99"/>
    <w:rPr>
      <w:rFonts w:ascii="Times New Roman" w:hAnsi="Times New Roman" w:eastAsia="宋体" w:cs="Times New Roman"/>
      <w:szCs w:val="21"/>
    </w:rPr>
  </w:style>
  <w:style w:type="paragraph" w:customStyle="1" w:styleId="151">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2">
    <w:name w:val="列出段落2"/>
    <w:basedOn w:val="1"/>
    <w:qFormat/>
    <w:uiPriority w:val="99"/>
    <w:pPr>
      <w:ind w:firstLine="420" w:firstLineChars="200"/>
    </w:pPr>
    <w:rPr>
      <w:rFonts w:ascii="Times New Roman" w:hAnsi="Times New Roman" w:eastAsia="宋体" w:cs="Times New Roman"/>
      <w:szCs w:val="24"/>
    </w:rPr>
  </w:style>
  <w:style w:type="paragraph" w:customStyle="1" w:styleId="153">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4">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5">
    <w:name w:val="font41"/>
    <w:qFormat/>
    <w:uiPriority w:val="99"/>
    <w:rPr>
      <w:rFonts w:hint="eastAsia" w:ascii="宋体" w:hAnsi="宋体" w:eastAsia="宋体" w:cs="宋体"/>
      <w:b/>
      <w:color w:val="000000"/>
      <w:sz w:val="22"/>
      <w:szCs w:val="22"/>
      <w:u w:val="none"/>
    </w:rPr>
  </w:style>
  <w:style w:type="character" w:customStyle="1" w:styleId="156">
    <w:name w:val="font81"/>
    <w:qFormat/>
    <w:uiPriority w:val="99"/>
    <w:rPr>
      <w:rFonts w:hint="eastAsia" w:ascii="宋体" w:hAnsi="宋体" w:eastAsia="宋体" w:cs="宋体"/>
      <w:b/>
      <w:color w:val="000000"/>
      <w:sz w:val="22"/>
      <w:szCs w:val="22"/>
      <w:u w:val="none"/>
    </w:rPr>
  </w:style>
  <w:style w:type="character" w:customStyle="1" w:styleId="157">
    <w:name w:val="font21"/>
    <w:qFormat/>
    <w:uiPriority w:val="0"/>
    <w:rPr>
      <w:rFonts w:hint="eastAsia" w:ascii="宋体" w:hAnsi="宋体" w:eastAsia="宋体" w:cs="宋体"/>
      <w:color w:val="000000"/>
      <w:sz w:val="18"/>
      <w:szCs w:val="18"/>
      <w:u w:val="none"/>
    </w:rPr>
  </w:style>
  <w:style w:type="character" w:customStyle="1" w:styleId="158">
    <w:name w:val="日期 Char"/>
    <w:link w:val="21"/>
    <w:qFormat/>
    <w:uiPriority w:val="0"/>
    <w:rPr>
      <w:szCs w:val="21"/>
    </w:rPr>
  </w:style>
  <w:style w:type="character" w:customStyle="1" w:styleId="159">
    <w:name w:val="font01"/>
    <w:autoRedefine/>
    <w:qFormat/>
    <w:uiPriority w:val="99"/>
    <w:rPr>
      <w:rFonts w:hint="eastAsia" w:ascii="宋体" w:hAnsi="宋体" w:eastAsia="宋体" w:cs="宋体"/>
      <w:color w:val="000000"/>
      <w:sz w:val="22"/>
      <w:szCs w:val="22"/>
      <w:u w:val="none"/>
    </w:rPr>
  </w:style>
  <w:style w:type="character" w:customStyle="1" w:styleId="160">
    <w:name w:val="Char Char1"/>
    <w:qFormat/>
    <w:uiPriority w:val="0"/>
    <w:rPr>
      <w:rFonts w:eastAsia="宋体"/>
      <w:kern w:val="2"/>
      <w:sz w:val="18"/>
      <w:szCs w:val="18"/>
      <w:lang w:val="en-US" w:eastAsia="zh-CN" w:bidi="ar-SA"/>
    </w:rPr>
  </w:style>
  <w:style w:type="character" w:customStyle="1" w:styleId="161">
    <w:name w:val="标题 Char"/>
    <w:link w:val="38"/>
    <w:qFormat/>
    <w:uiPriority w:val="0"/>
    <w:rPr>
      <w:rFonts w:ascii="Cambria" w:hAnsi="Cambria" w:cs="Times New Roman"/>
      <w:b/>
      <w:bCs/>
      <w:sz w:val="32"/>
      <w:szCs w:val="32"/>
    </w:rPr>
  </w:style>
  <w:style w:type="character" w:customStyle="1" w:styleId="162">
    <w:name w:val="hei141"/>
    <w:qFormat/>
    <w:uiPriority w:val="0"/>
    <w:rPr>
      <w:rFonts w:hint="eastAsia" w:ascii="宋体" w:hAnsi="宋体" w:eastAsia="宋体"/>
      <w:color w:val="000000"/>
      <w:sz w:val="19"/>
      <w:szCs w:val="19"/>
      <w:u w:val="none"/>
    </w:rPr>
  </w:style>
  <w:style w:type="character" w:customStyle="1" w:styleId="163">
    <w:name w:val="批注文字 Char"/>
    <w:link w:val="13"/>
    <w:qFormat/>
    <w:uiPriority w:val="0"/>
  </w:style>
  <w:style w:type="character" w:customStyle="1" w:styleId="164">
    <w:name w:val="apple-style-span"/>
    <w:basedOn w:val="44"/>
    <w:qFormat/>
    <w:uiPriority w:val="0"/>
  </w:style>
  <w:style w:type="character" w:customStyle="1" w:styleId="165">
    <w:name w:val="param-value"/>
    <w:qFormat/>
    <w:uiPriority w:val="99"/>
    <w:rPr>
      <w:rFonts w:cs="Times New Roman"/>
    </w:rPr>
  </w:style>
  <w:style w:type="character" w:customStyle="1" w:styleId="166">
    <w:name w:val="font61"/>
    <w:qFormat/>
    <w:uiPriority w:val="0"/>
    <w:rPr>
      <w:rFonts w:hint="eastAsia" w:ascii="宋体" w:hAnsi="宋体" w:eastAsia="宋体" w:cs="宋体"/>
      <w:color w:val="000000"/>
      <w:sz w:val="22"/>
      <w:szCs w:val="22"/>
      <w:u w:val="none"/>
    </w:rPr>
  </w:style>
  <w:style w:type="character" w:customStyle="1" w:styleId="167">
    <w:name w:val="font11"/>
    <w:qFormat/>
    <w:uiPriority w:val="0"/>
    <w:rPr>
      <w:rFonts w:hint="eastAsia" w:ascii="宋体" w:hAnsi="宋体" w:eastAsia="宋体" w:cs="宋体"/>
      <w:color w:val="FF0000"/>
      <w:sz w:val="22"/>
      <w:szCs w:val="22"/>
      <w:u w:val="none"/>
    </w:rPr>
  </w:style>
  <w:style w:type="character" w:customStyle="1" w:styleId="168">
    <w:name w:val="批注主题 Char"/>
    <w:link w:val="39"/>
    <w:qFormat/>
    <w:uiPriority w:val="0"/>
    <w:rPr>
      <w:b/>
      <w:bCs/>
    </w:rPr>
  </w:style>
  <w:style w:type="character" w:customStyle="1" w:styleId="169">
    <w:name w:val="批注文字 Char1"/>
    <w:basedOn w:val="44"/>
    <w:semiHidden/>
    <w:qFormat/>
    <w:uiPriority w:val="99"/>
  </w:style>
  <w:style w:type="paragraph" w:customStyle="1" w:styleId="170">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1">
    <w:name w:val="批注主题 Char1"/>
    <w:basedOn w:val="169"/>
    <w:semiHidden/>
    <w:qFormat/>
    <w:uiPriority w:val="99"/>
    <w:rPr>
      <w:b/>
      <w:bCs/>
    </w:rPr>
  </w:style>
  <w:style w:type="paragraph" w:customStyle="1" w:styleId="172">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日期 Char1"/>
    <w:basedOn w:val="44"/>
    <w:semiHidden/>
    <w:qFormat/>
    <w:uiPriority w:val="99"/>
  </w:style>
  <w:style w:type="paragraph" w:customStyle="1" w:styleId="17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5">
    <w:name w:val="脚注文本 Char"/>
    <w:basedOn w:val="44"/>
    <w:link w:val="29"/>
    <w:semiHidden/>
    <w:qFormat/>
    <w:uiPriority w:val="0"/>
    <w:rPr>
      <w:rFonts w:ascii="Times New Roman" w:hAnsi="Times New Roman" w:eastAsia="宋体" w:cs="Times New Roman"/>
      <w:sz w:val="18"/>
      <w:szCs w:val="18"/>
    </w:rPr>
  </w:style>
  <w:style w:type="paragraph" w:customStyle="1" w:styleId="176">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8">
    <w:name w:val="标题 Char1"/>
    <w:basedOn w:val="44"/>
    <w:qFormat/>
    <w:uiPriority w:val="10"/>
    <w:rPr>
      <w:rFonts w:eastAsia="宋体" w:asciiTheme="majorHAnsi" w:hAnsiTheme="majorHAnsi" w:cstheme="majorBidi"/>
      <w:b/>
      <w:bCs/>
      <w:sz w:val="32"/>
      <w:szCs w:val="32"/>
    </w:rPr>
  </w:style>
  <w:style w:type="paragraph" w:customStyle="1" w:styleId="179">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80">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3">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3"/>
    <w:basedOn w:val="1"/>
    <w:qFormat/>
    <w:uiPriority w:val="0"/>
    <w:pPr>
      <w:ind w:firstLine="420" w:firstLineChars="200"/>
    </w:pPr>
    <w:rPr>
      <w:rFonts w:ascii="Times New Roman" w:hAnsi="Times New Roman" w:eastAsia="宋体" w:cs="Times New Roman"/>
      <w:szCs w:val="24"/>
    </w:rPr>
  </w:style>
  <w:style w:type="character" w:customStyle="1" w:styleId="190">
    <w:name w:val="Char Char12"/>
    <w:qFormat/>
    <w:uiPriority w:val="0"/>
    <w:rPr>
      <w:rFonts w:eastAsia="宋体"/>
      <w:kern w:val="2"/>
      <w:sz w:val="18"/>
      <w:szCs w:val="18"/>
      <w:lang w:val="en-US" w:eastAsia="zh-CN" w:bidi="ar-SA"/>
    </w:rPr>
  </w:style>
  <w:style w:type="paragraph" w:customStyle="1" w:styleId="191">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列出段落4"/>
    <w:basedOn w:val="1"/>
    <w:qFormat/>
    <w:uiPriority w:val="0"/>
    <w:pPr>
      <w:ind w:firstLine="420" w:firstLineChars="200"/>
    </w:pPr>
    <w:rPr>
      <w:rFonts w:ascii="Times New Roman" w:hAnsi="Times New Roman" w:eastAsia="宋体" w:cs="Times New Roman"/>
      <w:szCs w:val="24"/>
    </w:rPr>
  </w:style>
  <w:style w:type="character" w:customStyle="1" w:styleId="194">
    <w:name w:val="Char Char11"/>
    <w:qFormat/>
    <w:uiPriority w:val="0"/>
    <w:rPr>
      <w:rFonts w:eastAsia="宋体"/>
      <w:kern w:val="2"/>
      <w:sz w:val="18"/>
      <w:szCs w:val="18"/>
      <w:lang w:val="en-US" w:eastAsia="zh-CN" w:bidi="ar-SA"/>
    </w:rPr>
  </w:style>
  <w:style w:type="paragraph" w:customStyle="1" w:styleId="195">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7">
    <w:name w:val="列出段落5"/>
    <w:basedOn w:val="1"/>
    <w:qFormat/>
    <w:uiPriority w:val="0"/>
    <w:pPr>
      <w:ind w:firstLine="420" w:firstLineChars="200"/>
    </w:pPr>
    <w:rPr>
      <w:rFonts w:ascii="Times New Roman" w:hAnsi="Times New Roman" w:eastAsia="宋体" w:cs="Times New Roman"/>
      <w:szCs w:val="24"/>
    </w:rPr>
  </w:style>
  <w:style w:type="character" w:customStyle="1" w:styleId="198">
    <w:name w:val="纯文本 Char"/>
    <w:link w:val="19"/>
    <w:qFormat/>
    <w:uiPriority w:val="99"/>
    <w:rPr>
      <w:rFonts w:ascii="宋体" w:hAnsi="Courier New" w:eastAsia="宋体"/>
      <w:szCs w:val="21"/>
    </w:rPr>
  </w:style>
  <w:style w:type="character" w:customStyle="1" w:styleId="199">
    <w:name w:val="纯文本 Char1"/>
    <w:basedOn w:val="44"/>
    <w:semiHidden/>
    <w:qFormat/>
    <w:uiPriority w:val="99"/>
    <w:rPr>
      <w:rFonts w:ascii="宋体" w:hAnsi="Courier New" w:eastAsia="宋体" w:cs="Courier New"/>
      <w:szCs w:val="21"/>
    </w:rPr>
  </w:style>
  <w:style w:type="paragraph" w:customStyle="1" w:styleId="20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2">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3">
    <w:name w:val="正文缩进2格"/>
    <w:basedOn w:val="1"/>
    <w:link w:val="204"/>
    <w:qFormat/>
    <w:uiPriority w:val="0"/>
    <w:pPr>
      <w:spacing w:line="600" w:lineRule="exact"/>
      <w:ind w:firstLine="639" w:firstLineChars="206"/>
    </w:pPr>
    <w:rPr>
      <w:rFonts w:ascii="仿宋_GB2312" w:hAnsi="宋体" w:eastAsia="仿宋_GB2312" w:cs="Times New Roman"/>
      <w:sz w:val="31"/>
      <w:szCs w:val="28"/>
    </w:rPr>
  </w:style>
  <w:style w:type="character" w:customStyle="1" w:styleId="204">
    <w:name w:val="正文缩进2格 Char"/>
    <w:link w:val="203"/>
    <w:qFormat/>
    <w:uiPriority w:val="0"/>
    <w:rPr>
      <w:rFonts w:ascii="仿宋_GB2312" w:hAnsi="宋体" w:eastAsia="仿宋_GB2312" w:cs="Times New Roman"/>
      <w:sz w:val="31"/>
      <w:szCs w:val="28"/>
    </w:rPr>
  </w:style>
  <w:style w:type="paragraph" w:customStyle="1" w:styleId="205">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6">
    <w:name w:val="List Paragraph"/>
    <w:basedOn w:val="1"/>
    <w:qFormat/>
    <w:uiPriority w:val="34"/>
    <w:pPr>
      <w:ind w:firstLine="420" w:firstLineChars="200"/>
    </w:pPr>
  </w:style>
  <w:style w:type="paragraph" w:customStyle="1" w:styleId="207">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8">
    <w:name w:val="正文首行缩进 Char"/>
    <w:basedOn w:val="138"/>
    <w:link w:val="40"/>
    <w:qFormat/>
    <w:uiPriority w:val="99"/>
    <w:rPr>
      <w:rFonts w:asciiTheme="minorHAnsi" w:hAnsiTheme="minorHAnsi" w:eastAsiaTheme="minorEastAsia" w:cstheme="minorBidi"/>
      <w:kern w:val="2"/>
      <w:sz w:val="21"/>
      <w:szCs w:val="22"/>
    </w:rPr>
  </w:style>
  <w:style w:type="paragraph" w:customStyle="1" w:styleId="209">
    <w:name w:val="Table Paragraph"/>
    <w:basedOn w:val="1"/>
    <w:qFormat/>
    <w:uiPriority w:val="1"/>
    <w:pPr>
      <w:autoSpaceDE w:val="0"/>
      <w:autoSpaceDN w:val="0"/>
      <w:jc w:val="left"/>
    </w:pPr>
    <w:rPr>
      <w:rFonts w:ascii="宋体" w:hAnsi="宋体" w:eastAsia="宋体" w:cs="宋体"/>
      <w:kern w:val="0"/>
      <w:sz w:val="22"/>
    </w:rPr>
  </w:style>
  <w:style w:type="paragraph" w:customStyle="1" w:styleId="210">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11">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12">
    <w:name w:val="正文首行缩进 2 Char"/>
    <w:basedOn w:val="69"/>
    <w:link w:val="41"/>
    <w:semiHidden/>
    <w:qFormat/>
    <w:uiPriority w:val="99"/>
    <w:rPr>
      <w:rFonts w:ascii="??" w:hAnsi="??" w:eastAsia="宋体" w:cs="Arial"/>
      <w:kern w:val="2"/>
      <w:sz w:val="21"/>
      <w:szCs w:val="22"/>
    </w:rPr>
  </w:style>
  <w:style w:type="paragraph" w:customStyle="1" w:styleId="213">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214">
    <w:name w:val="bookmark-item"/>
    <w:qFormat/>
    <w:uiPriority w:val="0"/>
  </w:style>
  <w:style w:type="paragraph" w:customStyle="1" w:styleId="215">
    <w:name w:val="报告正文"/>
    <w:basedOn w:val="1"/>
    <w:qFormat/>
    <w:uiPriority w:val="0"/>
    <w:pPr>
      <w:adjustRightInd w:val="0"/>
      <w:spacing w:line="360" w:lineRule="auto"/>
      <w:ind w:firstLine="200" w:firstLineChars="200"/>
    </w:pPr>
    <w:rPr>
      <w:rFonts w:ascii="宋体" w:hAnsi="宋体" w:eastAsia="宋体" w:cs="宋体"/>
      <w:kern w:val="0"/>
      <w:sz w:val="24"/>
      <w:szCs w:val="24"/>
    </w:rPr>
  </w:style>
  <w:style w:type="paragraph" w:customStyle="1" w:styleId="216">
    <w:name w:val="表格文字2"/>
    <w:basedOn w:val="1"/>
    <w:qFormat/>
    <w:uiPriority w:val="0"/>
    <w:pPr>
      <w:widowControl/>
      <w:spacing w:before="25" w:after="25"/>
      <w:jc w:val="left"/>
    </w:pPr>
    <w:rPr>
      <w:rFonts w:ascii="Times New Roman" w:hAnsi="Times New Roman" w:eastAsia="宋体" w:cs="Times New Roman"/>
      <w:bCs/>
      <w:spacing w:val="10"/>
      <w:kern w:val="0"/>
      <w:szCs w:val="21"/>
    </w:rPr>
  </w:style>
  <w:style w:type="paragraph" w:customStyle="1" w:styleId="217">
    <w:name w:val="BodyText1I"/>
    <w:basedOn w:val="218"/>
    <w:qFormat/>
    <w:uiPriority w:val="0"/>
    <w:pPr>
      <w:spacing w:line="360" w:lineRule="auto"/>
    </w:pPr>
    <w:rPr>
      <w:rFonts w:ascii="仿宋_GB2312" w:hAnsi="Times New Roman" w:eastAsia="仿宋_GB2312"/>
      <w:sz w:val="30"/>
      <w:szCs w:val="30"/>
    </w:rPr>
  </w:style>
  <w:style w:type="paragraph" w:customStyle="1" w:styleId="218">
    <w:name w:val="BodyText"/>
    <w:basedOn w:val="1"/>
    <w:next w:val="219"/>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219">
    <w:name w:val="180"/>
    <w:basedOn w:val="1"/>
    <w:next w:val="1"/>
    <w:qFormat/>
    <w:uiPriority w:val="0"/>
    <w:pPr>
      <w:spacing w:after="160" w:line="259" w:lineRule="auto"/>
      <w:textAlignment w:val="baseline"/>
    </w:pPr>
    <w:rPr>
      <w:rFonts w:ascii="Calibri" w:hAnsi="Calibri" w:eastAsia="宋体"/>
      <w:i/>
      <w:iCs/>
      <w:color w:val="000000"/>
      <w:szCs w:val="24"/>
    </w:rPr>
  </w:style>
  <w:style w:type="character" w:customStyle="1" w:styleId="220">
    <w:name w:val="15"/>
    <w:qFormat/>
    <w:uiPriority w:val="0"/>
    <w:rPr>
      <w:rFonts w:hint="default" w:ascii="Times New Roman" w:hAnsi="Times New Roman" w:cs="Times New Roman"/>
      <w:kern w:val="2"/>
      <w:sz w:val="24"/>
      <w:szCs w:val="24"/>
    </w:rPr>
  </w:style>
  <w:style w:type="paragraph" w:customStyle="1" w:styleId="221">
    <w:name w:val="列表段落1"/>
    <w:basedOn w:val="1"/>
    <w:qFormat/>
    <w:uiPriority w:val="34"/>
    <w:pPr>
      <w:widowControl/>
      <w:ind w:firstLine="420"/>
    </w:pPr>
  </w:style>
  <w:style w:type="character" w:customStyle="1" w:styleId="222">
    <w:name w:val="font51"/>
    <w:basedOn w:val="44"/>
    <w:qFormat/>
    <w:uiPriority w:val="0"/>
    <w:rPr>
      <w:rFonts w:hint="default" w:ascii="Wingdings 2" w:hAnsi="Wingdings 2" w:eastAsia="Wingdings 2" w:cs="Wingdings 2"/>
      <w:color w:val="000000"/>
      <w:sz w:val="20"/>
      <w:szCs w:val="20"/>
      <w:u w:val="none"/>
    </w:rPr>
  </w:style>
  <w:style w:type="character" w:customStyle="1" w:styleId="223">
    <w:name w:val="font31"/>
    <w:basedOn w:val="44"/>
    <w:qFormat/>
    <w:uiPriority w:val="0"/>
    <w:rPr>
      <w:rFonts w:hint="default" w:ascii="Times New Roman" w:hAnsi="Times New Roman" w:cs="Times New Roman"/>
      <w:color w:val="000000"/>
      <w:sz w:val="20"/>
      <w:szCs w:val="20"/>
      <w:u w:val="none"/>
    </w:rPr>
  </w:style>
  <w:style w:type="paragraph" w:customStyle="1" w:styleId="224">
    <w:name w:val="正文缩进1"/>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25">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6">
    <w:name w:val="纯文本1"/>
    <w:basedOn w:val="1"/>
    <w:qFormat/>
    <w:uiPriority w:val="0"/>
    <w:rPr>
      <w:rFonts w:ascii="宋体" w:hAnsi="Courier New" w:eastAsia="宋体" w:cs="Times New Roman"/>
      <w:kern w:val="0"/>
      <w:sz w:val="20"/>
      <w:szCs w:val="20"/>
    </w:rPr>
  </w:style>
  <w:style w:type="paragraph" w:customStyle="1" w:styleId="227">
    <w:name w:val="标题 5（有编号）（绿盟科技）"/>
    <w:basedOn w:val="1"/>
    <w:next w:val="228"/>
    <w:qFormat/>
    <w:uiPriority w:val="0"/>
    <w:pPr>
      <w:keepNext/>
      <w:keepLines/>
      <w:numPr>
        <w:ilvl w:val="4"/>
        <w:numId w:val="2"/>
      </w:numPr>
      <w:spacing w:before="280" w:after="156" w:line="377" w:lineRule="auto"/>
      <w:jc w:val="left"/>
      <w:outlineLvl w:val="4"/>
    </w:pPr>
    <w:rPr>
      <w:rFonts w:ascii="Arial" w:hAnsi="Arial" w:eastAsia="黑体"/>
      <w:b/>
      <w:szCs w:val="28"/>
    </w:rPr>
  </w:style>
  <w:style w:type="paragraph" w:customStyle="1" w:styleId="228">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A6118-2AA1-4E08-8DFC-4054DA4CCE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79</Pages>
  <Words>12136</Words>
  <Characters>13453</Characters>
  <Lines>493</Lines>
  <Paragraphs>139</Paragraphs>
  <TotalTime>19</TotalTime>
  <ScaleCrop>false</ScaleCrop>
  <LinksUpToDate>false</LinksUpToDate>
  <CharactersWithSpaces>13597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2024-04-29T13:58:00Z</dcterms:created>
  <dc:creator>Administrator</dc:creator>
  <cp:lastModifiedBy>Administrator</cp:lastModifiedBy>
  <cp:lastPrinted>2022-04-09T04:00:00Z</cp:lastPrinted>
  <dcterms:modified xsi:type="dcterms:W3CDTF">2026-04-18T10:46:43Z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708F885737BD49A295F98365542CF127_13</vt:lpwstr>
  </property>
  <property fmtid="{D5CDD505-2E9C-101B-9397-08002B2CF9AE}" pid="4" name="KSOTemplateDocerSaveRecord">
    <vt:lpwstr>eyJoZGlkIjoiMDRjNDRiYTYzMjdmNmU4OTBmNzZmNTY2YTg3Yjg3ZWEiLCJ1c2VySWQiOiI1MzUyMjcwODIifQ==</vt:lpwstr>
  </property>
</Properties>
</file>