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B5B6D">
      <w:pPr>
        <w:rPr>
          <w:rFonts w:hint="eastAsia" w:ascii="仿宋" w:hAnsi="仿宋" w:eastAsia="仿宋" w:cs="仿宋"/>
          <w:highlight w:val="none"/>
        </w:rPr>
      </w:pPr>
    </w:p>
    <w:p w14:paraId="1C82A1E0">
      <w:pPr>
        <w:rPr>
          <w:rFonts w:hint="eastAsia" w:ascii="仿宋" w:hAnsi="仿宋" w:eastAsia="仿宋" w:cs="仿宋"/>
          <w:highlight w:val="none"/>
        </w:rPr>
      </w:pPr>
    </w:p>
    <w:p w14:paraId="21A7ADDF">
      <w:pPr>
        <w:tabs>
          <w:tab w:val="left" w:pos="5196"/>
        </w:tabs>
        <w:jc w:val="left"/>
        <w:rPr>
          <w:rFonts w:hint="eastAsia" w:ascii="仿宋" w:hAnsi="仿宋" w:eastAsia="仿宋" w:cs="仿宋"/>
          <w:sz w:val="36"/>
          <w:szCs w:val="36"/>
          <w:highlight w:val="none"/>
          <w:lang w:eastAsia="zh-CN"/>
        </w:rPr>
      </w:pPr>
      <w:r>
        <w:rPr>
          <w:rFonts w:hint="eastAsia" w:ascii="仿宋" w:hAnsi="仿宋" w:eastAsia="仿宋" w:cs="仿宋"/>
          <w:sz w:val="21"/>
          <w:highlight w:val="none"/>
        </w:rPr>
        <mc:AlternateContent>
          <mc:Choice Requires="wps">
            <w:drawing>
              <wp:anchor distT="0" distB="0" distL="114300" distR="114300" simplePos="0" relativeHeight="251663360" behindDoc="0" locked="0" layoutInCell="1" allowOverlap="1">
                <wp:simplePos x="0" y="0"/>
                <wp:positionH relativeFrom="column">
                  <wp:posOffset>212725</wp:posOffset>
                </wp:positionH>
                <wp:positionV relativeFrom="paragraph">
                  <wp:posOffset>234950</wp:posOffset>
                </wp:positionV>
                <wp:extent cx="4841875"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841875"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8B940C">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新疆特殊教育职业中专学校2026年团委结对共建及学生会活动项目</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（项目编号：SJX-2026-251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5pt;margin-top:18.5pt;height:127.2pt;width:381.25pt;z-index:251663360;mso-width-relative:page;mso-height-relative:page;" filled="f" stroked="f" coordsize="21600,21600" o:gfxdata="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&#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8088+2gAAAAkBAAAPAAAAAAAAAAEAIAAAACIAAABk&#10;cnMvZG93bnJldi54bWxQSwECFAAUAAAACACHTuJAqrCvMT0CAABnBAAADgAAAAAAAAABACAAAAAp&#10;AQAAZHJzL2Uyb0RvYy54bWxQSwUGAAAAAAYABgBZAQAA2AUAAAAA&#10;">
                <v:fill on="f" focussize="0,0"/>
                <v:stroke on="f" weight="0.5pt"/>
                <v:imagedata o:title=""/>
                <o:lock v:ext="edit" aspectratio="f"/>
                <v:textbox>
                  <w:txbxContent>
                    <w:p w14:paraId="7C8B940C">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新疆特殊教育职业中专学校2026年团委结对共建及学生会活动项目</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（项目编号：SJX-2026-251 ）</w:t>
                      </w:r>
                    </w:p>
                  </w:txbxContent>
                </v:textbox>
              </v:shape>
            </w:pict>
          </mc:Fallback>
        </mc:AlternateContent>
      </w:r>
      <w:r>
        <w:rPr>
          <w:rFonts w:hint="eastAsia" w:ascii="仿宋" w:hAnsi="仿宋" w:eastAsia="仿宋" w:cs="仿宋"/>
          <w:sz w:val="36"/>
          <w:szCs w:val="36"/>
          <w:highlight w:val="none"/>
          <w:lang w:eastAsia="zh-CN"/>
        </w:rPr>
        <w:tab/>
      </w:r>
    </w:p>
    <w:p w14:paraId="44F7271E">
      <w:pPr>
        <w:jc w:val="center"/>
        <w:rPr>
          <w:rFonts w:hint="eastAsia" w:ascii="仿宋" w:hAnsi="仿宋" w:eastAsia="仿宋" w:cs="仿宋"/>
          <w:sz w:val="32"/>
          <w:szCs w:val="32"/>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r>
        <w:rPr>
          <w:rFonts w:hint="eastAsia" w:ascii="仿宋" w:hAnsi="仿宋" w:eastAsia="仿宋"/>
          <w:highlight w:val="none"/>
        </w:rPr>
        <w:drawing>
          <wp:anchor distT="0" distB="0" distL="114300" distR="114300" simplePos="0" relativeHeight="251667456" behindDoc="0" locked="0" layoutInCell="1" allowOverlap="1">
            <wp:simplePos x="0" y="0"/>
            <wp:positionH relativeFrom="column">
              <wp:posOffset>2347595</wp:posOffset>
            </wp:positionH>
            <wp:positionV relativeFrom="page">
              <wp:posOffset>7205980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9"/>
                    <a:srcRect l="22113" t="29394" r="21666" b="28715"/>
                    <a:stretch>
                      <a:fillRect/>
                    </a:stretch>
                  </pic:blipFill>
                  <pic:spPr>
                    <a:xfrm>
                      <a:off x="0" y="0"/>
                      <a:ext cx="1417320" cy="1410970"/>
                    </a:xfrm>
                    <a:prstGeom prst="rect">
                      <a:avLst/>
                    </a:prstGeom>
                  </pic:spPr>
                </pic:pic>
              </a:graphicData>
            </a:graphic>
          </wp:anchor>
        </w:drawing>
      </w:r>
      <w:r>
        <w:rPr>
          <w:rFonts w:hint="eastAsia" w:ascii="仿宋" w:hAnsi="仿宋" w:eastAsia="仿宋" w:cs="仿宋"/>
          <w:sz w:val="21"/>
          <w:highlight w:val="none"/>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5408;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hint="eastAsia" w:ascii="仿宋" w:hAnsi="仿宋" w:eastAsia="仿宋" w:cs="仿宋"/>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54BEF">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4384;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2D954BEF">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rFonts w:hint="eastAsia" w:ascii="仿宋" w:hAnsi="仿宋" w:eastAsia="仿宋" w:cs="仿宋"/>
          <w:sz w:val="21"/>
          <w:highlight w:val="none"/>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4860925</wp:posOffset>
                </wp:positionV>
                <wp:extent cx="5464175" cy="155130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1551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AF072">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采购人：新疆特殊教育职业中专学校（盖章）</w:t>
                            </w:r>
                          </w:p>
                          <w:p w14:paraId="2FDC087B">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43B0D898">
                            <w:pPr>
                              <w:jc w:val="both"/>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日期：2026年4月22日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22.15pt;width:430.25pt;z-index:251666432;mso-width-relative:page;mso-height-relative:page;" filled="f" stroked="f" coordsize="21600,21600" o:gfxdata="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S4iYjdAAAADAEAAA8AAAAAAAAAAQAgAAAAIgAA&#10;AGRycy9kb3ducmV2LnhtbFBLAQIUABQAAAAIAIdO4kAk0z2/PAIAAGcEAAAOAAAAAAAAAAEAIAAA&#10;ACwBAABkcnMvZTJvRG9jLnhtbFBLBQYAAAAABgAGAFkBAADaBQAAAAA=&#10;">
                <v:fill on="f" focussize="0,0"/>
                <v:stroke on="f" weight="0.5pt"/>
                <v:imagedata o:title=""/>
                <o:lock v:ext="edit" aspectratio="f"/>
                <v:textbox>
                  <w:txbxContent>
                    <w:p w14:paraId="0C3AF072">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采购人：新疆特殊教育职业中专学校（盖章）</w:t>
                      </w:r>
                    </w:p>
                    <w:p w14:paraId="2FDC087B">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43B0D898">
                      <w:pPr>
                        <w:jc w:val="both"/>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日期：2026年4月22日</w:t>
                      </w:r>
                    </w:p>
                  </w:txbxContent>
                </v:textbox>
              </v:shape>
            </w:pict>
          </mc:Fallback>
        </mc:AlternateContent>
      </w:r>
      <w:r>
        <w:rPr>
          <w:rFonts w:hint="eastAsia" w:ascii="仿宋" w:hAnsi="仿宋" w:eastAsia="仿宋" w:cs="仿宋"/>
          <w:highlight w:val="none"/>
        </w:rPr>
        <w:drawing>
          <wp:anchor distT="0" distB="0" distL="114300" distR="114300" simplePos="0" relativeHeight="251662336"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7769225" cy="10739755"/>
                    </a:xfrm>
                    <a:prstGeom prst="rect">
                      <a:avLst/>
                    </a:prstGeom>
                    <a:noFill/>
                    <a:ln>
                      <a:noFill/>
                    </a:ln>
                  </pic:spPr>
                </pic:pic>
              </a:graphicData>
            </a:graphic>
          </wp:anchor>
        </w:drawing>
      </w:r>
    </w:p>
    <w:p w14:paraId="264CE517">
      <w:pPr>
        <w:jc w:val="cente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目 录</w:t>
      </w:r>
    </w:p>
    <w:p w14:paraId="2BF7A6DB">
      <w:pPr>
        <w:jc w:val="both"/>
        <w:rPr>
          <w:rFonts w:hint="eastAsia" w:ascii="仿宋" w:hAnsi="仿宋" w:eastAsia="仿宋" w:cs="仿宋"/>
          <w:sz w:val="24"/>
          <w:szCs w:val="24"/>
          <w:highlight w:val="none"/>
          <w:lang w:val="en-US" w:eastAsia="zh-CN"/>
        </w:rPr>
      </w:pPr>
    </w:p>
    <w:sdt>
      <w:sdtPr>
        <w:rPr>
          <w:rFonts w:hint="eastAsia" w:ascii="仿宋" w:hAnsi="仿宋" w:eastAsia="仿宋" w:cs="仿宋"/>
          <w:kern w:val="2"/>
          <w:sz w:val="21"/>
          <w:szCs w:val="24"/>
          <w:highlight w:val="none"/>
          <w:lang w:val="en-US" w:eastAsia="zh-CN" w:bidi="ar-SA"/>
        </w:rPr>
        <w:id w:val="147458556"/>
        <w15:color w:val="DBDBDB"/>
        <w:docPartObj>
          <w:docPartGallery w:val="Table of Contents"/>
          <w:docPartUnique/>
        </w:docPartObj>
      </w:sdtPr>
      <w:sdtEndPr>
        <w:rPr>
          <w:rFonts w:hint="eastAsia" w:ascii="仿宋" w:hAnsi="仿宋" w:eastAsia="仿宋" w:cs="仿宋"/>
          <w:b/>
          <w:kern w:val="2"/>
          <w:sz w:val="21"/>
          <w:szCs w:val="24"/>
          <w:highlight w:val="none"/>
          <w:lang w:val="en-US" w:eastAsia="zh-CN" w:bidi="ar-SA"/>
        </w:rPr>
      </w:sdtEndPr>
      <w:sdtContent>
        <w:p w14:paraId="258ED389">
          <w:pPr>
            <w:jc w:val="both"/>
            <w:rPr>
              <w:rFonts w:hint="eastAsia" w:ascii="仿宋" w:hAnsi="仿宋" w:eastAsia="仿宋" w:cs="仿宋"/>
              <w:b/>
              <w:kern w:val="2"/>
              <w:sz w:val="24"/>
              <w:szCs w:val="24"/>
              <w:highlight w:val="none"/>
              <w:lang w:val="en-US" w:eastAsia="zh-CN" w:bidi="ar-SA"/>
            </w:rPr>
          </w:pPr>
          <w:r>
            <w:rPr>
              <w:rFonts w:hint="eastAsia" w:ascii="仿宋" w:hAnsi="仿宋" w:eastAsia="仿宋" w:cs="仿宋"/>
              <w:sz w:val="24"/>
              <w:szCs w:val="24"/>
              <w:highlight w:val="none"/>
              <w:lang w:val="en-US" w:eastAsia="zh-CN"/>
            </w:rPr>
            <w:fldChar w:fldCharType="begin"/>
          </w:r>
          <w:r>
            <w:rPr>
              <w:rFonts w:hint="eastAsia" w:ascii="仿宋" w:hAnsi="仿宋" w:eastAsia="仿宋" w:cs="仿宋"/>
              <w:sz w:val="24"/>
              <w:szCs w:val="24"/>
              <w:highlight w:val="none"/>
              <w:lang w:val="en-US" w:eastAsia="zh-CN"/>
            </w:rPr>
            <w:instrText xml:space="preserve">TOC \o "1-2" \h \u </w:instrText>
          </w:r>
          <w:r>
            <w:rPr>
              <w:rFonts w:hint="eastAsia" w:ascii="仿宋" w:hAnsi="仿宋" w:eastAsia="仿宋" w:cs="仿宋"/>
              <w:sz w:val="24"/>
              <w:szCs w:val="24"/>
              <w:highlight w:val="none"/>
              <w:lang w:val="en-US" w:eastAsia="zh-CN"/>
            </w:rPr>
            <w:fldChar w:fldCharType="separate"/>
          </w:r>
        </w:p>
        <w:p w14:paraId="0E6CAD9A">
          <w:pPr>
            <w:pStyle w:val="20"/>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_Toc24832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rPr>
            <w:t xml:space="preserve">第一章 </w:t>
          </w:r>
          <w:r>
            <w:rPr>
              <w:rFonts w:hint="eastAsia" w:ascii="仿宋" w:hAnsi="仿宋" w:eastAsia="仿宋" w:cs="仿宋"/>
              <w:szCs w:val="32"/>
              <w:highlight w:val="none"/>
              <w:lang w:val="en-US" w:eastAsia="zh-CN"/>
            </w:rPr>
            <w:t>竞争性磋商</w:t>
          </w:r>
          <w:r>
            <w:rPr>
              <w:rFonts w:hint="eastAsia" w:ascii="仿宋" w:hAnsi="仿宋" w:eastAsia="仿宋" w:cs="仿宋"/>
              <w:szCs w:val="32"/>
              <w:highlight w:val="none"/>
            </w:rPr>
            <w:t>公告</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_Toc24832 \h </w:instrText>
          </w:r>
          <w:r>
            <w:rPr>
              <w:rFonts w:hint="eastAsia" w:ascii="仿宋" w:hAnsi="仿宋" w:eastAsia="仿宋" w:cs="仿宋"/>
              <w:highlight w:val="none"/>
            </w:rPr>
            <w:fldChar w:fldCharType="separate"/>
          </w:r>
          <w:r>
            <w:rPr>
              <w:rFonts w:hint="eastAsia" w:ascii="仿宋" w:hAnsi="仿宋" w:eastAsia="仿宋" w:cs="仿宋"/>
              <w:highlight w:val="none"/>
            </w:rPr>
            <w:t>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22380641">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_Toc15783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一、 项目基本情况</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_Toc15783 \h </w:instrText>
          </w:r>
          <w:r>
            <w:rPr>
              <w:rFonts w:hint="eastAsia" w:ascii="仿宋" w:hAnsi="仿宋" w:eastAsia="仿宋" w:cs="仿宋"/>
              <w:highlight w:val="none"/>
            </w:rPr>
            <w:fldChar w:fldCharType="separate"/>
          </w:r>
          <w:r>
            <w:rPr>
              <w:rFonts w:hint="eastAsia" w:ascii="仿宋" w:hAnsi="仿宋" w:eastAsia="仿宋" w:cs="仿宋"/>
              <w:highlight w:val="none"/>
            </w:rPr>
            <w:t>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27F0615">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_Toc22187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二、 申请人的资格要求：</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_Toc22187 \h </w:instrText>
          </w:r>
          <w:r>
            <w:rPr>
              <w:rFonts w:hint="eastAsia" w:ascii="仿宋" w:hAnsi="仿宋" w:eastAsia="仿宋" w:cs="仿宋"/>
              <w:highlight w:val="none"/>
            </w:rPr>
            <w:fldChar w:fldCharType="separate"/>
          </w:r>
          <w:r>
            <w:rPr>
              <w:rFonts w:hint="eastAsia" w:ascii="仿宋" w:hAnsi="仿宋" w:eastAsia="仿宋" w:cs="仿宋"/>
              <w:highlight w:val="none"/>
            </w:rPr>
            <w:t>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7CC6005">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_Toc24234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三、 获取采购文件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_Toc24234 \h </w:instrText>
          </w:r>
          <w:r>
            <w:rPr>
              <w:rFonts w:hint="eastAsia" w:ascii="仿宋" w:hAnsi="仿宋" w:eastAsia="仿宋" w:cs="仿宋"/>
              <w:highlight w:val="none"/>
            </w:rPr>
            <w:fldChar w:fldCharType="separate"/>
          </w:r>
          <w:r>
            <w:rPr>
              <w:rFonts w:hint="eastAsia" w:ascii="仿宋" w:hAnsi="仿宋" w:eastAsia="仿宋" w:cs="仿宋"/>
              <w:highlight w:val="none"/>
            </w:rPr>
            <w:t>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5B07CD59">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_Toc28094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四、 响应文件提交</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_Toc28094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6F346C3E">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_Toc10942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 xml:space="preserve">五、 </w:t>
          </w:r>
          <w:r>
            <w:rPr>
              <w:rFonts w:hint="eastAsia" w:ascii="仿宋" w:hAnsi="仿宋" w:eastAsia="仿宋" w:cs="仿宋"/>
              <w:bCs/>
              <w:szCs w:val="24"/>
              <w:highlight w:val="none"/>
              <w:lang w:val="en-US" w:eastAsia="zh-CN"/>
            </w:rPr>
            <w:t>响应文件开启</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_Toc10942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1A3B4F5">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_Toc22200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六、 公告期限</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_Toc22200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A9C5297">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_Toc1229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七、 其他补充事宜</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_Toc1229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2905BFE">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_Toc5047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八、 对本次采购提出询问，请按以下方式联系</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_Toc5047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7EF95E7">
          <w:pPr>
            <w:pStyle w:val="20"/>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_Toc19946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第二章 供应商须知前附表</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_Toc19946 \h </w:instrText>
          </w:r>
          <w:r>
            <w:rPr>
              <w:rFonts w:hint="eastAsia" w:ascii="仿宋" w:hAnsi="仿宋" w:eastAsia="仿宋" w:cs="仿宋"/>
              <w:highlight w:val="none"/>
            </w:rPr>
            <w:fldChar w:fldCharType="separate"/>
          </w:r>
          <w:r>
            <w:rPr>
              <w:rFonts w:hint="eastAsia" w:ascii="仿宋" w:hAnsi="仿宋" w:eastAsia="仿宋" w:cs="仿宋"/>
              <w:highlight w:val="none"/>
            </w:rPr>
            <w:t>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691BBFD">
          <w:pPr>
            <w:pStyle w:val="20"/>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_Toc4905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第三章 供应商须知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_Toc4905 \h </w:instrText>
          </w:r>
          <w:r>
            <w:rPr>
              <w:rFonts w:hint="eastAsia" w:ascii="仿宋" w:hAnsi="仿宋" w:eastAsia="仿宋" w:cs="仿宋"/>
              <w:highlight w:val="none"/>
            </w:rPr>
            <w:fldChar w:fldCharType="separate"/>
          </w:r>
          <w:r>
            <w:rPr>
              <w:rFonts w:hint="eastAsia" w:ascii="仿宋" w:hAnsi="仿宋" w:eastAsia="仿宋" w:cs="仿宋"/>
              <w:highlight w:val="none"/>
            </w:rPr>
            <w:t>9</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EFEFA17">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_Toc11730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一、 说 明</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_Toc11730 \h </w:instrText>
          </w:r>
          <w:r>
            <w:rPr>
              <w:rFonts w:hint="eastAsia" w:ascii="仿宋" w:hAnsi="仿宋" w:eastAsia="仿宋" w:cs="仿宋"/>
              <w:highlight w:val="none"/>
            </w:rPr>
            <w:fldChar w:fldCharType="separate"/>
          </w:r>
          <w:r>
            <w:rPr>
              <w:rFonts w:hint="eastAsia" w:ascii="仿宋" w:hAnsi="仿宋" w:eastAsia="仿宋" w:cs="仿宋"/>
              <w:highlight w:val="none"/>
            </w:rPr>
            <w:t>9</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658FDF6">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_Toc3286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二、 采购文件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_Toc3286 \h </w:instrText>
          </w:r>
          <w:r>
            <w:rPr>
              <w:rFonts w:hint="eastAsia" w:ascii="仿宋" w:hAnsi="仿宋" w:eastAsia="仿宋" w:cs="仿宋"/>
              <w:highlight w:val="none"/>
            </w:rPr>
            <w:fldChar w:fldCharType="separate"/>
          </w:r>
          <w:r>
            <w:rPr>
              <w:rFonts w:hint="eastAsia" w:ascii="仿宋" w:hAnsi="仿宋" w:eastAsia="仿宋" w:cs="仿宋"/>
              <w:highlight w:val="none"/>
            </w:rPr>
            <w:t>14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AE380A8">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_Toc22592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三、 响应文件的编制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_Toc22592 \h </w:instrText>
          </w:r>
          <w:r>
            <w:rPr>
              <w:rFonts w:hint="eastAsia" w:ascii="仿宋" w:hAnsi="仿宋" w:eastAsia="仿宋" w:cs="仿宋"/>
              <w:highlight w:val="none"/>
            </w:rPr>
            <w:fldChar w:fldCharType="separate"/>
          </w:r>
          <w:r>
            <w:rPr>
              <w:rFonts w:hint="eastAsia" w:ascii="仿宋" w:hAnsi="仿宋" w:eastAsia="仿宋" w:cs="仿宋"/>
              <w:highlight w:val="none"/>
            </w:rPr>
            <w:t>16</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583193E">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_Toc7253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四、 响应文件的提交</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_Toc7253 \h </w:instrText>
          </w:r>
          <w:r>
            <w:rPr>
              <w:rFonts w:hint="eastAsia" w:ascii="仿宋" w:hAnsi="仿宋" w:eastAsia="仿宋" w:cs="仿宋"/>
              <w:highlight w:val="none"/>
            </w:rPr>
            <w:fldChar w:fldCharType="separate"/>
          </w:r>
          <w:r>
            <w:rPr>
              <w:rFonts w:hint="eastAsia" w:ascii="仿宋" w:hAnsi="仿宋" w:eastAsia="仿宋" w:cs="仿宋"/>
              <w:highlight w:val="none"/>
            </w:rPr>
            <w:t>19</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692BFD6">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_Toc32267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五、 开标及评标</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_Toc32267 \h </w:instrText>
          </w:r>
          <w:r>
            <w:rPr>
              <w:rFonts w:hint="eastAsia" w:ascii="仿宋" w:hAnsi="仿宋" w:eastAsia="仿宋" w:cs="仿宋"/>
              <w:highlight w:val="none"/>
            </w:rPr>
            <w:fldChar w:fldCharType="separate"/>
          </w:r>
          <w:r>
            <w:rPr>
              <w:rFonts w:hint="eastAsia" w:ascii="仿宋" w:hAnsi="仿宋" w:eastAsia="仿宋" w:cs="仿宋"/>
              <w:highlight w:val="none"/>
            </w:rPr>
            <w:t>20</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05554D5">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_Toc11319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六、 确定成交</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_Toc11319 \h </w:instrText>
          </w:r>
          <w:r>
            <w:rPr>
              <w:rFonts w:hint="eastAsia" w:ascii="仿宋" w:hAnsi="仿宋" w:eastAsia="仿宋" w:cs="仿宋"/>
              <w:highlight w:val="none"/>
            </w:rPr>
            <w:fldChar w:fldCharType="separate"/>
          </w:r>
          <w:r>
            <w:rPr>
              <w:rFonts w:hint="eastAsia" w:ascii="仿宋" w:hAnsi="仿宋" w:eastAsia="仿宋" w:cs="仿宋"/>
              <w:highlight w:val="none"/>
            </w:rPr>
            <w:t>21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6401EE42">
          <w:pPr>
            <w:pStyle w:val="20"/>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_Toc20533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第四章 政府采购合同</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_Toc20533 \h </w:instrText>
          </w:r>
          <w:r>
            <w:rPr>
              <w:rFonts w:hint="eastAsia" w:ascii="仿宋" w:hAnsi="仿宋" w:eastAsia="仿宋" w:cs="仿宋"/>
              <w:highlight w:val="none"/>
            </w:rPr>
            <w:fldChar w:fldCharType="separate"/>
          </w:r>
          <w:r>
            <w:rPr>
              <w:rFonts w:hint="eastAsia" w:ascii="仿宋" w:hAnsi="仿宋" w:eastAsia="仿宋" w:cs="仿宋"/>
              <w:highlight w:val="none"/>
            </w:rPr>
            <w:t>26</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2C05E119">
          <w:pPr>
            <w:pStyle w:val="20"/>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_Toc8038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第五章 采购需求</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_Toc8038 \h </w:instrText>
          </w:r>
          <w:r>
            <w:rPr>
              <w:rFonts w:hint="eastAsia" w:ascii="仿宋" w:hAnsi="仿宋" w:eastAsia="仿宋" w:cs="仿宋"/>
              <w:highlight w:val="none"/>
            </w:rPr>
            <w:fldChar w:fldCharType="separate"/>
          </w:r>
          <w:r>
            <w:rPr>
              <w:rFonts w:hint="eastAsia" w:ascii="仿宋" w:hAnsi="仿宋" w:eastAsia="仿宋" w:cs="仿宋"/>
              <w:highlight w:val="none"/>
            </w:rPr>
            <w:t>26</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6D21335A">
          <w:pPr>
            <w:pStyle w:val="20"/>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_Toc27718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第六章 评标程序、评标方法和评标标准</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_Toc27718 \h </w:instrText>
          </w:r>
          <w:r>
            <w:rPr>
              <w:rFonts w:hint="eastAsia" w:ascii="仿宋" w:hAnsi="仿宋" w:eastAsia="仿宋" w:cs="仿宋"/>
              <w:highlight w:val="none"/>
            </w:rPr>
            <w:fldChar w:fldCharType="separate"/>
          </w:r>
          <w:r>
            <w:rPr>
              <w:rFonts w:hint="eastAsia" w:ascii="仿宋" w:hAnsi="仿宋" w:eastAsia="仿宋" w:cs="仿宋"/>
              <w:highlight w:val="none"/>
            </w:rPr>
            <w:t>45</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582A785">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_Toc21122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1. 评标方法</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_Toc21122 \h </w:instrText>
          </w:r>
          <w:r>
            <w:rPr>
              <w:rFonts w:hint="eastAsia" w:ascii="仿宋" w:hAnsi="仿宋" w:eastAsia="仿宋" w:cs="仿宋"/>
              <w:highlight w:val="none"/>
            </w:rPr>
            <w:fldChar w:fldCharType="separate"/>
          </w:r>
          <w:r>
            <w:rPr>
              <w:rFonts w:hint="eastAsia" w:ascii="仿宋" w:hAnsi="仿宋" w:eastAsia="仿宋" w:cs="仿宋"/>
              <w:highlight w:val="none"/>
            </w:rPr>
            <w:t>45</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094002E">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_Toc1193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2. 评标原则</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_Toc1193 \h </w:instrText>
          </w:r>
          <w:r>
            <w:rPr>
              <w:rFonts w:hint="eastAsia" w:ascii="仿宋" w:hAnsi="仿宋" w:eastAsia="仿宋" w:cs="仿宋"/>
              <w:highlight w:val="none"/>
            </w:rPr>
            <w:fldChar w:fldCharType="separate"/>
          </w:r>
          <w:r>
            <w:rPr>
              <w:rFonts w:hint="eastAsia" w:ascii="仿宋" w:hAnsi="仿宋" w:eastAsia="仿宋" w:cs="仿宋"/>
              <w:highlight w:val="none"/>
            </w:rPr>
            <w:t>45</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DAC3ABE">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_Toc7505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3. 资格审查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_Toc7505 \h </w:instrText>
          </w:r>
          <w:r>
            <w:rPr>
              <w:rFonts w:hint="eastAsia" w:ascii="仿宋" w:hAnsi="仿宋" w:eastAsia="仿宋" w:cs="仿宋"/>
              <w:highlight w:val="none"/>
            </w:rPr>
            <w:fldChar w:fldCharType="separate"/>
          </w:r>
          <w:r>
            <w:rPr>
              <w:rFonts w:hint="eastAsia" w:ascii="仿宋" w:hAnsi="仿宋" w:eastAsia="仿宋" w:cs="仿宋"/>
              <w:highlight w:val="none"/>
            </w:rPr>
            <w:t>45</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BD77A05">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_Toc27889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highlight w:val="none"/>
              <w:lang w:val="en-US" w:eastAsia="zh-CN"/>
            </w:rPr>
            <w:t xml:space="preserve">4. </w:t>
          </w:r>
          <w:r>
            <w:rPr>
              <w:rFonts w:hint="eastAsia" w:ascii="仿宋" w:hAnsi="仿宋" w:eastAsia="仿宋" w:cs="仿宋"/>
              <w:bCs/>
              <w:szCs w:val="24"/>
              <w:highlight w:val="none"/>
              <w:lang w:val="en-US" w:eastAsia="zh-CN"/>
            </w:rPr>
            <w:t>符合性审查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_Toc27889 \h </w:instrText>
          </w:r>
          <w:r>
            <w:rPr>
              <w:rFonts w:hint="eastAsia" w:ascii="仿宋" w:hAnsi="仿宋" w:eastAsia="仿宋" w:cs="仿宋"/>
              <w:highlight w:val="none"/>
            </w:rPr>
            <w:fldChar w:fldCharType="separate"/>
          </w:r>
          <w:r>
            <w:rPr>
              <w:rFonts w:hint="eastAsia" w:ascii="仿宋" w:hAnsi="仿宋" w:eastAsia="仿宋" w:cs="仿宋"/>
              <w:highlight w:val="none"/>
            </w:rPr>
            <w:t>48</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DE27320">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_Toc31864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5. 响应文件澄清</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_Toc31864 \h </w:instrText>
          </w:r>
          <w:r>
            <w:rPr>
              <w:rFonts w:hint="eastAsia" w:ascii="仿宋" w:hAnsi="仿宋" w:eastAsia="仿宋" w:cs="仿宋"/>
              <w:highlight w:val="none"/>
            </w:rPr>
            <w:fldChar w:fldCharType="separate"/>
          </w:r>
          <w:r>
            <w:rPr>
              <w:rFonts w:hint="eastAsia" w:ascii="仿宋" w:hAnsi="仿宋" w:eastAsia="仿宋" w:cs="仿宋"/>
              <w:highlight w:val="none"/>
            </w:rPr>
            <w:t>49</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CC76775">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_Toc12580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24"/>
              <w:highlight w:val="none"/>
              <w:lang w:val="en-US" w:eastAsia="zh-CN"/>
            </w:rPr>
            <w:t xml:space="preserve">7. </w:t>
          </w:r>
          <w:r>
            <w:rPr>
              <w:rFonts w:hint="eastAsia" w:ascii="仿宋" w:hAnsi="仿宋" w:eastAsia="仿宋" w:cs="仿宋"/>
              <w:bCs/>
              <w:szCs w:val="24"/>
              <w:highlight w:val="none"/>
              <w:lang w:val="en-US" w:eastAsia="zh-CN"/>
            </w:rPr>
            <w:t>磋商</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_Toc12580 \h </w:instrText>
          </w:r>
          <w:r>
            <w:rPr>
              <w:rFonts w:hint="eastAsia" w:ascii="仿宋" w:hAnsi="仿宋" w:eastAsia="仿宋" w:cs="仿宋"/>
              <w:highlight w:val="none"/>
            </w:rPr>
            <w:fldChar w:fldCharType="separate"/>
          </w:r>
          <w:r>
            <w:rPr>
              <w:rFonts w:hint="eastAsia" w:ascii="仿宋" w:hAnsi="仿宋" w:eastAsia="仿宋" w:cs="仿宋"/>
              <w:highlight w:val="none"/>
            </w:rPr>
            <w:t>50</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8C96FB1">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_Toc3596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8. 最后报价</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_Toc3596 \h </w:instrText>
          </w:r>
          <w:r>
            <w:rPr>
              <w:rFonts w:hint="eastAsia" w:ascii="仿宋" w:hAnsi="仿宋" w:eastAsia="仿宋" w:cs="仿宋"/>
              <w:highlight w:val="none"/>
            </w:rPr>
            <w:fldChar w:fldCharType="separate"/>
          </w:r>
          <w:r>
            <w:rPr>
              <w:rFonts w:hint="eastAsia" w:ascii="仿宋" w:hAnsi="仿宋" w:eastAsia="仿宋" w:cs="仿宋"/>
              <w:highlight w:val="none"/>
            </w:rPr>
            <w:t>50</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D9B508F">
          <w:pPr>
            <w:pStyle w:val="22"/>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_Toc22657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9. 详细评审</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_Toc22657 \h </w:instrText>
          </w:r>
          <w:r>
            <w:rPr>
              <w:rFonts w:hint="eastAsia" w:ascii="仿宋" w:hAnsi="仿宋" w:eastAsia="仿宋" w:cs="仿宋"/>
              <w:highlight w:val="none"/>
            </w:rPr>
            <w:fldChar w:fldCharType="separate"/>
          </w:r>
          <w:r>
            <w:rPr>
              <w:rFonts w:hint="eastAsia" w:ascii="仿宋" w:hAnsi="仿宋" w:eastAsia="仿宋" w:cs="仿宋"/>
              <w:highlight w:val="none"/>
            </w:rPr>
            <w:t>50</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6BDA66C9">
          <w:pPr>
            <w:pStyle w:val="20"/>
            <w:tabs>
              <w:tab w:val="right" w:leader="dot" w:pos="8306"/>
            </w:tabs>
            <w:rPr>
              <w:rFonts w:hint="eastAsia" w:ascii="仿宋" w:hAnsi="仿宋" w:eastAsia="仿宋" w:cs="仿宋"/>
              <w:sz w:val="24"/>
              <w:szCs w:val="24"/>
              <w:highlight w:val="none"/>
              <w:lang w:val="en-US" w:eastAsia="zh-CN"/>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_Toc8139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32"/>
              <w:highlight w:val="none"/>
              <w:lang w:val="en-US" w:eastAsia="zh-CN"/>
            </w:rPr>
            <w:t>第七章 响应文件格式</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_Toc8139 \h </w:instrText>
          </w:r>
          <w:r>
            <w:rPr>
              <w:rFonts w:hint="eastAsia" w:ascii="仿宋" w:hAnsi="仿宋" w:eastAsia="仿宋" w:cs="仿宋"/>
              <w:highlight w:val="none"/>
            </w:rPr>
            <w:fldChar w:fldCharType="separate"/>
          </w:r>
          <w:r>
            <w:rPr>
              <w:rFonts w:hint="eastAsia" w:ascii="仿宋" w:hAnsi="仿宋" w:eastAsia="仿宋" w:cs="仿宋"/>
              <w:highlight w:val="none"/>
            </w:rPr>
            <w:t>56</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r>
            <w:rPr>
              <w:rFonts w:hint="eastAsia" w:ascii="仿宋" w:hAnsi="仿宋" w:eastAsia="仿宋" w:cs="仿宋"/>
              <w:b/>
              <w:szCs w:val="24"/>
              <w:highlight w:val="none"/>
              <w:lang w:val="en-US" w:eastAsia="zh-CN"/>
            </w:rPr>
            <w:fldChar w:fldCharType="end"/>
          </w:r>
        </w:p>
      </w:sdtContent>
    </w:sdt>
    <w:p w14:paraId="2B462FDB">
      <w:pPr>
        <w:pStyle w:val="2"/>
        <w:numPr>
          <w:ilvl w:val="0"/>
          <w:numId w:val="1"/>
        </w:numPr>
        <w:bidi w:val="0"/>
        <w:jc w:val="center"/>
        <w:rPr>
          <w:rFonts w:hint="eastAsia" w:ascii="仿宋" w:hAnsi="仿宋" w:eastAsia="仿宋" w:cs="仿宋"/>
          <w:sz w:val="32"/>
          <w:szCs w:val="32"/>
          <w:highlight w:val="none"/>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p>
    <w:p w14:paraId="3CA8293C">
      <w:pPr>
        <w:pStyle w:val="2"/>
        <w:numPr>
          <w:ilvl w:val="0"/>
          <w:numId w:val="1"/>
        </w:numPr>
        <w:bidi w:val="0"/>
        <w:jc w:val="center"/>
        <w:rPr>
          <w:rFonts w:hint="eastAsia" w:ascii="仿宋" w:hAnsi="仿宋" w:eastAsia="仿宋" w:cs="仿宋"/>
          <w:sz w:val="32"/>
          <w:szCs w:val="32"/>
          <w:highlight w:val="none"/>
        </w:rPr>
      </w:pPr>
      <w:bookmarkStart w:id="0" w:name="_Toc24832"/>
      <w:r>
        <w:rPr>
          <w:rFonts w:hint="eastAsia" w:ascii="仿宋" w:hAnsi="仿宋" w:eastAsia="仿宋" w:cs="仿宋"/>
          <w:sz w:val="32"/>
          <w:szCs w:val="32"/>
          <w:highlight w:val="none"/>
          <w:lang w:val="en-US" w:eastAsia="zh-CN"/>
        </w:rPr>
        <w:t>采购</w:t>
      </w:r>
      <w:r>
        <w:rPr>
          <w:rFonts w:hint="eastAsia" w:ascii="仿宋" w:hAnsi="仿宋" w:eastAsia="仿宋" w:cs="仿宋"/>
          <w:sz w:val="32"/>
          <w:szCs w:val="32"/>
          <w:highlight w:val="none"/>
        </w:rPr>
        <w:t>公告</w:t>
      </w:r>
      <w:bookmarkEnd w:id="0"/>
    </w:p>
    <w:p w14:paraId="27F3001C">
      <w:pPr>
        <w:keepNext w:val="0"/>
        <w:keepLines w:val="0"/>
        <w:pageBreakBefore w:val="0"/>
        <w:widowControl w:val="0"/>
        <w:numPr>
          <w:ilvl w:val="0"/>
          <w:numId w:val="2"/>
        </w:numPr>
        <w:kinsoku/>
        <w:wordWrap/>
        <w:overflowPunct/>
        <w:topLinePunct w:val="0"/>
        <w:autoSpaceDE/>
        <w:autoSpaceDN/>
        <w:bidi w:val="0"/>
        <w:adjustRightInd/>
        <w:snapToGrid/>
        <w:spacing w:line="420" w:lineRule="exact"/>
        <w:jc w:val="both"/>
        <w:textAlignment w:val="auto"/>
        <w:outlineLvl w:val="1"/>
        <w:rPr>
          <w:rFonts w:hint="eastAsia" w:ascii="仿宋" w:hAnsi="仿宋" w:eastAsia="仿宋" w:cs="仿宋"/>
          <w:b/>
          <w:bCs/>
          <w:sz w:val="24"/>
          <w:szCs w:val="24"/>
          <w:highlight w:val="none"/>
        </w:rPr>
      </w:pPr>
      <w:bookmarkStart w:id="1" w:name="_Toc15783"/>
      <w:r>
        <w:rPr>
          <w:rFonts w:hint="eastAsia" w:ascii="仿宋" w:hAnsi="仿宋" w:eastAsia="仿宋" w:cs="仿宋"/>
          <w:b/>
          <w:bCs/>
          <w:sz w:val="24"/>
          <w:szCs w:val="24"/>
          <w:highlight w:val="none"/>
        </w:rPr>
        <w:t>项目基本情况</w:t>
      </w:r>
      <w:bookmarkEnd w:id="1"/>
    </w:p>
    <w:p w14:paraId="7BAF89F5">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lang w:eastAsia="zh-CN"/>
        </w:rPr>
        <w:t>SJX-2026-251</w:t>
      </w:r>
    </w:p>
    <w:p w14:paraId="01C964B6">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lang w:eastAsia="zh-CN"/>
        </w:rPr>
        <w:t>新疆特殊教育职业中专学校2026年团委结对共建及学生会活动项目</w:t>
      </w:r>
    </w:p>
    <w:p w14:paraId="58C4CD26">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采购方式：</w:t>
      </w:r>
      <w:r>
        <w:rPr>
          <w:rFonts w:hint="eastAsia" w:ascii="仿宋" w:hAnsi="仿宋" w:eastAsia="仿宋" w:cs="仿宋"/>
          <w:sz w:val="24"/>
          <w:szCs w:val="24"/>
          <w:highlight w:val="none"/>
          <w:lang w:val="en-US" w:eastAsia="zh-CN"/>
        </w:rPr>
        <w:t>竞争性磋商</w:t>
      </w:r>
    </w:p>
    <w:p w14:paraId="006EB30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预算金额（元）：</w:t>
      </w:r>
      <w:r>
        <w:rPr>
          <w:rFonts w:hint="eastAsia" w:ascii="仿宋" w:hAnsi="仿宋" w:eastAsia="仿宋" w:cs="仿宋"/>
          <w:sz w:val="24"/>
          <w:szCs w:val="24"/>
          <w:highlight w:val="none"/>
          <w:lang w:val="en-US" w:eastAsia="zh-CN"/>
        </w:rPr>
        <w:t>171800.00</w:t>
      </w:r>
    </w:p>
    <w:p w14:paraId="1DD8C96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最高限价（元）：</w:t>
      </w:r>
      <w:r>
        <w:rPr>
          <w:rFonts w:hint="eastAsia" w:ascii="仿宋" w:hAnsi="仿宋" w:eastAsia="仿宋" w:cs="仿宋"/>
          <w:sz w:val="24"/>
          <w:szCs w:val="24"/>
          <w:highlight w:val="none"/>
          <w:lang w:val="en-US" w:eastAsia="zh-CN"/>
        </w:rPr>
        <w:t>171800.00</w:t>
      </w:r>
    </w:p>
    <w:p w14:paraId="501C2FE4">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rPr>
      </w:pPr>
      <w:r>
        <w:rPr>
          <w:rFonts w:hint="eastAsia" w:ascii="仿宋" w:hAnsi="仿宋" w:eastAsia="仿宋" w:cs="仿宋"/>
          <w:sz w:val="24"/>
          <w:szCs w:val="24"/>
          <w:highlight w:val="none"/>
        </w:rPr>
        <w:t>采购需求：</w:t>
      </w:r>
      <w:r>
        <w:rPr>
          <w:rFonts w:hint="eastAsia" w:ascii="仿宋" w:hAnsi="仿宋" w:eastAsia="仿宋" w:cs="仿宋"/>
          <w:sz w:val="24"/>
          <w:szCs w:val="24"/>
          <w:highlight w:val="none"/>
          <w:lang w:eastAsia="zh-CN"/>
        </w:rPr>
        <w:t>团委结对共建及学生会活动，</w:t>
      </w:r>
      <w:r>
        <w:rPr>
          <w:rFonts w:hint="eastAsia" w:ascii="仿宋" w:hAnsi="仿宋" w:eastAsia="仿宋" w:cs="仿宋"/>
          <w:sz w:val="24"/>
          <w:szCs w:val="24"/>
          <w:highlight w:val="none"/>
          <w:lang w:val="en-US" w:eastAsia="zh-CN"/>
        </w:rPr>
        <w:t>详见采购需求</w:t>
      </w:r>
    </w:p>
    <w:p w14:paraId="692CA581">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标项名称:</w:t>
      </w:r>
      <w:r>
        <w:rPr>
          <w:rFonts w:hint="eastAsia" w:ascii="仿宋" w:hAnsi="仿宋" w:eastAsia="仿宋" w:cs="仿宋"/>
          <w:sz w:val="24"/>
          <w:szCs w:val="24"/>
          <w:highlight w:val="none"/>
          <w:lang w:eastAsia="zh-CN"/>
        </w:rPr>
        <w:t>新疆特殊教育职业中专学校2026年团委结对共建及学生会活动项目</w:t>
      </w:r>
    </w:p>
    <w:p w14:paraId="59B5683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数量:</w:t>
      </w:r>
      <w:r>
        <w:rPr>
          <w:rFonts w:hint="eastAsia" w:ascii="仿宋" w:hAnsi="仿宋" w:eastAsia="仿宋" w:cs="仿宋"/>
          <w:sz w:val="24"/>
          <w:szCs w:val="24"/>
          <w:highlight w:val="none"/>
          <w:lang w:val="en-US" w:eastAsia="zh-CN"/>
        </w:rPr>
        <w:t>1项</w:t>
      </w:r>
    </w:p>
    <w:p w14:paraId="4036D6F9">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预算金额（元）:</w:t>
      </w:r>
      <w:r>
        <w:rPr>
          <w:rFonts w:hint="eastAsia" w:ascii="仿宋" w:hAnsi="仿宋" w:eastAsia="仿宋" w:cs="仿宋"/>
          <w:sz w:val="24"/>
          <w:szCs w:val="24"/>
          <w:highlight w:val="none"/>
          <w:lang w:val="en-US" w:eastAsia="zh-CN"/>
        </w:rPr>
        <w:t>171800.00</w:t>
      </w:r>
    </w:p>
    <w:p w14:paraId="2EC9E93B">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简要规格描述或项目基本概况介绍、用途：</w:t>
      </w:r>
      <w:r>
        <w:rPr>
          <w:rFonts w:hint="eastAsia" w:ascii="仿宋" w:hAnsi="仿宋" w:eastAsia="仿宋" w:cs="仿宋"/>
          <w:sz w:val="24"/>
          <w:szCs w:val="24"/>
          <w:highlight w:val="none"/>
          <w:lang w:eastAsia="zh-CN"/>
        </w:rPr>
        <w:t>团委结对共建及学生会活动，</w:t>
      </w:r>
      <w:r>
        <w:rPr>
          <w:rFonts w:hint="eastAsia" w:ascii="仿宋" w:hAnsi="仿宋" w:eastAsia="仿宋" w:cs="仿宋"/>
          <w:sz w:val="24"/>
          <w:szCs w:val="24"/>
          <w:highlight w:val="none"/>
          <w:lang w:val="en-US" w:eastAsia="zh-CN"/>
        </w:rPr>
        <w:t>详见采购需求</w:t>
      </w:r>
    </w:p>
    <w:p w14:paraId="00D46893">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备注：</w:t>
      </w:r>
      <w:r>
        <w:rPr>
          <w:rFonts w:hint="eastAsia" w:ascii="仿宋" w:hAnsi="仿宋" w:eastAsia="仿宋" w:cs="仿宋"/>
          <w:sz w:val="24"/>
          <w:szCs w:val="24"/>
          <w:highlight w:val="none"/>
          <w:lang w:val="en-US" w:eastAsia="zh-CN"/>
        </w:rPr>
        <w:t>/</w:t>
      </w:r>
    </w:p>
    <w:p w14:paraId="3E1A0D76">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合同履约期限：</w:t>
      </w:r>
      <w:r>
        <w:rPr>
          <w:rFonts w:hint="eastAsia" w:ascii="仿宋" w:hAnsi="仿宋" w:eastAsia="仿宋" w:cs="仿宋"/>
          <w:sz w:val="24"/>
          <w:szCs w:val="24"/>
          <w:highlight w:val="none"/>
          <w:lang w:val="en-US" w:eastAsia="zh-CN"/>
        </w:rPr>
        <w:t>2026年10月10日—11月10日期间（5天）。</w:t>
      </w:r>
    </w:p>
    <w:p w14:paraId="2125BB5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本项目（否）接受联合体投标。</w:t>
      </w:r>
    </w:p>
    <w:p w14:paraId="631A3C75">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2" w:name="_Toc22187"/>
      <w:r>
        <w:rPr>
          <w:rFonts w:hint="eastAsia" w:ascii="仿宋" w:hAnsi="仿宋" w:eastAsia="仿宋" w:cs="仿宋"/>
          <w:b/>
          <w:bCs/>
          <w:sz w:val="24"/>
          <w:szCs w:val="24"/>
          <w:highlight w:val="none"/>
        </w:rPr>
        <w:t>申请人的资格要求：</w:t>
      </w:r>
      <w:bookmarkEnd w:id="2"/>
    </w:p>
    <w:p w14:paraId="58D8278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1.满足《中华人民共和国政府采购法》第二十二条规定；</w:t>
      </w:r>
    </w:p>
    <w:p w14:paraId="567D500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default"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2.落实政府采购政策需满足的资格要求：本项目专门面向小微企业采购。</w:t>
      </w:r>
    </w:p>
    <w:p w14:paraId="41317C4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default"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3.本项目的特定资格要求：</w:t>
      </w:r>
    </w:p>
    <w:p w14:paraId="1EE861B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680F718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highlight w:val="none"/>
          <w:lang w:val="en-US" w:eastAsia="zh-CN"/>
        </w:rPr>
      </w:pPr>
      <w:r>
        <w:rPr>
          <w:rFonts w:hint="eastAsia" w:ascii="仿宋" w:hAnsi="仿宋" w:eastAsia="仿宋" w:cs="仿宋"/>
          <w:b w:val="0"/>
          <w:bCs w:val="0"/>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3B3768BB">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3" w:name="_Toc24234"/>
      <w:r>
        <w:rPr>
          <w:rFonts w:hint="eastAsia" w:ascii="仿宋" w:hAnsi="仿宋" w:eastAsia="仿宋" w:cs="仿宋"/>
          <w:b/>
          <w:bCs/>
          <w:sz w:val="24"/>
          <w:szCs w:val="24"/>
          <w:highlight w:val="none"/>
          <w:lang w:val="en-US" w:eastAsia="zh-CN"/>
        </w:rPr>
        <w:t>获取采购文件</w:t>
      </w:r>
      <w:bookmarkEnd w:id="3"/>
    </w:p>
    <w:p w14:paraId="57930E5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时间：2026年04月23日至2026年04月30日，每天上午00:00至14:00，下午14:00至23:59（北京时间，法定节假日除外）</w:t>
      </w:r>
    </w:p>
    <w:p w14:paraId="30F6AC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地点：政采云平台（https://www.zcygov.cn/）</w:t>
      </w:r>
    </w:p>
    <w:p w14:paraId="4FFDE9E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方式：供应商登录政采云平台https://www.zcygov.cn/在线申请获取采购文件（进入“项目采购”应用，在获取采购文件菜单中选择项目，申请获取采购文件）本次招标不提供纸质版采购文件。</w:t>
      </w:r>
    </w:p>
    <w:p w14:paraId="44AEA52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lang w:val="en-US" w:eastAsia="zh-CN"/>
        </w:rPr>
        <w:t xml:space="preserve">售价（元）：0元 </w:t>
      </w:r>
    </w:p>
    <w:p w14:paraId="4FDF3FA0">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4" w:name="_Toc28094"/>
      <w:r>
        <w:rPr>
          <w:rFonts w:hint="eastAsia" w:ascii="仿宋" w:hAnsi="仿宋" w:eastAsia="仿宋" w:cs="仿宋"/>
          <w:b/>
          <w:bCs/>
          <w:sz w:val="24"/>
          <w:szCs w:val="24"/>
          <w:highlight w:val="none"/>
          <w:lang w:val="en-US" w:eastAsia="zh-CN"/>
        </w:rPr>
        <w:t>响应文件提交</w:t>
      </w:r>
      <w:bookmarkEnd w:id="4"/>
      <w:r>
        <w:rPr>
          <w:rFonts w:hint="eastAsia" w:ascii="仿宋" w:hAnsi="仿宋" w:eastAsia="仿宋" w:cs="仿宋"/>
          <w:b/>
          <w:bCs/>
          <w:sz w:val="24"/>
          <w:szCs w:val="24"/>
          <w:highlight w:val="none"/>
          <w:lang w:val="en-US" w:eastAsia="zh-CN"/>
        </w:rPr>
        <w:t xml:space="preserve"> </w:t>
      </w:r>
    </w:p>
    <w:p w14:paraId="2CFBCE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截止时间：2026年5月6日 11:00（北京时间）</w:t>
      </w:r>
    </w:p>
    <w:p w14:paraId="46AB5A4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地    点：政采云平台（https://www.zcygov.cn/），本项目采用不见面开标，加密的电子投标文件在投标截止时间前在政采云平台上传。</w:t>
      </w:r>
    </w:p>
    <w:p w14:paraId="6FD6702E">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5" w:name="_Toc10942"/>
      <w:r>
        <w:rPr>
          <w:rFonts w:hint="eastAsia" w:ascii="仿宋" w:hAnsi="仿宋" w:eastAsia="仿宋" w:cs="仿宋"/>
          <w:b/>
          <w:bCs/>
          <w:sz w:val="24"/>
          <w:szCs w:val="24"/>
          <w:highlight w:val="none"/>
          <w:lang w:val="en-US" w:eastAsia="zh-CN"/>
        </w:rPr>
        <w:t>响应文件开启</w:t>
      </w:r>
      <w:bookmarkEnd w:id="5"/>
    </w:p>
    <w:p w14:paraId="621E5F0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开标时间：2026年5月6日 11:00（北京时间）</w:t>
      </w:r>
    </w:p>
    <w:p w14:paraId="157499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开标地点：政采云平台（https://www.zcygov.cn/）不见面开标系统</w:t>
      </w:r>
    </w:p>
    <w:p w14:paraId="5A02C5E1">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6" w:name="_Toc22200"/>
      <w:r>
        <w:rPr>
          <w:rFonts w:hint="eastAsia" w:ascii="仿宋" w:hAnsi="仿宋" w:eastAsia="仿宋" w:cs="仿宋"/>
          <w:b/>
          <w:bCs/>
          <w:sz w:val="24"/>
          <w:szCs w:val="24"/>
          <w:highlight w:val="none"/>
          <w:lang w:val="en-US" w:eastAsia="zh-CN"/>
        </w:rPr>
        <w:t>公告期限</w:t>
      </w:r>
      <w:bookmarkEnd w:id="6"/>
      <w:r>
        <w:rPr>
          <w:rFonts w:hint="eastAsia" w:ascii="仿宋" w:hAnsi="仿宋" w:eastAsia="仿宋" w:cs="仿宋"/>
          <w:b/>
          <w:bCs/>
          <w:sz w:val="24"/>
          <w:szCs w:val="24"/>
          <w:highlight w:val="none"/>
          <w:lang w:val="en-US" w:eastAsia="zh-CN"/>
        </w:rPr>
        <w:t xml:space="preserve"> </w:t>
      </w:r>
    </w:p>
    <w:p w14:paraId="6B2D44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自本公告发布之日起</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个工作日。</w:t>
      </w:r>
    </w:p>
    <w:p w14:paraId="7D77C4A3">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7" w:name="_Toc1229"/>
      <w:r>
        <w:rPr>
          <w:rFonts w:hint="eastAsia" w:ascii="仿宋" w:hAnsi="仿宋" w:eastAsia="仿宋" w:cs="仿宋"/>
          <w:b/>
          <w:bCs/>
          <w:sz w:val="24"/>
          <w:szCs w:val="24"/>
          <w:highlight w:val="none"/>
          <w:lang w:val="en-US" w:eastAsia="zh-CN"/>
        </w:rPr>
        <w:t>其他补充事宜</w:t>
      </w:r>
      <w:bookmarkEnd w:id="7"/>
      <w:r>
        <w:rPr>
          <w:rFonts w:hint="eastAsia" w:ascii="仿宋" w:hAnsi="仿宋" w:eastAsia="仿宋" w:cs="仿宋"/>
          <w:b/>
          <w:bCs/>
          <w:sz w:val="24"/>
          <w:szCs w:val="24"/>
          <w:highlight w:val="none"/>
          <w:lang w:val="en-US" w:eastAsia="zh-CN"/>
        </w:rPr>
        <w:t xml:space="preserve"> </w:t>
      </w:r>
    </w:p>
    <w:p w14:paraId="68D96F1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1、关于本项目所有公告、公示在</w:t>
      </w:r>
      <w:r>
        <w:rPr>
          <w:rFonts w:hint="eastAsia" w:ascii="仿宋" w:hAnsi="仿宋" w:eastAsia="仿宋" w:cs="仿宋"/>
          <w:b/>
          <w:bCs/>
          <w:sz w:val="24"/>
          <w:szCs w:val="24"/>
          <w:highlight w:val="none"/>
        </w:rPr>
        <w:t>新疆政府采购网</w:t>
      </w:r>
      <w:r>
        <w:rPr>
          <w:rFonts w:hint="eastAsia" w:ascii="仿宋" w:hAnsi="仿宋" w:eastAsia="仿宋" w:cs="仿宋"/>
          <w:sz w:val="24"/>
          <w:szCs w:val="24"/>
          <w:highlight w:val="none"/>
        </w:rPr>
        <w:t>（http://www.ccgp-xinjiang.gov.cn）</w:t>
      </w:r>
      <w:r>
        <w:rPr>
          <w:rFonts w:hint="eastAsia" w:ascii="仿宋" w:hAnsi="仿宋" w:eastAsia="仿宋" w:cs="仿宋"/>
          <w:b w:val="0"/>
          <w:bCs w:val="0"/>
          <w:sz w:val="24"/>
          <w:szCs w:val="24"/>
          <w:highlight w:val="none"/>
        </w:rPr>
        <w:t>发布。</w:t>
      </w:r>
    </w:p>
    <w:p w14:paraId="78C3EEC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2、请</w:t>
      </w:r>
      <w:r>
        <w:rPr>
          <w:rFonts w:hint="eastAsia" w:ascii="仿宋" w:hAnsi="仿宋" w:eastAsia="仿宋" w:cs="仿宋"/>
          <w:b w:val="0"/>
          <w:bCs w:val="0"/>
          <w:sz w:val="24"/>
          <w:szCs w:val="24"/>
          <w:highlight w:val="none"/>
          <w:lang w:eastAsia="zh-CN"/>
        </w:rPr>
        <w:t>磋商</w:t>
      </w:r>
      <w:r>
        <w:rPr>
          <w:rFonts w:hint="eastAsia" w:ascii="仿宋" w:hAnsi="仿宋" w:eastAsia="仿宋" w:cs="仿宋"/>
          <w:b w:val="0"/>
          <w:bCs w:val="0"/>
          <w:sz w:val="24"/>
          <w:szCs w:val="24"/>
          <w:highlight w:val="none"/>
        </w:rPr>
        <w:t>供应商随时关注本项目的澄清、答疑、变更事项。</w:t>
      </w:r>
    </w:p>
    <w:p w14:paraId="4FB9834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3、本项目实行电子招投标，供应商须登录政采云平台申请获取</w:t>
      </w:r>
      <w:r>
        <w:rPr>
          <w:rFonts w:hint="eastAsia" w:ascii="仿宋" w:hAnsi="仿宋" w:eastAsia="仿宋" w:cs="仿宋"/>
          <w:b w:val="0"/>
          <w:bCs w:val="0"/>
          <w:sz w:val="24"/>
          <w:szCs w:val="24"/>
          <w:highlight w:val="none"/>
          <w:lang w:eastAsia="zh-CN"/>
        </w:rPr>
        <w:t>采购文件</w:t>
      </w:r>
      <w:r>
        <w:rPr>
          <w:rFonts w:hint="eastAsia" w:ascii="仿宋" w:hAnsi="仿宋" w:eastAsia="仿宋" w:cs="仿宋"/>
          <w:b w:val="0"/>
          <w:bCs w:val="0"/>
          <w:sz w:val="24"/>
          <w:szCs w:val="24"/>
          <w:highlight w:val="none"/>
        </w:rPr>
        <w:t>，并通过政采云电子投标客户端制作响应文件，同时自行承担与投标有关的一切费用。</w:t>
      </w:r>
    </w:p>
    <w:p w14:paraId="63A6E98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3E5975A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14B82D7">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8" w:name="_Toc5047"/>
      <w:r>
        <w:rPr>
          <w:rFonts w:hint="eastAsia" w:ascii="仿宋" w:hAnsi="仿宋" w:eastAsia="仿宋" w:cs="仿宋"/>
          <w:b/>
          <w:bCs/>
          <w:sz w:val="24"/>
          <w:szCs w:val="24"/>
          <w:highlight w:val="none"/>
        </w:rPr>
        <w:t>对本次采购提出询问，请按以下方式联系</w:t>
      </w:r>
      <w:bookmarkEnd w:id="8"/>
    </w:p>
    <w:p w14:paraId="4E62ABB1">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14:paraId="47AC6C0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名 称：</w:t>
      </w:r>
      <w:r>
        <w:rPr>
          <w:rFonts w:hint="eastAsia" w:ascii="仿宋" w:hAnsi="仿宋" w:eastAsia="仿宋" w:cs="仿宋"/>
          <w:sz w:val="24"/>
          <w:szCs w:val="24"/>
          <w:highlight w:val="none"/>
          <w:lang w:eastAsia="zh-CN"/>
        </w:rPr>
        <w:t>新疆</w:t>
      </w:r>
      <w:r>
        <w:rPr>
          <w:rFonts w:hint="eastAsia" w:ascii="仿宋" w:hAnsi="仿宋" w:eastAsia="仿宋" w:cs="仿宋"/>
          <w:sz w:val="24"/>
          <w:szCs w:val="24"/>
          <w:highlight w:val="none"/>
          <w:lang w:val="en-US" w:eastAsia="zh-CN"/>
        </w:rPr>
        <w:t>特殊教育职业中专学校</w:t>
      </w:r>
    </w:p>
    <w:p w14:paraId="0A88B1F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地 址：</w:t>
      </w:r>
      <w:r>
        <w:rPr>
          <w:rFonts w:hint="eastAsia" w:ascii="仿宋" w:hAnsi="仿宋" w:eastAsia="仿宋" w:cs="仿宋"/>
          <w:sz w:val="24"/>
          <w:szCs w:val="24"/>
          <w:highlight w:val="none"/>
          <w:lang w:val="en-US" w:eastAsia="zh-CN"/>
        </w:rPr>
        <w:t>昌吉市六工镇经三路185号</w:t>
      </w:r>
    </w:p>
    <w:p w14:paraId="166B6A0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联系方式：</w:t>
      </w:r>
      <w:r>
        <w:rPr>
          <w:rFonts w:hint="eastAsia" w:ascii="仿宋" w:hAnsi="仿宋" w:eastAsia="仿宋" w:cs="仿宋"/>
          <w:sz w:val="24"/>
          <w:szCs w:val="24"/>
          <w:highlight w:val="none"/>
          <w:lang w:val="en-US" w:eastAsia="zh-CN"/>
        </w:rPr>
        <w:t>13669925141</w:t>
      </w:r>
    </w:p>
    <w:p w14:paraId="595708BE">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7DB634F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称：新疆世纪星工程咨询有限公司</w:t>
      </w:r>
    </w:p>
    <w:p w14:paraId="6AC26D9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址：乌鲁木齐经济技术开发区二期黄山街一品九点阳光德港大厦B座20楼</w:t>
      </w:r>
    </w:p>
    <w:p w14:paraId="5A7900B2">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联系方式：0991-3678303</w:t>
      </w:r>
    </w:p>
    <w:p w14:paraId="3E74D18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4FC23C9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项目联系人：</w:t>
      </w:r>
      <w:r>
        <w:rPr>
          <w:rFonts w:hint="eastAsia" w:ascii="仿宋" w:hAnsi="仿宋" w:eastAsia="仿宋" w:cs="仿宋"/>
          <w:sz w:val="24"/>
          <w:szCs w:val="24"/>
          <w:highlight w:val="none"/>
          <w:lang w:val="en-US" w:eastAsia="zh-CN"/>
        </w:rPr>
        <w:t>訾王贝</w:t>
      </w:r>
    </w:p>
    <w:p w14:paraId="215BABB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 话：0991-3678303</w:t>
      </w:r>
    </w:p>
    <w:p w14:paraId="4963AF16">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p>
    <w:p w14:paraId="284D3E0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p>
    <w:p w14:paraId="641333FE">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27E4E383">
      <w:pPr>
        <w:pStyle w:val="2"/>
        <w:numPr>
          <w:ilvl w:val="0"/>
          <w:numId w:val="3"/>
        </w:numPr>
        <w:bidi w:val="0"/>
        <w:jc w:val="center"/>
        <w:rPr>
          <w:rFonts w:hint="eastAsia" w:ascii="仿宋" w:hAnsi="仿宋" w:eastAsia="仿宋" w:cs="仿宋"/>
          <w:sz w:val="32"/>
          <w:szCs w:val="32"/>
          <w:highlight w:val="none"/>
          <w:lang w:val="en-US" w:eastAsia="zh-CN"/>
        </w:rPr>
      </w:pPr>
      <w:bookmarkStart w:id="9" w:name="_Toc19946"/>
      <w:r>
        <w:rPr>
          <w:rFonts w:hint="eastAsia" w:ascii="仿宋" w:hAnsi="仿宋" w:eastAsia="仿宋" w:cs="仿宋"/>
          <w:sz w:val="32"/>
          <w:szCs w:val="32"/>
          <w:highlight w:val="none"/>
          <w:lang w:val="en-US" w:eastAsia="zh-CN"/>
        </w:rPr>
        <w:t>供应商须知前附表</w:t>
      </w:r>
      <w:bookmarkEnd w:id="9"/>
    </w:p>
    <w:p w14:paraId="3CFEA158">
      <w:pPr>
        <w:pStyle w:val="11"/>
        <w:rPr>
          <w:rFonts w:hint="eastAsia" w:ascii="仿宋" w:hAnsi="仿宋" w:eastAsia="仿宋" w:cs="仿宋"/>
          <w:highlight w:val="none"/>
          <w:lang w:val="en-US" w:eastAsia="zh-CN"/>
        </w:rPr>
      </w:pPr>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63"/>
        <w:gridCol w:w="6632"/>
      </w:tblGrid>
      <w:tr w14:paraId="432924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870" w:type="dxa"/>
            <w:tcBorders>
              <w:tl2br w:val="nil"/>
              <w:tr2bl w:val="nil"/>
            </w:tcBorders>
            <w:vAlign w:val="center"/>
          </w:tcPr>
          <w:p w14:paraId="0DE77B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rPr>
            </w:pPr>
            <w:r>
              <w:rPr>
                <w:rFonts w:hint="eastAsia" w:ascii="仿宋" w:hAnsi="仿宋" w:eastAsia="仿宋" w:cs="仿宋"/>
                <w:b/>
                <w:bCs/>
                <w:sz w:val="21"/>
                <w:szCs w:val="21"/>
                <w:highlight w:val="none"/>
                <w:vertAlign w:val="baseline"/>
                <w:lang w:val="en-US" w:eastAsia="zh-CN"/>
              </w:rPr>
              <w:t>条款号</w:t>
            </w:r>
          </w:p>
        </w:tc>
        <w:tc>
          <w:tcPr>
            <w:tcW w:w="6652" w:type="dxa"/>
            <w:tcBorders>
              <w:tl2br w:val="nil"/>
              <w:tr2bl w:val="nil"/>
            </w:tcBorders>
          </w:tcPr>
          <w:p w14:paraId="6FD399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rPr>
            </w:pPr>
            <w:r>
              <w:rPr>
                <w:rFonts w:hint="eastAsia" w:ascii="仿宋" w:hAnsi="仿宋" w:eastAsia="仿宋" w:cs="仿宋"/>
                <w:b/>
                <w:bCs/>
                <w:sz w:val="21"/>
                <w:szCs w:val="21"/>
                <w:highlight w:val="none"/>
                <w:vertAlign w:val="baseline"/>
                <w:lang w:val="en-US" w:eastAsia="zh-CN"/>
              </w:rPr>
              <w:t>内容</w:t>
            </w:r>
          </w:p>
        </w:tc>
      </w:tr>
      <w:tr w14:paraId="36830C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3231D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1.1</w:t>
            </w:r>
          </w:p>
        </w:tc>
        <w:tc>
          <w:tcPr>
            <w:tcW w:w="6652" w:type="dxa"/>
            <w:tcBorders>
              <w:tl2br w:val="nil"/>
              <w:tr2bl w:val="nil"/>
            </w:tcBorders>
            <w:vAlign w:val="center"/>
          </w:tcPr>
          <w:p w14:paraId="738A6E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采购人</w:t>
            </w:r>
            <w:r>
              <w:rPr>
                <w:rFonts w:hint="eastAsia" w:ascii="仿宋" w:hAnsi="仿宋" w:eastAsia="仿宋" w:cs="仿宋"/>
                <w:sz w:val="21"/>
                <w:szCs w:val="21"/>
                <w:highlight w:val="none"/>
                <w:vertAlign w:val="baseline"/>
              </w:rPr>
              <w:t>名 称：</w:t>
            </w:r>
            <w:r>
              <w:rPr>
                <w:rFonts w:hint="eastAsia" w:ascii="仿宋" w:hAnsi="仿宋" w:eastAsia="仿宋" w:cs="仿宋"/>
                <w:sz w:val="21"/>
                <w:szCs w:val="21"/>
                <w:highlight w:val="none"/>
                <w:vertAlign w:val="baseline"/>
                <w:lang w:eastAsia="zh-CN"/>
              </w:rPr>
              <w:t>新疆</w:t>
            </w:r>
            <w:r>
              <w:rPr>
                <w:rFonts w:hint="eastAsia" w:ascii="仿宋" w:hAnsi="仿宋" w:eastAsia="仿宋" w:cs="仿宋"/>
                <w:sz w:val="21"/>
                <w:szCs w:val="21"/>
                <w:highlight w:val="none"/>
                <w:vertAlign w:val="baseline"/>
                <w:lang w:val="en-US" w:eastAsia="zh-CN"/>
              </w:rPr>
              <w:t>特殊教育职业中专学校</w:t>
            </w:r>
          </w:p>
          <w:p w14:paraId="78E097C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rPr>
              <w:t>地 址：</w:t>
            </w:r>
            <w:r>
              <w:rPr>
                <w:rFonts w:hint="eastAsia" w:ascii="仿宋" w:hAnsi="仿宋" w:eastAsia="仿宋" w:cs="仿宋"/>
                <w:sz w:val="21"/>
                <w:szCs w:val="21"/>
                <w:highlight w:val="none"/>
                <w:vertAlign w:val="baseline"/>
                <w:lang w:val="en-US" w:eastAsia="zh-CN"/>
              </w:rPr>
              <w:t>昌吉市六工镇经三路185号</w:t>
            </w:r>
          </w:p>
          <w:p w14:paraId="062E56F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联系方式：</w:t>
            </w:r>
            <w:r>
              <w:rPr>
                <w:rFonts w:hint="eastAsia" w:ascii="仿宋" w:hAnsi="仿宋" w:eastAsia="仿宋" w:cs="仿宋"/>
                <w:sz w:val="21"/>
                <w:szCs w:val="21"/>
                <w:highlight w:val="none"/>
                <w:vertAlign w:val="baseline"/>
                <w:lang w:val="en-US" w:eastAsia="zh-CN"/>
              </w:rPr>
              <w:t>13669925141</w:t>
            </w:r>
          </w:p>
        </w:tc>
      </w:tr>
      <w:tr w14:paraId="66D551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44FD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1.2</w:t>
            </w:r>
          </w:p>
        </w:tc>
        <w:tc>
          <w:tcPr>
            <w:tcW w:w="6652" w:type="dxa"/>
            <w:tcBorders>
              <w:tl2br w:val="nil"/>
              <w:tr2bl w:val="nil"/>
            </w:tcBorders>
            <w:vAlign w:val="center"/>
          </w:tcPr>
          <w:p w14:paraId="5284F8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 xml:space="preserve">采购代理机构：新疆世纪星工程咨询有限公司 </w:t>
            </w:r>
          </w:p>
          <w:p w14:paraId="34F3278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 xml:space="preserve">地址：乌鲁木齐经济技术开发区二期黄山街一品九点阳光德港大厦B座20楼 </w:t>
            </w:r>
          </w:p>
          <w:p w14:paraId="264471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rPr>
              <w:t>业务联系人：</w:t>
            </w:r>
            <w:r>
              <w:rPr>
                <w:rFonts w:hint="eastAsia" w:ascii="仿宋" w:hAnsi="仿宋" w:eastAsia="仿宋" w:cs="仿宋"/>
                <w:sz w:val="21"/>
                <w:szCs w:val="21"/>
                <w:highlight w:val="none"/>
                <w:vertAlign w:val="baseline"/>
                <w:lang w:val="en-US" w:eastAsia="zh-CN"/>
              </w:rPr>
              <w:t>訾王贝</w:t>
            </w:r>
            <w:r>
              <w:rPr>
                <w:rFonts w:hint="eastAsia" w:ascii="仿宋" w:hAnsi="仿宋" w:eastAsia="仿宋" w:cs="仿宋"/>
                <w:sz w:val="21"/>
                <w:szCs w:val="21"/>
                <w:highlight w:val="none"/>
                <w:vertAlign w:val="baseline"/>
              </w:rPr>
              <w:t xml:space="preserve">      </w:t>
            </w:r>
            <w:r>
              <w:rPr>
                <w:rFonts w:hint="eastAsia" w:ascii="仿宋" w:hAnsi="仿宋" w:eastAsia="仿宋" w:cs="仿宋"/>
                <w:sz w:val="21"/>
                <w:szCs w:val="21"/>
                <w:highlight w:val="none"/>
                <w:vertAlign w:val="baseline"/>
                <w:lang w:val="en-US" w:eastAsia="zh-CN"/>
              </w:rPr>
              <w:t xml:space="preserve">  </w:t>
            </w:r>
          </w:p>
          <w:p w14:paraId="79B34E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 xml:space="preserve">电话：0991-3678303 </w:t>
            </w:r>
          </w:p>
          <w:p w14:paraId="533738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rPr>
              <w:t>电子邮箱：</w:t>
            </w:r>
            <w:r>
              <w:rPr>
                <w:rFonts w:hint="eastAsia" w:ascii="仿宋" w:hAnsi="仿宋" w:eastAsia="仿宋" w:cs="仿宋"/>
                <w:sz w:val="21"/>
                <w:szCs w:val="21"/>
                <w:highlight w:val="none"/>
                <w:vertAlign w:val="baseline"/>
                <w:lang w:val="en-US" w:eastAsia="zh-CN"/>
              </w:rPr>
              <w:t>1587610063@qq.com</w:t>
            </w:r>
          </w:p>
        </w:tc>
      </w:tr>
      <w:tr w14:paraId="4B0EA3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0DE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1.3.3</w:t>
            </w:r>
          </w:p>
        </w:tc>
        <w:tc>
          <w:tcPr>
            <w:tcW w:w="6652" w:type="dxa"/>
            <w:tcBorders>
              <w:tl2br w:val="nil"/>
              <w:tr2bl w:val="nil"/>
            </w:tcBorders>
            <w:vAlign w:val="center"/>
          </w:tcPr>
          <w:p w14:paraId="16B040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rPr>
            </w:pPr>
            <w:r>
              <w:rPr>
                <w:rFonts w:hint="eastAsia" w:ascii="仿宋" w:hAnsi="仿宋" w:eastAsia="仿宋" w:cs="仿宋"/>
                <w:b/>
                <w:bCs/>
                <w:sz w:val="21"/>
                <w:szCs w:val="21"/>
                <w:highlight w:val="none"/>
                <w:vertAlign w:val="baseline"/>
              </w:rPr>
              <w:t>合格</w:t>
            </w:r>
            <w:r>
              <w:rPr>
                <w:rFonts w:hint="eastAsia" w:ascii="仿宋" w:hAnsi="仿宋" w:eastAsia="仿宋" w:cs="仿宋"/>
                <w:b/>
                <w:bCs/>
                <w:sz w:val="21"/>
                <w:szCs w:val="21"/>
                <w:highlight w:val="none"/>
                <w:vertAlign w:val="baseline"/>
                <w:lang w:val="en-US" w:eastAsia="zh-CN"/>
              </w:rPr>
              <w:t>供应商</w:t>
            </w:r>
            <w:r>
              <w:rPr>
                <w:rFonts w:hint="eastAsia" w:ascii="仿宋" w:hAnsi="仿宋" w:eastAsia="仿宋" w:cs="仿宋"/>
                <w:b/>
                <w:bCs/>
                <w:sz w:val="21"/>
                <w:szCs w:val="21"/>
                <w:highlight w:val="none"/>
                <w:vertAlign w:val="baseline"/>
              </w:rPr>
              <w:t>的其他资格要求：</w:t>
            </w:r>
          </w:p>
          <w:p w14:paraId="5FCD25D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06664FE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highlight w:val="none"/>
              </w:rPr>
            </w:pPr>
            <w:r>
              <w:rPr>
                <w:rFonts w:hint="eastAsia" w:ascii="仿宋" w:hAnsi="仿宋" w:eastAsia="仿宋" w:cs="仿宋"/>
                <w:sz w:val="21"/>
                <w:szCs w:val="21"/>
                <w:highlight w:val="none"/>
                <w:vertAlign w:val="baseline"/>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0DFD4A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1EC0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1.4</w:t>
            </w:r>
          </w:p>
        </w:tc>
        <w:tc>
          <w:tcPr>
            <w:tcW w:w="6652" w:type="dxa"/>
            <w:tcBorders>
              <w:tl2br w:val="nil"/>
              <w:tr2bl w:val="nil"/>
            </w:tcBorders>
            <w:vAlign w:val="center"/>
          </w:tcPr>
          <w:p w14:paraId="498A1C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是否允许采购进口产品：否</w:t>
            </w:r>
          </w:p>
          <w:p w14:paraId="51B809F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highlight w:val="none"/>
              </w:rPr>
            </w:pPr>
            <w:r>
              <w:rPr>
                <w:rFonts w:hint="eastAsia" w:ascii="仿宋" w:hAnsi="仿宋" w:eastAsia="仿宋" w:cs="仿宋"/>
                <w:sz w:val="21"/>
                <w:szCs w:val="21"/>
                <w:highlight w:val="none"/>
                <w:vertAlign w:val="baseline"/>
              </w:rPr>
              <w:t>进口产品按照财政部文件《政府采购进口产品管理办法》(财库〔2007〕119号)、财政部文件《关于政府采购进口产品管理有关问题的通知》（财办库[2008]248 号）认定，整机设备内元器件不作限制。</w:t>
            </w:r>
          </w:p>
        </w:tc>
      </w:tr>
      <w:tr w14:paraId="57D88D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76F2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1.5.1</w:t>
            </w:r>
          </w:p>
        </w:tc>
        <w:tc>
          <w:tcPr>
            <w:tcW w:w="6652" w:type="dxa"/>
            <w:tcBorders>
              <w:tl2br w:val="nil"/>
              <w:tr2bl w:val="nil"/>
            </w:tcBorders>
            <w:vAlign w:val="center"/>
          </w:tcPr>
          <w:p w14:paraId="7D24C70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本项目采购标的对应的中小企业划分标准所属行业：租赁和商务服务业</w:t>
            </w:r>
          </w:p>
          <w:p w14:paraId="2AA8FA42">
            <w:pPr>
              <w:pStyle w:val="11"/>
              <w:keepNext w:val="0"/>
              <w:keepLines w:val="0"/>
              <w:pageBreakBefore w:val="0"/>
              <w:widowControl w:val="0"/>
              <w:kinsoku/>
              <w:wordWrap/>
              <w:overflowPunct/>
              <w:topLinePunct w:val="0"/>
              <w:bidi w:val="0"/>
              <w:snapToGrid/>
              <w:spacing w:line="360" w:lineRule="exact"/>
              <w:ind w:left="0" w:leftChars="0"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根据工业和信息化部、国家统计局、国家发展 和改革委员会、财政部《关于印发中小企业划型标准规定的通知》 （工信部联企业〔2011〕300 号）</w:t>
            </w:r>
            <w:r>
              <w:rPr>
                <w:rFonts w:hint="eastAsia" w:ascii="仿宋" w:hAnsi="仿宋" w:eastAsia="仿宋" w:cs="仿宋"/>
                <w:b/>
                <w:bCs/>
                <w:sz w:val="21"/>
                <w:szCs w:val="21"/>
                <w:highlight w:val="none"/>
                <w:u w:val="single"/>
              </w:rPr>
              <w:t>采购标的</w:t>
            </w:r>
            <w:r>
              <w:rPr>
                <w:rFonts w:hint="eastAsia" w:ascii="仿宋" w:hAnsi="仿宋" w:eastAsia="仿宋" w:cs="仿宋"/>
                <w:b/>
                <w:bCs/>
                <w:sz w:val="21"/>
                <w:szCs w:val="21"/>
                <w:highlight w:val="none"/>
                <w:u w:val="single"/>
                <w:lang w:eastAsia="zh-CN"/>
              </w:rPr>
              <w:t>新疆特殊教育职业中专学校2026年团委结对共建及学生会活动项目</w:t>
            </w:r>
            <w:r>
              <w:rPr>
                <w:rFonts w:hint="eastAsia" w:ascii="仿宋" w:hAnsi="仿宋" w:eastAsia="仿宋" w:cs="仿宋"/>
                <w:b/>
                <w:bCs/>
                <w:sz w:val="21"/>
                <w:szCs w:val="21"/>
                <w:highlight w:val="none"/>
                <w:u w:val="single"/>
              </w:rPr>
              <w:t>按照租赁和商务服务业</w:t>
            </w:r>
            <w:r>
              <w:rPr>
                <w:rFonts w:hint="eastAsia" w:ascii="仿宋" w:hAnsi="仿宋" w:eastAsia="仿宋" w:cs="仿宋"/>
                <w:b/>
                <w:bCs/>
                <w:sz w:val="21"/>
                <w:szCs w:val="21"/>
                <w:highlight w:val="none"/>
                <w:u w:val="single"/>
                <w:lang w:val="en-US" w:eastAsia="zh-CN"/>
              </w:rPr>
              <w:t>行业</w:t>
            </w:r>
            <w:r>
              <w:rPr>
                <w:rFonts w:hint="eastAsia" w:ascii="仿宋" w:hAnsi="仿宋" w:eastAsia="仿宋" w:cs="仿宋"/>
                <w:b/>
                <w:bCs/>
                <w:sz w:val="21"/>
                <w:szCs w:val="21"/>
                <w:highlight w:val="none"/>
                <w:u w:val="single"/>
              </w:rPr>
              <w:t>认定企业类型标准。</w:t>
            </w:r>
          </w:p>
        </w:tc>
      </w:tr>
      <w:tr w14:paraId="146C17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37CA1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1.5.2</w:t>
            </w:r>
          </w:p>
        </w:tc>
        <w:tc>
          <w:tcPr>
            <w:tcW w:w="6652" w:type="dxa"/>
            <w:tcBorders>
              <w:tl2br w:val="nil"/>
              <w:tr2bl w:val="nil"/>
            </w:tcBorders>
            <w:vAlign w:val="center"/>
          </w:tcPr>
          <w:p w14:paraId="5859C2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本项目面向中小企业采购预留份额、措施及比例：</w:t>
            </w:r>
          </w:p>
          <w:p w14:paraId="13B443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□本项目不专门面向中小企业预留采购份额。</w:t>
            </w:r>
          </w:p>
          <w:p w14:paraId="7EE724B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☑本项目专门面向</w:t>
            </w:r>
            <w:r>
              <w:rPr>
                <w:rFonts w:hint="eastAsia" w:ascii="仿宋" w:hAnsi="仿宋" w:eastAsia="仿宋" w:cs="仿宋"/>
                <w:b/>
                <w:bCs/>
                <w:sz w:val="21"/>
                <w:szCs w:val="21"/>
                <w:highlight w:val="none"/>
                <w:vertAlign w:val="baseline"/>
                <w:lang w:val="en-US" w:eastAsia="zh-CN"/>
              </w:rPr>
              <w:t>□中小☑小微企业</w:t>
            </w:r>
            <w:r>
              <w:rPr>
                <w:rFonts w:hint="eastAsia" w:ascii="仿宋" w:hAnsi="仿宋" w:eastAsia="仿宋" w:cs="仿宋"/>
                <w:sz w:val="21"/>
                <w:szCs w:val="21"/>
                <w:highlight w:val="none"/>
                <w:vertAlign w:val="baseline"/>
                <w:lang w:val="en-US" w:eastAsia="zh-CN"/>
              </w:rPr>
              <w:t xml:space="preserve"> 采购。即: 提供的货物全部由符合政策要求的</w:t>
            </w:r>
            <w:r>
              <w:rPr>
                <w:rFonts w:hint="eastAsia" w:ascii="仿宋" w:hAnsi="仿宋" w:eastAsia="仿宋" w:cs="仿宋"/>
                <w:b/>
                <w:bCs/>
                <w:sz w:val="21"/>
                <w:szCs w:val="21"/>
                <w:highlight w:val="none"/>
                <w:vertAlign w:val="baseline"/>
                <w:lang w:val="en-US" w:eastAsia="zh-CN"/>
              </w:rPr>
              <w:t>□中小☑小微</w:t>
            </w:r>
            <w:r>
              <w:rPr>
                <w:rFonts w:hint="eastAsia" w:ascii="仿宋" w:hAnsi="仿宋" w:eastAsia="仿宋" w:cs="仿宋"/>
                <w:sz w:val="21"/>
                <w:szCs w:val="21"/>
                <w:highlight w:val="none"/>
                <w:vertAlign w:val="baseline"/>
                <w:lang w:val="en-US" w:eastAsia="zh-CN"/>
              </w:rPr>
              <w:t>企业制造、服务全部由符合政策要求的</w:t>
            </w:r>
            <w:r>
              <w:rPr>
                <w:rFonts w:hint="eastAsia" w:ascii="仿宋" w:hAnsi="仿宋" w:eastAsia="仿宋" w:cs="仿宋"/>
                <w:b/>
                <w:bCs/>
                <w:sz w:val="21"/>
                <w:szCs w:val="21"/>
                <w:highlight w:val="none"/>
                <w:vertAlign w:val="baseline"/>
                <w:lang w:val="en-US" w:eastAsia="zh-CN"/>
              </w:rPr>
              <w:t>□中小☑小微</w:t>
            </w:r>
            <w:r>
              <w:rPr>
                <w:rFonts w:hint="eastAsia" w:ascii="仿宋" w:hAnsi="仿宋" w:eastAsia="仿宋" w:cs="仿宋"/>
                <w:sz w:val="21"/>
                <w:szCs w:val="21"/>
                <w:highlight w:val="none"/>
                <w:vertAlign w:val="baseline"/>
                <w:lang w:val="en-US" w:eastAsia="zh-CN"/>
              </w:rPr>
              <w:t>企业承接。</w:t>
            </w:r>
          </w:p>
          <w:p w14:paraId="32CCD8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 w:hAnsi="仿宋" w:eastAsia="仿宋" w:cs="仿宋"/>
                <w:b/>
                <w:bCs/>
                <w:sz w:val="21"/>
                <w:szCs w:val="21"/>
                <w:highlight w:val="none"/>
                <w:u w:val="single"/>
                <w:vertAlign w:val="baseline"/>
                <w:lang w:val="en-US" w:eastAsia="zh-CN"/>
              </w:rPr>
              <w:t>要求获得采购合同的投标人将本采购项目预算金额的至少   %分包给一家或者多家中小企业，其中预留给小微企业的比例至少   %，须提供《拟分包情况说明》，监狱和戒毒企业、残疾人福利性单位视同小型、微型企业（格式详见采购文件）。</w:t>
            </w:r>
          </w:p>
        </w:tc>
      </w:tr>
      <w:tr w14:paraId="4E7BF1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637C2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1.12</w:t>
            </w:r>
          </w:p>
        </w:tc>
        <w:tc>
          <w:tcPr>
            <w:tcW w:w="6652" w:type="dxa"/>
            <w:tcBorders>
              <w:tl2br w:val="nil"/>
              <w:tr2bl w:val="nil"/>
            </w:tcBorders>
            <w:vAlign w:val="center"/>
          </w:tcPr>
          <w:p w14:paraId="18E629D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是否允许联合体参加</w:t>
            </w:r>
            <w:r>
              <w:rPr>
                <w:rFonts w:hint="eastAsia" w:ascii="仿宋" w:hAnsi="仿宋" w:eastAsia="仿宋" w:cs="仿宋"/>
                <w:sz w:val="21"/>
                <w:szCs w:val="21"/>
                <w:highlight w:val="none"/>
                <w:vertAlign w:val="baseline"/>
                <w:lang w:eastAsia="zh-CN"/>
              </w:rPr>
              <w:t>磋商</w:t>
            </w:r>
            <w:r>
              <w:rPr>
                <w:rFonts w:hint="eastAsia" w:ascii="仿宋" w:hAnsi="仿宋" w:eastAsia="仿宋" w:cs="仿宋"/>
                <w:sz w:val="21"/>
                <w:szCs w:val="21"/>
                <w:highlight w:val="none"/>
                <w:vertAlign w:val="baseline"/>
              </w:rPr>
              <w:t>：否</w:t>
            </w:r>
          </w:p>
          <w:p w14:paraId="3F7CB7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联合体的其他资格要求：无</w:t>
            </w:r>
          </w:p>
        </w:tc>
      </w:tr>
      <w:tr w14:paraId="36DFF2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07C1A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2.2</w:t>
            </w:r>
          </w:p>
        </w:tc>
        <w:tc>
          <w:tcPr>
            <w:tcW w:w="6652" w:type="dxa"/>
            <w:tcBorders>
              <w:tl2br w:val="nil"/>
              <w:tr2bl w:val="nil"/>
            </w:tcBorders>
            <w:vAlign w:val="center"/>
          </w:tcPr>
          <w:p w14:paraId="041A62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项目预算金额：171800.00元</w:t>
            </w:r>
          </w:p>
          <w:p w14:paraId="5553F2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b/>
                <w:bCs/>
                <w:sz w:val="21"/>
                <w:szCs w:val="21"/>
                <w:highlight w:val="none"/>
                <w:vertAlign w:val="baseline"/>
                <w:lang w:val="en-US" w:eastAsia="zh-CN"/>
              </w:rPr>
              <w:t>最高限价：171800.00元</w:t>
            </w:r>
          </w:p>
        </w:tc>
      </w:tr>
      <w:tr w14:paraId="1878DD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872D5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5.4</w:t>
            </w:r>
          </w:p>
        </w:tc>
        <w:tc>
          <w:tcPr>
            <w:tcW w:w="6652" w:type="dxa"/>
            <w:tcBorders>
              <w:tl2br w:val="nil"/>
              <w:tr2bl w:val="nil"/>
            </w:tcBorders>
            <w:vAlign w:val="center"/>
          </w:tcPr>
          <w:p w14:paraId="7055DED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 xml:space="preserve">是否组织现场考察或者召开答疑会：否 </w:t>
            </w:r>
          </w:p>
          <w:p w14:paraId="4EBD4C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组织现场考察或者召开答疑会相关要求：/</w:t>
            </w:r>
          </w:p>
        </w:tc>
      </w:tr>
      <w:tr w14:paraId="26F02D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46E63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 xml:space="preserve">6.1 </w:t>
            </w:r>
          </w:p>
        </w:tc>
        <w:tc>
          <w:tcPr>
            <w:tcW w:w="6652" w:type="dxa"/>
            <w:tcBorders>
              <w:tl2br w:val="nil"/>
              <w:tr2bl w:val="nil"/>
            </w:tcBorders>
            <w:vAlign w:val="center"/>
          </w:tcPr>
          <w:p w14:paraId="4C24CF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 xml:space="preserve">是否需要提供样品（演示）：否 </w:t>
            </w:r>
          </w:p>
          <w:p w14:paraId="522D901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提供样品（演示）要求包括：/</w:t>
            </w:r>
          </w:p>
        </w:tc>
      </w:tr>
      <w:tr w14:paraId="31A107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2C7B5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 xml:space="preserve">8.1 </w:t>
            </w:r>
          </w:p>
        </w:tc>
        <w:tc>
          <w:tcPr>
            <w:tcW w:w="6652" w:type="dxa"/>
            <w:tcBorders>
              <w:tl2br w:val="nil"/>
              <w:tr2bl w:val="nil"/>
            </w:tcBorders>
            <w:vAlign w:val="center"/>
          </w:tcPr>
          <w:p w14:paraId="26D0875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如</w:t>
            </w:r>
            <w:r>
              <w:rPr>
                <w:rFonts w:hint="eastAsia" w:ascii="仿宋" w:hAnsi="仿宋" w:eastAsia="仿宋" w:cs="仿宋"/>
                <w:sz w:val="21"/>
                <w:szCs w:val="21"/>
                <w:highlight w:val="none"/>
                <w:vertAlign w:val="baseline"/>
                <w:lang w:val="en-US" w:eastAsia="zh-CN"/>
              </w:rPr>
              <w:t>供应商</w:t>
            </w:r>
            <w:r>
              <w:rPr>
                <w:rFonts w:hint="eastAsia" w:ascii="仿宋" w:hAnsi="仿宋" w:eastAsia="仿宋" w:cs="仿宋"/>
                <w:sz w:val="21"/>
                <w:szCs w:val="21"/>
                <w:highlight w:val="none"/>
                <w:vertAlign w:val="baseline"/>
              </w:rPr>
              <w:t>对</w:t>
            </w:r>
            <w:r>
              <w:rPr>
                <w:rFonts w:hint="eastAsia" w:ascii="仿宋" w:hAnsi="仿宋" w:eastAsia="仿宋" w:cs="仿宋"/>
                <w:b/>
                <w:bCs/>
                <w:sz w:val="21"/>
                <w:szCs w:val="21"/>
                <w:highlight w:val="none"/>
                <w:vertAlign w:val="baseline"/>
              </w:rPr>
              <w:t>多</w:t>
            </w:r>
            <w:r>
              <w:rPr>
                <w:rFonts w:hint="eastAsia" w:ascii="仿宋" w:hAnsi="仿宋" w:eastAsia="仿宋" w:cs="仿宋"/>
                <w:sz w:val="21"/>
                <w:szCs w:val="21"/>
                <w:highlight w:val="none"/>
                <w:vertAlign w:val="baseline"/>
              </w:rPr>
              <w:t>个包进行</w:t>
            </w:r>
            <w:r>
              <w:rPr>
                <w:rFonts w:hint="eastAsia" w:ascii="仿宋" w:hAnsi="仿宋" w:eastAsia="仿宋" w:cs="仿宋"/>
                <w:sz w:val="21"/>
                <w:szCs w:val="21"/>
                <w:highlight w:val="none"/>
                <w:vertAlign w:val="baseline"/>
                <w:lang w:val="en-US" w:eastAsia="zh-CN"/>
              </w:rPr>
              <w:t>磋商响应</w:t>
            </w:r>
            <w:r>
              <w:rPr>
                <w:rFonts w:hint="eastAsia" w:ascii="仿宋" w:hAnsi="仿宋" w:eastAsia="仿宋" w:cs="仿宋"/>
                <w:sz w:val="21"/>
                <w:szCs w:val="21"/>
                <w:highlight w:val="none"/>
                <w:vertAlign w:val="baseline"/>
              </w:rPr>
              <w:t>，可以</w:t>
            </w:r>
            <w:r>
              <w:rPr>
                <w:rFonts w:hint="eastAsia" w:ascii="仿宋" w:hAnsi="仿宋" w:eastAsia="仿宋" w:cs="仿宋"/>
                <w:sz w:val="21"/>
                <w:szCs w:val="21"/>
                <w:highlight w:val="none"/>
                <w:vertAlign w:val="baseline"/>
                <w:lang w:val="en-US" w:eastAsia="zh-CN"/>
              </w:rPr>
              <w:t>成交</w:t>
            </w:r>
            <w:r>
              <w:rPr>
                <w:rFonts w:hint="eastAsia" w:ascii="仿宋" w:hAnsi="仿宋" w:eastAsia="仿宋" w:cs="仿宋"/>
                <w:b/>
                <w:bCs/>
                <w:sz w:val="21"/>
                <w:szCs w:val="21"/>
                <w:highlight w:val="none"/>
                <w:u w:val="single"/>
                <w:vertAlign w:val="baseline"/>
              </w:rPr>
              <w:t>多</w:t>
            </w:r>
            <w:r>
              <w:rPr>
                <w:rFonts w:hint="eastAsia" w:ascii="仿宋" w:hAnsi="仿宋" w:eastAsia="仿宋" w:cs="仿宋"/>
                <w:sz w:val="21"/>
                <w:szCs w:val="21"/>
                <w:highlight w:val="none"/>
                <w:vertAlign w:val="baseline"/>
              </w:rPr>
              <w:t>包（本项目不适用）</w:t>
            </w:r>
          </w:p>
        </w:tc>
      </w:tr>
      <w:tr w14:paraId="2FBC13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266A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11</w:t>
            </w:r>
          </w:p>
        </w:tc>
        <w:tc>
          <w:tcPr>
            <w:tcW w:w="6652" w:type="dxa"/>
            <w:tcBorders>
              <w:tl2br w:val="nil"/>
              <w:tr2bl w:val="nil"/>
            </w:tcBorders>
            <w:vAlign w:val="center"/>
          </w:tcPr>
          <w:p w14:paraId="69C3256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保证金形式：支票、汇票、本票、网上银行支付或者金融机构、担保机构出具的保函等政府采购法律法规中要求的非现金形式</w:t>
            </w:r>
          </w:p>
          <w:p w14:paraId="7366DEF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保证金数额：</w:t>
            </w:r>
            <w:r>
              <w:rPr>
                <w:rFonts w:hint="eastAsia" w:ascii="仿宋" w:hAnsi="仿宋" w:eastAsia="仿宋" w:cs="仿宋"/>
                <w:sz w:val="21"/>
                <w:szCs w:val="21"/>
                <w:highlight w:val="none"/>
                <w:vertAlign w:val="baseline"/>
                <w:lang w:val="en-US" w:eastAsia="zh-CN"/>
              </w:rPr>
              <w:t>3</w:t>
            </w:r>
            <w:r>
              <w:rPr>
                <w:rFonts w:hint="eastAsia" w:ascii="仿宋" w:hAnsi="仿宋" w:eastAsia="仿宋" w:cs="仿宋"/>
                <w:b/>
                <w:bCs/>
                <w:sz w:val="21"/>
                <w:szCs w:val="21"/>
                <w:highlight w:val="none"/>
                <w:vertAlign w:val="baseline"/>
                <w:lang w:val="en-US" w:eastAsia="zh-CN"/>
              </w:rPr>
              <w:t>400</w:t>
            </w:r>
            <w:r>
              <w:rPr>
                <w:rFonts w:hint="eastAsia" w:ascii="仿宋" w:hAnsi="仿宋" w:eastAsia="仿宋" w:cs="仿宋"/>
                <w:b/>
                <w:bCs/>
                <w:sz w:val="21"/>
                <w:szCs w:val="21"/>
                <w:highlight w:val="none"/>
                <w:vertAlign w:val="baseline"/>
              </w:rPr>
              <w:t>元</w:t>
            </w:r>
            <w:r>
              <w:rPr>
                <w:rFonts w:hint="eastAsia" w:ascii="仿宋" w:hAnsi="仿宋" w:eastAsia="仿宋" w:cs="仿宋"/>
                <w:sz w:val="21"/>
                <w:szCs w:val="21"/>
                <w:highlight w:val="none"/>
                <w:vertAlign w:val="baseline"/>
              </w:rPr>
              <w:t xml:space="preserve"> </w:t>
            </w:r>
          </w:p>
          <w:p w14:paraId="621FBB4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rPr>
            </w:pPr>
            <w:r>
              <w:rPr>
                <w:rFonts w:hint="eastAsia" w:ascii="仿宋" w:hAnsi="仿宋" w:eastAsia="仿宋" w:cs="仿宋"/>
                <w:b/>
                <w:bCs/>
                <w:sz w:val="21"/>
                <w:szCs w:val="21"/>
                <w:highlight w:val="none"/>
                <w:vertAlign w:val="baseline"/>
              </w:rPr>
              <w:t>投标保证金递交方式：</w:t>
            </w:r>
          </w:p>
          <w:p w14:paraId="2C4AE0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保证金收款人：新疆世纪星工程咨询有限公司</w:t>
            </w:r>
          </w:p>
          <w:p w14:paraId="6402AF1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保证金收款账号：512090100100073085</w:t>
            </w:r>
          </w:p>
          <w:p w14:paraId="645AEE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保证收款银行及行号: 兴业银行乌鲁木齐分行营业部309881002010</w:t>
            </w:r>
          </w:p>
          <w:p w14:paraId="7D90EF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投标保证金到账（保函提交）截止时间同投标截止时间。</w:t>
            </w:r>
          </w:p>
          <w:p w14:paraId="0AB6C83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以支票、汇票、本票、网上银行支付等形式提交投标保证金的，应在投标截止时间前到账；</w:t>
            </w:r>
          </w:p>
          <w:p w14:paraId="674C2CB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b/>
                <w:bCs/>
                <w:sz w:val="21"/>
                <w:szCs w:val="21"/>
                <w:highlight w:val="none"/>
                <w:vertAlign w:val="baseline"/>
              </w:rPr>
              <w:t>投标保函提交方式：</w:t>
            </w:r>
            <w:r>
              <w:rPr>
                <w:rFonts w:hint="eastAsia" w:ascii="仿宋" w:hAnsi="仿宋" w:eastAsia="仿宋" w:cs="仿宋"/>
                <w:sz w:val="21"/>
                <w:szCs w:val="21"/>
                <w:highlight w:val="none"/>
                <w:vertAlign w:val="baseline"/>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75EF4FB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由于到账时间晚于投标截止时间的，或者票据错误、印鉴不清等原因导致不能到账的，其投标无效。</w:t>
            </w:r>
          </w:p>
          <w:p w14:paraId="1AEF6E6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投标保证金（投标保函）有效期与投标有效期一致。</w:t>
            </w:r>
          </w:p>
          <w:p w14:paraId="050203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注意事项：供应商通过线下方式缴纳保证金（转账、支票、汇票、本票、纸质保函）的，需准备缴纳凭证的扫描件作为核验凭证；通过电子保函形式缴纳保证金的，如遇开标或评标现场无法拉取电子保函信息时，可提供电子保函及购买凭证作为核验凭证。</w:t>
            </w:r>
          </w:p>
        </w:tc>
      </w:tr>
      <w:tr w14:paraId="258118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8DD31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12.1</w:t>
            </w:r>
          </w:p>
        </w:tc>
        <w:tc>
          <w:tcPr>
            <w:tcW w:w="6652" w:type="dxa"/>
            <w:tcBorders>
              <w:tl2br w:val="nil"/>
              <w:tr2bl w:val="nil"/>
            </w:tcBorders>
            <w:vAlign w:val="center"/>
          </w:tcPr>
          <w:p w14:paraId="59F48D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rPr>
            </w:pPr>
            <w:r>
              <w:rPr>
                <w:rFonts w:hint="eastAsia" w:ascii="仿宋" w:hAnsi="仿宋" w:eastAsia="仿宋" w:cs="仿宋"/>
                <w:b w:val="0"/>
                <w:bCs w:val="0"/>
                <w:sz w:val="21"/>
                <w:szCs w:val="21"/>
                <w:highlight w:val="none"/>
                <w:vertAlign w:val="baseline"/>
                <w:lang w:val="en-US" w:eastAsia="zh-CN"/>
              </w:rPr>
              <w:t>响应文件</w:t>
            </w:r>
            <w:r>
              <w:rPr>
                <w:rFonts w:hint="eastAsia" w:ascii="仿宋" w:hAnsi="仿宋" w:eastAsia="仿宋" w:cs="仿宋"/>
                <w:b w:val="0"/>
                <w:bCs w:val="0"/>
                <w:sz w:val="21"/>
                <w:szCs w:val="21"/>
                <w:highlight w:val="none"/>
                <w:vertAlign w:val="baseline"/>
              </w:rPr>
              <w:t>有效期：从提交投标（响应）文件的截止之日起90日历天</w:t>
            </w:r>
          </w:p>
        </w:tc>
      </w:tr>
      <w:tr w14:paraId="76E477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4526E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14.1</w:t>
            </w:r>
          </w:p>
        </w:tc>
        <w:tc>
          <w:tcPr>
            <w:tcW w:w="6652" w:type="dxa"/>
            <w:tcBorders>
              <w:tl2br w:val="nil"/>
              <w:tr2bl w:val="nil"/>
            </w:tcBorders>
            <w:vAlign w:val="center"/>
          </w:tcPr>
          <w:p w14:paraId="025165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响应截止时间：2026年5月6日 11:00（北京时间）</w:t>
            </w:r>
          </w:p>
          <w:p w14:paraId="4EF4057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highlight w:val="none"/>
                <w:lang w:val="en-US" w:eastAsia="zh-CN"/>
              </w:rPr>
            </w:pPr>
            <w:r>
              <w:rPr>
                <w:rFonts w:hint="eastAsia" w:ascii="仿宋" w:hAnsi="仿宋" w:eastAsia="仿宋" w:cs="仿宋"/>
                <w:b/>
                <w:bCs/>
                <w:sz w:val="21"/>
                <w:szCs w:val="21"/>
                <w:highlight w:val="none"/>
                <w:vertAlign w:val="baseline"/>
                <w:lang w:val="en-US" w:eastAsia="zh-CN"/>
              </w:rPr>
              <w:t>投标人需在响应截止时间前，将加密投标（响应）文件上传至</w:t>
            </w:r>
            <w:r>
              <w:rPr>
                <w:rFonts w:hint="eastAsia" w:ascii="仿宋" w:hAnsi="仿宋" w:eastAsia="仿宋" w:cs="仿宋"/>
                <w:b/>
                <w:bCs/>
                <w:sz w:val="21"/>
                <w:szCs w:val="21"/>
                <w:highlight w:val="none"/>
                <w:u w:val="single"/>
                <w:vertAlign w:val="baseline"/>
                <w:lang w:val="en-US" w:eastAsia="zh-CN"/>
              </w:rPr>
              <w:t>政采云平台（https://www.zcygov.cn/）</w:t>
            </w:r>
            <w:r>
              <w:rPr>
                <w:rFonts w:hint="eastAsia" w:ascii="仿宋" w:hAnsi="仿宋" w:eastAsia="仿宋" w:cs="仿宋"/>
                <w:b/>
                <w:bCs/>
                <w:sz w:val="21"/>
                <w:szCs w:val="21"/>
                <w:highlight w:val="none"/>
                <w:vertAlign w:val="baseline"/>
                <w:lang w:val="en-US" w:eastAsia="zh-CN"/>
              </w:rPr>
              <w:t>项目采购系统中，逾期上传或错误方式投递送达将导致投标（响应）无效。</w:t>
            </w:r>
          </w:p>
        </w:tc>
      </w:tr>
      <w:tr w14:paraId="110621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2008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15.1</w:t>
            </w:r>
          </w:p>
        </w:tc>
        <w:tc>
          <w:tcPr>
            <w:tcW w:w="6652" w:type="dxa"/>
            <w:tcBorders>
              <w:tl2br w:val="nil"/>
              <w:tr2bl w:val="nil"/>
            </w:tcBorders>
            <w:vAlign w:val="center"/>
          </w:tcPr>
          <w:p w14:paraId="485E66F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 xml:space="preserve">开标时间：同响应截止时间 </w:t>
            </w:r>
          </w:p>
          <w:p w14:paraId="7A2063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开标地点：政采云平台（https://www.zcygov.cn/）不见面开标系统</w:t>
            </w:r>
          </w:p>
        </w:tc>
      </w:tr>
      <w:tr w14:paraId="2AC00A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870" w:type="dxa"/>
            <w:tcBorders>
              <w:bottom w:val="single" w:color="auto" w:sz="8" w:space="0"/>
            </w:tcBorders>
            <w:vAlign w:val="center"/>
          </w:tcPr>
          <w:p w14:paraId="285A6A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19.1</w:t>
            </w:r>
          </w:p>
        </w:tc>
        <w:tc>
          <w:tcPr>
            <w:tcW w:w="6652" w:type="dxa"/>
            <w:tcBorders>
              <w:bottom w:val="single" w:color="auto" w:sz="8" w:space="0"/>
            </w:tcBorders>
            <w:vAlign w:val="center"/>
          </w:tcPr>
          <w:p w14:paraId="5F1B465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 xml:space="preserve">采购人是否委托评标委员会直接确定中标人：否 </w:t>
            </w:r>
          </w:p>
        </w:tc>
      </w:tr>
      <w:tr w14:paraId="642982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1870" w:type="dxa"/>
            <w:tcBorders>
              <w:top w:val="single" w:color="auto" w:sz="8" w:space="0"/>
              <w:tl2br w:val="nil"/>
              <w:tr2bl w:val="nil"/>
            </w:tcBorders>
            <w:vAlign w:val="center"/>
          </w:tcPr>
          <w:p w14:paraId="15C076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22.4</w:t>
            </w:r>
          </w:p>
        </w:tc>
        <w:tc>
          <w:tcPr>
            <w:tcW w:w="6652" w:type="dxa"/>
            <w:tcBorders>
              <w:top w:val="single" w:color="auto" w:sz="8" w:space="0"/>
              <w:tl2br w:val="nil"/>
              <w:tr2bl w:val="nil"/>
            </w:tcBorders>
            <w:vAlign w:val="center"/>
          </w:tcPr>
          <w:p w14:paraId="27BA40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项目是否允许分包：</w:t>
            </w:r>
          </w:p>
          <w:p w14:paraId="058C3A2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☑不允许</w:t>
            </w:r>
          </w:p>
          <w:p w14:paraId="6500C5F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□允许，具体要求：</w:t>
            </w:r>
          </w:p>
          <w:p w14:paraId="4EFF9E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（1）可以分包履行的具体内容：</w:t>
            </w:r>
            <w:r>
              <w:rPr>
                <w:rFonts w:hint="eastAsia" w:ascii="仿宋" w:hAnsi="仿宋" w:eastAsia="仿宋" w:cs="仿宋"/>
                <w:b w:val="0"/>
                <w:bCs w:val="0"/>
                <w:sz w:val="21"/>
                <w:szCs w:val="21"/>
                <w:highlight w:val="none"/>
                <w:u w:val="single"/>
                <w:vertAlign w:val="baseline"/>
                <w:lang w:val="en-US" w:eastAsia="zh-CN"/>
              </w:rPr>
              <w:t xml:space="preserve">          </w:t>
            </w:r>
            <w:r>
              <w:rPr>
                <w:rFonts w:hint="eastAsia" w:ascii="仿宋" w:hAnsi="仿宋" w:eastAsia="仿宋" w:cs="仿宋"/>
                <w:b w:val="0"/>
                <w:bCs w:val="0"/>
                <w:sz w:val="21"/>
                <w:szCs w:val="21"/>
                <w:highlight w:val="none"/>
                <w:vertAlign w:val="baseline"/>
                <w:lang w:val="en-US" w:eastAsia="zh-CN"/>
              </w:rPr>
              <w:t>；</w:t>
            </w:r>
          </w:p>
          <w:p w14:paraId="7652B92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（2）允许分包的金额或者比例：</w:t>
            </w:r>
            <w:r>
              <w:rPr>
                <w:rFonts w:hint="eastAsia" w:ascii="仿宋" w:hAnsi="仿宋" w:eastAsia="仿宋" w:cs="仿宋"/>
                <w:b w:val="0"/>
                <w:bCs w:val="0"/>
                <w:sz w:val="21"/>
                <w:szCs w:val="21"/>
                <w:highlight w:val="none"/>
                <w:u w:val="single"/>
                <w:vertAlign w:val="baseline"/>
                <w:lang w:val="en-US" w:eastAsia="zh-CN"/>
              </w:rPr>
              <w:t xml:space="preserve">          </w:t>
            </w:r>
            <w:r>
              <w:rPr>
                <w:rFonts w:hint="eastAsia" w:ascii="仿宋" w:hAnsi="仿宋" w:eastAsia="仿宋" w:cs="仿宋"/>
                <w:b w:val="0"/>
                <w:bCs w:val="0"/>
                <w:sz w:val="21"/>
                <w:szCs w:val="21"/>
                <w:highlight w:val="none"/>
                <w:vertAlign w:val="baseline"/>
                <w:lang w:val="en-US" w:eastAsia="zh-CN"/>
              </w:rPr>
              <w:t>；</w:t>
            </w:r>
          </w:p>
          <w:p w14:paraId="52CBBE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（3）其他要求：</w:t>
            </w:r>
            <w:r>
              <w:rPr>
                <w:rFonts w:hint="eastAsia" w:ascii="仿宋" w:hAnsi="仿宋" w:eastAsia="仿宋" w:cs="仿宋"/>
                <w:b w:val="0"/>
                <w:bCs w:val="0"/>
                <w:sz w:val="21"/>
                <w:szCs w:val="21"/>
                <w:highlight w:val="none"/>
                <w:u w:val="single"/>
                <w:vertAlign w:val="baseline"/>
                <w:lang w:val="en-US" w:eastAsia="zh-CN"/>
              </w:rPr>
              <w:t xml:space="preserve">              </w:t>
            </w:r>
            <w:r>
              <w:rPr>
                <w:rFonts w:hint="eastAsia" w:ascii="仿宋" w:hAnsi="仿宋" w:eastAsia="仿宋" w:cs="仿宋"/>
                <w:b w:val="0"/>
                <w:bCs w:val="0"/>
                <w:sz w:val="21"/>
                <w:szCs w:val="21"/>
                <w:highlight w:val="none"/>
                <w:vertAlign w:val="baseline"/>
                <w:lang w:val="en-US" w:eastAsia="zh-CN"/>
              </w:rPr>
              <w:t>。</w:t>
            </w:r>
          </w:p>
        </w:tc>
      </w:tr>
      <w:tr w14:paraId="02657C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966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23.1</w:t>
            </w:r>
          </w:p>
        </w:tc>
        <w:tc>
          <w:tcPr>
            <w:tcW w:w="6652" w:type="dxa"/>
            <w:tcBorders>
              <w:tl2br w:val="nil"/>
              <w:tr2bl w:val="nil"/>
            </w:tcBorders>
            <w:vAlign w:val="center"/>
          </w:tcPr>
          <w:p w14:paraId="404283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 xml:space="preserve">提交履约保证金的时间：/ </w:t>
            </w:r>
          </w:p>
          <w:p w14:paraId="1FED1C2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 xml:space="preserve">履约保证金金额：/ </w:t>
            </w:r>
          </w:p>
          <w:p w14:paraId="2575754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履约保证金形式：/</w:t>
            </w:r>
          </w:p>
        </w:tc>
      </w:tr>
      <w:tr w14:paraId="0EB508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66" w:hRule="atLeast"/>
        </w:trPr>
        <w:tc>
          <w:tcPr>
            <w:tcW w:w="1870" w:type="dxa"/>
            <w:tcBorders>
              <w:bottom w:val="single" w:color="auto" w:sz="8" w:space="0"/>
            </w:tcBorders>
            <w:vAlign w:val="center"/>
          </w:tcPr>
          <w:p w14:paraId="29FC94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24.1</w:t>
            </w:r>
          </w:p>
        </w:tc>
        <w:tc>
          <w:tcPr>
            <w:tcW w:w="6652" w:type="dxa"/>
            <w:tcBorders>
              <w:bottom w:val="single" w:color="auto" w:sz="8" w:space="0"/>
            </w:tcBorders>
            <w:vAlign w:val="center"/>
          </w:tcPr>
          <w:p w14:paraId="267E1D7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 xml:space="preserve">是否由中标人缴纳招标代理费：是 </w:t>
            </w:r>
          </w:p>
          <w:p w14:paraId="2F36BEF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招标代理费：以采购包中标通知书中的中标金额作为采购代理服务费的计算基数。按照采购文件第三章投标须知24.2条收费标准规定</w:t>
            </w:r>
            <w:r>
              <w:rPr>
                <w:rFonts w:hint="eastAsia" w:ascii="仿宋" w:hAnsi="仿宋" w:eastAsia="仿宋" w:cs="仿宋"/>
                <w:b w:val="0"/>
                <w:bCs w:val="0"/>
                <w:sz w:val="21"/>
                <w:szCs w:val="21"/>
                <w:highlight w:val="none"/>
                <w:u w:val="single"/>
                <w:vertAlign w:val="baseline"/>
                <w:lang w:val="en-US" w:eastAsia="zh-CN"/>
              </w:rPr>
              <w:t>“服务类”计费标准计算。</w:t>
            </w:r>
            <w:r>
              <w:rPr>
                <w:rFonts w:hint="eastAsia" w:ascii="仿宋" w:hAnsi="仿宋" w:eastAsia="仿宋" w:cs="仿宋"/>
                <w:b w:val="0"/>
                <w:bCs w:val="0"/>
                <w:sz w:val="21"/>
                <w:szCs w:val="21"/>
                <w:highlight w:val="none"/>
                <w:vertAlign w:val="baseline"/>
                <w:lang w:val="en-US" w:eastAsia="zh-CN"/>
              </w:rPr>
              <w:t xml:space="preserve">  </w:t>
            </w:r>
          </w:p>
          <w:p w14:paraId="4692419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 xml:space="preserve">支付形式：支票、电汇等形式 </w:t>
            </w:r>
          </w:p>
          <w:p w14:paraId="1093537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支付时间：在中标人领取中标通知书时，由中标人向采购代理机构一次性支付全部招标代理服务费</w:t>
            </w:r>
          </w:p>
          <w:p w14:paraId="460D364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招标代理服务费账户：</w:t>
            </w:r>
          </w:p>
          <w:p w14:paraId="31D726F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单位全称：新疆世纪星工程咨询有限公司</w:t>
            </w:r>
          </w:p>
          <w:p w14:paraId="324C7A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开 户 行：交通银行股份有限公司乌鲁木齐卫星路支行</w:t>
            </w:r>
          </w:p>
          <w:p w14:paraId="300EDD3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帐    号：651651056018800020157</w:t>
            </w:r>
          </w:p>
          <w:p w14:paraId="3706D8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行    号：301881000569</w:t>
            </w:r>
          </w:p>
        </w:tc>
      </w:tr>
      <w:tr w14:paraId="4D7415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870" w:type="dxa"/>
            <w:tcBorders>
              <w:top w:val="single" w:color="auto" w:sz="8" w:space="0"/>
              <w:tl2br w:val="nil"/>
              <w:tr2bl w:val="nil"/>
            </w:tcBorders>
            <w:vAlign w:val="center"/>
          </w:tcPr>
          <w:p w14:paraId="710633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25</w:t>
            </w:r>
          </w:p>
        </w:tc>
        <w:tc>
          <w:tcPr>
            <w:tcW w:w="6652" w:type="dxa"/>
            <w:tcBorders>
              <w:top w:val="single" w:color="auto" w:sz="8" w:space="0"/>
              <w:tl2br w:val="nil"/>
              <w:tr2bl w:val="nil"/>
            </w:tcBorders>
            <w:vAlign w:val="center"/>
          </w:tcPr>
          <w:p w14:paraId="1011F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接收询问和质疑的联系方式：</w:t>
            </w:r>
          </w:p>
          <w:p w14:paraId="722838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1、询问</w:t>
            </w:r>
          </w:p>
          <w:p w14:paraId="197E747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联系部门、联系电话、通讯地址：见第一章《采购公告》中的采购代理机构信息和项目联系方式。</w:t>
            </w:r>
          </w:p>
          <w:p w14:paraId="21F85BC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2、质疑</w:t>
            </w:r>
          </w:p>
          <w:p w14:paraId="3FB7823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联系部门：新疆世纪星工程咨询有限公司招标部</w:t>
            </w:r>
          </w:p>
          <w:p w14:paraId="4C6C5F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联系人、联系电话：     0991-3678303</w:t>
            </w:r>
          </w:p>
          <w:p w14:paraId="37D3A9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通讯地址：乌鲁木齐经济技术开发区二期黄山街一品九点阳光德港大厦B座20楼</w:t>
            </w:r>
          </w:p>
          <w:p w14:paraId="41F6F6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10F897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52B29D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适用于本供应商须知的额外增加的变动：</w:t>
            </w:r>
          </w:p>
        </w:tc>
      </w:tr>
      <w:tr w14:paraId="2C83FA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4" w:space="0"/>
              <w:bottom w:val="single" w:color="auto" w:sz="4" w:space="0"/>
              <w:tl2br w:val="nil"/>
              <w:tr2bl w:val="nil"/>
            </w:tcBorders>
            <w:vAlign w:val="center"/>
          </w:tcPr>
          <w:p w14:paraId="1A3C46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核心产品（本项目不适用）：</w:t>
            </w:r>
          </w:p>
          <w:p w14:paraId="552C2F0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□本项目</w:t>
            </w:r>
            <w:r>
              <w:rPr>
                <w:rFonts w:hint="eastAsia" w:ascii="仿宋" w:hAnsi="仿宋" w:eastAsia="仿宋" w:cs="仿宋"/>
                <w:b w:val="0"/>
                <w:bCs w:val="0"/>
                <w:sz w:val="21"/>
                <w:szCs w:val="21"/>
                <w:highlight w:val="none"/>
                <w:u w:val="single"/>
                <w:vertAlign w:val="baseline"/>
                <w:lang w:val="en-US" w:eastAsia="zh-CN"/>
              </w:rPr>
              <w:t>标项一</w:t>
            </w:r>
            <w:r>
              <w:rPr>
                <w:rFonts w:hint="eastAsia" w:ascii="仿宋" w:hAnsi="仿宋" w:eastAsia="仿宋" w:cs="仿宋"/>
                <w:b w:val="0"/>
                <w:bCs w:val="0"/>
                <w:sz w:val="21"/>
                <w:szCs w:val="21"/>
                <w:highlight w:val="none"/>
                <w:vertAlign w:val="baseline"/>
                <w:lang w:val="en-US" w:eastAsia="zh-CN"/>
              </w:rPr>
              <w:t>为单一产品采购项目。</w:t>
            </w:r>
          </w:p>
          <w:p w14:paraId="68AF6F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□本项目</w:t>
            </w:r>
            <w:r>
              <w:rPr>
                <w:rFonts w:hint="eastAsia" w:ascii="仿宋" w:hAnsi="仿宋" w:eastAsia="仿宋" w:cs="仿宋"/>
                <w:b w:val="0"/>
                <w:bCs w:val="0"/>
                <w:sz w:val="21"/>
                <w:szCs w:val="21"/>
                <w:highlight w:val="none"/>
                <w:u w:val="single"/>
                <w:vertAlign w:val="baseline"/>
                <w:lang w:val="en-US" w:eastAsia="zh-CN"/>
              </w:rPr>
              <w:t>标项一</w:t>
            </w:r>
            <w:r>
              <w:rPr>
                <w:rFonts w:hint="eastAsia" w:ascii="仿宋" w:hAnsi="仿宋" w:eastAsia="仿宋" w:cs="仿宋"/>
                <w:b w:val="0"/>
                <w:bCs w:val="0"/>
                <w:sz w:val="21"/>
                <w:szCs w:val="21"/>
                <w:highlight w:val="none"/>
                <w:vertAlign w:val="baseline"/>
                <w:lang w:val="en-US" w:eastAsia="zh-CN"/>
              </w:rPr>
              <w:t>为非单一产品采购项目，核心产品为：</w:t>
            </w:r>
            <w:r>
              <w:rPr>
                <w:rFonts w:hint="eastAsia" w:ascii="仿宋" w:hAnsi="仿宋" w:eastAsia="仿宋" w:cs="仿宋"/>
                <w:b w:val="0"/>
                <w:bCs w:val="0"/>
                <w:sz w:val="21"/>
                <w:szCs w:val="21"/>
                <w:highlight w:val="none"/>
                <w:u w:val="single"/>
                <w:vertAlign w:val="baseline"/>
                <w:lang w:val="en-US" w:eastAsia="zh-CN"/>
              </w:rPr>
              <w:t xml:space="preserve">         </w:t>
            </w:r>
            <w:r>
              <w:rPr>
                <w:rFonts w:hint="eastAsia" w:ascii="仿宋" w:hAnsi="仿宋" w:eastAsia="仿宋" w:cs="仿宋"/>
                <w:b w:val="0"/>
                <w:bCs w:val="0"/>
                <w:sz w:val="21"/>
                <w:szCs w:val="21"/>
                <w:highlight w:val="none"/>
                <w:vertAlign w:val="baseline"/>
                <w:lang w:val="en-US" w:eastAsia="zh-CN"/>
              </w:rPr>
              <w:t>。</w:t>
            </w:r>
          </w:p>
          <w:p w14:paraId="4DA151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注：若不单独标明核心产品则所有产品均被视为核心产品</w:t>
            </w:r>
          </w:p>
        </w:tc>
      </w:tr>
      <w:tr w14:paraId="645360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8522" w:type="dxa"/>
            <w:gridSpan w:val="2"/>
            <w:tcBorders>
              <w:top w:val="single" w:color="auto" w:sz="4" w:space="0"/>
              <w:bottom w:val="single" w:color="auto" w:sz="4" w:space="0"/>
              <w:tl2br w:val="nil"/>
              <w:tr2bl w:val="nil"/>
            </w:tcBorders>
            <w:vAlign w:val="center"/>
          </w:tcPr>
          <w:p w14:paraId="119F83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评标方法：综合评分法</w:t>
            </w:r>
          </w:p>
        </w:tc>
      </w:tr>
      <w:tr w14:paraId="187AF9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385FCB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项目属性：服务</w:t>
            </w:r>
          </w:p>
        </w:tc>
      </w:tr>
      <w:tr w14:paraId="12ECDB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6A373786">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适用于本投标人须知的额外增加的变动：</w:t>
            </w:r>
          </w:p>
          <w:p w14:paraId="141EA7AC">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1、关于本项目所有公告、公示在</w:t>
            </w:r>
            <w:r>
              <w:rPr>
                <w:rFonts w:hint="eastAsia" w:ascii="仿宋" w:hAnsi="仿宋" w:eastAsia="仿宋" w:cs="仿宋"/>
                <w:b/>
                <w:bCs/>
                <w:sz w:val="21"/>
                <w:szCs w:val="21"/>
                <w:highlight w:val="none"/>
                <w:lang w:val="en-US" w:eastAsia="zh-CN"/>
              </w:rPr>
              <w:t>新疆政府采购网（http://www.ccgp-xinjiang.gov.cn）</w:t>
            </w:r>
            <w:r>
              <w:rPr>
                <w:rFonts w:hint="eastAsia" w:ascii="仿宋" w:hAnsi="仿宋" w:eastAsia="仿宋" w:cs="仿宋"/>
                <w:sz w:val="21"/>
                <w:szCs w:val="21"/>
                <w:highlight w:val="none"/>
                <w:lang w:val="en-US" w:eastAsia="zh-CN"/>
              </w:rPr>
              <w:t>发布。</w:t>
            </w:r>
          </w:p>
          <w:p w14:paraId="73555B4D">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2、请投标单位随时关注本项目的澄清、答疑、变更事项。</w:t>
            </w:r>
          </w:p>
          <w:p w14:paraId="1C3E962C">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3、本项目实行电子招投标，供应商须登录政采云平台申请获取采购文件，并通过政采云电子投标客户端制作投标（响应）文件，同时自行承担与投标有关的一切费用。</w:t>
            </w:r>
          </w:p>
          <w:p w14:paraId="01885C7A">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4、各供应商应在开标前确保成为新疆政府采购网正式注册入库供应商，并完成CA数字证书申领。因未注册入库、未办理CA数字证书等原因造成无法投标或投标失败等后果由供应商自行承担。</w:t>
            </w:r>
          </w:p>
          <w:p w14:paraId="41354AD6">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5、有意向参与本项目的供应商，可访问新疆数字证书认证中心官方网站（https://www.xjca.com.cn/）或下载“新疆政务通”APP自行进行申领CA锁。如需咨询，请联系新疆CA服务热线0991-2819290。</w:t>
            </w:r>
          </w:p>
          <w:p w14:paraId="2966B3BF">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供应商可前往新疆政府采购网（http://www.ccgp-xinjiang.gov.cn）下载专区，下载政采云电子投标客户端，安装完成后，可通过账号密码或CA登录客户端进行投标（响应）文件制作。在使用政采云电子投标客户端时，如有问题可拨打政采云客户服务热线进行咨询。</w:t>
            </w:r>
          </w:p>
          <w:p w14:paraId="11017B8A">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r>
              <w:rPr>
                <w:rFonts w:hint="eastAsia" w:ascii="仿宋" w:hAnsi="仿宋" w:eastAsia="仿宋" w:cs="仿宋"/>
                <w:b/>
                <w:bCs/>
                <w:sz w:val="21"/>
                <w:szCs w:val="21"/>
                <w:highlight w:val="none"/>
                <w:lang w:val="en-US" w:eastAsia="zh-CN"/>
              </w:rPr>
              <w:t>本项目采用不见面开标，供应商须在投标截止时间前通过CA在政采云平台上传加密的电子投标（响应）文件。</w:t>
            </w:r>
            <w:r>
              <w:rPr>
                <w:rFonts w:hint="eastAsia" w:ascii="仿宋" w:hAnsi="仿宋" w:eastAsia="仿宋" w:cs="仿宋"/>
                <w:sz w:val="21"/>
                <w:szCs w:val="21"/>
                <w:highlight w:val="none"/>
                <w:lang w:val="en-US" w:eastAsia="zh-CN"/>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2D858DA">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7、供应商在开标前须提前配置好电脑浏览器（建议使用360浏览器或谷歌浏览器），开标时请使用制作加密电子投标（响应）文件的CA锁进行解密及报价确认。</w:t>
            </w:r>
            <w:r>
              <w:rPr>
                <w:rFonts w:hint="eastAsia" w:ascii="仿宋" w:hAnsi="仿宋" w:eastAsia="仿宋" w:cs="仿宋"/>
                <w:b/>
                <w:bCs/>
                <w:sz w:val="21"/>
                <w:szCs w:val="21"/>
                <w:highlight w:val="none"/>
                <w:lang w:val="en-US" w:eastAsia="zh-CN"/>
              </w:rPr>
              <w:t>本项目投标（响应）文件解密时间定为30分钟，如供应商因自身原因导致在规定的时间未能成功解密的视为放弃投标（响应）。</w:t>
            </w:r>
          </w:p>
          <w:p w14:paraId="7235908C">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b/>
                <w:bCs/>
                <w:sz w:val="21"/>
                <w:szCs w:val="21"/>
                <w:highlight w:val="none"/>
                <w:lang w:val="en-US" w:eastAsia="zh-CN"/>
              </w:rPr>
              <w:t>8、政采云投标客户端中上传电子投标（响应）文件为三部分，分别为资格文件、报价文件、商务技术文件。供应商除分别按要求分别上传文件外，建议商务技术文件部分上传整本投标（响应）文件（包含资格部分、报价部分、商务技术部分）。</w:t>
            </w:r>
          </w:p>
          <w:p w14:paraId="308AE14C">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9、评审过程中会通过政采云平台将需要澄清、说明或补正的内容以询标函的形式发送给供应商，供应商应登录政采云平台并保持在线状态，以便及时接收可能发出的询标函，并在询标函载明的时间内回复，若供应商未及时回复，视为放弃澄清。</w:t>
            </w:r>
          </w:p>
          <w:p w14:paraId="581A0C01">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10、本须知前附表是对供应商须知正文部分对应条款的补充、细化，供应商阅读时应与正文部分一并阅读，供应商须知前附表与正文部分不一致处，应以供应商须知前附表为准。 </w:t>
            </w:r>
          </w:p>
          <w:p w14:paraId="4A21760A">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11、“☑”符号表示本采购文件选定的内容；“□”符号表示本采购文件未选定的内容；空格中的“/”表示没有具体内容。供应商投标（响应）时请按“☑符号”选定的内容和要求参加投标（响应）。</w:t>
            </w:r>
          </w:p>
          <w:p w14:paraId="32FAE036">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12、与合同履行有关条款中注明的“甲方”、“买方”，在招标投标阶段按“采购人、招标人”理解；注明的“乙方”、“卖方”，按“投标人、供应商”理解。</w:t>
            </w:r>
          </w:p>
          <w:p w14:paraId="2E23E520">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13、供应商必须认真阅读采购文件中所有的事项、格式、条款和采购需求等。供应商没有按照采购文件要求提交全部资料，或者投标（响应）文件没有对采购文件在各方面都做出实质性响应的可能导致其投标（响应）无效或被拒绝。</w:t>
            </w:r>
          </w:p>
        </w:tc>
      </w:tr>
    </w:tbl>
    <w:p w14:paraId="438F8B21">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09E02B6D">
      <w:pPr>
        <w:pStyle w:val="2"/>
        <w:numPr>
          <w:ilvl w:val="0"/>
          <w:numId w:val="4"/>
        </w:numPr>
        <w:bidi w:val="0"/>
        <w:jc w:val="center"/>
        <w:rPr>
          <w:rFonts w:hint="eastAsia" w:ascii="仿宋" w:hAnsi="仿宋" w:eastAsia="仿宋" w:cs="仿宋"/>
          <w:sz w:val="32"/>
          <w:szCs w:val="32"/>
          <w:highlight w:val="none"/>
          <w:lang w:val="en-US" w:eastAsia="zh-CN"/>
        </w:rPr>
      </w:pPr>
      <w:bookmarkStart w:id="10" w:name="_Toc4905"/>
      <w:r>
        <w:rPr>
          <w:rFonts w:hint="eastAsia" w:ascii="仿宋" w:hAnsi="仿宋" w:eastAsia="仿宋" w:cs="仿宋"/>
          <w:sz w:val="32"/>
          <w:szCs w:val="32"/>
          <w:highlight w:val="none"/>
          <w:lang w:val="en-US" w:eastAsia="zh-CN"/>
        </w:rPr>
        <w:t>供应商须知</w:t>
      </w:r>
      <w:bookmarkEnd w:id="10"/>
    </w:p>
    <w:p w14:paraId="5358FA98">
      <w:pPr>
        <w:keepNext w:val="0"/>
        <w:keepLines w:val="0"/>
        <w:pageBreakBefore w:val="0"/>
        <w:widowControl w:val="0"/>
        <w:numPr>
          <w:ilvl w:val="0"/>
          <w:numId w:val="5"/>
        </w:numPr>
        <w:kinsoku/>
        <w:wordWrap/>
        <w:overflowPunct/>
        <w:topLinePunct w:val="0"/>
        <w:autoSpaceDE/>
        <w:autoSpaceDN/>
        <w:bidi w:val="0"/>
        <w:adjustRightInd/>
        <w:snapToGrid/>
        <w:spacing w:line="420" w:lineRule="exact"/>
        <w:jc w:val="center"/>
        <w:textAlignment w:val="auto"/>
        <w:outlineLvl w:val="1"/>
        <w:rPr>
          <w:rFonts w:hint="eastAsia" w:ascii="仿宋" w:hAnsi="仿宋" w:eastAsia="仿宋" w:cs="仿宋"/>
          <w:b/>
          <w:bCs/>
          <w:sz w:val="24"/>
          <w:szCs w:val="24"/>
          <w:highlight w:val="none"/>
        </w:rPr>
      </w:pPr>
      <w:bookmarkStart w:id="11" w:name="_Toc11730"/>
      <w:r>
        <w:rPr>
          <w:rFonts w:hint="eastAsia" w:ascii="仿宋" w:hAnsi="仿宋" w:eastAsia="仿宋" w:cs="仿宋"/>
          <w:b/>
          <w:bCs/>
          <w:sz w:val="24"/>
          <w:szCs w:val="24"/>
          <w:highlight w:val="none"/>
        </w:rPr>
        <w:t>说 明</w:t>
      </w:r>
      <w:bookmarkEnd w:id="11"/>
    </w:p>
    <w:p w14:paraId="325373C5">
      <w:pPr>
        <w:keepNext w:val="0"/>
        <w:keepLines w:val="0"/>
        <w:pageBreakBefore w:val="0"/>
        <w:widowControl w:val="0"/>
        <w:numPr>
          <w:ilvl w:val="0"/>
          <w:numId w:val="6"/>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采购人、采购代理机构及供应商</w:t>
      </w:r>
    </w:p>
    <w:p w14:paraId="77D8028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采购人：见投标须知前附表，是采购活动当事人之一，负责项目整体规划、技术方案可行性论证及项目实施，作为合同采购方（使用方），承担质疑答复、合同履行、项目验收与评价等义务。</w:t>
      </w:r>
    </w:p>
    <w:p w14:paraId="24B6F71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2B88DCD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投标人（供应商）：是指在本项目招标（采购）公告指定的电子招投标平台获取采购文件，并提交电子投标（响应）文件的供应商。</w:t>
      </w:r>
    </w:p>
    <w:p w14:paraId="4B7E1F18">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供应商须满足以下条件：</w:t>
      </w:r>
    </w:p>
    <w:p w14:paraId="362A4C8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5CFA0FB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以采购文件规定的方式获得了本项目的采购文件。</w:t>
      </w:r>
    </w:p>
    <w:p w14:paraId="2707E70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符合</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中规定的其他资格要求。</w:t>
      </w:r>
    </w:p>
    <w:p w14:paraId="378F8183">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中未写明允许采购进口产品，如供应商所投产品为进口产品，其响应文件将作为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 xml:space="preserve">被拒绝。 </w:t>
      </w:r>
    </w:p>
    <w:p w14:paraId="4321D88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中小企业、监狱企业及残疾人福利性单位。</w:t>
      </w:r>
    </w:p>
    <w:p w14:paraId="38E8A287">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采购标的对应的中小企业划分标准所属行业见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46A1A20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若</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中写明专门面向中小企业采购的，如供应商所提供的货物为非中小企业制造或提供的服务、工程为非中小企业承接，其响应文件将被认定为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。本项目是否面向中小企业采购预留份额、措施及比例见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，未达到上述比例的响应文件将被认定为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。承接企业如为监狱企业或残疾人福利性单位的，视同为小型、微型企业。</w:t>
      </w:r>
    </w:p>
    <w:p w14:paraId="45BCD18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0956E2C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 供应商提供的货物、工程或者服务符合下列情形的，享受中小企业扶持政策：</w:t>
      </w:r>
    </w:p>
    <w:p w14:paraId="08F1A717">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在货物采购项目中，货物由中小企业制造，即货物由中小企业生产且使用该中小企业商号或者注册商标；</w:t>
      </w:r>
    </w:p>
    <w:p w14:paraId="001C2C7E">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在工程采购项目中，工程由中小企业承建，即工程施工单位为中小企业；</w:t>
      </w:r>
    </w:p>
    <w:p w14:paraId="2A782220">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0AADBEE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32ADB2A1">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26E9D61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4A8A7E8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5868C7AD">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安置的残疾人占本单位在职职工人数的比例不低于25%（含25%），并且安置的残疾人人数不少于10人（含10人）； </w:t>
      </w:r>
    </w:p>
    <w:p w14:paraId="0533AC43">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依法与安置的每位残疾人签订了一年以上（含一年）的劳动合同或服务协议；</w:t>
      </w:r>
    </w:p>
    <w:p w14:paraId="0A24E5D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为安置的每位残疾人按月足额缴纳了基本养老保险、基本医疗保险、失业保险、工伤保险和生育保险等社会保险费；</w:t>
      </w:r>
    </w:p>
    <w:p w14:paraId="47DB6AE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77139368">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3D6A65C4">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856061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享受中小企业扶持政策获得政府采购合同的，小微企业不得将合同分包给大中型企业，中型企业不得将合同分包给大型企业。</w:t>
      </w:r>
    </w:p>
    <w:p w14:paraId="17BE583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政府采购节能产品、环境标志产品</w:t>
      </w:r>
    </w:p>
    <w:p w14:paraId="4C04ACD4">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B29BD3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67892E2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2047AF1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73BBA1E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支持乡村产业振兴管理</w:t>
      </w:r>
    </w:p>
    <w:p w14:paraId="2479E84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6835BA6B">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 正版软件</w:t>
      </w:r>
    </w:p>
    <w:p w14:paraId="5B3C2C5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2109129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2195995">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供应商信用记录</w:t>
      </w:r>
    </w:p>
    <w:p w14:paraId="778CA9A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27E843A8">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采购需求标准</w:t>
      </w:r>
    </w:p>
    <w:p w14:paraId="240C8CC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highlight w:val="none"/>
          <w:lang w:val="en-US" w:eastAsia="zh-CN"/>
        </w:rPr>
      </w:pPr>
      <w:r>
        <w:rPr>
          <w:rFonts w:hint="eastAsia" w:ascii="仿宋" w:hAnsi="仿宋" w:eastAsia="仿宋" w:cs="仿宋"/>
          <w:b w:val="0"/>
          <w:bCs w:val="0"/>
          <w:sz w:val="24"/>
          <w:szCs w:val="24"/>
          <w:highlight w:val="none"/>
          <w:lang w:val="en-US" w:eastAsia="zh-CN"/>
        </w:rPr>
        <w:t>商品包装、快递包装政府采购需求标准（试行）</w:t>
      </w:r>
    </w:p>
    <w:p w14:paraId="65EB6C3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3F1DF57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绿色数据中心政府采购需求标准（试行）</w:t>
      </w:r>
    </w:p>
    <w:p w14:paraId="64BDC4B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1469C33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其他采购需求标准</w:t>
      </w:r>
    </w:p>
    <w:p w14:paraId="30ED2BE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183DE6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支持本国产品</w:t>
      </w:r>
    </w:p>
    <w:p w14:paraId="7E1223B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r>
        <w:rPr>
          <w:rFonts w:hint="eastAsia" w:ascii="仿宋" w:hAnsi="仿宋" w:eastAsia="仿宋" w:cs="仿宋"/>
          <w:b w:val="0"/>
          <w:bCs w:val="0"/>
          <w:sz w:val="24"/>
          <w:szCs w:val="24"/>
          <w:highlight w:val="none"/>
          <w:lang w:val="en-US" w:eastAsia="zh-CN"/>
        </w:rPr>
        <w:t>政府采购活动中既有本国产品又有非本国产品参与竞争的，依法对本国产品给予价格评审优惠。</w:t>
      </w:r>
    </w:p>
    <w:p w14:paraId="513344B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若适用本国产品价格评审优惠政策的，供应商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734011D1">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highlight w:val="none"/>
          <w:lang w:val="en-US" w:eastAsia="zh-CN"/>
        </w:rPr>
      </w:pPr>
      <w:r>
        <w:rPr>
          <w:rFonts w:hint="eastAsia" w:ascii="仿宋" w:hAnsi="仿宋" w:eastAsia="仿宋" w:cs="仿宋"/>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4311CAD9">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中允许联合体投标，对联合体规定如下：</w:t>
      </w:r>
    </w:p>
    <w:p w14:paraId="4D48113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两个以上供应商可以组成一个联合体，以一个供应商的身份参加采购活动。</w:t>
      </w:r>
    </w:p>
    <w:p w14:paraId="2641CD7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07697F9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采购人根据采购项目对供应商的特殊要求，联合体中至少应当有一方符合相关规定。</w:t>
      </w:r>
    </w:p>
    <w:p w14:paraId="181ED5A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161BC81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444F566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联合体中有同类资质的供应商按照联合体分工承担相同工作的，按照资质等级较低的供应商确定资质等级。</w:t>
      </w:r>
    </w:p>
    <w:p w14:paraId="65EAC74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对联合体投标的其他资格要求见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4AF04B60">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en-US" w:eastAsia="zh-CN"/>
        </w:rPr>
        <w:t>单位负责人为同一人或者存在直接控股、管理关系的不同供应商，其响应文件将被认定为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 xml:space="preserve">。 </w:t>
      </w:r>
    </w:p>
    <w:p w14:paraId="2CB284F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en-US" w:eastAsia="zh-CN"/>
        </w:rPr>
        <w:t>为本项目提供整体设计、规范编制或者项目管理、监理、检测等服务的供应商，其响应文件将被认定为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388D105E">
      <w:pPr>
        <w:keepNext w:val="0"/>
        <w:keepLines w:val="0"/>
        <w:pageBreakBefore w:val="0"/>
        <w:widowControl w:val="0"/>
        <w:numPr>
          <w:ilvl w:val="0"/>
          <w:numId w:val="10"/>
        </w:numPr>
        <w:kinsoku/>
        <w:wordWrap/>
        <w:overflowPunct/>
        <w:topLinePunct w:val="0"/>
        <w:autoSpaceDE/>
        <w:autoSpaceDN/>
        <w:bidi w:val="0"/>
        <w:adjustRightInd/>
        <w:snapToGrid/>
        <w:spacing w:line="420" w:lineRule="exact"/>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资金来源 </w:t>
      </w:r>
    </w:p>
    <w:p w14:paraId="1070DE83">
      <w:pPr>
        <w:keepNext w:val="0"/>
        <w:keepLines w:val="0"/>
        <w:pageBreakBefore w:val="0"/>
        <w:widowControl w:val="0"/>
        <w:numPr>
          <w:ilvl w:val="1"/>
          <w:numId w:val="1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本项目的采购人已获得足以支付本次采购活动后所签订的合同项下的资金（包括财政性资金和本项目采购中无法与财政性资金分割的非财政性资金）。 </w:t>
      </w:r>
    </w:p>
    <w:p w14:paraId="22AC526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项目预算金额和最高限价见</w:t>
      </w:r>
      <w:r>
        <w:rPr>
          <w:rFonts w:hint="eastAsia" w:ascii="仿宋" w:hAnsi="仿宋" w:eastAsia="仿宋" w:cs="仿宋"/>
          <w:sz w:val="24"/>
          <w:szCs w:val="24"/>
          <w:highlight w:val="none"/>
          <w:u w:val="single"/>
          <w:lang w:val="en-US" w:eastAsia="zh-CN"/>
        </w:rPr>
        <w:t>供应商须知前附表</w:t>
      </w:r>
      <w:r>
        <w:rPr>
          <w:rFonts w:hint="eastAsia" w:ascii="仿宋" w:hAnsi="仿宋" w:eastAsia="仿宋" w:cs="仿宋"/>
          <w:sz w:val="24"/>
          <w:szCs w:val="24"/>
          <w:highlight w:val="none"/>
          <w:lang w:val="en-US" w:eastAsia="zh-CN"/>
        </w:rPr>
        <w:t>。</w:t>
      </w:r>
    </w:p>
    <w:p w14:paraId="0F89EEB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供应商最后报价超过采购文件规定的预算金额或者最高限价的，其响应文件将被认定为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sz w:val="24"/>
          <w:szCs w:val="24"/>
          <w:highlight w:val="none"/>
          <w:lang w:val="en-US" w:eastAsia="zh-CN"/>
        </w:rPr>
        <w:t>。</w:t>
      </w:r>
    </w:p>
    <w:p w14:paraId="4949483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费用</w:t>
      </w:r>
    </w:p>
    <w:p w14:paraId="757A48B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5040DC8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适用法律</w:t>
      </w:r>
    </w:p>
    <w:p w14:paraId="4DB01AC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0A5F677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sz w:val="24"/>
          <w:szCs w:val="24"/>
          <w:highlight w:val="none"/>
          <w:lang w:val="en-US" w:eastAsia="zh-CN"/>
        </w:rPr>
      </w:pPr>
    </w:p>
    <w:p w14:paraId="10A19870">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2" w:name="_Toc3286"/>
      <w:r>
        <w:rPr>
          <w:rFonts w:hint="eastAsia" w:ascii="仿宋" w:hAnsi="仿宋" w:eastAsia="仿宋" w:cs="仿宋"/>
          <w:b/>
          <w:bCs/>
          <w:sz w:val="24"/>
          <w:szCs w:val="24"/>
          <w:highlight w:val="none"/>
          <w:lang w:val="en-US" w:eastAsia="zh-CN"/>
        </w:rPr>
        <w:t>采购文件</w:t>
      </w:r>
      <w:bookmarkEnd w:id="12"/>
    </w:p>
    <w:p w14:paraId="066FF704">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采购文件构成</w:t>
      </w:r>
    </w:p>
    <w:p w14:paraId="5CEE91D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采购文件包括以下部分：</w:t>
      </w:r>
    </w:p>
    <w:p w14:paraId="4DDB727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第一章 竞争性磋商公告 </w:t>
      </w:r>
    </w:p>
    <w:p w14:paraId="2AFB165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第二章 供应商须知前附表 </w:t>
      </w:r>
    </w:p>
    <w:p w14:paraId="7756049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第三章 供应商须知</w:t>
      </w:r>
    </w:p>
    <w:p w14:paraId="6E944F0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第四章 政府采购合同 </w:t>
      </w:r>
    </w:p>
    <w:p w14:paraId="6AC104E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第五章 采购需求 </w:t>
      </w:r>
    </w:p>
    <w:p w14:paraId="2704F1F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第六章 评标程序、评标方法和评标标准</w:t>
      </w:r>
    </w:p>
    <w:p w14:paraId="2CFC44D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第七章 响应文件格式   </w:t>
      </w:r>
    </w:p>
    <w:p w14:paraId="45322AF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仿宋" w:hAnsi="仿宋" w:eastAsia="仿宋" w:cs="仿宋"/>
          <w:b/>
          <w:bCs/>
          <w:sz w:val="24"/>
          <w:szCs w:val="24"/>
          <w:highlight w:val="none"/>
          <w:lang w:val="en-US" w:eastAsia="zh-CN"/>
        </w:rPr>
        <w:t>响应无效。</w:t>
      </w:r>
    </w:p>
    <w:p w14:paraId="3FA47E1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601AA43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现场考察或者答疑会及相关事项见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21B6DD9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4174E7E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供应商自行承担踏勘现场发生的责任、风险和自身费用。</w:t>
      </w:r>
    </w:p>
    <w:p w14:paraId="65F25315">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样品（演示）</w:t>
      </w:r>
    </w:p>
    <w:p w14:paraId="4D97DF7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如需提供样品（演示），对样品（演示）相关要求</w:t>
      </w:r>
      <w:r>
        <w:rPr>
          <w:rFonts w:hint="eastAsia" w:ascii="仿宋" w:hAnsi="仿宋" w:eastAsia="仿宋" w:cs="仿宋"/>
          <w:b w:val="0"/>
          <w:bCs w:val="0"/>
          <w:sz w:val="24"/>
          <w:szCs w:val="24"/>
          <w:highlight w:val="none"/>
          <w:u w:val="single"/>
          <w:lang w:val="en-US" w:eastAsia="zh-CN"/>
        </w:rPr>
        <w:t>见供应商须知前附表</w:t>
      </w:r>
      <w:r>
        <w:rPr>
          <w:rFonts w:hint="eastAsia" w:ascii="仿宋" w:hAnsi="仿宋" w:eastAsia="仿宋" w:cs="仿宋"/>
          <w:b w:val="0"/>
          <w:bCs w:val="0"/>
          <w:sz w:val="24"/>
          <w:szCs w:val="24"/>
          <w:highlight w:val="none"/>
          <w:lang w:val="en-US" w:eastAsia="zh-CN"/>
        </w:rPr>
        <w:t>，对样品（演示）的评审方法及评审标准见采购文件第六章《评标程序、评标方法和评标标准》。</w:t>
      </w:r>
    </w:p>
    <w:p w14:paraId="0B3A9F0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采购文件规定供应商提交样品的，样品属于投标（响应）文件的组成部分。样品的生产、运输、安装、保全等一切费用由供应商自理。</w:t>
      </w:r>
    </w:p>
    <w:p w14:paraId="4C1003E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响应截止时间前，供应商应将样品送达至指定地点。若需要现场演示的，供应商应提前做好演示准备（包括演示设备）。</w:t>
      </w:r>
    </w:p>
    <w:p w14:paraId="78A601E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3575309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对采购文件的澄清或修改</w:t>
      </w:r>
    </w:p>
    <w:p w14:paraId="31AFCF7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3B8E187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49C4E9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澄清或者修改的内容为采购文件的组成部分，并对所有获取采购文件的供应商具有约束力。澄清或者修改的内容可能影响采购文件编制的，将在投标截止时间至少 5 日前发布；不足 5 日的，将顺延提交响应文件的截止时间和开标时间。</w:t>
      </w:r>
    </w:p>
    <w:p w14:paraId="340BC9F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为了保证对采购文件的澄清和修改满足法律的时限要求，任何要求对采购文件进行澄清的供应商，均应在投标截止期 5 日前，以书面形式将澄清要求通知采购人或采购代理机构。</w:t>
      </w:r>
    </w:p>
    <w:p w14:paraId="75773A3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如更正公告有重新发布电子采购文件的，供应商应登录电子招投标平台下载最新发布的电子采购文件制作响应文件。</w:t>
      </w:r>
    </w:p>
    <w:p w14:paraId="1E18DA4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14:paraId="69A3A7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p>
    <w:p w14:paraId="02F01B4F">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3" w:name="_Toc22592"/>
      <w:r>
        <w:rPr>
          <w:rFonts w:hint="eastAsia" w:ascii="仿宋" w:hAnsi="仿宋" w:eastAsia="仿宋" w:cs="仿宋"/>
          <w:b/>
          <w:bCs/>
          <w:sz w:val="24"/>
          <w:szCs w:val="24"/>
          <w:highlight w:val="none"/>
          <w:lang w:val="en-US" w:eastAsia="zh-CN"/>
        </w:rPr>
        <w:t>响应文件的编制</w:t>
      </w:r>
      <w:bookmarkEnd w:id="13"/>
    </w:p>
    <w:p w14:paraId="50ABF66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响应范围、响应文件中计量单位的使用及磋商语言</w:t>
      </w:r>
    </w:p>
    <w:p w14:paraId="79C556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供应商可对采购文件中一个或几个包（标项）进行响应，除非在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 xml:space="preserve">中另有规定。 </w:t>
      </w:r>
    </w:p>
    <w:p w14:paraId="016BACC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供应商应当对所投采购包（标项）对应第五章《采购需求》所列的全部内容进行响应，如仅响应采购包（标项）中的部分内容，其该包（标项）响应文件将被认定为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w:t>
      </w:r>
    </w:p>
    <w:p w14:paraId="1C9E210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无论采购文件中是否要求，供应商所投货物或服务或工程均应符合国家强制性标准。</w:t>
      </w:r>
    </w:p>
    <w:p w14:paraId="753A5A1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除采购文件有特殊要求外，本项目磋商所使用的计量单位，应采用中华人民共和国法定计量单位。</w:t>
      </w:r>
    </w:p>
    <w:p w14:paraId="51D43CB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4B56C1BB">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响应文件构成</w:t>
      </w:r>
    </w:p>
    <w:p w14:paraId="79EE171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4AFB7CA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第五章《采购需求》及第六章《评标程序、评标方法和评标标准》中涉及的证明文件。</w:t>
      </w:r>
    </w:p>
    <w:p w14:paraId="7924161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0140A23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供应商认为应附的其他材料。</w:t>
      </w:r>
    </w:p>
    <w:p w14:paraId="76FE42D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2B74390C">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响应报价</w:t>
      </w:r>
    </w:p>
    <w:p w14:paraId="5E0B226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所有响应均以人民币报价。</w:t>
      </w:r>
    </w:p>
    <w:p w14:paraId="79788EE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仿宋" w:hAnsi="仿宋" w:eastAsia="仿宋" w:cs="仿宋"/>
          <w:b/>
          <w:bCs/>
          <w:sz w:val="24"/>
          <w:szCs w:val="24"/>
          <w:highlight w:val="none"/>
          <w:lang w:val="en-US" w:eastAsia="zh-CN"/>
        </w:rPr>
        <w:t>响应文件被拒绝</w:t>
      </w:r>
      <w:r>
        <w:rPr>
          <w:rFonts w:hint="eastAsia" w:ascii="仿宋" w:hAnsi="仿宋" w:eastAsia="仿宋" w:cs="仿宋"/>
          <w:b w:val="0"/>
          <w:bCs w:val="0"/>
          <w:sz w:val="24"/>
          <w:szCs w:val="24"/>
          <w:highlight w:val="none"/>
          <w:lang w:val="en-US" w:eastAsia="zh-CN"/>
        </w:rPr>
        <w:t>。</w:t>
      </w:r>
    </w:p>
    <w:p w14:paraId="123033D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w:t>
      </w:r>
    </w:p>
    <w:p w14:paraId="1364158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3F568EBB">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磋商保证金</w:t>
      </w:r>
    </w:p>
    <w:p w14:paraId="346AEF0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中规定的金额及要求交纳保证金，并作为其响应文件的一部分。</w:t>
      </w:r>
    </w:p>
    <w:p w14:paraId="2E59103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交纳保证金的形式除</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56F2F53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w:t>
      </w:r>
    </w:p>
    <w:p w14:paraId="147C570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。电子保函与纸质保函具有同样效力。</w:t>
      </w:r>
    </w:p>
    <w:p w14:paraId="58422D5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保证金（保函）有效期同响应文件有效期。</w:t>
      </w:r>
    </w:p>
    <w:p w14:paraId="63455B3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联合体磋商的，可以由联合体中的一方或者共同提交保证金，以一方名义提交磋商保证金（保函）的，对联合体各方均具有约束力。</w:t>
      </w:r>
    </w:p>
    <w:p w14:paraId="6F79777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65E3DFB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供应商在响应截止时间前撤回已提交的响应文件的，自收到供应商书面撤回通知之日起 5 个工作日内退还已收取的磋商保证金。 </w:t>
      </w:r>
    </w:p>
    <w:p w14:paraId="4ACB3C9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成交人的磋商保证金，自采购合同签订之日起 5 个工作日内退还中标人。 </w:t>
      </w:r>
    </w:p>
    <w:p w14:paraId="24DCD4C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未成交人的磋商保证金，自成交通知书发出之日起 5 个工作日内退还未成交人。</w:t>
      </w:r>
    </w:p>
    <w:p w14:paraId="2D194A5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终止采购活动的项目已经收取磋商保证金的，自终止采购活动后 5 个工作日内退还已收取的磋商保证金。</w:t>
      </w:r>
    </w:p>
    <w:p w14:paraId="3ABF492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有下列情形之一的，采购人或采购代理机构可以不予退还磋商保证金：</w:t>
      </w:r>
    </w:p>
    <w:p w14:paraId="7976FB3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在响应文件有效期内，供应商撤回响应文件的； </w:t>
      </w:r>
    </w:p>
    <w:p w14:paraId="0DBF3CC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成交人不按本采购文件的规定与采购人签订合同的； </w:t>
      </w:r>
    </w:p>
    <w:p w14:paraId="7C3A769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成交人不按本采购文件的规定提交履约保证金的； </w:t>
      </w:r>
    </w:p>
    <w:p w14:paraId="2B4C1A16">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成交人不按本采购文件的规定缴纳招标代理服务费的； </w:t>
      </w:r>
    </w:p>
    <w:p w14:paraId="5EE9521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存在的串通投标情形的； </w:t>
      </w:r>
    </w:p>
    <w:p w14:paraId="71E89F0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存在向采购人、代理机构或评标专家行贿事实的； </w:t>
      </w:r>
    </w:p>
    <w:p w14:paraId="501C8E5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法律、法规规定的其它情况。</w:t>
      </w:r>
    </w:p>
    <w:p w14:paraId="229C1E0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响应文件有效期</w:t>
      </w:r>
    </w:p>
    <w:p w14:paraId="7D3A5C4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响应文件应在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中规定的响应文件有效期内保持有效，响应文件有效期少于采购文件规定期限的，其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w:t>
      </w:r>
    </w:p>
    <w:p w14:paraId="511CBD0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47F1935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响应文件的制作</w:t>
      </w:r>
    </w:p>
    <w:p w14:paraId="2476BA5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响应），请充分考虑设备、网络环境、人员对系统熟悉度等因素，合理安排响应文件制作、提交时间，建议至少提前一天完成制作、提交工作。</w:t>
      </w:r>
    </w:p>
    <w:p w14:paraId="05B90CA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06EC717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如有对多个采购包（标项）响应的，要对每个采购包（标项）独立制作电子响应文件。</w:t>
      </w:r>
    </w:p>
    <w:p w14:paraId="364E75B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供应商须对采购文件的对应要求给予唯一的实质性响应，否则将视为不响应。</w:t>
      </w:r>
    </w:p>
    <w:p w14:paraId="49C353B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采购文件中，凡标有“※”的地方均为实质性响应条款，供应商若有一项带“※”的条款未响应或不满足，将按响应无效处理。</w:t>
      </w:r>
    </w:p>
    <w:p w14:paraId="4804E45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4C07CFB7">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4" w:name="_Toc7253"/>
      <w:r>
        <w:rPr>
          <w:rFonts w:hint="eastAsia" w:ascii="仿宋" w:hAnsi="仿宋" w:eastAsia="仿宋" w:cs="仿宋"/>
          <w:b/>
          <w:bCs/>
          <w:sz w:val="24"/>
          <w:szCs w:val="24"/>
          <w:highlight w:val="none"/>
          <w:lang w:val="en-US" w:eastAsia="zh-CN"/>
        </w:rPr>
        <w:t>响应文件的提交</w:t>
      </w:r>
      <w:bookmarkEnd w:id="14"/>
    </w:p>
    <w:p w14:paraId="4990B2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响应文件的提交</w:t>
      </w:r>
    </w:p>
    <w:p w14:paraId="694FA11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0D0881E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代理机构对因不可抗力事件造成的响应文件的损坏、丢失的，不承担责任。</w:t>
      </w:r>
    </w:p>
    <w:p w14:paraId="4AC71C1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出现下述情形之一，属于未成功提交响应文件，按</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60D0EDD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至提交响应文件截止时，响应文件未完整上传的。 </w:t>
      </w:r>
    </w:p>
    <w:p w14:paraId="2608FDA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27356CB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响应文件损坏或格式不正确的。</w:t>
      </w:r>
    </w:p>
    <w:p w14:paraId="3B19D83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响应文件的修改、撤回与撤销</w:t>
      </w:r>
    </w:p>
    <w:p w14:paraId="1C214E3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1BF36F8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在提交响应文件截止时间后，供应商不得补充、修改和更换响应文件。</w:t>
      </w:r>
    </w:p>
    <w:p w14:paraId="7E91714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p>
    <w:p w14:paraId="35810543">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5" w:name="_Toc32267"/>
      <w:r>
        <w:rPr>
          <w:rFonts w:hint="eastAsia" w:ascii="仿宋" w:hAnsi="仿宋" w:eastAsia="仿宋" w:cs="仿宋"/>
          <w:b/>
          <w:bCs/>
          <w:sz w:val="24"/>
          <w:szCs w:val="24"/>
          <w:highlight w:val="none"/>
          <w:lang w:val="en-US" w:eastAsia="zh-CN"/>
        </w:rPr>
        <w:t>开标及评标</w:t>
      </w:r>
      <w:bookmarkEnd w:id="15"/>
    </w:p>
    <w:p w14:paraId="66E7D93F">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开标</w:t>
      </w:r>
    </w:p>
    <w:p w14:paraId="4EFF541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采购人和采购代理机构将按</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中规定的开标时间和地点组织公开开标并邀请所有供应商代表参加。开标为远程电子开标。</w:t>
      </w:r>
    </w:p>
    <w:p w14:paraId="0F00A32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采用远程电子开标的：</w:t>
      </w:r>
    </w:p>
    <w:p w14:paraId="3E72E1E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供应商的法定代表人或其授权代表应当按照本采购文件载明的时间和模式等要求参加开标。在</w:t>
      </w:r>
      <w:r>
        <w:rPr>
          <w:rFonts w:hint="eastAsia" w:ascii="仿宋" w:hAnsi="仿宋" w:eastAsia="仿宋" w:cs="仿宋"/>
          <w:b/>
          <w:bCs/>
          <w:sz w:val="24"/>
          <w:szCs w:val="24"/>
          <w:highlight w:val="none"/>
          <w:lang w:val="en-US" w:eastAsia="zh-CN"/>
        </w:rPr>
        <w:t>响应截止时间前30分钟</w:t>
      </w:r>
      <w:r>
        <w:rPr>
          <w:rFonts w:hint="eastAsia" w:ascii="仿宋" w:hAnsi="仿宋" w:eastAsia="仿宋" w:cs="仿宋"/>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080C1AC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供应商应当使用编制本项目（采购包）电子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处理。（采用远程电子开标的，各供应商在参加开标以前须自行对使用电脑的网络环境、驱动安装、客户端安装以及数字证书的有效性等进行检测，确保可以正常使用）。</w:t>
      </w:r>
    </w:p>
    <w:p w14:paraId="44BB82D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。如供应商无法在代理规定的时间内完成备用电子响应文件的上传，响应文件将被拒绝，作</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1274623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5E6F6B4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响应截止时间后，供应商不足3家的，不得开标。同时，本次采购活动结束。</w:t>
      </w:r>
    </w:p>
    <w:p w14:paraId="331A02A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开标时出现下列情况的，视为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17CE0EA2">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因供应商自身原因，未在规定时间内完成电子响应文件解密的；</w:t>
      </w:r>
    </w:p>
    <w:p w14:paraId="4B3FE5B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341A730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采购人或采购代理机构将对开标过程进行记录，由参加开标的各供应商代表和相关工作人员签字确认。</w:t>
      </w:r>
    </w:p>
    <w:p w14:paraId="0036E05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资格审查</w:t>
      </w:r>
    </w:p>
    <w:p w14:paraId="549427A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磋商小组依据法律法规和采购文件中规定的内容，对供应商及其投标（响应）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 </w:t>
      </w:r>
    </w:p>
    <w:p w14:paraId="22E35E3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资格审查要求详见第六章《评标程序、评标方法和评标标准》。</w:t>
      </w:r>
    </w:p>
    <w:p w14:paraId="2D37D94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7CB60DA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磋商小组</w:t>
      </w:r>
    </w:p>
    <w:p w14:paraId="0837F9D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磋商小组根据政府采购有关规定和本次采购项目的特点进行组建，并负责具体评标事务，独立履行职责。 </w:t>
      </w:r>
    </w:p>
    <w:p w14:paraId="4C68DA6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14ED4D4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评标程序、评标方法和评标标准</w:t>
      </w:r>
    </w:p>
    <w:p w14:paraId="0AA27E5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详见第六章《评标程序、评标方法和评标标准》</w:t>
      </w:r>
    </w:p>
    <w:p w14:paraId="115489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p>
    <w:p w14:paraId="24AF2556">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6" w:name="_Toc11319"/>
      <w:r>
        <w:rPr>
          <w:rFonts w:hint="eastAsia" w:ascii="仿宋" w:hAnsi="仿宋" w:eastAsia="仿宋" w:cs="仿宋"/>
          <w:b/>
          <w:bCs/>
          <w:sz w:val="24"/>
          <w:szCs w:val="24"/>
          <w:highlight w:val="none"/>
          <w:lang w:val="en-US" w:eastAsia="zh-CN"/>
        </w:rPr>
        <w:t>确定成交</w:t>
      </w:r>
      <w:bookmarkEnd w:id="16"/>
    </w:p>
    <w:p w14:paraId="507DAC8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确定成交人</w:t>
      </w:r>
    </w:p>
    <w:p w14:paraId="5D19ED8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采购人将在评标报告提出的成交候选供应商中，按照排序由高到低的原则确定成交供应商。采购人是否委托磋商小组直接确定成交人见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29BECE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成交公告与成交通知书</w:t>
      </w:r>
    </w:p>
    <w:p w14:paraId="49E3F22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采购人或采购代理机构自中标人确定之日起 2 个工作日内，在磋商公告发布媒体发布成交结果，同时向成交人发出成交通知书，成交公告期限为 1 个工作日。</w:t>
      </w:r>
    </w:p>
    <w:p w14:paraId="645CD2B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成交通知书对采购人和成交供应商均具有法律效力。成交通知书发出后，成交供应商放弃成交项目的，应当依法承担法律责任。</w:t>
      </w:r>
    </w:p>
    <w:p w14:paraId="24BC7C6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废标</w:t>
      </w:r>
    </w:p>
    <w:p w14:paraId="36CFD74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19.1在采购活动中，出现下列情形之一的，应予废标：</w:t>
      </w:r>
    </w:p>
    <w:p w14:paraId="611E9F9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1EE222F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出现影响采购公正的违法、违规行为的；</w:t>
      </w:r>
    </w:p>
    <w:p w14:paraId="3699FCC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供应商的报价均超过了采购预算，采购人不能支付的；</w:t>
      </w:r>
    </w:p>
    <w:p w14:paraId="7C2926B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因重大变故，采购任务取消的。</w:t>
      </w:r>
    </w:p>
    <w:p w14:paraId="55FFEF9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废标后，采购人将废标理由通知所有供应商。</w:t>
      </w:r>
    </w:p>
    <w:p w14:paraId="7305766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签订合同</w:t>
      </w:r>
    </w:p>
    <w:p w14:paraId="196FAD9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2CB4E89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29C7859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联合体成交的，联合体各方应当共同与采购人签订合同，就成交项目向采购人承担连带责任。 </w:t>
      </w:r>
    </w:p>
    <w:p w14:paraId="4F5B71A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政府采购合同不能转包。如采购人允许采用分包方式履行合同的，成交人可以依法在成交后将成交项目的非主体、非关键性工作采取分包方式履行合同。</w:t>
      </w:r>
    </w:p>
    <w:p w14:paraId="584864E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履约保证金</w:t>
      </w:r>
    </w:p>
    <w:p w14:paraId="27D6C1F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成交人应按照</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规定的金额、形式和时间向采购人缴纳履约保证金。</w:t>
      </w:r>
    </w:p>
    <w:p w14:paraId="4636D7A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经采购人同意，成交人也可以自愿采用其他履约保证金的提供方式。</w:t>
      </w:r>
    </w:p>
    <w:p w14:paraId="16F8165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0042A07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代理服务费</w:t>
      </w:r>
    </w:p>
    <w:p w14:paraId="5A7C004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收费对象及缴纳时间见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。由成交人支付的，成交人须一次性向采购代理机构缴纳代理费，响应报价应包含代理费用。</w:t>
      </w:r>
    </w:p>
    <w:p w14:paraId="3DBC4523">
      <w:pPr>
        <w:pStyle w:val="25"/>
        <w:numPr>
          <w:ilvl w:val="1"/>
          <w:numId w:val="10"/>
        </w:numPr>
        <w:ind w:left="0" w:leftChars="0" w:firstLine="0"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收费标准</w:t>
      </w:r>
    </w:p>
    <w:p w14:paraId="071C868D">
      <w:pPr>
        <w:spacing w:line="360"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根据下表约定按差额定率累进法计算</w:t>
      </w:r>
      <w:r>
        <w:rPr>
          <w:rFonts w:hint="eastAsia" w:ascii="仿宋" w:hAnsi="仿宋" w:eastAsia="仿宋" w:cs="仿宋"/>
          <w:sz w:val="24"/>
          <w:highlight w:val="none"/>
          <w:lang w:val="en-US" w:eastAsia="zh-CN"/>
        </w:rPr>
        <w:t>:</w:t>
      </w:r>
    </w:p>
    <w:tbl>
      <w:tblPr>
        <w:tblStyle w:val="26"/>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1F89FA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3BAE9C4B">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608B5A54">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01430E94">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服务招标</w:t>
            </w:r>
          </w:p>
        </w:tc>
        <w:tc>
          <w:tcPr>
            <w:tcW w:w="1997" w:type="dxa"/>
            <w:tcBorders>
              <w:left w:val="single" w:color="auto" w:sz="2" w:space="0"/>
              <w:bottom w:val="single" w:color="auto" w:sz="2" w:space="0"/>
            </w:tcBorders>
            <w:vAlign w:val="center"/>
          </w:tcPr>
          <w:p w14:paraId="7CDD756C">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工程招标</w:t>
            </w:r>
          </w:p>
        </w:tc>
      </w:tr>
      <w:tr w14:paraId="2181DBE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49B6C0D">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238FF5CB">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6C0D238">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25E799E2">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r>
      <w:tr w14:paraId="56599DF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13CA7A7">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3A70275F">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582D8327">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44A733F">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0.7%</w:t>
            </w:r>
          </w:p>
        </w:tc>
      </w:tr>
      <w:tr w14:paraId="5A5BF3A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2D407F6">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176514C0">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05CC7679">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6871225B">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0.55%</w:t>
            </w:r>
          </w:p>
        </w:tc>
      </w:tr>
      <w:tr w14:paraId="22C8223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A0AF336">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2B12BDF3">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0DD2A6A6">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36AA704D">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0.35%</w:t>
            </w:r>
          </w:p>
        </w:tc>
      </w:tr>
      <w:tr w14:paraId="5C8231A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2627164E">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66E90403">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4A98813D">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0DE0C760">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0.2%</w:t>
            </w:r>
          </w:p>
        </w:tc>
      </w:tr>
      <w:tr w14:paraId="673337C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583CD683">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CB9DB70">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32215913">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43B3F10F">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0.05%</w:t>
            </w:r>
          </w:p>
        </w:tc>
      </w:tr>
      <w:tr w14:paraId="2C071B0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2D34EFD0">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22E826AC">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63C2DB5C">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0.01%</w:t>
            </w:r>
          </w:p>
        </w:tc>
        <w:tc>
          <w:tcPr>
            <w:tcW w:w="1997" w:type="dxa"/>
            <w:tcBorders>
              <w:top w:val="single" w:color="auto" w:sz="2" w:space="0"/>
              <w:left w:val="single" w:color="auto" w:sz="2" w:space="0"/>
            </w:tcBorders>
            <w:vAlign w:val="center"/>
          </w:tcPr>
          <w:p w14:paraId="60EFCAC5">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0.01%</w:t>
            </w:r>
          </w:p>
        </w:tc>
      </w:tr>
    </w:tbl>
    <w:p w14:paraId="332CE210">
      <w:pPr>
        <w:pStyle w:val="24"/>
        <w:numPr>
          <w:ilvl w:val="0"/>
          <w:numId w:val="0"/>
        </w:numPr>
        <w:ind w:leftChars="0" w:right="0" w:rightChars="0"/>
        <w:rPr>
          <w:rFonts w:hint="eastAsia" w:ascii="仿宋" w:hAnsi="仿宋" w:eastAsia="仿宋" w:cs="仿宋"/>
          <w:highlight w:val="none"/>
          <w:lang w:val="en-US" w:eastAsia="zh-CN"/>
        </w:rPr>
      </w:pPr>
    </w:p>
    <w:p w14:paraId="4563924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询问与质疑</w:t>
      </w:r>
    </w:p>
    <w:p w14:paraId="7FF4F2B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询问</w:t>
      </w:r>
    </w:p>
    <w:p w14:paraId="7DCC6BA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中“采购人、采购代理机构的名称、地址和联系方式”。</w:t>
      </w:r>
    </w:p>
    <w:p w14:paraId="7717023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质疑</w:t>
      </w:r>
    </w:p>
    <w:p w14:paraId="0173191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19C9087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供应商应知其权益受到损害之日是指：</w:t>
      </w:r>
    </w:p>
    <w:p w14:paraId="73F4F2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（1）对采购文件提出质疑的，为获取采购文件之日或者采购文件获取期限届满之日；</w:t>
      </w:r>
    </w:p>
    <w:p w14:paraId="1205E5F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（2）对采购过程提出质疑的，为各采购程序环节结束之日；</w:t>
      </w:r>
    </w:p>
    <w:p w14:paraId="276BA15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（3）对成交结果提出质疑的，为成交结果公告期限届满之日。</w:t>
      </w:r>
    </w:p>
    <w:p w14:paraId="5BCCFAD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2F9D8FE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46A89A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质疑函应当包括下列内容： </w:t>
      </w:r>
    </w:p>
    <w:p w14:paraId="42E8936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（1）投标人名称、地址、邮编、联系人及联系电话； </w:t>
      </w:r>
    </w:p>
    <w:p w14:paraId="23F73B7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（2）质疑项目的名称、编号； </w:t>
      </w:r>
    </w:p>
    <w:p w14:paraId="500ACA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（3）具体、明确的质疑事项和与质疑事项相关的请求； </w:t>
      </w:r>
    </w:p>
    <w:p w14:paraId="07D10B4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（4）事实依据； </w:t>
      </w:r>
    </w:p>
    <w:p w14:paraId="0132EE1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（5）必要的法律依据； </w:t>
      </w:r>
    </w:p>
    <w:p w14:paraId="5128777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（6）提出质疑的日期。</w:t>
      </w:r>
    </w:p>
    <w:p w14:paraId="7770F37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7BFF59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68A19E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其他</w:t>
      </w:r>
    </w:p>
    <w:p w14:paraId="201419B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3895705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4446D12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适用于本供应商须知的额外增加的变动详见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1D82214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p>
    <w:p w14:paraId="0591CA5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p>
    <w:p w14:paraId="1E64820A">
      <w:pP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br w:type="page"/>
      </w:r>
    </w:p>
    <w:p w14:paraId="5B132F2F">
      <w:pPr>
        <w:pStyle w:val="2"/>
        <w:numPr>
          <w:ilvl w:val="0"/>
          <w:numId w:val="4"/>
        </w:numPr>
        <w:bidi w:val="0"/>
        <w:jc w:val="center"/>
        <w:rPr>
          <w:rFonts w:hint="eastAsia" w:ascii="仿宋" w:hAnsi="仿宋" w:eastAsia="仿宋" w:cs="仿宋"/>
          <w:sz w:val="32"/>
          <w:szCs w:val="32"/>
          <w:highlight w:val="none"/>
          <w:lang w:val="en-US" w:eastAsia="zh-CN"/>
        </w:rPr>
      </w:pPr>
      <w:bookmarkStart w:id="17" w:name="_Toc20533"/>
      <w:r>
        <w:rPr>
          <w:rFonts w:hint="eastAsia" w:ascii="仿宋" w:hAnsi="仿宋" w:eastAsia="仿宋" w:cs="仿宋"/>
          <w:sz w:val="32"/>
          <w:szCs w:val="32"/>
          <w:highlight w:val="none"/>
          <w:lang w:val="en-US" w:eastAsia="zh-CN"/>
        </w:rPr>
        <w:t>政府采购合同</w:t>
      </w:r>
      <w:bookmarkEnd w:id="17"/>
      <w:r>
        <w:rPr>
          <w:rFonts w:hint="eastAsia" w:ascii="仿宋" w:hAnsi="仿宋" w:eastAsia="仿宋" w:cs="仿宋"/>
          <w:sz w:val="22"/>
          <w:szCs w:val="22"/>
          <w:highlight w:val="none"/>
          <w:lang w:val="en-US" w:eastAsia="zh-CN"/>
        </w:rPr>
        <w:t>（具体以实际签订为准）</w:t>
      </w:r>
    </w:p>
    <w:p w14:paraId="20223B8F">
      <w:pPr>
        <w:pageBreakBefore w:val="0"/>
        <w:kinsoku/>
        <w:overflowPunct/>
        <w:topLinePunct w:val="0"/>
        <w:bidi w:val="0"/>
        <w:rPr>
          <w:rFonts w:hint="eastAsia" w:ascii="仿宋" w:hAnsi="仿宋" w:eastAsia="仿宋" w:cs="仿宋"/>
          <w:color w:val="auto"/>
          <w:spacing w:val="0"/>
          <w:sz w:val="24"/>
          <w:highlight w:val="none"/>
        </w:rPr>
      </w:pPr>
      <w:bookmarkStart w:id="18" w:name="_Toc8038"/>
    </w:p>
    <w:p w14:paraId="7C64516F">
      <w:pPr>
        <w:pageBreakBefore w:val="0"/>
        <w:kinsoku/>
        <w:overflowPunct/>
        <w:topLinePunct w:val="0"/>
        <w:bidi w:val="0"/>
        <w:rPr>
          <w:rFonts w:hint="eastAsia" w:ascii="仿宋" w:hAnsi="仿宋" w:eastAsia="仿宋" w:cs="仿宋"/>
          <w:color w:val="auto"/>
          <w:spacing w:val="0"/>
          <w:sz w:val="24"/>
          <w:highlight w:val="none"/>
          <w:u w:val="single"/>
        </w:rPr>
      </w:pPr>
      <w:r>
        <w:rPr>
          <w:rFonts w:hint="eastAsia" w:ascii="仿宋" w:hAnsi="仿宋" w:eastAsia="仿宋" w:cs="仿宋"/>
          <w:color w:val="auto"/>
          <w:spacing w:val="0"/>
          <w:sz w:val="24"/>
          <w:highlight w:val="none"/>
        </w:rPr>
        <w:t>合同编号：</w:t>
      </w:r>
      <w:r>
        <w:rPr>
          <w:rFonts w:hint="eastAsia" w:ascii="仿宋" w:hAnsi="仿宋" w:eastAsia="仿宋" w:cs="仿宋"/>
          <w:color w:val="auto"/>
          <w:spacing w:val="0"/>
          <w:sz w:val="24"/>
          <w:highlight w:val="none"/>
          <w:u w:val="single"/>
        </w:rPr>
        <w:t xml:space="preserve">           </w:t>
      </w:r>
    </w:p>
    <w:p w14:paraId="57113C77">
      <w:pPr>
        <w:pageBreakBefore w:val="0"/>
        <w:kinsoku/>
        <w:overflowPunct/>
        <w:topLinePunct w:val="0"/>
        <w:bidi w:val="0"/>
        <w:spacing w:line="480" w:lineRule="auto"/>
        <w:jc w:val="center"/>
        <w:rPr>
          <w:rFonts w:hint="eastAsia" w:ascii="仿宋" w:hAnsi="仿宋" w:eastAsia="仿宋" w:cs="仿宋"/>
          <w:b/>
          <w:color w:val="auto"/>
          <w:spacing w:val="0"/>
          <w:sz w:val="28"/>
          <w:szCs w:val="28"/>
          <w:highlight w:val="none"/>
        </w:rPr>
      </w:pPr>
    </w:p>
    <w:p w14:paraId="3B9640BA">
      <w:pPr>
        <w:pageBreakBefore w:val="0"/>
        <w:kinsoku/>
        <w:overflowPunct/>
        <w:topLinePunct w:val="0"/>
        <w:bidi w:val="0"/>
        <w:spacing w:line="480" w:lineRule="auto"/>
        <w:jc w:val="center"/>
        <w:rPr>
          <w:rFonts w:hint="eastAsia" w:ascii="仿宋" w:hAnsi="仿宋" w:eastAsia="仿宋" w:cs="仿宋"/>
          <w:b/>
          <w:color w:val="auto"/>
          <w:spacing w:val="0"/>
          <w:sz w:val="28"/>
          <w:szCs w:val="28"/>
          <w:highlight w:val="none"/>
        </w:rPr>
      </w:pPr>
    </w:p>
    <w:p w14:paraId="48453124">
      <w:pPr>
        <w:pageBreakBefore w:val="0"/>
        <w:kinsoku/>
        <w:overflowPunct/>
        <w:topLinePunct w:val="0"/>
        <w:bidi w:val="0"/>
        <w:spacing w:line="480" w:lineRule="auto"/>
        <w:jc w:val="center"/>
        <w:rPr>
          <w:rFonts w:hint="eastAsia" w:ascii="仿宋" w:hAnsi="仿宋" w:eastAsia="仿宋" w:cs="仿宋"/>
          <w:b/>
          <w:color w:val="auto"/>
          <w:spacing w:val="0"/>
          <w:sz w:val="28"/>
          <w:szCs w:val="28"/>
          <w:highlight w:val="none"/>
        </w:rPr>
      </w:pPr>
    </w:p>
    <w:p w14:paraId="75C7B6DB">
      <w:pPr>
        <w:pageBreakBefore w:val="0"/>
        <w:kinsoku/>
        <w:overflowPunct/>
        <w:topLinePunct w:val="0"/>
        <w:bidi w:val="0"/>
        <w:spacing w:line="480" w:lineRule="auto"/>
        <w:jc w:val="center"/>
        <w:rPr>
          <w:rFonts w:hint="eastAsia" w:ascii="仿宋" w:hAnsi="仿宋" w:eastAsia="仿宋" w:cs="仿宋"/>
          <w:b/>
          <w:color w:val="auto"/>
          <w:spacing w:val="0"/>
          <w:sz w:val="44"/>
          <w:szCs w:val="44"/>
          <w:highlight w:val="none"/>
        </w:rPr>
      </w:pPr>
      <w:r>
        <w:rPr>
          <w:rFonts w:hint="eastAsia" w:ascii="仿宋" w:hAnsi="仿宋" w:eastAsia="仿宋" w:cs="仿宋"/>
          <w:b/>
          <w:color w:val="auto"/>
          <w:spacing w:val="0"/>
          <w:sz w:val="44"/>
          <w:szCs w:val="44"/>
          <w:highlight w:val="none"/>
        </w:rPr>
        <w:t>政府采购合同参考范本</w:t>
      </w:r>
    </w:p>
    <w:p w14:paraId="3419B328">
      <w:pPr>
        <w:pageBreakBefore w:val="0"/>
        <w:kinsoku/>
        <w:overflowPunct/>
        <w:topLinePunct w:val="0"/>
        <w:bidi w:val="0"/>
        <w:spacing w:line="480" w:lineRule="auto"/>
        <w:jc w:val="center"/>
        <w:rPr>
          <w:rFonts w:hint="eastAsia" w:ascii="仿宋" w:hAnsi="仿宋" w:eastAsia="仿宋" w:cs="仿宋"/>
          <w:b/>
          <w:color w:val="auto"/>
          <w:spacing w:val="0"/>
          <w:sz w:val="24"/>
          <w:highlight w:val="none"/>
        </w:rPr>
      </w:pPr>
      <w:r>
        <w:rPr>
          <w:rFonts w:hint="eastAsia" w:ascii="仿宋" w:hAnsi="仿宋" w:eastAsia="仿宋" w:cs="仿宋"/>
          <w:b/>
          <w:color w:val="auto"/>
          <w:spacing w:val="0"/>
          <w:sz w:val="24"/>
          <w:highlight w:val="none"/>
        </w:rPr>
        <w:t>（服务类）</w:t>
      </w:r>
    </w:p>
    <w:p w14:paraId="79EB5EF7">
      <w:pPr>
        <w:pStyle w:val="43"/>
        <w:pageBreakBefore w:val="0"/>
        <w:kinsoku/>
        <w:overflowPunct/>
        <w:topLinePunct w:val="0"/>
        <w:bidi w:val="0"/>
        <w:ind w:firstLine="0"/>
        <w:rPr>
          <w:rFonts w:hint="eastAsia" w:ascii="仿宋" w:hAnsi="仿宋" w:eastAsia="仿宋" w:cs="仿宋"/>
          <w:color w:val="auto"/>
          <w:spacing w:val="0"/>
          <w:szCs w:val="24"/>
          <w:highlight w:val="none"/>
        </w:rPr>
      </w:pPr>
    </w:p>
    <w:p w14:paraId="476FFEE2">
      <w:pPr>
        <w:pStyle w:val="43"/>
        <w:pageBreakBefore w:val="0"/>
        <w:kinsoku/>
        <w:overflowPunct/>
        <w:topLinePunct w:val="0"/>
        <w:bidi w:val="0"/>
        <w:ind w:firstLine="0"/>
        <w:rPr>
          <w:rFonts w:hint="eastAsia" w:ascii="仿宋" w:hAnsi="仿宋" w:eastAsia="仿宋" w:cs="仿宋"/>
          <w:color w:val="auto"/>
          <w:spacing w:val="0"/>
          <w:szCs w:val="24"/>
          <w:highlight w:val="none"/>
        </w:rPr>
      </w:pPr>
    </w:p>
    <w:p w14:paraId="5A085C83">
      <w:pPr>
        <w:pStyle w:val="43"/>
        <w:pageBreakBefore w:val="0"/>
        <w:kinsoku/>
        <w:overflowPunct/>
        <w:topLinePunct w:val="0"/>
        <w:bidi w:val="0"/>
        <w:ind w:firstLine="0"/>
        <w:rPr>
          <w:rFonts w:hint="eastAsia" w:ascii="仿宋" w:hAnsi="仿宋" w:eastAsia="仿宋" w:cs="仿宋"/>
          <w:color w:val="auto"/>
          <w:spacing w:val="0"/>
          <w:szCs w:val="24"/>
          <w:highlight w:val="none"/>
        </w:rPr>
      </w:pPr>
    </w:p>
    <w:p w14:paraId="2D58610E">
      <w:pPr>
        <w:pStyle w:val="43"/>
        <w:pageBreakBefore w:val="0"/>
        <w:kinsoku/>
        <w:overflowPunct/>
        <w:topLinePunct w:val="0"/>
        <w:bidi w:val="0"/>
        <w:ind w:firstLine="0"/>
        <w:rPr>
          <w:rFonts w:hint="eastAsia" w:ascii="仿宋" w:hAnsi="仿宋" w:eastAsia="仿宋" w:cs="仿宋"/>
          <w:color w:val="auto"/>
          <w:spacing w:val="0"/>
          <w:szCs w:val="24"/>
          <w:highlight w:val="none"/>
        </w:rPr>
      </w:pPr>
    </w:p>
    <w:p w14:paraId="57BCD08F">
      <w:pPr>
        <w:pStyle w:val="43"/>
        <w:pageBreakBefore w:val="0"/>
        <w:kinsoku/>
        <w:overflowPunct/>
        <w:topLinePunct w:val="0"/>
        <w:bidi w:val="0"/>
        <w:ind w:firstLine="0"/>
        <w:rPr>
          <w:rFonts w:hint="eastAsia" w:ascii="仿宋" w:hAnsi="仿宋" w:eastAsia="仿宋" w:cs="仿宋"/>
          <w:color w:val="auto"/>
          <w:spacing w:val="0"/>
          <w:szCs w:val="24"/>
          <w:highlight w:val="none"/>
        </w:rPr>
      </w:pPr>
    </w:p>
    <w:p w14:paraId="06C98CD2">
      <w:pPr>
        <w:pageBreakBefore w:val="0"/>
        <w:kinsoku/>
        <w:overflowPunct/>
        <w:topLinePunct w:val="0"/>
        <w:bidi w:val="0"/>
        <w:spacing w:before="120" w:line="22" w:lineRule="atLeast"/>
        <w:rPr>
          <w:rFonts w:hint="eastAsia" w:ascii="仿宋" w:hAnsi="仿宋" w:eastAsia="仿宋" w:cs="仿宋"/>
          <w:color w:val="auto"/>
          <w:spacing w:val="0"/>
          <w:sz w:val="24"/>
          <w:highlight w:val="none"/>
        </w:rPr>
      </w:pPr>
    </w:p>
    <w:p w14:paraId="55727B3C">
      <w:pPr>
        <w:pageBreakBefore w:val="0"/>
        <w:kinsoku/>
        <w:overflowPunct/>
        <w:topLinePunct w:val="0"/>
        <w:bidi w:val="0"/>
        <w:spacing w:before="120" w:line="22" w:lineRule="atLeast"/>
        <w:ind w:left="960"/>
        <w:rPr>
          <w:rFonts w:hint="eastAsia" w:ascii="仿宋" w:hAnsi="仿宋" w:eastAsia="仿宋" w:cs="仿宋"/>
          <w:color w:val="auto"/>
          <w:spacing w:val="0"/>
          <w:sz w:val="24"/>
          <w:highlight w:val="none"/>
        </w:rPr>
      </w:pPr>
      <w:r>
        <w:rPr>
          <w:rFonts w:hint="eastAsia" w:ascii="仿宋" w:hAnsi="仿宋" w:eastAsia="仿宋" w:cs="仿宋"/>
          <w:color w:val="auto"/>
          <w:spacing w:val="0"/>
          <w:sz w:val="24"/>
          <w:highlight w:val="none"/>
        </w:rPr>
        <w:t>项目名称：</w:t>
      </w:r>
      <w:r>
        <w:rPr>
          <w:rFonts w:hint="eastAsia" w:ascii="仿宋" w:hAnsi="仿宋" w:eastAsia="仿宋" w:cs="仿宋"/>
          <w:color w:val="auto"/>
          <w:spacing w:val="0"/>
          <w:sz w:val="24"/>
          <w:highlight w:val="none"/>
          <w:u w:val="single"/>
        </w:rPr>
        <w:t xml:space="preserve">                                   </w:t>
      </w:r>
    </w:p>
    <w:p w14:paraId="5EC6D12F">
      <w:pPr>
        <w:pStyle w:val="44"/>
        <w:pageBreakBefore w:val="0"/>
        <w:kinsoku/>
        <w:overflowPunct/>
        <w:topLinePunct w:val="0"/>
        <w:bidi w:val="0"/>
        <w:spacing w:before="120" w:line="22" w:lineRule="atLeast"/>
        <w:rPr>
          <w:rFonts w:hint="eastAsia" w:ascii="仿宋" w:hAnsi="仿宋" w:eastAsia="仿宋" w:cs="仿宋"/>
          <w:color w:val="auto"/>
          <w:spacing w:val="0"/>
          <w:szCs w:val="24"/>
          <w:highlight w:val="none"/>
        </w:rPr>
      </w:pPr>
    </w:p>
    <w:p w14:paraId="2C748910">
      <w:pPr>
        <w:pStyle w:val="44"/>
        <w:pageBreakBefore w:val="0"/>
        <w:kinsoku/>
        <w:overflowPunct/>
        <w:topLinePunct w:val="0"/>
        <w:bidi w:val="0"/>
        <w:spacing w:before="120" w:line="22" w:lineRule="atLeast"/>
        <w:rPr>
          <w:rFonts w:hint="eastAsia" w:ascii="仿宋" w:hAnsi="仿宋" w:eastAsia="仿宋" w:cs="仿宋"/>
          <w:color w:val="auto"/>
          <w:spacing w:val="0"/>
          <w:szCs w:val="24"/>
          <w:highlight w:val="none"/>
        </w:rPr>
      </w:pPr>
    </w:p>
    <w:p w14:paraId="7BD242A4">
      <w:pPr>
        <w:pageBreakBefore w:val="0"/>
        <w:kinsoku/>
        <w:overflowPunct/>
        <w:topLinePunct w:val="0"/>
        <w:bidi w:val="0"/>
        <w:rPr>
          <w:rFonts w:hint="eastAsia" w:ascii="仿宋" w:hAnsi="仿宋" w:eastAsia="仿宋" w:cs="仿宋"/>
          <w:color w:val="auto"/>
          <w:spacing w:val="0"/>
          <w:highlight w:val="none"/>
        </w:rPr>
      </w:pPr>
    </w:p>
    <w:p w14:paraId="079F9992">
      <w:pPr>
        <w:pageBreakBefore w:val="0"/>
        <w:kinsoku/>
        <w:overflowPunct/>
        <w:topLinePunct w:val="0"/>
        <w:bidi w:val="0"/>
        <w:spacing w:before="120" w:line="22" w:lineRule="atLeast"/>
        <w:ind w:left="960"/>
        <w:rPr>
          <w:rFonts w:hint="eastAsia" w:ascii="仿宋" w:hAnsi="仿宋" w:eastAsia="仿宋" w:cs="仿宋"/>
          <w:color w:val="auto"/>
          <w:spacing w:val="0"/>
          <w:sz w:val="24"/>
          <w:highlight w:val="none"/>
          <w:u w:val="single"/>
        </w:rPr>
      </w:pPr>
      <w:r>
        <w:rPr>
          <w:rFonts w:hint="eastAsia" w:ascii="仿宋" w:hAnsi="仿宋" w:eastAsia="仿宋" w:cs="仿宋"/>
          <w:color w:val="auto"/>
          <w:spacing w:val="0"/>
          <w:sz w:val="24"/>
          <w:highlight w:val="none"/>
        </w:rPr>
        <w:t>甲方：</w:t>
      </w:r>
      <w:r>
        <w:rPr>
          <w:rFonts w:hint="eastAsia" w:ascii="仿宋" w:hAnsi="仿宋" w:eastAsia="仿宋" w:cs="仿宋"/>
          <w:color w:val="auto"/>
          <w:spacing w:val="0"/>
          <w:sz w:val="24"/>
          <w:highlight w:val="none"/>
          <w:u w:val="single"/>
        </w:rPr>
        <w:t xml:space="preserve">                                       </w:t>
      </w:r>
    </w:p>
    <w:p w14:paraId="5289F7BA">
      <w:pPr>
        <w:pageBreakBefore w:val="0"/>
        <w:kinsoku/>
        <w:overflowPunct/>
        <w:topLinePunct w:val="0"/>
        <w:bidi w:val="0"/>
        <w:spacing w:before="120" w:line="22" w:lineRule="atLeast"/>
        <w:rPr>
          <w:rFonts w:hint="eastAsia" w:ascii="仿宋" w:hAnsi="仿宋" w:eastAsia="仿宋" w:cs="仿宋"/>
          <w:color w:val="auto"/>
          <w:spacing w:val="0"/>
          <w:sz w:val="24"/>
          <w:highlight w:val="none"/>
        </w:rPr>
      </w:pPr>
    </w:p>
    <w:p w14:paraId="2532490B">
      <w:pPr>
        <w:pageBreakBefore w:val="0"/>
        <w:kinsoku/>
        <w:overflowPunct/>
        <w:topLinePunct w:val="0"/>
        <w:bidi w:val="0"/>
        <w:spacing w:before="120" w:line="22" w:lineRule="atLeast"/>
        <w:ind w:left="960"/>
        <w:rPr>
          <w:rFonts w:hint="eastAsia" w:ascii="仿宋" w:hAnsi="仿宋" w:eastAsia="仿宋" w:cs="仿宋"/>
          <w:color w:val="auto"/>
          <w:spacing w:val="0"/>
          <w:sz w:val="24"/>
          <w:highlight w:val="none"/>
          <w:u w:val="single"/>
        </w:rPr>
      </w:pPr>
      <w:r>
        <w:rPr>
          <w:rFonts w:hint="eastAsia" w:ascii="仿宋" w:hAnsi="仿宋" w:eastAsia="仿宋" w:cs="仿宋"/>
          <w:color w:val="auto"/>
          <w:spacing w:val="0"/>
          <w:sz w:val="24"/>
          <w:highlight w:val="none"/>
        </w:rPr>
        <w:t>乙方：</w:t>
      </w:r>
      <w:r>
        <w:rPr>
          <w:rFonts w:hint="eastAsia" w:ascii="仿宋" w:hAnsi="仿宋" w:eastAsia="仿宋" w:cs="仿宋"/>
          <w:color w:val="auto"/>
          <w:spacing w:val="0"/>
          <w:sz w:val="24"/>
          <w:highlight w:val="none"/>
          <w:u w:val="single"/>
        </w:rPr>
        <w:t xml:space="preserve">                                       </w:t>
      </w:r>
    </w:p>
    <w:p w14:paraId="6E461F54">
      <w:pPr>
        <w:pageBreakBefore w:val="0"/>
        <w:kinsoku/>
        <w:overflowPunct/>
        <w:topLinePunct w:val="0"/>
        <w:bidi w:val="0"/>
        <w:spacing w:before="120" w:line="22" w:lineRule="atLeast"/>
        <w:rPr>
          <w:rFonts w:hint="eastAsia" w:ascii="仿宋" w:hAnsi="仿宋" w:eastAsia="仿宋" w:cs="仿宋"/>
          <w:color w:val="auto"/>
          <w:spacing w:val="0"/>
          <w:sz w:val="24"/>
          <w:highlight w:val="none"/>
        </w:rPr>
      </w:pPr>
    </w:p>
    <w:p w14:paraId="594C8F03">
      <w:pPr>
        <w:pageBreakBefore w:val="0"/>
        <w:kinsoku/>
        <w:overflowPunct/>
        <w:topLinePunct w:val="0"/>
        <w:bidi w:val="0"/>
        <w:spacing w:before="120" w:line="22" w:lineRule="atLeast"/>
        <w:ind w:firstLine="960" w:firstLineChars="400"/>
        <w:rPr>
          <w:rFonts w:hint="eastAsia" w:ascii="仿宋" w:hAnsi="仿宋" w:eastAsia="仿宋" w:cs="仿宋"/>
          <w:color w:val="auto"/>
          <w:spacing w:val="0"/>
          <w:sz w:val="24"/>
          <w:highlight w:val="none"/>
          <w:u w:val="single"/>
        </w:rPr>
      </w:pPr>
      <w:r>
        <w:rPr>
          <w:rFonts w:hint="eastAsia" w:ascii="仿宋" w:hAnsi="仿宋" w:eastAsia="仿宋" w:cs="仿宋"/>
          <w:color w:val="auto"/>
          <w:spacing w:val="0"/>
          <w:sz w:val="24"/>
          <w:highlight w:val="none"/>
        </w:rPr>
        <w:t>签订地：</w:t>
      </w:r>
      <w:r>
        <w:rPr>
          <w:rFonts w:hint="eastAsia" w:ascii="仿宋" w:hAnsi="仿宋" w:eastAsia="仿宋" w:cs="仿宋"/>
          <w:color w:val="auto"/>
          <w:spacing w:val="0"/>
          <w:sz w:val="24"/>
          <w:highlight w:val="none"/>
          <w:u w:val="single"/>
        </w:rPr>
        <w:t xml:space="preserve">                                     </w:t>
      </w:r>
    </w:p>
    <w:p w14:paraId="2ADD78AF">
      <w:pPr>
        <w:pageBreakBefore w:val="0"/>
        <w:kinsoku/>
        <w:overflowPunct/>
        <w:topLinePunct w:val="0"/>
        <w:bidi w:val="0"/>
        <w:spacing w:before="120" w:line="22" w:lineRule="atLeast"/>
        <w:rPr>
          <w:rFonts w:hint="eastAsia" w:ascii="仿宋" w:hAnsi="仿宋" w:eastAsia="仿宋" w:cs="仿宋"/>
          <w:color w:val="auto"/>
          <w:spacing w:val="0"/>
          <w:sz w:val="24"/>
          <w:highlight w:val="none"/>
        </w:rPr>
      </w:pPr>
    </w:p>
    <w:p w14:paraId="3CEDFD15">
      <w:pPr>
        <w:pageBreakBefore w:val="0"/>
        <w:kinsoku/>
        <w:overflowPunct/>
        <w:topLinePunct w:val="0"/>
        <w:bidi w:val="0"/>
        <w:spacing w:before="120" w:line="22" w:lineRule="atLeast"/>
        <w:ind w:firstLine="960" w:firstLineChars="400"/>
        <w:rPr>
          <w:rFonts w:hint="eastAsia" w:ascii="仿宋" w:hAnsi="仿宋" w:eastAsia="仿宋" w:cs="仿宋"/>
          <w:color w:val="auto"/>
          <w:spacing w:val="0"/>
          <w:sz w:val="24"/>
          <w:highlight w:val="none"/>
          <w:u w:val="single"/>
        </w:rPr>
      </w:pPr>
      <w:r>
        <w:rPr>
          <w:rFonts w:hint="eastAsia" w:ascii="仿宋" w:hAnsi="仿宋" w:eastAsia="仿宋" w:cs="仿宋"/>
          <w:color w:val="auto"/>
          <w:spacing w:val="0"/>
          <w:sz w:val="24"/>
          <w:highlight w:val="none"/>
        </w:rPr>
        <w:t>签订日期：</w:t>
      </w:r>
      <w:r>
        <w:rPr>
          <w:rFonts w:hint="eastAsia" w:ascii="仿宋" w:hAnsi="仿宋" w:eastAsia="仿宋" w:cs="仿宋"/>
          <w:color w:val="auto"/>
          <w:spacing w:val="0"/>
          <w:sz w:val="24"/>
          <w:highlight w:val="none"/>
          <w:u w:val="single"/>
        </w:rPr>
        <w:t xml:space="preserve">               </w:t>
      </w:r>
      <w:r>
        <w:rPr>
          <w:rFonts w:hint="eastAsia" w:ascii="仿宋" w:hAnsi="仿宋" w:eastAsia="仿宋" w:cs="仿宋"/>
          <w:color w:val="auto"/>
          <w:spacing w:val="0"/>
          <w:sz w:val="24"/>
          <w:highlight w:val="none"/>
        </w:rPr>
        <w:t>年</w:t>
      </w:r>
      <w:r>
        <w:rPr>
          <w:rFonts w:hint="eastAsia" w:ascii="仿宋" w:hAnsi="仿宋" w:eastAsia="仿宋" w:cs="仿宋"/>
          <w:color w:val="auto"/>
          <w:spacing w:val="0"/>
          <w:sz w:val="24"/>
          <w:highlight w:val="none"/>
          <w:u w:val="single"/>
        </w:rPr>
        <w:t xml:space="preserve">       </w:t>
      </w:r>
      <w:r>
        <w:rPr>
          <w:rFonts w:hint="eastAsia" w:ascii="仿宋" w:hAnsi="仿宋" w:eastAsia="仿宋" w:cs="仿宋"/>
          <w:color w:val="auto"/>
          <w:spacing w:val="0"/>
          <w:sz w:val="24"/>
          <w:highlight w:val="none"/>
        </w:rPr>
        <w:t>月</w:t>
      </w:r>
      <w:r>
        <w:rPr>
          <w:rFonts w:hint="eastAsia" w:ascii="仿宋" w:hAnsi="仿宋" w:eastAsia="仿宋" w:cs="仿宋"/>
          <w:color w:val="auto"/>
          <w:spacing w:val="0"/>
          <w:sz w:val="24"/>
          <w:highlight w:val="none"/>
          <w:u w:val="single"/>
        </w:rPr>
        <w:t xml:space="preserve">       </w:t>
      </w:r>
      <w:r>
        <w:rPr>
          <w:rFonts w:hint="eastAsia" w:ascii="仿宋" w:hAnsi="仿宋" w:eastAsia="仿宋" w:cs="仿宋"/>
          <w:color w:val="auto"/>
          <w:spacing w:val="0"/>
          <w:sz w:val="24"/>
          <w:highlight w:val="none"/>
        </w:rPr>
        <w:t>日</w:t>
      </w:r>
    </w:p>
    <w:p w14:paraId="1138AB25">
      <w:pPr>
        <w:pageBreakBefore w:val="0"/>
        <w:kinsoku/>
        <w:overflowPunct/>
        <w:topLinePunct w:val="0"/>
        <w:autoSpaceDE w:val="0"/>
        <w:autoSpaceDN w:val="0"/>
        <w:bidi w:val="0"/>
        <w:adjustRightInd w:val="0"/>
        <w:spacing w:line="600" w:lineRule="exact"/>
        <w:ind w:firstLine="640"/>
        <w:jc w:val="center"/>
        <w:rPr>
          <w:rFonts w:hint="eastAsia" w:ascii="仿宋" w:hAnsi="仿宋" w:eastAsia="仿宋" w:cs="仿宋"/>
          <w:color w:val="auto"/>
          <w:spacing w:val="0"/>
          <w:sz w:val="24"/>
          <w:highlight w:val="none"/>
        </w:rPr>
        <w:sectPr>
          <w:footerReference r:id="rId6" w:type="default"/>
          <w:pgSz w:w="11907" w:h="16840"/>
          <w:pgMar w:top="1474" w:right="1814" w:bottom="1474" w:left="1814" w:header="851" w:footer="851" w:gutter="0"/>
          <w:pgNumType w:fmt="decimal"/>
          <w:cols w:space="720" w:num="1"/>
          <w:docGrid w:linePitch="462" w:charSpace="0"/>
        </w:sectPr>
      </w:pPr>
    </w:p>
    <w:p w14:paraId="72E1D9C8">
      <w:pPr>
        <w:pStyle w:val="43"/>
        <w:pageBreakBefore w:val="0"/>
        <w:kinsoku/>
        <w:overflowPunct/>
        <w:topLinePunct w:val="0"/>
        <w:bidi w:val="0"/>
        <w:ind w:firstLine="0"/>
        <w:jc w:val="center"/>
        <w:rPr>
          <w:rFonts w:hint="eastAsia" w:ascii="仿宋" w:hAnsi="仿宋" w:eastAsia="仿宋" w:cs="仿宋"/>
          <w:b/>
          <w:color w:val="auto"/>
          <w:spacing w:val="0"/>
          <w:szCs w:val="24"/>
          <w:highlight w:val="none"/>
        </w:rPr>
      </w:pPr>
      <w:r>
        <w:rPr>
          <w:rFonts w:hint="eastAsia" w:ascii="仿宋" w:hAnsi="仿宋" w:eastAsia="仿宋" w:cs="仿宋"/>
          <w:b/>
          <w:color w:val="auto"/>
          <w:spacing w:val="0"/>
          <w:szCs w:val="24"/>
          <w:highlight w:val="none"/>
        </w:rPr>
        <w:t>第一部分 合同书</w:t>
      </w:r>
    </w:p>
    <w:p w14:paraId="34A4BC0F">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u w:val="single"/>
          <w:lang w:val="zh-CN"/>
        </w:rPr>
        <w:t xml:space="preserve">        </w:t>
      </w:r>
      <w:r>
        <w:rPr>
          <w:rFonts w:hint="eastAsia" w:ascii="仿宋" w:hAnsi="仿宋" w:eastAsia="仿宋" w:cs="仿宋"/>
          <w:color w:val="auto"/>
          <w:spacing w:val="0"/>
          <w:sz w:val="24"/>
          <w:szCs w:val="24"/>
          <w:highlight w:val="none"/>
          <w:lang w:val="zh-CN"/>
        </w:rPr>
        <w:t>年</w:t>
      </w:r>
      <w:r>
        <w:rPr>
          <w:rFonts w:hint="eastAsia" w:ascii="仿宋" w:hAnsi="仿宋" w:eastAsia="仿宋" w:cs="仿宋"/>
          <w:color w:val="auto"/>
          <w:spacing w:val="0"/>
          <w:sz w:val="24"/>
          <w:szCs w:val="24"/>
          <w:highlight w:val="none"/>
          <w:u w:val="single"/>
          <w:lang w:val="zh-CN"/>
        </w:rPr>
        <w:t xml:space="preserve">    </w:t>
      </w:r>
      <w:r>
        <w:rPr>
          <w:rFonts w:hint="eastAsia" w:ascii="仿宋" w:hAnsi="仿宋" w:eastAsia="仿宋" w:cs="仿宋"/>
          <w:color w:val="auto"/>
          <w:spacing w:val="0"/>
          <w:sz w:val="24"/>
          <w:szCs w:val="24"/>
          <w:highlight w:val="none"/>
          <w:lang w:val="zh-CN"/>
        </w:rPr>
        <w:t>月</w:t>
      </w:r>
      <w:r>
        <w:rPr>
          <w:rFonts w:hint="eastAsia" w:ascii="仿宋" w:hAnsi="仿宋" w:eastAsia="仿宋" w:cs="仿宋"/>
          <w:color w:val="auto"/>
          <w:spacing w:val="0"/>
          <w:sz w:val="24"/>
          <w:szCs w:val="24"/>
          <w:highlight w:val="none"/>
          <w:u w:val="single"/>
          <w:lang w:val="zh-CN"/>
        </w:rPr>
        <w:t xml:space="preserve">    </w:t>
      </w:r>
      <w:r>
        <w:rPr>
          <w:rFonts w:hint="eastAsia" w:ascii="仿宋" w:hAnsi="仿宋" w:eastAsia="仿宋" w:cs="仿宋"/>
          <w:color w:val="auto"/>
          <w:spacing w:val="0"/>
          <w:sz w:val="24"/>
          <w:szCs w:val="24"/>
          <w:highlight w:val="none"/>
          <w:lang w:val="zh-CN"/>
        </w:rPr>
        <w:t>日</w:t>
      </w:r>
      <w:r>
        <w:rPr>
          <w:rFonts w:hint="eastAsia" w:ascii="仿宋" w:hAnsi="仿宋" w:eastAsia="仿宋" w:cs="仿宋"/>
          <w:color w:val="auto"/>
          <w:spacing w:val="0"/>
          <w:sz w:val="24"/>
          <w:szCs w:val="24"/>
          <w:highlight w:val="none"/>
        </w:rPr>
        <w:t>，</w:t>
      </w:r>
      <w:r>
        <w:rPr>
          <w:rFonts w:hint="eastAsia" w:ascii="仿宋" w:hAnsi="仿宋" w:eastAsia="仿宋" w:cs="仿宋"/>
          <w:color w:val="auto"/>
          <w:spacing w:val="0"/>
          <w:sz w:val="24"/>
          <w:szCs w:val="24"/>
          <w:highlight w:val="none"/>
          <w:u w:val="single"/>
        </w:rPr>
        <w:t xml:space="preserve">   （采购人名称）   </w:t>
      </w:r>
      <w:r>
        <w:rPr>
          <w:rFonts w:hint="eastAsia" w:ascii="仿宋" w:hAnsi="仿宋" w:eastAsia="仿宋" w:cs="仿宋"/>
          <w:color w:val="auto"/>
          <w:spacing w:val="0"/>
          <w:sz w:val="24"/>
          <w:szCs w:val="24"/>
          <w:highlight w:val="none"/>
        </w:rPr>
        <w:t>以</w:t>
      </w:r>
      <w:r>
        <w:rPr>
          <w:rFonts w:hint="eastAsia" w:ascii="仿宋" w:hAnsi="仿宋" w:eastAsia="仿宋" w:cs="仿宋"/>
          <w:color w:val="auto"/>
          <w:spacing w:val="0"/>
          <w:sz w:val="24"/>
          <w:szCs w:val="24"/>
          <w:highlight w:val="none"/>
          <w:u w:val="single"/>
        </w:rPr>
        <w:t xml:space="preserve">   （政府采购方式）  </w:t>
      </w:r>
      <w:r>
        <w:rPr>
          <w:rFonts w:hint="eastAsia" w:ascii="仿宋" w:hAnsi="仿宋" w:eastAsia="仿宋" w:cs="仿宋"/>
          <w:color w:val="auto"/>
          <w:spacing w:val="0"/>
          <w:sz w:val="24"/>
          <w:szCs w:val="24"/>
          <w:highlight w:val="none"/>
        </w:rPr>
        <w:t>对</w:t>
      </w:r>
      <w:r>
        <w:rPr>
          <w:rFonts w:hint="eastAsia" w:ascii="仿宋" w:hAnsi="仿宋" w:eastAsia="仿宋" w:cs="仿宋"/>
          <w:color w:val="auto"/>
          <w:spacing w:val="0"/>
          <w:sz w:val="24"/>
          <w:szCs w:val="24"/>
          <w:highlight w:val="none"/>
          <w:u w:val="single"/>
        </w:rPr>
        <w:t xml:space="preserve">   （同前页项目名称）   </w:t>
      </w:r>
      <w:r>
        <w:rPr>
          <w:rFonts w:hint="eastAsia" w:ascii="仿宋" w:hAnsi="仿宋" w:eastAsia="仿宋" w:cs="仿宋"/>
          <w:color w:val="auto"/>
          <w:spacing w:val="0"/>
          <w:sz w:val="24"/>
          <w:szCs w:val="24"/>
          <w:highlight w:val="none"/>
        </w:rPr>
        <w:t>项目进行了采购。经</w:t>
      </w:r>
      <w:r>
        <w:rPr>
          <w:rFonts w:hint="eastAsia" w:ascii="仿宋" w:hAnsi="仿宋" w:eastAsia="仿宋" w:cs="仿宋"/>
          <w:color w:val="auto"/>
          <w:spacing w:val="0"/>
          <w:sz w:val="24"/>
          <w:szCs w:val="24"/>
          <w:highlight w:val="none"/>
          <w:u w:val="single"/>
        </w:rPr>
        <w:t xml:space="preserve">   （相关评定主体名称）   </w:t>
      </w:r>
      <w:r>
        <w:rPr>
          <w:rFonts w:hint="eastAsia" w:ascii="仿宋" w:hAnsi="仿宋" w:eastAsia="仿宋" w:cs="仿宋"/>
          <w:color w:val="auto"/>
          <w:spacing w:val="0"/>
          <w:sz w:val="24"/>
          <w:szCs w:val="24"/>
          <w:highlight w:val="none"/>
        </w:rPr>
        <w:t>评定，</w:t>
      </w:r>
      <w:r>
        <w:rPr>
          <w:rFonts w:hint="eastAsia" w:ascii="仿宋" w:hAnsi="仿宋" w:eastAsia="仿宋" w:cs="仿宋"/>
          <w:color w:val="auto"/>
          <w:spacing w:val="0"/>
          <w:sz w:val="24"/>
          <w:szCs w:val="24"/>
          <w:highlight w:val="none"/>
          <w:u w:val="single"/>
        </w:rPr>
        <w:t xml:space="preserve">   （中标</w:t>
      </w:r>
      <w:r>
        <w:rPr>
          <w:rFonts w:hint="eastAsia" w:ascii="仿宋" w:hAnsi="仿宋" w:eastAsia="仿宋" w:cs="仿宋"/>
          <w:color w:val="auto"/>
          <w:spacing w:val="0"/>
          <w:sz w:val="24"/>
          <w:szCs w:val="24"/>
          <w:highlight w:val="none"/>
          <w:u w:val="single"/>
          <w:lang w:eastAsia="zh-CN"/>
        </w:rPr>
        <w:t>投标人</w:t>
      </w:r>
      <w:r>
        <w:rPr>
          <w:rFonts w:hint="eastAsia" w:ascii="仿宋" w:hAnsi="仿宋" w:eastAsia="仿宋" w:cs="仿宋"/>
          <w:color w:val="auto"/>
          <w:spacing w:val="0"/>
          <w:sz w:val="24"/>
          <w:szCs w:val="24"/>
          <w:highlight w:val="none"/>
          <w:u w:val="single"/>
        </w:rPr>
        <w:t xml:space="preserve">名称） </w:t>
      </w:r>
      <w:r>
        <w:rPr>
          <w:rFonts w:hint="eastAsia" w:ascii="仿宋" w:hAnsi="仿宋" w:eastAsia="仿宋" w:cs="仿宋"/>
          <w:color w:val="auto"/>
          <w:spacing w:val="0"/>
          <w:sz w:val="24"/>
          <w:szCs w:val="24"/>
          <w:highlight w:val="none"/>
        </w:rPr>
        <w:t>为该项目中标</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。现于中标通知书发出之日起三十日内，按照采购文件确定的事项签订本合同。</w:t>
      </w:r>
    </w:p>
    <w:p w14:paraId="2240A029">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lang w:val="zh-CN"/>
        </w:rPr>
        <w:t>根据《中华人民共和国合同法》、《中华人民共和国政府采购法》等相关法律法规之规定，按照平等、自愿、公平和诚实信用的原则，经</w:t>
      </w:r>
      <w:r>
        <w:rPr>
          <w:rFonts w:hint="eastAsia" w:ascii="仿宋" w:hAnsi="仿宋" w:eastAsia="仿宋" w:cs="仿宋"/>
          <w:color w:val="auto"/>
          <w:spacing w:val="0"/>
          <w:sz w:val="24"/>
          <w:szCs w:val="24"/>
          <w:highlight w:val="none"/>
          <w:u w:val="single"/>
        </w:rPr>
        <w:t xml:space="preserve">   （采购人名称）   </w:t>
      </w:r>
      <w:r>
        <w:rPr>
          <w:rFonts w:hint="eastAsia" w:ascii="仿宋" w:hAnsi="仿宋" w:eastAsia="仿宋" w:cs="仿宋"/>
          <w:color w:val="auto"/>
          <w:spacing w:val="0"/>
          <w:sz w:val="24"/>
          <w:szCs w:val="24"/>
          <w:highlight w:val="none"/>
          <w:lang w:val="zh-CN"/>
        </w:rPr>
        <w:t>(以下简称：甲方)和</w:t>
      </w:r>
      <w:r>
        <w:rPr>
          <w:rFonts w:hint="eastAsia" w:ascii="仿宋" w:hAnsi="仿宋" w:eastAsia="仿宋" w:cs="仿宋"/>
          <w:color w:val="auto"/>
          <w:spacing w:val="0"/>
          <w:sz w:val="24"/>
          <w:szCs w:val="24"/>
          <w:highlight w:val="none"/>
          <w:u w:val="single"/>
        </w:rPr>
        <w:t xml:space="preserve">   （中标</w:t>
      </w:r>
      <w:r>
        <w:rPr>
          <w:rFonts w:hint="eastAsia" w:ascii="仿宋" w:hAnsi="仿宋" w:eastAsia="仿宋" w:cs="仿宋"/>
          <w:color w:val="auto"/>
          <w:spacing w:val="0"/>
          <w:sz w:val="24"/>
          <w:szCs w:val="24"/>
          <w:highlight w:val="none"/>
          <w:u w:val="single"/>
          <w:lang w:eastAsia="zh-CN"/>
        </w:rPr>
        <w:t>投标人</w:t>
      </w:r>
      <w:r>
        <w:rPr>
          <w:rFonts w:hint="eastAsia" w:ascii="仿宋" w:hAnsi="仿宋" w:eastAsia="仿宋" w:cs="仿宋"/>
          <w:color w:val="auto"/>
          <w:spacing w:val="0"/>
          <w:sz w:val="24"/>
          <w:szCs w:val="24"/>
          <w:highlight w:val="none"/>
          <w:u w:val="single"/>
        </w:rPr>
        <w:t xml:space="preserve">名称）   </w:t>
      </w:r>
      <w:r>
        <w:rPr>
          <w:rFonts w:hint="eastAsia" w:ascii="仿宋" w:hAnsi="仿宋" w:eastAsia="仿宋" w:cs="仿宋"/>
          <w:color w:val="auto"/>
          <w:spacing w:val="0"/>
          <w:sz w:val="24"/>
          <w:szCs w:val="24"/>
          <w:highlight w:val="none"/>
          <w:lang w:val="zh-CN"/>
        </w:rPr>
        <w:t>(以下简称：乙方)协商一致，约定以下合同</w:t>
      </w:r>
      <w:r>
        <w:rPr>
          <w:rFonts w:hint="eastAsia" w:ascii="仿宋" w:hAnsi="仿宋" w:eastAsia="仿宋" w:cs="仿宋"/>
          <w:color w:val="auto"/>
          <w:spacing w:val="0"/>
          <w:sz w:val="24"/>
          <w:szCs w:val="24"/>
          <w:highlight w:val="none"/>
        </w:rPr>
        <w:t>条款，以兹共同遵守、全面履行。</w:t>
      </w:r>
    </w:p>
    <w:p w14:paraId="592B5F07">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color w:val="auto"/>
          <w:spacing w:val="0"/>
          <w:sz w:val="24"/>
          <w:szCs w:val="24"/>
          <w:highlight w:val="none"/>
        </w:rPr>
      </w:pPr>
      <w:bookmarkStart w:id="19" w:name="_Toc28855"/>
      <w:bookmarkStart w:id="20" w:name="_Toc19670"/>
      <w:bookmarkStart w:id="21" w:name="_Toc20421"/>
      <w:bookmarkStart w:id="22" w:name="_Toc19273"/>
      <w:bookmarkStart w:id="23" w:name="_Toc808"/>
      <w:bookmarkStart w:id="24" w:name="_Toc22967"/>
      <w:bookmarkStart w:id="25" w:name="_Toc15367"/>
      <w:bookmarkStart w:id="26" w:name="_Toc31100"/>
      <w:r>
        <w:rPr>
          <w:rFonts w:hint="eastAsia" w:ascii="仿宋" w:hAnsi="仿宋" w:eastAsia="仿宋" w:cs="仿宋"/>
          <w:b/>
          <w:color w:val="auto"/>
          <w:spacing w:val="0"/>
          <w:sz w:val="24"/>
          <w:szCs w:val="24"/>
          <w:highlight w:val="none"/>
        </w:rPr>
        <w:t>1.1 合同组成部分</w:t>
      </w:r>
      <w:bookmarkEnd w:id="19"/>
      <w:bookmarkEnd w:id="20"/>
      <w:bookmarkEnd w:id="21"/>
      <w:bookmarkEnd w:id="22"/>
      <w:bookmarkEnd w:id="23"/>
      <w:bookmarkEnd w:id="24"/>
      <w:bookmarkEnd w:id="25"/>
      <w:bookmarkEnd w:id="26"/>
    </w:p>
    <w:p w14:paraId="2C832374">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3C0C483">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1.1.1 本合同及其补充合同、变更协议；</w:t>
      </w:r>
    </w:p>
    <w:p w14:paraId="6425A174">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1.1.2 中标通知书；</w:t>
      </w:r>
    </w:p>
    <w:p w14:paraId="1FF108C8">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1.1.3 投标文件（含澄清或者说明文件）；</w:t>
      </w:r>
    </w:p>
    <w:p w14:paraId="1AE810E0">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 xml:space="preserve">1.1.4 </w:t>
      </w:r>
      <w:r>
        <w:rPr>
          <w:rFonts w:hint="eastAsia" w:ascii="仿宋" w:hAnsi="仿宋" w:eastAsia="仿宋" w:cs="仿宋"/>
          <w:color w:val="auto"/>
          <w:spacing w:val="0"/>
          <w:sz w:val="24"/>
          <w:szCs w:val="24"/>
          <w:highlight w:val="none"/>
          <w:lang w:eastAsia="zh-CN"/>
        </w:rPr>
        <w:t>磋商文件</w:t>
      </w:r>
      <w:r>
        <w:rPr>
          <w:rFonts w:hint="eastAsia" w:ascii="仿宋" w:hAnsi="仿宋" w:eastAsia="仿宋" w:cs="仿宋"/>
          <w:color w:val="auto"/>
          <w:spacing w:val="0"/>
          <w:sz w:val="24"/>
          <w:szCs w:val="24"/>
          <w:highlight w:val="none"/>
        </w:rPr>
        <w:t>（含澄清或者修改文件）；</w:t>
      </w:r>
    </w:p>
    <w:p w14:paraId="22E2F1D5">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1.1.5 其他相关采购文件。</w:t>
      </w:r>
    </w:p>
    <w:p w14:paraId="0B0F6855">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27" w:name="_Toc2466"/>
      <w:bookmarkStart w:id="28" w:name="_Toc22185"/>
      <w:bookmarkStart w:id="29" w:name="_Toc5421"/>
      <w:bookmarkStart w:id="30" w:name="_Toc26280"/>
      <w:bookmarkStart w:id="31" w:name="_Toc6773"/>
      <w:bookmarkStart w:id="32" w:name="_Toc2918"/>
      <w:bookmarkStart w:id="33" w:name="_Toc6311"/>
      <w:bookmarkStart w:id="34" w:name="_Toc18585"/>
      <w:r>
        <w:rPr>
          <w:rFonts w:hint="eastAsia" w:ascii="仿宋" w:hAnsi="仿宋" w:eastAsia="仿宋" w:cs="仿宋"/>
          <w:b/>
          <w:color w:val="auto"/>
          <w:spacing w:val="0"/>
          <w:sz w:val="24"/>
          <w:szCs w:val="24"/>
          <w:highlight w:val="none"/>
        </w:rPr>
        <w:t>1.2 标的</w:t>
      </w:r>
      <w:bookmarkEnd w:id="27"/>
      <w:bookmarkEnd w:id="28"/>
      <w:bookmarkEnd w:id="29"/>
      <w:bookmarkEnd w:id="30"/>
      <w:bookmarkEnd w:id="31"/>
      <w:bookmarkEnd w:id="32"/>
      <w:bookmarkEnd w:id="33"/>
      <w:bookmarkEnd w:id="34"/>
    </w:p>
    <w:p w14:paraId="4A6F6F6B">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u w:val="single"/>
        </w:rPr>
      </w:pPr>
      <w:r>
        <w:rPr>
          <w:rFonts w:hint="eastAsia" w:ascii="仿宋" w:hAnsi="仿宋" w:eastAsia="仿宋" w:cs="仿宋"/>
          <w:color w:val="auto"/>
          <w:spacing w:val="0"/>
          <w:sz w:val="24"/>
          <w:szCs w:val="24"/>
          <w:highlight w:val="none"/>
        </w:rPr>
        <w:t>1.2.1 标的名称：</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w:t>
      </w:r>
    </w:p>
    <w:p w14:paraId="0138E404">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u w:val="single"/>
        </w:rPr>
      </w:pPr>
      <w:r>
        <w:rPr>
          <w:rFonts w:hint="eastAsia" w:ascii="仿宋" w:hAnsi="仿宋" w:eastAsia="仿宋" w:cs="仿宋"/>
          <w:color w:val="auto"/>
          <w:spacing w:val="0"/>
          <w:sz w:val="24"/>
          <w:szCs w:val="24"/>
          <w:highlight w:val="none"/>
        </w:rPr>
        <w:t>1.2.2 标的数量：</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w:t>
      </w:r>
    </w:p>
    <w:p w14:paraId="28F42ED7">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1.2.3 标的质量：</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w:t>
      </w:r>
    </w:p>
    <w:p w14:paraId="1C8FB358">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35" w:name="_Toc16905"/>
      <w:bookmarkStart w:id="36" w:name="_Toc13918"/>
      <w:bookmarkStart w:id="37" w:name="_Toc11059"/>
      <w:bookmarkStart w:id="38" w:name="_Toc21943"/>
      <w:bookmarkStart w:id="39" w:name="_Toc5635"/>
      <w:bookmarkStart w:id="40" w:name="_Toc4929"/>
      <w:bookmarkStart w:id="41" w:name="_Toc1386"/>
      <w:bookmarkStart w:id="42" w:name="_Toc21124"/>
      <w:r>
        <w:rPr>
          <w:rFonts w:hint="eastAsia" w:ascii="仿宋" w:hAnsi="仿宋" w:eastAsia="仿宋" w:cs="仿宋"/>
          <w:b/>
          <w:color w:val="auto"/>
          <w:spacing w:val="0"/>
          <w:sz w:val="24"/>
          <w:szCs w:val="24"/>
          <w:highlight w:val="none"/>
        </w:rPr>
        <w:t>1.3 价款</w:t>
      </w:r>
      <w:bookmarkEnd w:id="35"/>
      <w:bookmarkEnd w:id="36"/>
      <w:bookmarkEnd w:id="37"/>
      <w:bookmarkEnd w:id="38"/>
      <w:bookmarkEnd w:id="39"/>
      <w:bookmarkEnd w:id="40"/>
      <w:bookmarkEnd w:id="41"/>
      <w:bookmarkEnd w:id="42"/>
    </w:p>
    <w:p w14:paraId="0890BFCD">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本合同总价为：￥</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元（大写：</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元人民币）。</w:t>
      </w:r>
    </w:p>
    <w:p w14:paraId="42425DE7">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u w:val="single"/>
        </w:rPr>
      </w:pPr>
      <w:r>
        <w:rPr>
          <w:rFonts w:hint="eastAsia" w:ascii="仿宋" w:hAnsi="仿宋" w:eastAsia="仿宋" w:cs="仿宋"/>
          <w:color w:val="auto"/>
          <w:spacing w:val="0"/>
          <w:sz w:val="24"/>
          <w:szCs w:val="24"/>
          <w:highlight w:val="none"/>
        </w:rPr>
        <w:t>分项价格：</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3899"/>
        <w:gridCol w:w="2924"/>
      </w:tblGrid>
      <w:tr w14:paraId="3DAB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375" w:type="dxa"/>
            <w:noWrap w:val="0"/>
            <w:vAlign w:val="center"/>
          </w:tcPr>
          <w:p w14:paraId="35D809EB">
            <w:pPr>
              <w:pStyle w:val="45"/>
              <w:keepNext w:val="0"/>
              <w:keepLines w:val="0"/>
              <w:pageBreakBefore w:val="0"/>
              <w:kinsoku/>
              <w:wordWrap/>
              <w:overflowPunct/>
              <w:topLinePunct w:val="0"/>
              <w:bidi w:val="0"/>
              <w:snapToGrid/>
              <w:spacing w:line="440" w:lineRule="exact"/>
              <w:jc w:val="center"/>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序号</w:t>
            </w:r>
          </w:p>
        </w:tc>
        <w:tc>
          <w:tcPr>
            <w:tcW w:w="3899" w:type="dxa"/>
            <w:noWrap w:val="0"/>
            <w:vAlign w:val="center"/>
          </w:tcPr>
          <w:p w14:paraId="0C9EBE7F">
            <w:pPr>
              <w:pStyle w:val="45"/>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分项名称</w:t>
            </w:r>
          </w:p>
        </w:tc>
        <w:tc>
          <w:tcPr>
            <w:tcW w:w="2924" w:type="dxa"/>
            <w:noWrap w:val="0"/>
            <w:vAlign w:val="center"/>
          </w:tcPr>
          <w:p w14:paraId="22CE9529">
            <w:pPr>
              <w:pStyle w:val="45"/>
              <w:keepNext w:val="0"/>
              <w:keepLines w:val="0"/>
              <w:pageBreakBefore w:val="0"/>
              <w:kinsoku/>
              <w:wordWrap/>
              <w:overflowPunct/>
              <w:topLinePunct w:val="0"/>
              <w:bidi w:val="0"/>
              <w:snapToGrid/>
              <w:spacing w:line="440" w:lineRule="exact"/>
              <w:jc w:val="center"/>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分项价格</w:t>
            </w:r>
          </w:p>
        </w:tc>
      </w:tr>
      <w:tr w14:paraId="1A91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375" w:type="dxa"/>
            <w:noWrap w:val="0"/>
            <w:vAlign w:val="center"/>
          </w:tcPr>
          <w:p w14:paraId="68347D6F">
            <w:pPr>
              <w:pStyle w:val="45"/>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color w:val="auto"/>
                <w:spacing w:val="0"/>
                <w:sz w:val="24"/>
                <w:szCs w:val="24"/>
                <w:highlight w:val="none"/>
                <w:lang w:val="en-US" w:eastAsia="zh-CN"/>
              </w:rPr>
            </w:pPr>
          </w:p>
        </w:tc>
        <w:tc>
          <w:tcPr>
            <w:tcW w:w="3899" w:type="dxa"/>
            <w:noWrap w:val="0"/>
            <w:vAlign w:val="center"/>
          </w:tcPr>
          <w:p w14:paraId="72DF7557">
            <w:pPr>
              <w:pStyle w:val="45"/>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color w:val="auto"/>
                <w:spacing w:val="0"/>
                <w:sz w:val="24"/>
                <w:szCs w:val="24"/>
                <w:highlight w:val="none"/>
                <w:lang w:val="en-US" w:eastAsia="zh-CN"/>
              </w:rPr>
            </w:pPr>
          </w:p>
        </w:tc>
        <w:tc>
          <w:tcPr>
            <w:tcW w:w="2924" w:type="dxa"/>
            <w:noWrap w:val="0"/>
            <w:vAlign w:val="center"/>
          </w:tcPr>
          <w:p w14:paraId="10834B79">
            <w:pPr>
              <w:pStyle w:val="45"/>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color w:val="auto"/>
                <w:spacing w:val="0"/>
                <w:sz w:val="24"/>
                <w:szCs w:val="24"/>
                <w:highlight w:val="none"/>
                <w:lang w:val="en-US" w:eastAsia="zh-CN"/>
              </w:rPr>
            </w:pPr>
          </w:p>
        </w:tc>
      </w:tr>
      <w:tr w14:paraId="5AEA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375" w:type="dxa"/>
            <w:noWrap w:val="0"/>
            <w:vAlign w:val="center"/>
          </w:tcPr>
          <w:p w14:paraId="1A079072">
            <w:pPr>
              <w:pStyle w:val="45"/>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color w:val="auto"/>
                <w:spacing w:val="0"/>
                <w:sz w:val="24"/>
                <w:szCs w:val="24"/>
                <w:highlight w:val="none"/>
                <w:lang w:val="en-US" w:eastAsia="zh-CN"/>
              </w:rPr>
            </w:pPr>
          </w:p>
        </w:tc>
        <w:tc>
          <w:tcPr>
            <w:tcW w:w="3899" w:type="dxa"/>
            <w:noWrap w:val="0"/>
            <w:vAlign w:val="center"/>
          </w:tcPr>
          <w:p w14:paraId="410860D3">
            <w:pPr>
              <w:pStyle w:val="45"/>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color w:val="auto"/>
                <w:spacing w:val="0"/>
                <w:sz w:val="24"/>
                <w:szCs w:val="24"/>
                <w:highlight w:val="none"/>
                <w:lang w:val="en-US" w:eastAsia="zh-CN"/>
              </w:rPr>
            </w:pPr>
          </w:p>
        </w:tc>
        <w:tc>
          <w:tcPr>
            <w:tcW w:w="2924" w:type="dxa"/>
            <w:noWrap w:val="0"/>
            <w:vAlign w:val="center"/>
          </w:tcPr>
          <w:p w14:paraId="7B9191AA">
            <w:pPr>
              <w:pStyle w:val="45"/>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color w:val="auto"/>
                <w:spacing w:val="0"/>
                <w:sz w:val="24"/>
                <w:szCs w:val="24"/>
                <w:highlight w:val="none"/>
                <w:lang w:val="en-US" w:eastAsia="zh-CN"/>
              </w:rPr>
            </w:pPr>
          </w:p>
        </w:tc>
      </w:tr>
      <w:tr w14:paraId="246B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375" w:type="dxa"/>
            <w:noWrap w:val="0"/>
            <w:vAlign w:val="center"/>
          </w:tcPr>
          <w:p w14:paraId="676056DB">
            <w:pPr>
              <w:pStyle w:val="45"/>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color w:val="auto"/>
                <w:spacing w:val="0"/>
                <w:sz w:val="24"/>
                <w:szCs w:val="24"/>
                <w:highlight w:val="none"/>
                <w:lang w:val="en-US" w:eastAsia="zh-CN"/>
              </w:rPr>
            </w:pPr>
          </w:p>
        </w:tc>
        <w:tc>
          <w:tcPr>
            <w:tcW w:w="3899" w:type="dxa"/>
            <w:noWrap w:val="0"/>
            <w:vAlign w:val="center"/>
          </w:tcPr>
          <w:p w14:paraId="7A017272">
            <w:pPr>
              <w:pStyle w:val="45"/>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color w:val="auto"/>
                <w:spacing w:val="0"/>
                <w:sz w:val="24"/>
                <w:szCs w:val="24"/>
                <w:highlight w:val="none"/>
                <w:lang w:val="en-US" w:eastAsia="zh-CN"/>
              </w:rPr>
            </w:pPr>
          </w:p>
        </w:tc>
        <w:tc>
          <w:tcPr>
            <w:tcW w:w="2924" w:type="dxa"/>
            <w:noWrap w:val="0"/>
            <w:vAlign w:val="center"/>
          </w:tcPr>
          <w:p w14:paraId="73364FBF">
            <w:pPr>
              <w:pStyle w:val="45"/>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color w:val="auto"/>
                <w:spacing w:val="0"/>
                <w:sz w:val="24"/>
                <w:szCs w:val="24"/>
                <w:highlight w:val="none"/>
                <w:lang w:val="en-US" w:eastAsia="zh-CN"/>
              </w:rPr>
            </w:pPr>
          </w:p>
        </w:tc>
      </w:tr>
      <w:tr w14:paraId="6C7E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375" w:type="dxa"/>
            <w:noWrap w:val="0"/>
            <w:vAlign w:val="center"/>
          </w:tcPr>
          <w:p w14:paraId="5EAEF5B7">
            <w:pPr>
              <w:pStyle w:val="45"/>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color w:val="auto"/>
                <w:spacing w:val="0"/>
                <w:sz w:val="24"/>
                <w:szCs w:val="24"/>
                <w:highlight w:val="none"/>
                <w:lang w:val="en-US" w:eastAsia="zh-CN"/>
              </w:rPr>
            </w:pPr>
          </w:p>
        </w:tc>
        <w:tc>
          <w:tcPr>
            <w:tcW w:w="3899" w:type="dxa"/>
            <w:noWrap w:val="0"/>
            <w:vAlign w:val="center"/>
          </w:tcPr>
          <w:p w14:paraId="354821FA">
            <w:pPr>
              <w:pStyle w:val="45"/>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color w:val="auto"/>
                <w:spacing w:val="0"/>
                <w:sz w:val="24"/>
                <w:szCs w:val="24"/>
                <w:highlight w:val="none"/>
                <w:lang w:val="en-US" w:eastAsia="zh-CN"/>
              </w:rPr>
            </w:pPr>
          </w:p>
        </w:tc>
        <w:tc>
          <w:tcPr>
            <w:tcW w:w="2924" w:type="dxa"/>
            <w:noWrap w:val="0"/>
            <w:vAlign w:val="center"/>
          </w:tcPr>
          <w:p w14:paraId="10EB83F5">
            <w:pPr>
              <w:pStyle w:val="45"/>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color w:val="auto"/>
                <w:spacing w:val="0"/>
                <w:sz w:val="24"/>
                <w:szCs w:val="24"/>
                <w:highlight w:val="none"/>
                <w:lang w:val="en-US" w:eastAsia="zh-CN"/>
              </w:rPr>
            </w:pPr>
          </w:p>
        </w:tc>
      </w:tr>
      <w:tr w14:paraId="5547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274" w:type="dxa"/>
            <w:gridSpan w:val="2"/>
            <w:noWrap w:val="0"/>
            <w:vAlign w:val="center"/>
          </w:tcPr>
          <w:p w14:paraId="7B685B7B">
            <w:pPr>
              <w:pStyle w:val="45"/>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总价</w:t>
            </w:r>
          </w:p>
        </w:tc>
        <w:tc>
          <w:tcPr>
            <w:tcW w:w="2924" w:type="dxa"/>
            <w:noWrap w:val="0"/>
            <w:vAlign w:val="center"/>
          </w:tcPr>
          <w:p w14:paraId="56823FA0">
            <w:pPr>
              <w:pStyle w:val="45"/>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color w:val="auto"/>
                <w:spacing w:val="0"/>
                <w:sz w:val="24"/>
                <w:szCs w:val="24"/>
                <w:highlight w:val="none"/>
                <w:lang w:val="en-US" w:eastAsia="zh-CN"/>
              </w:rPr>
            </w:pPr>
          </w:p>
        </w:tc>
      </w:tr>
    </w:tbl>
    <w:p w14:paraId="75B1AFBD">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43" w:name="_Toc3654"/>
      <w:bookmarkStart w:id="44" w:name="_Toc14993"/>
      <w:bookmarkStart w:id="45" w:name="_Toc30506"/>
      <w:bookmarkStart w:id="46" w:name="_Toc30158"/>
      <w:bookmarkStart w:id="47" w:name="_Toc12326"/>
      <w:bookmarkStart w:id="48" w:name="_Toc2096"/>
      <w:bookmarkStart w:id="49" w:name="_Toc26916"/>
      <w:bookmarkStart w:id="50" w:name="_Toc3226"/>
      <w:r>
        <w:rPr>
          <w:rFonts w:hint="eastAsia" w:ascii="仿宋" w:hAnsi="仿宋" w:eastAsia="仿宋" w:cs="仿宋"/>
          <w:b/>
          <w:color w:val="auto"/>
          <w:spacing w:val="0"/>
          <w:sz w:val="24"/>
          <w:szCs w:val="24"/>
          <w:highlight w:val="none"/>
        </w:rPr>
        <w:t>1.4 付款方式和发票开具方式</w:t>
      </w:r>
      <w:bookmarkEnd w:id="43"/>
      <w:bookmarkEnd w:id="44"/>
      <w:bookmarkEnd w:id="45"/>
      <w:bookmarkEnd w:id="46"/>
      <w:bookmarkEnd w:id="47"/>
      <w:bookmarkEnd w:id="48"/>
      <w:bookmarkEnd w:id="49"/>
      <w:bookmarkEnd w:id="50"/>
    </w:p>
    <w:p w14:paraId="2BA10F97">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1.4.1付款方式：</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w:t>
      </w:r>
    </w:p>
    <w:p w14:paraId="7EDCB652">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1.4.2 发票开具方式：</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w:t>
      </w:r>
    </w:p>
    <w:p w14:paraId="0DC1699F">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51" w:name="_Toc11108"/>
      <w:bookmarkStart w:id="52" w:name="_Toc27202"/>
      <w:bookmarkStart w:id="53" w:name="_Toc31421"/>
      <w:bookmarkStart w:id="54" w:name="_Toc8772"/>
      <w:bookmarkStart w:id="55" w:name="_Toc18974"/>
      <w:bookmarkStart w:id="56" w:name="_Toc3625"/>
      <w:bookmarkStart w:id="57" w:name="_Toc4760"/>
      <w:bookmarkStart w:id="58" w:name="_Toc28381"/>
      <w:r>
        <w:rPr>
          <w:rFonts w:hint="eastAsia" w:ascii="仿宋" w:hAnsi="仿宋" w:eastAsia="仿宋" w:cs="仿宋"/>
          <w:b/>
          <w:color w:val="auto"/>
          <w:spacing w:val="0"/>
          <w:sz w:val="24"/>
          <w:szCs w:val="24"/>
          <w:highlight w:val="none"/>
        </w:rPr>
        <w:t>1.5 履行期限、地点和方式</w:t>
      </w:r>
      <w:bookmarkEnd w:id="51"/>
      <w:bookmarkEnd w:id="52"/>
      <w:bookmarkEnd w:id="53"/>
      <w:bookmarkEnd w:id="54"/>
      <w:bookmarkEnd w:id="55"/>
      <w:bookmarkEnd w:id="56"/>
      <w:bookmarkEnd w:id="57"/>
      <w:bookmarkEnd w:id="58"/>
    </w:p>
    <w:p w14:paraId="201C706E">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u w:val="single"/>
        </w:rPr>
      </w:pPr>
      <w:r>
        <w:rPr>
          <w:rFonts w:hint="eastAsia" w:ascii="仿宋" w:hAnsi="仿宋" w:eastAsia="仿宋" w:cs="仿宋"/>
          <w:color w:val="auto"/>
          <w:spacing w:val="0"/>
          <w:sz w:val="24"/>
          <w:szCs w:val="24"/>
          <w:highlight w:val="none"/>
        </w:rPr>
        <w:t>1.5.1 履行期限：</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w:t>
      </w:r>
    </w:p>
    <w:p w14:paraId="37AB9F4A">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1.5.2 履行地点：</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w:t>
      </w:r>
    </w:p>
    <w:p w14:paraId="0F5B330C">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1.5.3 履行方式：</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w:t>
      </w:r>
    </w:p>
    <w:p w14:paraId="6FBF8168">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color w:val="auto"/>
          <w:spacing w:val="0"/>
          <w:sz w:val="24"/>
          <w:szCs w:val="24"/>
          <w:highlight w:val="none"/>
          <w:u w:val="single"/>
        </w:rPr>
      </w:pPr>
      <w:bookmarkStart w:id="59" w:name="_Toc3079"/>
      <w:bookmarkStart w:id="60" w:name="_Toc2375"/>
      <w:bookmarkStart w:id="61" w:name="_Toc8586"/>
      <w:bookmarkStart w:id="62" w:name="_Toc5698"/>
      <w:bookmarkStart w:id="63" w:name="_Toc24535"/>
      <w:bookmarkStart w:id="64" w:name="_Toc24329"/>
      <w:bookmarkStart w:id="65" w:name="_Toc8705"/>
      <w:bookmarkStart w:id="66" w:name="_Toc24662"/>
      <w:r>
        <w:rPr>
          <w:rFonts w:hint="eastAsia" w:ascii="仿宋" w:hAnsi="仿宋" w:eastAsia="仿宋" w:cs="仿宋"/>
          <w:b/>
          <w:color w:val="auto"/>
          <w:spacing w:val="0"/>
          <w:sz w:val="24"/>
          <w:szCs w:val="24"/>
          <w:highlight w:val="none"/>
        </w:rPr>
        <w:t>1.6 违约责任</w:t>
      </w:r>
      <w:bookmarkEnd w:id="59"/>
      <w:bookmarkEnd w:id="60"/>
      <w:bookmarkEnd w:id="61"/>
      <w:bookmarkEnd w:id="62"/>
      <w:bookmarkEnd w:id="63"/>
      <w:bookmarkEnd w:id="64"/>
      <w:bookmarkEnd w:id="65"/>
      <w:bookmarkEnd w:id="66"/>
    </w:p>
    <w:p w14:paraId="14A4C5C2">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1.6.1 除不可抗力外，如果乙方没有按照本合同约定的期限、地点和方式履行，那么甲方可要求乙方支付违约金，违约金按每迟延履行一日的应提供而未提供服务价格的</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%计算，最高限额为本合同总价的</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%；迟延履行的违约金计算数额达到前述最高限额之日起，甲方有权在要求乙方支付违约金的同时，书面通知乙方解除本合同；</w:t>
      </w:r>
    </w:p>
    <w:p w14:paraId="0B961259">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%计算，最高限额为本合同总价的</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%；迟延付款的违约金计算数额达到前述最高限额之日起，乙方有权在要求甲方支付违约金的同时，书面通知甲方解除本合同；</w:t>
      </w:r>
    </w:p>
    <w:p w14:paraId="51F37C32">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2A316445">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834E328">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4CFDDD9">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3EE73E73">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67" w:name="_Toc9497"/>
      <w:bookmarkStart w:id="68" w:name="_Toc18683"/>
      <w:bookmarkStart w:id="69" w:name="_Toc6542"/>
      <w:bookmarkStart w:id="70" w:name="_Toc17937"/>
      <w:bookmarkStart w:id="71" w:name="_Toc30329"/>
      <w:bookmarkStart w:id="72" w:name="_Toc32454"/>
      <w:bookmarkStart w:id="73" w:name="_Toc26807"/>
      <w:bookmarkStart w:id="74" w:name="_Toc28352"/>
      <w:r>
        <w:rPr>
          <w:rFonts w:hint="eastAsia" w:ascii="仿宋" w:hAnsi="仿宋" w:eastAsia="仿宋" w:cs="仿宋"/>
          <w:b/>
          <w:color w:val="auto"/>
          <w:spacing w:val="0"/>
          <w:sz w:val="24"/>
          <w:szCs w:val="24"/>
          <w:highlight w:val="none"/>
        </w:rPr>
        <w:t>1.7 合同争议的解决</w:t>
      </w:r>
      <w:bookmarkEnd w:id="67"/>
      <w:bookmarkEnd w:id="68"/>
      <w:bookmarkEnd w:id="69"/>
      <w:bookmarkEnd w:id="70"/>
      <w:bookmarkEnd w:id="71"/>
      <w:bookmarkEnd w:id="72"/>
      <w:bookmarkEnd w:id="73"/>
      <w:bookmarkEnd w:id="74"/>
    </w:p>
    <w:p w14:paraId="5585DB9D">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本合同履行过程中发生的任何争议，双方当事人均可通过和解或者调解解决；不愿和解、调解或者和解、调解不成的，可以选择下列第</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种方式解决：</w:t>
      </w:r>
    </w:p>
    <w:p w14:paraId="6FA6A4B6">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1.7.1 将争议提交</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仲裁委员会依申请仲裁时其现行有效的仲裁规则裁决；</w:t>
      </w:r>
    </w:p>
    <w:p w14:paraId="715E40AF">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1.7.2 向</w:t>
      </w:r>
      <w:r>
        <w:rPr>
          <w:rFonts w:hint="eastAsia" w:ascii="仿宋" w:hAnsi="仿宋" w:eastAsia="仿宋" w:cs="仿宋"/>
          <w:color w:val="auto"/>
          <w:spacing w:val="0"/>
          <w:sz w:val="24"/>
          <w:szCs w:val="24"/>
          <w:highlight w:val="none"/>
          <w:u w:val="single"/>
        </w:rPr>
        <w:t xml:space="preserve">   （被告住所地、合同履行地、合同签订地、原告住所地、标的物所在地等与争议有实际联系的地点中选出的人民法院名称）    </w:t>
      </w:r>
      <w:r>
        <w:rPr>
          <w:rFonts w:hint="eastAsia" w:ascii="仿宋" w:hAnsi="仿宋" w:eastAsia="仿宋" w:cs="仿宋"/>
          <w:color w:val="auto"/>
          <w:spacing w:val="0"/>
          <w:sz w:val="24"/>
          <w:szCs w:val="24"/>
          <w:highlight w:val="none"/>
        </w:rPr>
        <w:t>人民法院起诉。</w:t>
      </w:r>
    </w:p>
    <w:p w14:paraId="2CCDAE45">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75" w:name="_Toc29909"/>
      <w:bookmarkStart w:id="76" w:name="_Toc16417"/>
      <w:bookmarkStart w:id="77" w:name="_Toc14897"/>
      <w:bookmarkStart w:id="78" w:name="_Toc26227"/>
      <w:bookmarkStart w:id="79" w:name="_Toc15827"/>
      <w:bookmarkStart w:id="80" w:name="_Toc23784"/>
      <w:bookmarkStart w:id="81" w:name="_Toc12273"/>
      <w:bookmarkStart w:id="82" w:name="_Toc4979"/>
      <w:r>
        <w:rPr>
          <w:rFonts w:hint="eastAsia" w:ascii="仿宋" w:hAnsi="仿宋" w:eastAsia="仿宋" w:cs="仿宋"/>
          <w:b/>
          <w:color w:val="auto"/>
          <w:spacing w:val="0"/>
          <w:sz w:val="24"/>
          <w:szCs w:val="24"/>
          <w:highlight w:val="none"/>
        </w:rPr>
        <w:t>1.8 合同生效</w:t>
      </w:r>
      <w:bookmarkEnd w:id="75"/>
      <w:bookmarkEnd w:id="76"/>
      <w:bookmarkEnd w:id="77"/>
      <w:bookmarkEnd w:id="78"/>
      <w:bookmarkEnd w:id="79"/>
      <w:bookmarkEnd w:id="80"/>
      <w:bookmarkEnd w:id="81"/>
      <w:bookmarkEnd w:id="82"/>
    </w:p>
    <w:p w14:paraId="46ED7572">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b/>
          <w:color w:val="auto"/>
          <w:spacing w:val="0"/>
          <w:sz w:val="24"/>
          <w:szCs w:val="24"/>
          <w:highlight w:val="none"/>
        </w:rPr>
      </w:pPr>
      <w:r>
        <w:rPr>
          <w:rFonts w:hint="eastAsia" w:ascii="仿宋" w:hAnsi="仿宋" w:eastAsia="仿宋" w:cs="仿宋"/>
          <w:color w:val="auto"/>
          <w:spacing w:val="0"/>
          <w:sz w:val="24"/>
          <w:szCs w:val="24"/>
          <w:highlight w:val="none"/>
        </w:rPr>
        <w:t>本合同自双方当事人盖章或者签字时生效。</w:t>
      </w:r>
    </w:p>
    <w:p w14:paraId="5B244682">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lang w:val="zh-CN"/>
        </w:rPr>
      </w:pPr>
    </w:p>
    <w:p w14:paraId="0DF6439B">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lang w:val="zh-CN"/>
        </w:rPr>
      </w:pPr>
      <w:r>
        <w:rPr>
          <w:rFonts w:hint="eastAsia" w:ascii="仿宋" w:hAnsi="仿宋" w:eastAsia="仿宋" w:cs="仿宋"/>
          <w:b/>
          <w:color w:val="auto"/>
          <w:spacing w:val="0"/>
          <w:sz w:val="24"/>
          <w:szCs w:val="24"/>
          <w:highlight w:val="none"/>
          <w:lang w:val="zh-CN"/>
        </w:rPr>
        <w:t>甲方</w:t>
      </w:r>
      <w:r>
        <w:rPr>
          <w:rFonts w:hint="eastAsia" w:ascii="仿宋" w:hAnsi="仿宋" w:eastAsia="仿宋" w:cs="仿宋"/>
          <w:color w:val="auto"/>
          <w:spacing w:val="0"/>
          <w:sz w:val="24"/>
          <w:szCs w:val="24"/>
          <w:highlight w:val="none"/>
          <w:lang w:val="zh-CN"/>
        </w:rPr>
        <w:t xml:space="preserve">：                             </w:t>
      </w:r>
      <w:r>
        <w:rPr>
          <w:rFonts w:hint="eastAsia" w:ascii="仿宋" w:hAnsi="仿宋" w:eastAsia="仿宋" w:cs="仿宋"/>
          <w:b/>
          <w:color w:val="auto"/>
          <w:spacing w:val="0"/>
          <w:sz w:val="24"/>
          <w:szCs w:val="24"/>
          <w:highlight w:val="none"/>
          <w:lang w:val="zh-CN"/>
        </w:rPr>
        <w:t xml:space="preserve">      乙方</w:t>
      </w:r>
      <w:r>
        <w:rPr>
          <w:rFonts w:hint="eastAsia" w:ascii="仿宋" w:hAnsi="仿宋" w:eastAsia="仿宋" w:cs="仿宋"/>
          <w:color w:val="auto"/>
          <w:spacing w:val="0"/>
          <w:sz w:val="24"/>
          <w:szCs w:val="24"/>
          <w:highlight w:val="none"/>
          <w:lang w:val="zh-CN"/>
        </w:rPr>
        <w:t>：</w:t>
      </w:r>
    </w:p>
    <w:p w14:paraId="7A988EAD">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lang w:val="zh-CN"/>
        </w:rPr>
      </w:pPr>
      <w:r>
        <w:rPr>
          <w:rFonts w:hint="eastAsia" w:ascii="仿宋" w:hAnsi="仿宋" w:eastAsia="仿宋" w:cs="仿宋"/>
          <w:color w:val="auto"/>
          <w:spacing w:val="0"/>
          <w:sz w:val="24"/>
          <w:szCs w:val="24"/>
          <w:highlight w:val="none"/>
          <w:lang w:val="zh-CN"/>
        </w:rPr>
        <w:t>统一社会信用代码：                        统一社会信用代码或身份证号码：</w:t>
      </w:r>
    </w:p>
    <w:p w14:paraId="33371939">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lang w:val="zh-CN"/>
        </w:rPr>
      </w:pPr>
    </w:p>
    <w:p w14:paraId="5C5190CD">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lang w:val="zh-CN"/>
        </w:rPr>
      </w:pPr>
      <w:r>
        <w:rPr>
          <w:rFonts w:hint="eastAsia" w:ascii="仿宋" w:hAnsi="仿宋" w:eastAsia="仿宋" w:cs="仿宋"/>
          <w:color w:val="auto"/>
          <w:spacing w:val="0"/>
          <w:sz w:val="24"/>
          <w:szCs w:val="24"/>
          <w:highlight w:val="none"/>
          <w:lang w:val="zh-CN"/>
        </w:rPr>
        <w:t>住所：                                   住所：</w:t>
      </w:r>
    </w:p>
    <w:p w14:paraId="2FFB1CBB">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lang w:val="zh-CN"/>
        </w:rPr>
      </w:pPr>
      <w:r>
        <w:rPr>
          <w:rFonts w:hint="eastAsia" w:ascii="仿宋" w:hAnsi="仿宋" w:eastAsia="仿宋" w:cs="仿宋"/>
          <w:color w:val="auto"/>
          <w:spacing w:val="0"/>
          <w:sz w:val="24"/>
          <w:szCs w:val="24"/>
          <w:highlight w:val="none"/>
          <w:lang w:val="zh-CN"/>
        </w:rPr>
        <w:t>法定代表人或                             法定代表人</w:t>
      </w:r>
    </w:p>
    <w:p w14:paraId="4B6E24C8">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lang w:val="zh-CN"/>
        </w:rPr>
      </w:pPr>
      <w:r>
        <w:rPr>
          <w:rFonts w:hint="eastAsia" w:ascii="仿宋" w:hAnsi="仿宋" w:eastAsia="仿宋" w:cs="仿宋"/>
          <w:color w:val="auto"/>
          <w:spacing w:val="0"/>
          <w:sz w:val="24"/>
          <w:szCs w:val="24"/>
          <w:highlight w:val="none"/>
          <w:lang w:val="zh-CN"/>
        </w:rPr>
        <w:t xml:space="preserve">授权代表（签字）：                        或授权代表（签字）: </w:t>
      </w:r>
    </w:p>
    <w:p w14:paraId="4945A8B2">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lang w:val="zh-CN"/>
        </w:rPr>
      </w:pPr>
      <w:r>
        <w:rPr>
          <w:rFonts w:hint="eastAsia" w:ascii="仿宋" w:hAnsi="仿宋" w:eastAsia="仿宋" w:cs="仿宋"/>
          <w:color w:val="auto"/>
          <w:spacing w:val="0"/>
          <w:sz w:val="24"/>
          <w:szCs w:val="24"/>
          <w:highlight w:val="none"/>
          <w:lang w:val="zh-CN"/>
        </w:rPr>
        <w:t>联系人：                                 联系人：</w:t>
      </w:r>
    </w:p>
    <w:p w14:paraId="704DDF64">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lang w:val="zh-CN"/>
        </w:rPr>
      </w:pPr>
      <w:r>
        <w:rPr>
          <w:rFonts w:hint="eastAsia" w:ascii="仿宋" w:hAnsi="仿宋" w:eastAsia="仿宋" w:cs="仿宋"/>
          <w:color w:val="auto"/>
          <w:spacing w:val="0"/>
          <w:sz w:val="24"/>
          <w:szCs w:val="24"/>
          <w:highlight w:val="none"/>
          <w:lang w:val="zh-CN"/>
        </w:rPr>
        <w:t>约定送达地址：                           约定送达地址：</w:t>
      </w:r>
    </w:p>
    <w:p w14:paraId="41EC3201">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lang w:val="zh-CN"/>
        </w:rPr>
      </w:pPr>
      <w:r>
        <w:rPr>
          <w:rFonts w:hint="eastAsia" w:ascii="仿宋" w:hAnsi="仿宋" w:eastAsia="仿宋" w:cs="仿宋"/>
          <w:color w:val="auto"/>
          <w:spacing w:val="0"/>
          <w:sz w:val="24"/>
          <w:szCs w:val="24"/>
          <w:highlight w:val="none"/>
          <w:lang w:val="zh-CN"/>
        </w:rPr>
        <w:t>邮政编码：                               邮政编码：</w:t>
      </w:r>
    </w:p>
    <w:p w14:paraId="6CC147DA">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lang w:val="zh-CN"/>
        </w:rPr>
      </w:pPr>
      <w:r>
        <w:rPr>
          <w:rFonts w:hint="eastAsia" w:ascii="仿宋" w:hAnsi="仿宋" w:eastAsia="仿宋" w:cs="仿宋"/>
          <w:color w:val="auto"/>
          <w:spacing w:val="0"/>
          <w:sz w:val="24"/>
          <w:szCs w:val="24"/>
          <w:highlight w:val="none"/>
          <w:lang w:val="zh-CN"/>
        </w:rPr>
        <w:t xml:space="preserve">电话:                                    电话: </w:t>
      </w:r>
    </w:p>
    <w:p w14:paraId="3B8B8105">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lang w:val="zh-CN"/>
        </w:rPr>
      </w:pPr>
      <w:r>
        <w:rPr>
          <w:rFonts w:hint="eastAsia" w:ascii="仿宋" w:hAnsi="仿宋" w:eastAsia="仿宋" w:cs="仿宋"/>
          <w:color w:val="auto"/>
          <w:spacing w:val="0"/>
          <w:sz w:val="24"/>
          <w:szCs w:val="24"/>
          <w:highlight w:val="none"/>
          <w:lang w:val="zh-CN"/>
        </w:rPr>
        <w:t>传真:                                    传真:</w:t>
      </w:r>
    </w:p>
    <w:p w14:paraId="046E8283">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lang w:val="zh-CN"/>
        </w:rPr>
        <w:t>电子邮箱：                               电子邮箱：</w:t>
      </w:r>
    </w:p>
    <w:p w14:paraId="61FE182A">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 xml:space="preserve">开户银行：                               开户银行： </w:t>
      </w:r>
    </w:p>
    <w:p w14:paraId="70D9878E">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 xml:space="preserve">开户名称：                               开户名称： </w:t>
      </w:r>
    </w:p>
    <w:p w14:paraId="10451B8C">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开户账号：</w:t>
      </w:r>
      <w:r>
        <w:rPr>
          <w:rFonts w:hint="eastAsia" w:ascii="仿宋" w:hAnsi="仿宋" w:eastAsia="仿宋" w:cs="仿宋"/>
          <w:color w:val="auto"/>
          <w:spacing w:val="0"/>
          <w:sz w:val="24"/>
          <w:szCs w:val="24"/>
          <w:highlight w:val="none"/>
          <w:lang w:val="zh-CN"/>
        </w:rPr>
        <w:t xml:space="preserve">                               </w:t>
      </w:r>
      <w:r>
        <w:rPr>
          <w:rFonts w:hint="eastAsia" w:ascii="仿宋" w:hAnsi="仿宋" w:eastAsia="仿宋" w:cs="仿宋"/>
          <w:color w:val="auto"/>
          <w:spacing w:val="0"/>
          <w:sz w:val="24"/>
          <w:szCs w:val="24"/>
          <w:highlight w:val="none"/>
        </w:rPr>
        <w:t>开户账号：</w:t>
      </w:r>
    </w:p>
    <w:p w14:paraId="2B72E45B">
      <w:pPr>
        <w:pStyle w:val="43"/>
        <w:keepNext w:val="0"/>
        <w:keepLines w:val="0"/>
        <w:pageBreakBefore w:val="0"/>
        <w:kinsoku/>
        <w:wordWrap/>
        <w:overflowPunct/>
        <w:topLinePunct w:val="0"/>
        <w:bidi w:val="0"/>
        <w:snapToGrid/>
        <w:spacing w:line="440" w:lineRule="exact"/>
        <w:ind w:firstLine="200"/>
        <w:jc w:val="center"/>
        <w:rPr>
          <w:rFonts w:hint="eastAsia" w:ascii="仿宋" w:hAnsi="仿宋" w:eastAsia="仿宋" w:cs="仿宋"/>
          <w:b/>
          <w:color w:val="auto"/>
          <w:spacing w:val="0"/>
          <w:sz w:val="24"/>
          <w:szCs w:val="24"/>
          <w:highlight w:val="none"/>
        </w:rPr>
      </w:pPr>
      <w:r>
        <w:rPr>
          <w:rFonts w:hint="eastAsia" w:ascii="仿宋" w:hAnsi="仿宋" w:eastAsia="仿宋" w:cs="仿宋"/>
          <w:b/>
          <w:color w:val="auto"/>
          <w:spacing w:val="0"/>
          <w:sz w:val="24"/>
          <w:szCs w:val="24"/>
          <w:highlight w:val="none"/>
        </w:rPr>
        <w:t>第二部分 合同一般条款</w:t>
      </w:r>
    </w:p>
    <w:p w14:paraId="65D26409">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83" w:name="_Toc22083"/>
      <w:bookmarkStart w:id="84" w:name="_Toc5228"/>
      <w:bookmarkStart w:id="85" w:name="_Ref467378499"/>
      <w:bookmarkStart w:id="86" w:name="_Ref467379205"/>
      <w:bookmarkStart w:id="87" w:name="_Toc14021"/>
      <w:bookmarkStart w:id="88" w:name="_Ref467379101"/>
      <w:bookmarkStart w:id="89" w:name="_Toc259093669"/>
      <w:bookmarkStart w:id="90" w:name="_Toc487900349"/>
      <w:bookmarkStart w:id="91" w:name="_Toc25079"/>
      <w:bookmarkStart w:id="92" w:name="_Ref467378404"/>
      <w:bookmarkStart w:id="93" w:name="_Ref467379094"/>
      <w:bookmarkStart w:id="94" w:name="_Toc31297"/>
      <w:bookmarkStart w:id="95" w:name="_Ref467379109"/>
      <w:bookmarkStart w:id="96" w:name="_Ref467379195"/>
      <w:bookmarkStart w:id="97" w:name="_Toc279701240"/>
      <w:bookmarkStart w:id="98" w:name="_Ref467378463"/>
      <w:bookmarkStart w:id="99" w:name="_Toc24871"/>
      <w:bookmarkStart w:id="100" w:name="_Toc19680"/>
      <w:bookmarkStart w:id="101" w:name="_Ref467379225"/>
      <w:bookmarkStart w:id="102" w:name="_Toc10648"/>
      <w:bookmarkStart w:id="103" w:name="_Ref467379214"/>
      <w:r>
        <w:rPr>
          <w:rFonts w:hint="eastAsia" w:ascii="仿宋" w:hAnsi="仿宋" w:eastAsia="仿宋" w:cs="仿宋"/>
          <w:b/>
          <w:color w:val="auto"/>
          <w:spacing w:val="0"/>
          <w:sz w:val="24"/>
          <w:szCs w:val="24"/>
          <w:highlight w:val="none"/>
        </w:rPr>
        <w:t>2.1 定义</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60F46352">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本合同中的下列词语应按以下内容进行解释：</w:t>
      </w:r>
    </w:p>
    <w:p w14:paraId="4248B21F">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2.1.1 “合同”系指采购人和中标</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签订的载明双方当事人所达成的协议，并包括所有的附件、附录和构成合同的其他文件。</w:t>
      </w:r>
    </w:p>
    <w:p w14:paraId="3FA3C8EA">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2.1.2 “合同价”系指根据合同约定，中标</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在完全履行合同义务后，采购人应支付给中标</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的价格。</w:t>
      </w:r>
    </w:p>
    <w:p w14:paraId="382CBCB1">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2.1.3 “服务”系指中标</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根据合同约定应向采购人履行的除货物和工程以外的其他政府采购对象，包括采购人自身需要的服务和向社会公众提供的公共服务。</w:t>
      </w:r>
    </w:p>
    <w:p w14:paraId="7C7CCC83">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bookmarkStart w:id="104" w:name="_Ref467378840"/>
      <w:r>
        <w:rPr>
          <w:rFonts w:hint="eastAsia" w:ascii="仿宋" w:hAnsi="仿宋" w:eastAsia="仿宋" w:cs="仿宋"/>
          <w:color w:val="auto"/>
          <w:spacing w:val="0"/>
          <w:sz w:val="24"/>
          <w:szCs w:val="24"/>
          <w:highlight w:val="none"/>
        </w:rPr>
        <w:t>2.1.4 “甲方”系指与中标</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签署合同的采购人</w:t>
      </w:r>
      <w:bookmarkEnd w:id="104"/>
      <w:r>
        <w:rPr>
          <w:rFonts w:hint="eastAsia" w:ascii="仿宋" w:hAnsi="仿宋" w:eastAsia="仿宋" w:cs="仿宋"/>
          <w:color w:val="auto"/>
          <w:spacing w:val="0"/>
          <w:sz w:val="24"/>
          <w:szCs w:val="24"/>
          <w:highlight w:val="none"/>
        </w:rPr>
        <w:t>；采购人委托采购代理机构代表其与乙方签订合同的，采购人的授权委托书作为合同附件。</w:t>
      </w:r>
    </w:p>
    <w:p w14:paraId="2DE9B0DA">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bookmarkStart w:id="105" w:name="_Ref467379400"/>
      <w:r>
        <w:rPr>
          <w:rFonts w:hint="eastAsia" w:ascii="仿宋" w:hAnsi="仿宋" w:eastAsia="仿宋" w:cs="仿宋"/>
          <w:color w:val="auto"/>
          <w:spacing w:val="0"/>
          <w:sz w:val="24"/>
          <w:szCs w:val="24"/>
          <w:highlight w:val="none"/>
        </w:rPr>
        <w:t>2.1.5 “乙方”系指根据合同约定提供服务的中标</w:t>
      </w:r>
      <w:bookmarkEnd w:id="105"/>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；两个以上的自然人、法人或者其他组织组成一个联合体，以一个</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的身份共同参加政府采购的，联合体各方均应为乙方或者与乙方相同地位的合同当事人，并就合同约定的事项对甲方承担连带责任。</w:t>
      </w:r>
    </w:p>
    <w:p w14:paraId="1901F77B">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bookmarkStart w:id="106" w:name="_Ref467379436"/>
      <w:r>
        <w:rPr>
          <w:rFonts w:hint="eastAsia" w:ascii="仿宋" w:hAnsi="仿宋" w:eastAsia="仿宋" w:cs="仿宋"/>
          <w:color w:val="auto"/>
          <w:spacing w:val="0"/>
          <w:sz w:val="24"/>
          <w:szCs w:val="24"/>
          <w:highlight w:val="none"/>
        </w:rPr>
        <w:t>2.1.6 “现场”系指合同约定提供服务的地点。</w:t>
      </w:r>
      <w:bookmarkEnd w:id="106"/>
    </w:p>
    <w:p w14:paraId="13D2CD45">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107" w:name="_Toc279701241"/>
      <w:bookmarkStart w:id="108" w:name="_Toc3211"/>
      <w:bookmarkStart w:id="109" w:name="_Toc3769"/>
      <w:bookmarkStart w:id="110" w:name="_Toc19539"/>
      <w:bookmarkStart w:id="111" w:name="_Toc1478"/>
      <w:bookmarkStart w:id="112" w:name="_Toc12511"/>
      <w:bookmarkStart w:id="113" w:name="_Toc16752"/>
      <w:bookmarkStart w:id="114" w:name="_Toc487900350"/>
      <w:bookmarkStart w:id="115" w:name="_Toc259093670"/>
      <w:bookmarkStart w:id="116" w:name="_Toc23289"/>
      <w:bookmarkStart w:id="117" w:name="_Toc31402"/>
      <w:r>
        <w:rPr>
          <w:rFonts w:hint="eastAsia" w:ascii="仿宋" w:hAnsi="仿宋" w:eastAsia="仿宋" w:cs="仿宋"/>
          <w:b/>
          <w:color w:val="auto"/>
          <w:spacing w:val="0"/>
          <w:sz w:val="24"/>
          <w:szCs w:val="24"/>
          <w:highlight w:val="none"/>
        </w:rPr>
        <w:t>2.2 技术规范</w:t>
      </w:r>
      <w:bookmarkEnd w:id="107"/>
      <w:bookmarkEnd w:id="108"/>
      <w:bookmarkEnd w:id="109"/>
      <w:bookmarkEnd w:id="110"/>
      <w:bookmarkEnd w:id="111"/>
      <w:bookmarkEnd w:id="112"/>
      <w:bookmarkEnd w:id="113"/>
      <w:bookmarkEnd w:id="114"/>
      <w:bookmarkEnd w:id="115"/>
      <w:bookmarkEnd w:id="116"/>
      <w:bookmarkEnd w:id="117"/>
    </w:p>
    <w:p w14:paraId="4C78B8C3">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41A505F">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118" w:name="_Toc13673"/>
      <w:bookmarkStart w:id="119" w:name="_Toc487900351"/>
      <w:bookmarkStart w:id="120" w:name="_Toc279701242"/>
      <w:bookmarkStart w:id="121" w:name="_Toc9161"/>
      <w:bookmarkStart w:id="122" w:name="_Toc31014"/>
      <w:bookmarkStart w:id="123" w:name="_Toc8408"/>
      <w:bookmarkStart w:id="124" w:name="_Toc27945"/>
      <w:bookmarkStart w:id="125" w:name="_Toc32346"/>
      <w:bookmarkStart w:id="126" w:name="_Toc259093671"/>
      <w:bookmarkStart w:id="127" w:name="_Toc4133"/>
      <w:bookmarkStart w:id="128" w:name="_Toc12412"/>
      <w:r>
        <w:rPr>
          <w:rFonts w:hint="eastAsia" w:ascii="仿宋" w:hAnsi="仿宋" w:eastAsia="仿宋" w:cs="仿宋"/>
          <w:b/>
          <w:color w:val="auto"/>
          <w:spacing w:val="0"/>
          <w:sz w:val="24"/>
          <w:szCs w:val="24"/>
          <w:highlight w:val="none"/>
        </w:rPr>
        <w:t>2.3 知识产权</w:t>
      </w:r>
      <w:bookmarkEnd w:id="118"/>
      <w:bookmarkEnd w:id="119"/>
      <w:bookmarkEnd w:id="120"/>
      <w:bookmarkEnd w:id="121"/>
      <w:bookmarkEnd w:id="122"/>
      <w:bookmarkEnd w:id="123"/>
      <w:bookmarkEnd w:id="124"/>
      <w:bookmarkEnd w:id="125"/>
      <w:bookmarkEnd w:id="126"/>
      <w:bookmarkEnd w:id="127"/>
      <w:bookmarkEnd w:id="128"/>
    </w:p>
    <w:p w14:paraId="481218D8">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14:paraId="43740F7A">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2.3.2 合同涉及技术成果的归属和收益的分成办法的，详见</w:t>
      </w:r>
      <w:r>
        <w:rPr>
          <w:rFonts w:hint="eastAsia" w:ascii="仿宋" w:hAnsi="仿宋" w:eastAsia="仿宋" w:cs="仿宋"/>
          <w:b/>
          <w:i w:val="0"/>
          <w:iCs/>
          <w:color w:val="auto"/>
          <w:spacing w:val="0"/>
          <w:sz w:val="24"/>
          <w:szCs w:val="24"/>
          <w:highlight w:val="none"/>
          <w:u w:val="single"/>
        </w:rPr>
        <w:t>合同专用条款</w:t>
      </w:r>
      <w:r>
        <w:rPr>
          <w:rFonts w:hint="eastAsia" w:ascii="仿宋" w:hAnsi="仿宋" w:eastAsia="仿宋" w:cs="仿宋"/>
          <w:i w:val="0"/>
          <w:iCs/>
          <w:color w:val="auto"/>
          <w:spacing w:val="0"/>
          <w:sz w:val="24"/>
          <w:szCs w:val="24"/>
          <w:highlight w:val="none"/>
        </w:rPr>
        <w:t>。</w:t>
      </w:r>
    </w:p>
    <w:p w14:paraId="5BBF0908">
      <w:pPr>
        <w:keepNext w:val="0"/>
        <w:keepLines w:val="0"/>
        <w:pageBreakBefore w:val="0"/>
        <w:kinsoku/>
        <w:wordWrap/>
        <w:overflowPunct/>
        <w:topLinePunct w:val="0"/>
        <w:bidi w:val="0"/>
        <w:snapToGrid/>
        <w:spacing w:line="440" w:lineRule="exact"/>
        <w:ind w:firstLine="482" w:firstLineChars="200"/>
        <w:rPr>
          <w:rFonts w:hint="eastAsia" w:ascii="仿宋" w:hAnsi="仿宋" w:eastAsia="仿宋" w:cs="仿宋"/>
          <w:b/>
          <w:color w:val="auto"/>
          <w:spacing w:val="0"/>
          <w:sz w:val="24"/>
          <w:szCs w:val="24"/>
          <w:highlight w:val="none"/>
        </w:rPr>
      </w:pPr>
      <w:r>
        <w:rPr>
          <w:rFonts w:hint="eastAsia" w:ascii="仿宋" w:hAnsi="仿宋" w:eastAsia="仿宋" w:cs="仿宋"/>
          <w:b/>
          <w:color w:val="auto"/>
          <w:spacing w:val="0"/>
          <w:sz w:val="24"/>
          <w:szCs w:val="24"/>
          <w:highlight w:val="none"/>
        </w:rPr>
        <w:t>2.4 履约检查和问题反馈</w:t>
      </w:r>
    </w:p>
    <w:p w14:paraId="6D2E8FA0">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bookmarkStart w:id="129" w:name="_Ref467379657"/>
      <w:r>
        <w:rPr>
          <w:rFonts w:hint="eastAsia" w:ascii="仿宋" w:hAnsi="仿宋" w:eastAsia="仿宋" w:cs="仿宋"/>
          <w:color w:val="auto"/>
          <w:spacing w:val="0"/>
          <w:sz w:val="24"/>
          <w:szCs w:val="24"/>
          <w:highlight w:val="none"/>
        </w:rPr>
        <w:t>2.4.1</w:t>
      </w:r>
      <w:bookmarkEnd w:id="129"/>
      <w:r>
        <w:rPr>
          <w:rFonts w:hint="eastAsia" w:ascii="仿宋" w:hAnsi="仿宋" w:eastAsia="仿宋" w:cs="仿宋"/>
          <w:color w:val="auto"/>
          <w:spacing w:val="0"/>
          <w:sz w:val="24"/>
          <w:szCs w:val="24"/>
          <w:highlight w:val="none"/>
        </w:rPr>
        <w:t>甲方有权在其认为必要时，对乙方是否能够按照合同约定提供服务进行履约检查，以确保乙方所提供的服务能够依约满足甲方之项目需求，但不得因履约检查妨碍乙方的正常工作，乙方应予积极配合；</w:t>
      </w:r>
    </w:p>
    <w:p w14:paraId="5F9A3172">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2.4.2 合同履行期间，甲方有权将履行过程中出现的问题反馈给乙方，双方当事人应以书面形式约定需要完善和改进的内容。</w:t>
      </w:r>
    </w:p>
    <w:p w14:paraId="399CE458">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130" w:name="_Toc15447"/>
      <w:bookmarkStart w:id="131" w:name="_Toc27304"/>
      <w:bookmarkStart w:id="132" w:name="_Toc31233"/>
      <w:bookmarkStart w:id="133" w:name="_Toc22011"/>
      <w:bookmarkStart w:id="134" w:name="_Toc9157"/>
      <w:bookmarkStart w:id="135" w:name="_Toc32670"/>
      <w:bookmarkStart w:id="136" w:name="_Toc26555"/>
      <w:bookmarkStart w:id="137" w:name="_Toc14382"/>
      <w:r>
        <w:rPr>
          <w:rFonts w:hint="eastAsia" w:ascii="仿宋" w:hAnsi="仿宋" w:eastAsia="仿宋" w:cs="仿宋"/>
          <w:b/>
          <w:color w:val="auto"/>
          <w:spacing w:val="0"/>
          <w:sz w:val="24"/>
          <w:szCs w:val="24"/>
          <w:highlight w:val="none"/>
        </w:rPr>
        <w:t>2.5 结算方式和付款条件</w:t>
      </w:r>
      <w:bookmarkEnd w:id="130"/>
      <w:bookmarkEnd w:id="131"/>
      <w:bookmarkEnd w:id="132"/>
      <w:bookmarkEnd w:id="133"/>
      <w:bookmarkEnd w:id="134"/>
      <w:bookmarkEnd w:id="135"/>
      <w:bookmarkEnd w:id="136"/>
      <w:bookmarkEnd w:id="137"/>
    </w:p>
    <w:p w14:paraId="09A74223">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详见</w:t>
      </w:r>
      <w:r>
        <w:rPr>
          <w:rFonts w:hint="eastAsia" w:ascii="仿宋" w:hAnsi="仿宋" w:eastAsia="仿宋" w:cs="仿宋"/>
          <w:b/>
          <w:i w:val="0"/>
          <w:iCs/>
          <w:color w:val="auto"/>
          <w:spacing w:val="0"/>
          <w:sz w:val="24"/>
          <w:szCs w:val="24"/>
          <w:highlight w:val="none"/>
          <w:u w:val="single"/>
        </w:rPr>
        <w:t>合同专用条款</w:t>
      </w:r>
      <w:r>
        <w:rPr>
          <w:rFonts w:hint="eastAsia" w:ascii="仿宋" w:hAnsi="仿宋" w:eastAsia="仿宋" w:cs="仿宋"/>
          <w:i w:val="0"/>
          <w:iCs/>
          <w:color w:val="auto"/>
          <w:spacing w:val="0"/>
          <w:sz w:val="24"/>
          <w:szCs w:val="24"/>
          <w:highlight w:val="none"/>
        </w:rPr>
        <w:t>。</w:t>
      </w:r>
    </w:p>
    <w:p w14:paraId="0593C4F4">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138" w:name="_Toc259093677"/>
      <w:bookmarkStart w:id="139" w:name="_Ref467379852"/>
      <w:bookmarkStart w:id="140" w:name="_Ref467379923"/>
      <w:bookmarkStart w:id="141" w:name="_Toc487900358"/>
      <w:bookmarkStart w:id="142" w:name="_Ref467379863"/>
      <w:bookmarkStart w:id="143" w:name="_Toc279701248"/>
      <w:bookmarkStart w:id="144" w:name="_Toc30507"/>
      <w:bookmarkStart w:id="145" w:name="_Toc16163"/>
      <w:bookmarkStart w:id="146" w:name="_Toc4547"/>
      <w:bookmarkStart w:id="147" w:name="_Toc18990"/>
      <w:bookmarkStart w:id="148" w:name="_Toc13467"/>
      <w:bookmarkStart w:id="149" w:name="_Toc4864"/>
      <w:bookmarkStart w:id="150" w:name="_Toc13154"/>
      <w:bookmarkStart w:id="151" w:name="_Toc27501"/>
      <w:r>
        <w:rPr>
          <w:rFonts w:hint="eastAsia" w:ascii="仿宋" w:hAnsi="仿宋" w:eastAsia="仿宋" w:cs="仿宋"/>
          <w:b/>
          <w:color w:val="auto"/>
          <w:spacing w:val="0"/>
          <w:sz w:val="24"/>
          <w:szCs w:val="24"/>
          <w:highlight w:val="none"/>
        </w:rPr>
        <w:t>2.6 技术资料</w:t>
      </w:r>
      <w:bookmarkEnd w:id="138"/>
      <w:bookmarkEnd w:id="139"/>
      <w:bookmarkEnd w:id="140"/>
      <w:bookmarkEnd w:id="141"/>
      <w:bookmarkEnd w:id="142"/>
      <w:bookmarkEnd w:id="143"/>
      <w:r>
        <w:rPr>
          <w:rFonts w:hint="eastAsia" w:ascii="仿宋" w:hAnsi="仿宋" w:eastAsia="仿宋" w:cs="仿宋"/>
          <w:b/>
          <w:color w:val="auto"/>
          <w:spacing w:val="0"/>
          <w:sz w:val="24"/>
          <w:szCs w:val="24"/>
          <w:highlight w:val="none"/>
        </w:rPr>
        <w:t>和保密义务</w:t>
      </w:r>
      <w:bookmarkEnd w:id="144"/>
      <w:bookmarkEnd w:id="145"/>
      <w:bookmarkEnd w:id="146"/>
      <w:bookmarkEnd w:id="147"/>
      <w:bookmarkEnd w:id="148"/>
      <w:bookmarkEnd w:id="149"/>
      <w:bookmarkEnd w:id="150"/>
      <w:bookmarkEnd w:id="151"/>
    </w:p>
    <w:p w14:paraId="1EC1DD7B">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2.6.1 乙方有权依据合同约定和项目需要，向甲方了解有关情况，调阅有关资料等，甲方应予积极配合；</w:t>
      </w:r>
    </w:p>
    <w:p w14:paraId="3F25D926">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2.6.2 乙方有义务妥善保管和保护由甲方提供的前款信息和资料等；</w:t>
      </w:r>
    </w:p>
    <w:p w14:paraId="7E005668">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6A4465E">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152" w:name="_Toc19069"/>
      <w:bookmarkStart w:id="153" w:name="_Toc18919"/>
      <w:bookmarkStart w:id="154" w:name="_Toc1911"/>
      <w:bookmarkStart w:id="155" w:name="_Toc3137"/>
      <w:r>
        <w:rPr>
          <w:rFonts w:hint="eastAsia" w:ascii="仿宋" w:hAnsi="仿宋" w:eastAsia="仿宋" w:cs="仿宋"/>
          <w:b/>
          <w:color w:val="auto"/>
          <w:spacing w:val="0"/>
          <w:sz w:val="24"/>
          <w:szCs w:val="24"/>
          <w:highlight w:val="none"/>
        </w:rPr>
        <w:t>2.7 质量保证</w:t>
      </w:r>
      <w:bookmarkEnd w:id="152"/>
      <w:bookmarkEnd w:id="153"/>
      <w:bookmarkEnd w:id="154"/>
      <w:bookmarkEnd w:id="155"/>
    </w:p>
    <w:p w14:paraId="1AF3CC06">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2.7.1 乙方应建立和完善履行合同的内部质量保证体系，并提供相关内部规章制度给甲方，以便甲方进行监督检查；</w:t>
      </w:r>
    </w:p>
    <w:p w14:paraId="516074C0">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2.7.2 乙方应保证履行合同的人员数量和素质、软件和硬件设备的配置、场地、环境和设施等满足全面履行合同的要求，并应接受甲方的监督检查。</w:t>
      </w:r>
    </w:p>
    <w:p w14:paraId="3667BB6A">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156" w:name="_Toc30011"/>
      <w:bookmarkStart w:id="157" w:name="_Toc10200"/>
      <w:bookmarkStart w:id="158" w:name="_Toc9167"/>
      <w:bookmarkStart w:id="159" w:name="_Toc22267"/>
      <w:r>
        <w:rPr>
          <w:rFonts w:hint="eastAsia" w:ascii="仿宋" w:hAnsi="仿宋" w:eastAsia="仿宋" w:cs="仿宋"/>
          <w:b/>
          <w:color w:val="auto"/>
          <w:spacing w:val="0"/>
          <w:sz w:val="24"/>
          <w:szCs w:val="24"/>
          <w:highlight w:val="none"/>
        </w:rPr>
        <w:t>2.8 延迟履行</w:t>
      </w:r>
      <w:bookmarkEnd w:id="156"/>
      <w:bookmarkEnd w:id="157"/>
      <w:bookmarkEnd w:id="158"/>
      <w:bookmarkEnd w:id="159"/>
    </w:p>
    <w:p w14:paraId="31E58186">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6D8E6C14">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160" w:name="_Toc5339"/>
      <w:bookmarkStart w:id="161" w:name="_Toc31913"/>
      <w:bookmarkStart w:id="162" w:name="_Toc10611"/>
      <w:bookmarkStart w:id="163" w:name="_Toc1207"/>
      <w:r>
        <w:rPr>
          <w:rFonts w:hint="eastAsia" w:ascii="仿宋" w:hAnsi="仿宋" w:eastAsia="仿宋" w:cs="仿宋"/>
          <w:b/>
          <w:color w:val="auto"/>
          <w:spacing w:val="0"/>
          <w:sz w:val="24"/>
          <w:szCs w:val="24"/>
          <w:highlight w:val="none"/>
        </w:rPr>
        <w:t>2.9 合同变更</w:t>
      </w:r>
      <w:bookmarkEnd w:id="160"/>
      <w:bookmarkEnd w:id="161"/>
      <w:bookmarkEnd w:id="162"/>
      <w:bookmarkEnd w:id="163"/>
    </w:p>
    <w:p w14:paraId="76D0D5A2">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2.9.1 双方当事人协商一致，可以签订书面补充合同的形式变更合同，但不得违背采购文件确定的事项，且如果系追加与合同标的相同的服务的，那么所有补充合同的采购金额不得超过原合同价的10%；</w:t>
      </w:r>
    </w:p>
    <w:p w14:paraId="2FBA132D">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2.9.2 合同继续履行将损害国家利益和社会公共利益的，双方当事人应当以书面形式变更合同。有过错的一方应当承担赔偿责任，双方当事人都有过错的，各自承担相应的责任。</w:t>
      </w:r>
    </w:p>
    <w:p w14:paraId="123908EC">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164" w:name="_Toc26689"/>
      <w:bookmarkStart w:id="165" w:name="_Toc27191"/>
      <w:bookmarkStart w:id="166" w:name="_Toc11134"/>
      <w:bookmarkStart w:id="167" w:name="_Toc7579"/>
      <w:bookmarkStart w:id="168" w:name="_Toc23368"/>
      <w:bookmarkStart w:id="169" w:name="_Toc42"/>
      <w:bookmarkStart w:id="170" w:name="_Toc10663"/>
      <w:bookmarkStart w:id="171" w:name="_Toc21830"/>
      <w:r>
        <w:rPr>
          <w:rFonts w:hint="eastAsia" w:ascii="仿宋" w:hAnsi="仿宋" w:eastAsia="仿宋" w:cs="仿宋"/>
          <w:b/>
          <w:color w:val="auto"/>
          <w:spacing w:val="0"/>
          <w:sz w:val="24"/>
          <w:szCs w:val="24"/>
          <w:highlight w:val="none"/>
        </w:rPr>
        <w:t>2.10 合同转让和分包</w:t>
      </w:r>
      <w:bookmarkEnd w:id="164"/>
      <w:bookmarkEnd w:id="165"/>
      <w:bookmarkEnd w:id="166"/>
      <w:bookmarkEnd w:id="167"/>
      <w:bookmarkEnd w:id="168"/>
      <w:bookmarkEnd w:id="169"/>
      <w:bookmarkEnd w:id="170"/>
      <w:bookmarkEnd w:id="171"/>
    </w:p>
    <w:p w14:paraId="0FB6F1AE">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就分包项目向甲方承担连带责任。</w:t>
      </w:r>
    </w:p>
    <w:p w14:paraId="03BE3599">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172" w:name="_Toc22718"/>
      <w:bookmarkStart w:id="173" w:name="_Toc4720"/>
      <w:bookmarkStart w:id="174" w:name="_Toc32494"/>
      <w:bookmarkStart w:id="175" w:name="_Toc26633"/>
      <w:bookmarkStart w:id="176" w:name="_Toc14371"/>
      <w:bookmarkStart w:id="177" w:name="_Toc25571"/>
      <w:bookmarkStart w:id="178" w:name="_Toc25666"/>
      <w:bookmarkStart w:id="179" w:name="_Toc14338"/>
      <w:r>
        <w:rPr>
          <w:rFonts w:hint="eastAsia" w:ascii="仿宋" w:hAnsi="仿宋" w:eastAsia="仿宋" w:cs="仿宋"/>
          <w:b/>
          <w:color w:val="auto"/>
          <w:spacing w:val="0"/>
          <w:sz w:val="24"/>
          <w:szCs w:val="24"/>
          <w:highlight w:val="none"/>
        </w:rPr>
        <w:t>2.11 不可抗力</w:t>
      </w:r>
      <w:bookmarkEnd w:id="172"/>
      <w:bookmarkEnd w:id="173"/>
      <w:bookmarkEnd w:id="174"/>
      <w:bookmarkEnd w:id="175"/>
      <w:bookmarkEnd w:id="176"/>
      <w:bookmarkEnd w:id="177"/>
      <w:bookmarkEnd w:id="178"/>
      <w:bookmarkEnd w:id="179"/>
    </w:p>
    <w:p w14:paraId="08DDF732">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2.11.1如果任何一方遭遇法律规定的不可抗力，致使合同履行受阻时，履行合同的期限应予延长，延长的期限应相当于不可抗力所影响的时间；</w:t>
      </w:r>
    </w:p>
    <w:p w14:paraId="2A834783">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2.11.2 因不可抗力致使不能实现合同目的的，当事人可以解除合同；</w:t>
      </w:r>
    </w:p>
    <w:p w14:paraId="4C216EA4">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2.11.3 因不可抗力致使合同有变更必要的，双方当事人应在</w:t>
      </w:r>
      <w:r>
        <w:rPr>
          <w:rFonts w:hint="eastAsia" w:ascii="仿宋" w:hAnsi="仿宋" w:eastAsia="仿宋" w:cs="仿宋"/>
          <w:b/>
          <w:i w:val="0"/>
          <w:iCs/>
          <w:color w:val="auto"/>
          <w:spacing w:val="0"/>
          <w:sz w:val="24"/>
          <w:szCs w:val="24"/>
          <w:highlight w:val="none"/>
          <w:u w:val="single"/>
        </w:rPr>
        <w:t>合同专用条款</w:t>
      </w:r>
      <w:r>
        <w:rPr>
          <w:rFonts w:hint="eastAsia" w:ascii="仿宋" w:hAnsi="仿宋" w:eastAsia="仿宋" w:cs="仿宋"/>
          <w:color w:val="auto"/>
          <w:spacing w:val="0"/>
          <w:sz w:val="24"/>
          <w:szCs w:val="24"/>
          <w:highlight w:val="none"/>
        </w:rPr>
        <w:t>约定时间内以书面形式变更合同；</w:t>
      </w:r>
    </w:p>
    <w:p w14:paraId="2A8EFAB4">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2.11.4受不可抗力影响的一方在不可抗力发生后，应在</w:t>
      </w:r>
      <w:r>
        <w:rPr>
          <w:rFonts w:hint="eastAsia" w:ascii="仿宋" w:hAnsi="仿宋" w:eastAsia="仿宋" w:cs="仿宋"/>
          <w:b/>
          <w:i w:val="0"/>
          <w:iCs/>
          <w:color w:val="auto"/>
          <w:spacing w:val="0"/>
          <w:sz w:val="24"/>
          <w:szCs w:val="24"/>
          <w:highlight w:val="none"/>
          <w:u w:val="single"/>
        </w:rPr>
        <w:t>合同专用条款</w:t>
      </w:r>
      <w:r>
        <w:rPr>
          <w:rFonts w:hint="eastAsia" w:ascii="仿宋" w:hAnsi="仿宋" w:eastAsia="仿宋" w:cs="仿宋"/>
          <w:i w:val="0"/>
          <w:iCs/>
          <w:color w:val="auto"/>
          <w:spacing w:val="0"/>
          <w:sz w:val="24"/>
          <w:szCs w:val="24"/>
          <w:highlight w:val="none"/>
        </w:rPr>
        <w:t>约</w:t>
      </w:r>
      <w:r>
        <w:rPr>
          <w:rFonts w:hint="eastAsia" w:ascii="仿宋" w:hAnsi="仿宋" w:eastAsia="仿宋" w:cs="仿宋"/>
          <w:color w:val="auto"/>
          <w:spacing w:val="0"/>
          <w:sz w:val="24"/>
          <w:szCs w:val="24"/>
          <w:highlight w:val="none"/>
        </w:rPr>
        <w:t>定时间内以书面形式通知对方当事人，并在</w:t>
      </w:r>
      <w:r>
        <w:rPr>
          <w:rFonts w:hint="eastAsia" w:ascii="仿宋" w:hAnsi="仿宋" w:eastAsia="仿宋" w:cs="仿宋"/>
          <w:b/>
          <w:i w:val="0"/>
          <w:iCs/>
          <w:color w:val="auto"/>
          <w:spacing w:val="0"/>
          <w:sz w:val="24"/>
          <w:szCs w:val="24"/>
          <w:highlight w:val="none"/>
          <w:u w:val="single"/>
        </w:rPr>
        <w:t>合同专用条款</w:t>
      </w:r>
      <w:r>
        <w:rPr>
          <w:rFonts w:hint="eastAsia" w:ascii="仿宋" w:hAnsi="仿宋" w:eastAsia="仿宋" w:cs="仿宋"/>
          <w:color w:val="auto"/>
          <w:spacing w:val="0"/>
          <w:sz w:val="24"/>
          <w:szCs w:val="24"/>
          <w:highlight w:val="none"/>
        </w:rPr>
        <w:t>约定时间内，将有关部门出具的证明文件送达对方当事人。</w:t>
      </w:r>
    </w:p>
    <w:p w14:paraId="532233A1">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180" w:name="_Toc14115"/>
      <w:bookmarkStart w:id="181" w:name="_Toc3638"/>
      <w:bookmarkStart w:id="182" w:name="_Toc24465"/>
      <w:bookmarkStart w:id="183" w:name="_Toc259093684"/>
      <w:bookmarkStart w:id="184" w:name="_Toc16988"/>
      <w:bookmarkStart w:id="185" w:name="_Toc487900365"/>
      <w:bookmarkStart w:id="186" w:name="_Toc279701255"/>
      <w:bookmarkStart w:id="187" w:name="_Toc23854"/>
      <w:bookmarkStart w:id="188" w:name="_Toc9438"/>
      <w:bookmarkStart w:id="189" w:name="_Toc25783"/>
      <w:r>
        <w:rPr>
          <w:rFonts w:hint="eastAsia" w:ascii="仿宋" w:hAnsi="仿宋" w:eastAsia="仿宋" w:cs="仿宋"/>
          <w:b/>
          <w:color w:val="auto"/>
          <w:spacing w:val="0"/>
          <w:sz w:val="24"/>
          <w:szCs w:val="24"/>
          <w:highlight w:val="none"/>
        </w:rPr>
        <w:t>2.12 税费</w:t>
      </w:r>
      <w:bookmarkEnd w:id="180"/>
      <w:bookmarkEnd w:id="181"/>
      <w:bookmarkEnd w:id="182"/>
      <w:bookmarkEnd w:id="183"/>
      <w:bookmarkEnd w:id="184"/>
      <w:bookmarkEnd w:id="185"/>
      <w:bookmarkEnd w:id="186"/>
      <w:bookmarkEnd w:id="187"/>
      <w:bookmarkEnd w:id="188"/>
      <w:bookmarkEnd w:id="189"/>
    </w:p>
    <w:p w14:paraId="309E1755">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与合同有关的一切税费，均按照中华人民共和国法律的相关规定缴纳。</w:t>
      </w:r>
    </w:p>
    <w:p w14:paraId="1F2A46AB">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190" w:name="_Toc7315"/>
      <w:bookmarkStart w:id="191" w:name="_Toc487900368"/>
      <w:bookmarkStart w:id="192" w:name="_Toc30105"/>
      <w:bookmarkStart w:id="193" w:name="_Toc25525"/>
      <w:bookmarkStart w:id="194" w:name="_Toc14814"/>
      <w:bookmarkStart w:id="195" w:name="_Toc19237"/>
      <w:bookmarkStart w:id="196" w:name="_Toc279701258"/>
      <w:bookmarkStart w:id="197" w:name="_Toc5536"/>
      <w:bookmarkStart w:id="198" w:name="_Toc23553"/>
      <w:bookmarkStart w:id="199" w:name="_Toc259093687"/>
      <w:bookmarkStart w:id="200" w:name="_Toc26883"/>
      <w:r>
        <w:rPr>
          <w:rFonts w:hint="eastAsia" w:ascii="仿宋" w:hAnsi="仿宋" w:eastAsia="仿宋" w:cs="仿宋"/>
          <w:b/>
          <w:color w:val="auto"/>
          <w:spacing w:val="0"/>
          <w:sz w:val="24"/>
          <w:szCs w:val="24"/>
          <w:highlight w:val="none"/>
        </w:rPr>
        <w:t>2.13 乙方破产</w:t>
      </w:r>
      <w:bookmarkEnd w:id="190"/>
      <w:bookmarkEnd w:id="191"/>
      <w:bookmarkEnd w:id="192"/>
      <w:bookmarkEnd w:id="193"/>
      <w:bookmarkEnd w:id="194"/>
      <w:bookmarkEnd w:id="195"/>
      <w:bookmarkEnd w:id="196"/>
      <w:bookmarkEnd w:id="197"/>
      <w:bookmarkEnd w:id="198"/>
      <w:bookmarkEnd w:id="199"/>
      <w:bookmarkEnd w:id="200"/>
    </w:p>
    <w:p w14:paraId="42F564EA">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EE30DE2">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201" w:name="_Toc29108"/>
      <w:bookmarkStart w:id="202" w:name="_Toc23323"/>
      <w:bookmarkStart w:id="203" w:name="_Toc24229"/>
      <w:bookmarkStart w:id="204" w:name="_Toc2029"/>
      <w:bookmarkStart w:id="205" w:name="_Toc2016"/>
      <w:bookmarkStart w:id="206" w:name="_Toc1123"/>
      <w:r>
        <w:rPr>
          <w:rFonts w:hint="eastAsia" w:ascii="仿宋" w:hAnsi="仿宋" w:eastAsia="仿宋" w:cs="仿宋"/>
          <w:b/>
          <w:color w:val="auto"/>
          <w:spacing w:val="0"/>
          <w:sz w:val="24"/>
          <w:szCs w:val="24"/>
          <w:highlight w:val="none"/>
        </w:rPr>
        <w:t>2.14 合同中止、终止</w:t>
      </w:r>
      <w:bookmarkEnd w:id="201"/>
      <w:bookmarkEnd w:id="202"/>
      <w:bookmarkEnd w:id="203"/>
      <w:bookmarkEnd w:id="204"/>
      <w:bookmarkEnd w:id="205"/>
      <w:bookmarkEnd w:id="206"/>
    </w:p>
    <w:p w14:paraId="581B5006">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2.14.1 双方当事人不得擅自中止或者终止合同；</w:t>
      </w:r>
    </w:p>
    <w:p w14:paraId="11055836">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2.14.2合同继续履行将损害国家利益和社会公共利益的，双方当事人应当中止或者终止合同。有过错的一方应当承担赔偿责任，双方当事人都有过错的，各自承担相应的责任。</w:t>
      </w:r>
    </w:p>
    <w:p w14:paraId="64E8126E">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207" w:name="_Toc14525"/>
      <w:bookmarkStart w:id="208" w:name="_Toc15106"/>
      <w:bookmarkStart w:id="209" w:name="_Toc17363"/>
      <w:bookmarkStart w:id="210" w:name="_Toc31926"/>
      <w:bookmarkStart w:id="211" w:name="_Toc22373"/>
      <w:bookmarkStart w:id="212" w:name="_Toc1969"/>
      <w:r>
        <w:rPr>
          <w:rFonts w:hint="eastAsia" w:ascii="仿宋" w:hAnsi="仿宋" w:eastAsia="仿宋" w:cs="仿宋"/>
          <w:b/>
          <w:color w:val="auto"/>
          <w:spacing w:val="0"/>
          <w:sz w:val="24"/>
          <w:szCs w:val="24"/>
          <w:highlight w:val="none"/>
        </w:rPr>
        <w:t>2.15 检验和验收</w:t>
      </w:r>
      <w:bookmarkEnd w:id="207"/>
      <w:bookmarkEnd w:id="208"/>
      <w:bookmarkEnd w:id="209"/>
      <w:bookmarkEnd w:id="210"/>
      <w:bookmarkEnd w:id="211"/>
      <w:bookmarkEnd w:id="212"/>
    </w:p>
    <w:p w14:paraId="57420157">
      <w:pPr>
        <w:keepNext w:val="0"/>
        <w:keepLines w:val="0"/>
        <w:pageBreakBefore w:val="0"/>
        <w:tabs>
          <w:tab w:val="left" w:pos="360"/>
          <w:tab w:val="left" w:pos="540"/>
          <w:tab w:val="left" w:pos="1080"/>
        </w:tabs>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2.15.1 乙方按照</w:t>
      </w:r>
      <w:r>
        <w:rPr>
          <w:rFonts w:hint="eastAsia" w:ascii="仿宋" w:hAnsi="仿宋" w:eastAsia="仿宋" w:cs="仿宋"/>
          <w:b/>
          <w:i w:val="0"/>
          <w:iCs/>
          <w:color w:val="auto"/>
          <w:spacing w:val="0"/>
          <w:sz w:val="24"/>
          <w:szCs w:val="24"/>
          <w:highlight w:val="none"/>
          <w:u w:val="single"/>
        </w:rPr>
        <w:t>合同专用条款</w:t>
      </w:r>
      <w:r>
        <w:rPr>
          <w:rFonts w:hint="eastAsia" w:ascii="仿宋" w:hAnsi="仿宋" w:eastAsia="仿宋" w:cs="仿宋"/>
          <w:color w:val="auto"/>
          <w:spacing w:val="0"/>
          <w:sz w:val="24"/>
          <w:szCs w:val="24"/>
          <w:highlight w:val="none"/>
        </w:rPr>
        <w:t>的约定，定期提交服务报告，甲方按照</w:t>
      </w:r>
      <w:r>
        <w:rPr>
          <w:rFonts w:hint="eastAsia" w:ascii="仿宋" w:hAnsi="仿宋" w:eastAsia="仿宋" w:cs="仿宋"/>
          <w:b/>
          <w:i w:val="0"/>
          <w:iCs/>
          <w:color w:val="auto"/>
          <w:spacing w:val="0"/>
          <w:sz w:val="24"/>
          <w:szCs w:val="24"/>
          <w:highlight w:val="none"/>
          <w:u w:val="single"/>
        </w:rPr>
        <w:t>合同专用条款</w:t>
      </w:r>
      <w:r>
        <w:rPr>
          <w:rFonts w:hint="eastAsia" w:ascii="仿宋" w:hAnsi="仿宋" w:eastAsia="仿宋" w:cs="仿宋"/>
          <w:i w:val="0"/>
          <w:iCs/>
          <w:color w:val="auto"/>
          <w:spacing w:val="0"/>
          <w:sz w:val="24"/>
          <w:szCs w:val="24"/>
          <w:highlight w:val="none"/>
        </w:rPr>
        <w:t>的</w:t>
      </w:r>
      <w:r>
        <w:rPr>
          <w:rFonts w:hint="eastAsia" w:ascii="仿宋" w:hAnsi="仿宋" w:eastAsia="仿宋" w:cs="仿宋"/>
          <w:color w:val="auto"/>
          <w:spacing w:val="0"/>
          <w:sz w:val="24"/>
          <w:szCs w:val="24"/>
          <w:highlight w:val="none"/>
        </w:rPr>
        <w:t>约定进行定期验收；</w:t>
      </w:r>
    </w:p>
    <w:p w14:paraId="2D5BCDBB">
      <w:pPr>
        <w:keepNext w:val="0"/>
        <w:keepLines w:val="0"/>
        <w:pageBreakBefore w:val="0"/>
        <w:tabs>
          <w:tab w:val="left" w:pos="360"/>
          <w:tab w:val="left" w:pos="540"/>
          <w:tab w:val="left" w:pos="1080"/>
        </w:tabs>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9B1988A">
      <w:pPr>
        <w:keepNext w:val="0"/>
        <w:keepLines w:val="0"/>
        <w:pageBreakBefore w:val="0"/>
        <w:tabs>
          <w:tab w:val="left" w:pos="360"/>
          <w:tab w:val="left" w:pos="540"/>
          <w:tab w:val="left" w:pos="1080"/>
        </w:tabs>
        <w:kinsoku/>
        <w:wordWrap/>
        <w:overflowPunct/>
        <w:topLinePunct w:val="0"/>
        <w:bidi w:val="0"/>
        <w:snapToGrid/>
        <w:spacing w:line="440" w:lineRule="exact"/>
        <w:ind w:firstLine="480" w:firstLineChars="200"/>
        <w:rPr>
          <w:rFonts w:hint="eastAsia" w:ascii="仿宋" w:hAnsi="仿宋" w:eastAsia="仿宋" w:cs="仿宋"/>
          <w:i w:val="0"/>
          <w:iCs/>
          <w:color w:val="auto"/>
          <w:spacing w:val="0"/>
          <w:sz w:val="24"/>
          <w:szCs w:val="24"/>
          <w:highlight w:val="none"/>
        </w:rPr>
      </w:pPr>
      <w:r>
        <w:rPr>
          <w:rFonts w:hint="eastAsia" w:ascii="仿宋" w:hAnsi="仿宋" w:eastAsia="仿宋" w:cs="仿宋"/>
          <w:color w:val="auto"/>
          <w:spacing w:val="0"/>
          <w:sz w:val="24"/>
          <w:szCs w:val="24"/>
          <w:highlight w:val="none"/>
        </w:rPr>
        <w:t>2.15.3 检验和验收标准、程序等具体内容以及前述验收书的效力详见</w:t>
      </w:r>
      <w:r>
        <w:rPr>
          <w:rFonts w:hint="eastAsia" w:ascii="仿宋" w:hAnsi="仿宋" w:eastAsia="仿宋" w:cs="仿宋"/>
          <w:b/>
          <w:i w:val="0"/>
          <w:iCs/>
          <w:color w:val="auto"/>
          <w:spacing w:val="0"/>
          <w:sz w:val="24"/>
          <w:szCs w:val="24"/>
          <w:highlight w:val="none"/>
          <w:u w:val="single"/>
        </w:rPr>
        <w:t>合同专用条款</w:t>
      </w:r>
      <w:r>
        <w:rPr>
          <w:rFonts w:hint="eastAsia" w:ascii="仿宋" w:hAnsi="仿宋" w:eastAsia="仿宋" w:cs="仿宋"/>
          <w:i w:val="0"/>
          <w:iCs/>
          <w:color w:val="auto"/>
          <w:spacing w:val="0"/>
          <w:sz w:val="24"/>
          <w:szCs w:val="24"/>
          <w:highlight w:val="none"/>
        </w:rPr>
        <w:t>。</w:t>
      </w:r>
    </w:p>
    <w:p w14:paraId="729FD447">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213" w:name="_Toc259093690"/>
      <w:bookmarkStart w:id="214" w:name="_Toc487900371"/>
      <w:bookmarkStart w:id="215" w:name="_Toc279701261"/>
      <w:bookmarkStart w:id="216" w:name="_Toc2308"/>
      <w:bookmarkStart w:id="217" w:name="_Toc31892"/>
      <w:bookmarkStart w:id="218" w:name="_Toc12666"/>
      <w:bookmarkStart w:id="219" w:name="_Toc9148"/>
      <w:bookmarkStart w:id="220" w:name="_Toc25198"/>
      <w:bookmarkStart w:id="221" w:name="_Toc30161"/>
      <w:bookmarkStart w:id="222" w:name="_Toc9808"/>
      <w:bookmarkStart w:id="223" w:name="_Toc22802"/>
      <w:r>
        <w:rPr>
          <w:rFonts w:hint="eastAsia" w:ascii="仿宋" w:hAnsi="仿宋" w:eastAsia="仿宋" w:cs="仿宋"/>
          <w:b/>
          <w:color w:val="auto"/>
          <w:spacing w:val="0"/>
          <w:sz w:val="24"/>
          <w:szCs w:val="24"/>
          <w:highlight w:val="none"/>
        </w:rPr>
        <w:t>2.16 通知</w:t>
      </w:r>
      <w:bookmarkEnd w:id="213"/>
      <w:bookmarkEnd w:id="214"/>
      <w:bookmarkEnd w:id="215"/>
      <w:r>
        <w:rPr>
          <w:rFonts w:hint="eastAsia" w:ascii="仿宋" w:hAnsi="仿宋" w:eastAsia="仿宋" w:cs="仿宋"/>
          <w:b/>
          <w:color w:val="auto"/>
          <w:spacing w:val="0"/>
          <w:sz w:val="24"/>
          <w:szCs w:val="24"/>
          <w:highlight w:val="none"/>
        </w:rPr>
        <w:t>和送达</w:t>
      </w:r>
      <w:bookmarkEnd w:id="216"/>
      <w:bookmarkEnd w:id="217"/>
      <w:bookmarkEnd w:id="218"/>
      <w:bookmarkEnd w:id="219"/>
      <w:bookmarkEnd w:id="220"/>
      <w:bookmarkEnd w:id="221"/>
      <w:bookmarkEnd w:id="222"/>
      <w:bookmarkEnd w:id="223"/>
    </w:p>
    <w:p w14:paraId="2C17ED6D">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bookmarkStart w:id="224" w:name="_Toc29220"/>
      <w:bookmarkStart w:id="225" w:name="_Toc7073"/>
      <w:r>
        <w:rPr>
          <w:rFonts w:hint="eastAsia" w:ascii="仿宋" w:hAnsi="仿宋" w:eastAsia="仿宋" w:cs="仿宋"/>
          <w:color w:val="auto"/>
          <w:spacing w:val="0"/>
          <w:sz w:val="24"/>
          <w:szCs w:val="24"/>
          <w:highlight w:val="none"/>
        </w:rPr>
        <w:t>2.16.1 任何一方因履行合同而以合同第一部分尾部所列明的</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发出的所有通知、文件、材料，均视为已向对方当事人送达；任何一方变更上述送达方式或者地址的，应于</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个工作日内书面通知对方当事人，在对方当事人收到有关变更通知之前，变更前的约定送达方式或者地址仍视为有效。</w:t>
      </w:r>
      <w:bookmarkEnd w:id="224"/>
      <w:bookmarkEnd w:id="225"/>
    </w:p>
    <w:p w14:paraId="60D15962">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bookmarkStart w:id="226" w:name="_Toc27674"/>
      <w:bookmarkStart w:id="227" w:name="_Toc18401"/>
      <w:r>
        <w:rPr>
          <w:rFonts w:hint="eastAsia" w:ascii="仿宋" w:hAnsi="仿宋" w:eastAsia="仿宋" w:cs="仿宋"/>
          <w:color w:val="auto"/>
          <w:spacing w:val="0"/>
          <w:sz w:val="24"/>
          <w:szCs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226"/>
      <w:bookmarkEnd w:id="227"/>
    </w:p>
    <w:p w14:paraId="42E5C1C6">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228" w:name="_Toc20808"/>
      <w:bookmarkStart w:id="229" w:name="_Toc8074"/>
      <w:bookmarkStart w:id="230" w:name="_Toc27644"/>
      <w:bookmarkStart w:id="231" w:name="_Toc11048"/>
      <w:bookmarkStart w:id="232" w:name="_Toc259093692"/>
      <w:bookmarkStart w:id="233" w:name="_Toc12304"/>
      <w:bookmarkStart w:id="234" w:name="_Toc279701263"/>
      <w:bookmarkStart w:id="235" w:name="_Toc5063"/>
      <w:bookmarkStart w:id="236" w:name="_Toc12254"/>
      <w:bookmarkStart w:id="237" w:name="_Toc28906"/>
      <w:bookmarkStart w:id="238" w:name="_Toc487900373"/>
      <w:r>
        <w:rPr>
          <w:rFonts w:hint="eastAsia" w:ascii="仿宋" w:hAnsi="仿宋" w:eastAsia="仿宋" w:cs="仿宋"/>
          <w:b/>
          <w:color w:val="auto"/>
          <w:spacing w:val="0"/>
          <w:sz w:val="24"/>
          <w:szCs w:val="24"/>
          <w:highlight w:val="none"/>
        </w:rPr>
        <w:t>2.17 合同使用的文字和适用的法律</w:t>
      </w:r>
      <w:bookmarkEnd w:id="228"/>
      <w:bookmarkEnd w:id="229"/>
      <w:bookmarkEnd w:id="230"/>
      <w:bookmarkEnd w:id="231"/>
      <w:bookmarkEnd w:id="232"/>
      <w:bookmarkEnd w:id="233"/>
      <w:bookmarkEnd w:id="234"/>
      <w:bookmarkEnd w:id="235"/>
      <w:bookmarkEnd w:id="236"/>
      <w:bookmarkEnd w:id="237"/>
      <w:bookmarkEnd w:id="238"/>
    </w:p>
    <w:p w14:paraId="19C50D04">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2.17.1 合同使用汉语书就、变更和解释；</w:t>
      </w:r>
    </w:p>
    <w:p w14:paraId="11C90486">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2.17.2 合同适用中华人民共和国法律。</w:t>
      </w:r>
    </w:p>
    <w:p w14:paraId="185A563A">
      <w:pPr>
        <w:keepNext w:val="0"/>
        <w:keepLines w:val="0"/>
        <w:pageBreakBefore w:val="0"/>
        <w:kinsoku/>
        <w:wordWrap/>
        <w:overflowPunct/>
        <w:topLinePunct w:val="0"/>
        <w:bidi w:val="0"/>
        <w:snapToGrid/>
        <w:spacing w:line="440" w:lineRule="exact"/>
        <w:ind w:firstLine="482" w:firstLineChars="200"/>
        <w:outlineLvl w:val="0"/>
        <w:rPr>
          <w:rFonts w:hint="eastAsia" w:ascii="仿宋" w:hAnsi="仿宋" w:eastAsia="仿宋" w:cs="仿宋"/>
          <w:b/>
          <w:color w:val="auto"/>
          <w:spacing w:val="0"/>
          <w:sz w:val="24"/>
          <w:szCs w:val="24"/>
          <w:highlight w:val="none"/>
        </w:rPr>
      </w:pPr>
      <w:bookmarkStart w:id="239" w:name="_Toc259093693"/>
      <w:bookmarkStart w:id="240" w:name="_Toc32364"/>
      <w:bookmarkStart w:id="241" w:name="_Toc27403"/>
      <w:bookmarkStart w:id="242" w:name="_Toc1492"/>
      <w:bookmarkStart w:id="243" w:name="_Toc29031"/>
      <w:bookmarkStart w:id="244" w:name="_Toc279701264"/>
      <w:bookmarkStart w:id="245" w:name="_Toc30096"/>
      <w:bookmarkStart w:id="246" w:name="_Toc14270"/>
      <w:bookmarkStart w:id="247" w:name="_Toc27127"/>
      <w:bookmarkStart w:id="248" w:name="_Toc22266"/>
      <w:r>
        <w:rPr>
          <w:rFonts w:hint="eastAsia" w:ascii="仿宋" w:hAnsi="仿宋" w:eastAsia="仿宋" w:cs="仿宋"/>
          <w:b/>
          <w:color w:val="auto"/>
          <w:spacing w:val="0"/>
          <w:sz w:val="24"/>
          <w:szCs w:val="24"/>
          <w:highlight w:val="none"/>
        </w:rPr>
        <w:t>2.18 履约保证金</w:t>
      </w:r>
      <w:bookmarkEnd w:id="239"/>
      <w:bookmarkEnd w:id="240"/>
      <w:bookmarkEnd w:id="241"/>
      <w:bookmarkEnd w:id="242"/>
      <w:bookmarkEnd w:id="243"/>
      <w:bookmarkEnd w:id="244"/>
      <w:bookmarkEnd w:id="245"/>
      <w:bookmarkEnd w:id="246"/>
      <w:bookmarkEnd w:id="247"/>
      <w:bookmarkEnd w:id="248"/>
    </w:p>
    <w:p w14:paraId="4807EC72">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2.18.1 采购文件要求乙方提交履约保证金的，乙方应按</w:t>
      </w:r>
      <w:r>
        <w:rPr>
          <w:rFonts w:hint="eastAsia" w:ascii="仿宋" w:hAnsi="仿宋" w:eastAsia="仿宋" w:cs="仿宋"/>
          <w:b/>
          <w:i w:val="0"/>
          <w:iCs/>
          <w:color w:val="auto"/>
          <w:spacing w:val="0"/>
          <w:sz w:val="24"/>
          <w:szCs w:val="24"/>
          <w:highlight w:val="none"/>
          <w:u w:val="single"/>
        </w:rPr>
        <w:t>合同专用条款</w:t>
      </w:r>
      <w:r>
        <w:rPr>
          <w:rFonts w:hint="eastAsia" w:ascii="仿宋" w:hAnsi="仿宋" w:eastAsia="仿宋" w:cs="仿宋"/>
          <w:i w:val="0"/>
          <w:iCs/>
          <w:color w:val="auto"/>
          <w:spacing w:val="0"/>
          <w:sz w:val="24"/>
          <w:szCs w:val="24"/>
          <w:highlight w:val="none"/>
        </w:rPr>
        <w:t>约</w:t>
      </w:r>
      <w:r>
        <w:rPr>
          <w:rFonts w:hint="eastAsia" w:ascii="仿宋" w:hAnsi="仿宋" w:eastAsia="仿宋" w:cs="仿宋"/>
          <w:color w:val="auto"/>
          <w:spacing w:val="0"/>
          <w:sz w:val="24"/>
          <w:szCs w:val="24"/>
          <w:highlight w:val="none"/>
        </w:rPr>
        <w:t>定的方式，以支票、汇票、本票或者金融机构、担保机构出具的保函等非现金形式，提交不超过合同价10%的履约保证金；</w:t>
      </w:r>
    </w:p>
    <w:p w14:paraId="20B8AA00">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2.18.2 履约保证金在</w:t>
      </w:r>
      <w:r>
        <w:rPr>
          <w:rFonts w:hint="eastAsia" w:ascii="仿宋" w:hAnsi="仿宋" w:eastAsia="仿宋" w:cs="仿宋"/>
          <w:b/>
          <w:i w:val="0"/>
          <w:iCs/>
          <w:color w:val="auto"/>
          <w:spacing w:val="0"/>
          <w:sz w:val="24"/>
          <w:szCs w:val="24"/>
          <w:highlight w:val="none"/>
          <w:u w:val="single"/>
        </w:rPr>
        <w:t>合同专用条款</w:t>
      </w:r>
      <w:r>
        <w:rPr>
          <w:rFonts w:hint="eastAsia" w:ascii="仿宋" w:hAnsi="仿宋" w:eastAsia="仿宋" w:cs="仿宋"/>
          <w:color w:val="auto"/>
          <w:spacing w:val="0"/>
          <w:sz w:val="24"/>
          <w:szCs w:val="24"/>
          <w:highlight w:val="none"/>
        </w:rPr>
        <w:t>约定期间内不予退还或者应完全有效，前述约定期间届满之日起</w:t>
      </w:r>
      <w:r>
        <w:rPr>
          <w:rFonts w:hint="eastAsia" w:ascii="仿宋" w:hAnsi="仿宋" w:eastAsia="仿宋" w:cs="仿宋"/>
          <w:color w:val="auto"/>
          <w:spacing w:val="0"/>
          <w:sz w:val="24"/>
          <w:szCs w:val="24"/>
          <w:highlight w:val="none"/>
          <w:u w:val="single"/>
        </w:rPr>
        <w:t xml:space="preserve">    </w:t>
      </w:r>
      <w:r>
        <w:rPr>
          <w:rFonts w:hint="eastAsia" w:ascii="仿宋" w:hAnsi="仿宋" w:eastAsia="仿宋" w:cs="仿宋"/>
          <w:color w:val="auto"/>
          <w:spacing w:val="0"/>
          <w:sz w:val="24"/>
          <w:szCs w:val="24"/>
          <w:highlight w:val="none"/>
        </w:rPr>
        <w:t>个工作日内，甲方应将履约保证金退还乙方；</w:t>
      </w:r>
    </w:p>
    <w:p w14:paraId="2EE0A3B1">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2.18.3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2D27718">
      <w:pPr>
        <w:keepNext w:val="0"/>
        <w:keepLines w:val="0"/>
        <w:pageBreakBefore w:val="0"/>
        <w:kinsoku/>
        <w:wordWrap/>
        <w:overflowPunct/>
        <w:topLinePunct w:val="0"/>
        <w:bidi w:val="0"/>
        <w:snapToGrid/>
        <w:spacing w:line="440" w:lineRule="exact"/>
        <w:ind w:firstLine="482" w:firstLineChars="200"/>
        <w:rPr>
          <w:rFonts w:hint="eastAsia" w:ascii="仿宋" w:hAnsi="仿宋" w:eastAsia="仿宋" w:cs="仿宋"/>
          <w:b/>
          <w:color w:val="auto"/>
          <w:spacing w:val="0"/>
          <w:sz w:val="24"/>
          <w:szCs w:val="24"/>
          <w:highlight w:val="none"/>
        </w:rPr>
      </w:pPr>
      <w:r>
        <w:rPr>
          <w:rFonts w:hint="eastAsia" w:ascii="仿宋" w:hAnsi="仿宋" w:eastAsia="仿宋" w:cs="仿宋"/>
          <w:b/>
          <w:color w:val="auto"/>
          <w:spacing w:val="0"/>
          <w:sz w:val="24"/>
          <w:szCs w:val="24"/>
          <w:highlight w:val="none"/>
        </w:rPr>
        <w:t>2.19 合同份数</w:t>
      </w:r>
    </w:p>
    <w:p w14:paraId="69B23D37">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合同份数按</w:t>
      </w:r>
      <w:r>
        <w:rPr>
          <w:rFonts w:hint="eastAsia" w:ascii="仿宋" w:hAnsi="仿宋" w:eastAsia="仿宋" w:cs="仿宋"/>
          <w:b/>
          <w:i w:val="0"/>
          <w:iCs/>
          <w:color w:val="auto"/>
          <w:spacing w:val="0"/>
          <w:sz w:val="24"/>
          <w:szCs w:val="24"/>
          <w:highlight w:val="none"/>
          <w:u w:val="single"/>
        </w:rPr>
        <w:t>合同专用条款</w:t>
      </w:r>
      <w:r>
        <w:rPr>
          <w:rFonts w:hint="eastAsia" w:ascii="仿宋" w:hAnsi="仿宋" w:eastAsia="仿宋" w:cs="仿宋"/>
          <w:color w:val="auto"/>
          <w:spacing w:val="0"/>
          <w:sz w:val="24"/>
          <w:szCs w:val="24"/>
          <w:highlight w:val="none"/>
        </w:rPr>
        <w:t>规定，每份均具有同等法律效力。</w:t>
      </w:r>
    </w:p>
    <w:p w14:paraId="19533EFE">
      <w:pPr>
        <w:pStyle w:val="43"/>
        <w:keepNext w:val="0"/>
        <w:keepLines w:val="0"/>
        <w:pageBreakBefore w:val="0"/>
        <w:kinsoku/>
        <w:wordWrap/>
        <w:overflowPunct/>
        <w:topLinePunct w:val="0"/>
        <w:bidi w:val="0"/>
        <w:snapToGrid/>
        <w:spacing w:line="440" w:lineRule="exact"/>
        <w:ind w:firstLine="0"/>
        <w:jc w:val="center"/>
        <w:rPr>
          <w:rFonts w:hint="eastAsia" w:ascii="仿宋" w:hAnsi="仿宋" w:eastAsia="仿宋" w:cs="仿宋"/>
          <w:b/>
          <w:color w:val="auto"/>
          <w:spacing w:val="0"/>
          <w:sz w:val="24"/>
          <w:szCs w:val="24"/>
          <w:highlight w:val="none"/>
        </w:rPr>
      </w:pPr>
      <w:r>
        <w:rPr>
          <w:rFonts w:hint="eastAsia" w:ascii="仿宋" w:hAnsi="仿宋" w:eastAsia="仿宋" w:cs="仿宋"/>
          <w:color w:val="auto"/>
          <w:spacing w:val="0"/>
          <w:sz w:val="24"/>
          <w:szCs w:val="24"/>
          <w:highlight w:val="none"/>
        </w:rPr>
        <w:br w:type="page"/>
      </w:r>
      <w:bookmarkStart w:id="249" w:name="_Toc331685784"/>
      <w:r>
        <w:rPr>
          <w:rFonts w:hint="eastAsia" w:ascii="仿宋" w:hAnsi="仿宋" w:eastAsia="仿宋" w:cs="仿宋"/>
          <w:b/>
          <w:color w:val="auto"/>
          <w:spacing w:val="0"/>
          <w:sz w:val="24"/>
          <w:szCs w:val="24"/>
          <w:highlight w:val="none"/>
        </w:rPr>
        <w:t>第三部分  合同专用条款</w:t>
      </w:r>
      <w:bookmarkEnd w:id="249"/>
    </w:p>
    <w:p w14:paraId="12B4614D">
      <w:pPr>
        <w:keepNext w:val="0"/>
        <w:keepLines w:val="0"/>
        <w:pageBreakBefore w:val="0"/>
        <w:kinsoku/>
        <w:wordWrap/>
        <w:overflowPunct/>
        <w:topLinePunct w:val="0"/>
        <w:bidi w:val="0"/>
        <w:snapToGrid/>
        <w:spacing w:line="440" w:lineRule="exact"/>
        <w:ind w:firstLine="480" w:firstLineChars="200"/>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6"/>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14:paraId="0FEBF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noWrap w:val="0"/>
            <w:vAlign w:val="center"/>
          </w:tcPr>
          <w:p w14:paraId="3EDDE770">
            <w:pPr>
              <w:keepNext w:val="0"/>
              <w:keepLines w:val="0"/>
              <w:pageBreakBefore w:val="0"/>
              <w:kinsoku/>
              <w:wordWrap/>
              <w:overflowPunct/>
              <w:topLinePunct w:val="0"/>
              <w:bidi w:val="0"/>
              <w:snapToGrid/>
              <w:spacing w:line="440" w:lineRule="exact"/>
              <w:jc w:val="center"/>
              <w:rPr>
                <w:rFonts w:hint="eastAsia" w:ascii="仿宋" w:hAnsi="仿宋" w:eastAsia="仿宋" w:cs="仿宋"/>
                <w:b/>
                <w:color w:val="auto"/>
                <w:spacing w:val="0"/>
                <w:sz w:val="24"/>
                <w:szCs w:val="24"/>
                <w:highlight w:val="none"/>
              </w:rPr>
            </w:pPr>
            <w:r>
              <w:rPr>
                <w:rFonts w:hint="eastAsia" w:ascii="仿宋" w:hAnsi="仿宋" w:eastAsia="仿宋" w:cs="仿宋"/>
                <w:b/>
                <w:color w:val="auto"/>
                <w:spacing w:val="0"/>
                <w:sz w:val="24"/>
                <w:szCs w:val="24"/>
                <w:highlight w:val="none"/>
              </w:rPr>
              <w:t>条款号</w:t>
            </w:r>
          </w:p>
        </w:tc>
        <w:tc>
          <w:tcPr>
            <w:tcW w:w="7633" w:type="dxa"/>
            <w:noWrap w:val="0"/>
            <w:vAlign w:val="center"/>
          </w:tcPr>
          <w:p w14:paraId="3B25901B">
            <w:pPr>
              <w:keepNext w:val="0"/>
              <w:keepLines w:val="0"/>
              <w:pageBreakBefore w:val="0"/>
              <w:kinsoku/>
              <w:wordWrap/>
              <w:overflowPunct/>
              <w:topLinePunct w:val="0"/>
              <w:bidi w:val="0"/>
              <w:snapToGrid/>
              <w:spacing w:line="440" w:lineRule="exact"/>
              <w:jc w:val="center"/>
              <w:rPr>
                <w:rFonts w:hint="eastAsia" w:ascii="仿宋" w:hAnsi="仿宋" w:eastAsia="仿宋" w:cs="仿宋"/>
                <w:b/>
                <w:color w:val="auto"/>
                <w:spacing w:val="0"/>
                <w:sz w:val="24"/>
                <w:szCs w:val="24"/>
                <w:highlight w:val="none"/>
              </w:rPr>
            </w:pPr>
            <w:r>
              <w:rPr>
                <w:rFonts w:hint="eastAsia" w:ascii="仿宋" w:hAnsi="仿宋" w:eastAsia="仿宋" w:cs="仿宋"/>
                <w:b/>
                <w:color w:val="auto"/>
                <w:spacing w:val="0"/>
                <w:sz w:val="24"/>
                <w:szCs w:val="24"/>
                <w:highlight w:val="none"/>
              </w:rPr>
              <w:t>约定内容</w:t>
            </w:r>
          </w:p>
        </w:tc>
      </w:tr>
      <w:tr w14:paraId="18F59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noWrap w:val="0"/>
            <w:vAlign w:val="center"/>
          </w:tcPr>
          <w:p w14:paraId="43B573B5">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c>
          <w:tcPr>
            <w:tcW w:w="7633" w:type="dxa"/>
            <w:noWrap w:val="0"/>
            <w:vAlign w:val="center"/>
          </w:tcPr>
          <w:p w14:paraId="616AC8C4">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r>
      <w:tr w14:paraId="4283D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14:paraId="7629A84F">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c>
          <w:tcPr>
            <w:tcW w:w="7633" w:type="dxa"/>
            <w:noWrap w:val="0"/>
            <w:vAlign w:val="center"/>
          </w:tcPr>
          <w:p w14:paraId="105C51FA">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r>
      <w:tr w14:paraId="16A03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14:paraId="1C6FAC4B">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c>
          <w:tcPr>
            <w:tcW w:w="7633" w:type="dxa"/>
            <w:noWrap w:val="0"/>
            <w:vAlign w:val="center"/>
          </w:tcPr>
          <w:p w14:paraId="38B6DCC5">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r>
      <w:tr w14:paraId="0839FC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14:paraId="7F042B0F">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c>
          <w:tcPr>
            <w:tcW w:w="7633" w:type="dxa"/>
            <w:noWrap w:val="0"/>
            <w:vAlign w:val="center"/>
          </w:tcPr>
          <w:p w14:paraId="327DA386">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r>
      <w:tr w14:paraId="0DC3F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0F092DF4">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c>
          <w:tcPr>
            <w:tcW w:w="7633" w:type="dxa"/>
            <w:noWrap w:val="0"/>
            <w:vAlign w:val="center"/>
          </w:tcPr>
          <w:p w14:paraId="09CF19F4">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u w:val="single"/>
              </w:rPr>
            </w:pPr>
          </w:p>
        </w:tc>
      </w:tr>
      <w:tr w14:paraId="6481D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51EEABC0">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c>
          <w:tcPr>
            <w:tcW w:w="7633" w:type="dxa"/>
            <w:noWrap w:val="0"/>
            <w:vAlign w:val="center"/>
          </w:tcPr>
          <w:p w14:paraId="73E0D5E2">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r>
      <w:tr w14:paraId="6E6C5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14:paraId="65F9AFB1">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c>
          <w:tcPr>
            <w:tcW w:w="7633" w:type="dxa"/>
            <w:noWrap w:val="0"/>
            <w:vAlign w:val="center"/>
          </w:tcPr>
          <w:p w14:paraId="1C50643C">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u w:val="single"/>
              </w:rPr>
            </w:pPr>
          </w:p>
        </w:tc>
      </w:tr>
      <w:tr w14:paraId="16CC1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012A1778">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c>
          <w:tcPr>
            <w:tcW w:w="7633" w:type="dxa"/>
            <w:noWrap w:val="0"/>
            <w:vAlign w:val="center"/>
          </w:tcPr>
          <w:p w14:paraId="0AEEE926">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r>
      <w:tr w14:paraId="65102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41D0BB4A">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c>
          <w:tcPr>
            <w:tcW w:w="7633" w:type="dxa"/>
            <w:noWrap w:val="0"/>
            <w:vAlign w:val="center"/>
          </w:tcPr>
          <w:p w14:paraId="482FE7A8">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r>
      <w:tr w14:paraId="6A59F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5C324B2C">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c>
          <w:tcPr>
            <w:tcW w:w="7633" w:type="dxa"/>
            <w:noWrap w:val="0"/>
            <w:vAlign w:val="center"/>
          </w:tcPr>
          <w:p w14:paraId="4060DE66">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r>
      <w:tr w14:paraId="2C4EC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top w:val="single" w:color="auto" w:sz="6" w:space="0"/>
              <w:left w:val="single" w:color="auto" w:sz="4" w:space="0"/>
              <w:bottom w:val="single" w:color="auto" w:sz="6" w:space="0"/>
              <w:right w:val="single" w:color="auto" w:sz="6" w:space="0"/>
            </w:tcBorders>
            <w:noWrap w:val="0"/>
            <w:vAlign w:val="center"/>
          </w:tcPr>
          <w:p w14:paraId="09B97573">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c>
          <w:tcPr>
            <w:tcW w:w="7633" w:type="dxa"/>
            <w:tcBorders>
              <w:top w:val="single" w:color="auto" w:sz="6" w:space="0"/>
              <w:left w:val="single" w:color="auto" w:sz="6" w:space="0"/>
              <w:bottom w:val="single" w:color="auto" w:sz="6" w:space="0"/>
              <w:right w:val="single" w:color="auto" w:sz="6" w:space="0"/>
            </w:tcBorders>
            <w:noWrap w:val="0"/>
            <w:vAlign w:val="center"/>
          </w:tcPr>
          <w:p w14:paraId="02A3FB4A">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r>
      <w:tr w14:paraId="7D59E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top w:val="single" w:color="auto" w:sz="6" w:space="0"/>
              <w:left w:val="single" w:color="auto" w:sz="4" w:space="0"/>
              <w:bottom w:val="single" w:color="auto" w:sz="6" w:space="0"/>
              <w:right w:val="single" w:color="auto" w:sz="6" w:space="0"/>
            </w:tcBorders>
            <w:noWrap w:val="0"/>
            <w:vAlign w:val="center"/>
          </w:tcPr>
          <w:p w14:paraId="2F736E07">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c>
          <w:tcPr>
            <w:tcW w:w="7633" w:type="dxa"/>
            <w:tcBorders>
              <w:top w:val="single" w:color="auto" w:sz="6" w:space="0"/>
              <w:left w:val="single" w:color="auto" w:sz="6" w:space="0"/>
              <w:bottom w:val="single" w:color="auto" w:sz="6" w:space="0"/>
              <w:right w:val="single" w:color="auto" w:sz="6" w:space="0"/>
            </w:tcBorders>
            <w:noWrap w:val="0"/>
            <w:vAlign w:val="center"/>
          </w:tcPr>
          <w:p w14:paraId="77AC9036">
            <w:pPr>
              <w:keepNext w:val="0"/>
              <w:keepLines w:val="0"/>
              <w:pageBreakBefore w:val="0"/>
              <w:kinsoku/>
              <w:wordWrap/>
              <w:overflowPunct/>
              <w:topLinePunct w:val="0"/>
              <w:bidi w:val="0"/>
              <w:snapToGrid/>
              <w:spacing w:line="440" w:lineRule="exact"/>
              <w:rPr>
                <w:rFonts w:hint="eastAsia" w:ascii="仿宋" w:hAnsi="仿宋" w:eastAsia="仿宋" w:cs="仿宋"/>
                <w:color w:val="auto"/>
                <w:spacing w:val="0"/>
                <w:sz w:val="24"/>
                <w:szCs w:val="24"/>
                <w:highlight w:val="none"/>
              </w:rPr>
            </w:pPr>
          </w:p>
        </w:tc>
      </w:tr>
    </w:tbl>
    <w:p w14:paraId="310D9810">
      <w:pPr>
        <w:pageBreakBefore w:val="0"/>
        <w:widowControl/>
        <w:kinsoku/>
        <w:overflowPunct/>
        <w:topLinePunct w:val="0"/>
        <w:bidi w:val="0"/>
        <w:jc w:val="left"/>
        <w:rPr>
          <w:rFonts w:hint="eastAsia" w:ascii="仿宋" w:hAnsi="仿宋" w:eastAsia="仿宋" w:cs="仿宋"/>
          <w:bCs/>
          <w:color w:val="auto"/>
          <w:spacing w:val="0"/>
          <w:sz w:val="28"/>
          <w:szCs w:val="28"/>
          <w:highlight w:val="none"/>
        </w:rPr>
      </w:pPr>
    </w:p>
    <w:p w14:paraId="76B25FAD">
      <w:pPr>
        <w:pageBreakBefore w:val="0"/>
        <w:widowControl/>
        <w:kinsoku/>
        <w:overflowPunct/>
        <w:topLinePunct w:val="0"/>
        <w:bidi w:val="0"/>
        <w:jc w:val="left"/>
        <w:rPr>
          <w:rFonts w:hint="eastAsia" w:ascii="仿宋" w:hAnsi="仿宋" w:eastAsia="仿宋" w:cs="仿宋"/>
          <w:bCs/>
          <w:color w:val="auto"/>
          <w:spacing w:val="0"/>
          <w:sz w:val="28"/>
          <w:szCs w:val="28"/>
          <w:highlight w:val="none"/>
        </w:rPr>
      </w:pPr>
      <w:r>
        <w:rPr>
          <w:rFonts w:hint="eastAsia" w:ascii="仿宋" w:hAnsi="仿宋" w:eastAsia="仿宋" w:cs="仿宋"/>
          <w:bCs/>
          <w:color w:val="auto"/>
          <w:spacing w:val="0"/>
          <w:sz w:val="28"/>
          <w:szCs w:val="28"/>
          <w:highlight w:val="none"/>
        </w:rPr>
        <w:br w:type="page"/>
      </w:r>
    </w:p>
    <w:p w14:paraId="77B21851">
      <w:pPr>
        <w:pStyle w:val="34"/>
        <w:rPr>
          <w:rFonts w:hint="eastAsia"/>
          <w:highlight w:val="none"/>
        </w:rPr>
      </w:pPr>
    </w:p>
    <w:p w14:paraId="3BBF059F">
      <w:pPr>
        <w:pStyle w:val="2"/>
        <w:numPr>
          <w:ilvl w:val="0"/>
          <w:numId w:val="4"/>
        </w:numPr>
        <w:bidi w:val="0"/>
        <w:spacing w:line="360" w:lineRule="auto"/>
        <w:jc w:val="center"/>
        <w:rPr>
          <w:rFonts w:hint="eastAsia" w:ascii="仿宋" w:hAnsi="仿宋" w:eastAsia="仿宋" w:cs="仿宋"/>
          <w:sz w:val="28"/>
          <w:szCs w:val="28"/>
          <w:highlight w:val="none"/>
          <w:lang w:val="en-US" w:eastAsia="zh-CN"/>
        </w:rPr>
      </w:pPr>
      <w:r>
        <w:rPr>
          <w:rFonts w:hint="eastAsia" w:ascii="仿宋" w:hAnsi="仿宋" w:eastAsia="仿宋" w:cs="仿宋"/>
          <w:sz w:val="32"/>
          <w:szCs w:val="32"/>
          <w:highlight w:val="none"/>
          <w:lang w:val="en-US" w:eastAsia="zh-CN"/>
        </w:rPr>
        <w:t>采购需求</w:t>
      </w:r>
      <w:bookmarkEnd w:id="18"/>
    </w:p>
    <w:p w14:paraId="2C95F09E">
      <w:pPr>
        <w:keepNext w:val="0"/>
        <w:keepLines w:val="0"/>
        <w:pageBreakBefore w:val="0"/>
        <w:numPr>
          <w:ilvl w:val="0"/>
          <w:numId w:val="11"/>
        </w:numPr>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项目需求</w:t>
      </w:r>
    </w:p>
    <w:p w14:paraId="7AD66CE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u w:val="none"/>
          <w:lang w:val="en-US" w:eastAsia="zh-Hans"/>
        </w:rPr>
      </w:pPr>
      <w:r>
        <w:rPr>
          <w:rFonts w:hint="eastAsia" w:ascii="仿宋" w:hAnsi="仿宋" w:eastAsia="仿宋" w:cs="仿宋"/>
          <w:color w:val="auto"/>
          <w:sz w:val="24"/>
          <w:szCs w:val="24"/>
          <w:u w:val="none"/>
          <w:lang w:val="en-US" w:eastAsia="zh-Hans"/>
        </w:rPr>
        <w:t>1</w:t>
      </w:r>
      <w:r>
        <w:rPr>
          <w:rFonts w:hint="eastAsia" w:ascii="仿宋" w:hAnsi="仿宋" w:eastAsia="仿宋" w:cs="仿宋"/>
          <w:color w:val="auto"/>
          <w:sz w:val="24"/>
          <w:szCs w:val="24"/>
          <w:u w:val="none"/>
          <w:lang w:val="en-US" w:eastAsia="zh-CN"/>
        </w:rPr>
        <w:t>、</w:t>
      </w:r>
      <w:r>
        <w:rPr>
          <w:rFonts w:hint="eastAsia" w:ascii="仿宋" w:hAnsi="仿宋" w:eastAsia="仿宋" w:cs="仿宋"/>
          <w:color w:val="auto"/>
          <w:sz w:val="24"/>
          <w:szCs w:val="24"/>
          <w:u w:val="none"/>
          <w:lang w:val="en-US" w:eastAsia="zh-Hans"/>
        </w:rPr>
        <w:t>负责根据甲方</w:t>
      </w:r>
      <w:r>
        <w:rPr>
          <w:rFonts w:hint="eastAsia" w:ascii="仿宋" w:hAnsi="仿宋" w:eastAsia="仿宋" w:cs="仿宋"/>
          <w:color w:val="auto"/>
          <w:sz w:val="24"/>
          <w:szCs w:val="24"/>
          <w:u w:val="none"/>
          <w:lang w:val="en-US" w:eastAsia="zh-CN"/>
        </w:rPr>
        <w:t>交流和学习活动</w:t>
      </w:r>
      <w:r>
        <w:rPr>
          <w:rFonts w:hint="eastAsia" w:ascii="仿宋" w:hAnsi="仿宋" w:eastAsia="仿宋" w:cs="仿宋"/>
          <w:color w:val="auto"/>
          <w:sz w:val="24"/>
          <w:szCs w:val="24"/>
          <w:u w:val="none"/>
          <w:lang w:val="en-US" w:eastAsia="zh-Hans"/>
        </w:rPr>
        <w:t>目标，制定</w:t>
      </w:r>
      <w:r>
        <w:rPr>
          <w:rFonts w:hint="eastAsia" w:ascii="仿宋" w:hAnsi="仿宋" w:eastAsia="仿宋" w:cs="仿宋"/>
          <w:color w:val="auto"/>
          <w:sz w:val="24"/>
          <w:szCs w:val="24"/>
          <w:u w:val="none"/>
          <w:lang w:val="en-US" w:eastAsia="zh-CN"/>
        </w:rPr>
        <w:t>交流和学习活动方案</w:t>
      </w:r>
      <w:r>
        <w:rPr>
          <w:rFonts w:hint="eastAsia" w:ascii="仿宋" w:hAnsi="仿宋" w:eastAsia="仿宋" w:cs="仿宋"/>
          <w:color w:val="auto"/>
          <w:sz w:val="24"/>
          <w:szCs w:val="24"/>
          <w:u w:val="none"/>
          <w:lang w:val="en-US" w:eastAsia="zh-Hans"/>
        </w:rPr>
        <w:t>。</w:t>
      </w:r>
    </w:p>
    <w:p w14:paraId="31A4FB01">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u w:val="none"/>
          <w:lang w:val="en-US" w:eastAsia="zh-Hans"/>
        </w:rPr>
      </w:pPr>
      <w:r>
        <w:rPr>
          <w:rFonts w:hint="eastAsia" w:ascii="仿宋" w:hAnsi="仿宋" w:eastAsia="仿宋" w:cs="仿宋"/>
          <w:color w:val="auto"/>
          <w:sz w:val="24"/>
          <w:szCs w:val="24"/>
          <w:u w:val="none"/>
          <w:lang w:val="en-US" w:eastAsia="zh-Hans"/>
        </w:rPr>
        <w:t>2</w:t>
      </w:r>
      <w:r>
        <w:rPr>
          <w:rFonts w:hint="eastAsia" w:ascii="仿宋" w:hAnsi="仿宋" w:eastAsia="仿宋" w:cs="仿宋"/>
          <w:color w:val="auto"/>
          <w:sz w:val="24"/>
          <w:szCs w:val="24"/>
          <w:u w:val="none"/>
          <w:lang w:val="en-US" w:eastAsia="zh-CN"/>
        </w:rPr>
        <w:t>、</w:t>
      </w:r>
      <w:r>
        <w:rPr>
          <w:rFonts w:hint="eastAsia" w:ascii="仿宋" w:hAnsi="仿宋" w:eastAsia="仿宋" w:cs="仿宋"/>
          <w:color w:val="auto"/>
          <w:sz w:val="24"/>
          <w:szCs w:val="24"/>
          <w:u w:val="none"/>
          <w:lang w:val="en-US" w:eastAsia="zh-Hans"/>
        </w:rPr>
        <w:t>负责</w:t>
      </w:r>
      <w:r>
        <w:rPr>
          <w:rFonts w:hint="eastAsia" w:ascii="仿宋" w:hAnsi="仿宋" w:eastAsia="仿宋" w:cs="仿宋"/>
          <w:color w:val="auto"/>
          <w:sz w:val="24"/>
          <w:szCs w:val="24"/>
          <w:u w:val="none"/>
          <w:lang w:val="en-US" w:eastAsia="zh-CN"/>
        </w:rPr>
        <w:t>交流和学习活</w:t>
      </w:r>
      <w:r>
        <w:rPr>
          <w:rFonts w:hint="eastAsia" w:ascii="仿宋" w:hAnsi="仿宋" w:eastAsia="仿宋" w:cs="仿宋"/>
          <w:color w:val="auto"/>
          <w:sz w:val="24"/>
          <w:szCs w:val="24"/>
          <w:u w:val="none"/>
          <w:lang w:val="en-US" w:eastAsia="zh-Hans"/>
        </w:rPr>
        <w:t>动的组织和实施</w:t>
      </w:r>
      <w:r>
        <w:rPr>
          <w:rFonts w:hint="eastAsia" w:ascii="仿宋" w:hAnsi="仿宋" w:eastAsia="仿宋" w:cs="仿宋"/>
          <w:color w:val="auto"/>
          <w:sz w:val="24"/>
          <w:szCs w:val="24"/>
          <w:u w:val="none"/>
          <w:lang w:val="en-US" w:eastAsia="zh-CN"/>
        </w:rPr>
        <w:t>，提供场馆讲解、矿泉水、横幅、文化衫、帽子、工作牌、摄影照片、制作2条研学活动完整视频（一条一分钟，一条4-5分钟）等</w:t>
      </w:r>
      <w:r>
        <w:rPr>
          <w:rFonts w:hint="eastAsia" w:ascii="仿宋" w:hAnsi="仿宋" w:eastAsia="仿宋" w:cs="仿宋"/>
          <w:color w:val="auto"/>
          <w:sz w:val="24"/>
          <w:szCs w:val="24"/>
          <w:u w:val="none"/>
          <w:lang w:val="en-US" w:eastAsia="zh-Hans"/>
        </w:rPr>
        <w:t>。</w:t>
      </w:r>
    </w:p>
    <w:p w14:paraId="5F7F609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u w:val="none"/>
          <w:lang w:val="en-US" w:eastAsia="zh-Hans"/>
        </w:rPr>
      </w:pPr>
      <w:r>
        <w:rPr>
          <w:rFonts w:hint="eastAsia" w:ascii="仿宋" w:hAnsi="仿宋" w:eastAsia="仿宋" w:cs="仿宋"/>
          <w:color w:val="auto"/>
          <w:sz w:val="24"/>
          <w:szCs w:val="24"/>
          <w:u w:val="none"/>
          <w:lang w:val="en-US" w:eastAsia="zh-Hans"/>
        </w:rPr>
        <w:t>3</w:t>
      </w:r>
      <w:r>
        <w:rPr>
          <w:rFonts w:hint="eastAsia" w:ascii="仿宋" w:hAnsi="仿宋" w:eastAsia="仿宋" w:cs="仿宋"/>
          <w:color w:val="auto"/>
          <w:sz w:val="24"/>
          <w:szCs w:val="24"/>
          <w:u w:val="none"/>
          <w:lang w:val="en-US" w:eastAsia="zh-CN"/>
        </w:rPr>
        <w:t>、提供25名学生</w:t>
      </w:r>
      <w:r>
        <w:rPr>
          <w:rFonts w:hint="eastAsia" w:ascii="仿宋" w:hAnsi="仿宋" w:eastAsia="仿宋" w:cs="仿宋"/>
          <w:color w:val="auto"/>
          <w:sz w:val="24"/>
          <w:szCs w:val="24"/>
          <w:u w:val="none"/>
          <w:lang w:val="en-US" w:eastAsia="zh-Hans"/>
        </w:rPr>
        <w:t>住宿</w:t>
      </w:r>
      <w:r>
        <w:rPr>
          <w:rFonts w:hint="eastAsia" w:ascii="仿宋" w:hAnsi="仿宋" w:eastAsia="仿宋" w:cs="仿宋"/>
          <w:color w:val="auto"/>
          <w:sz w:val="24"/>
          <w:szCs w:val="24"/>
          <w:u w:val="none"/>
          <w:lang w:val="en-US" w:eastAsia="zh-CN"/>
        </w:rPr>
        <w:t>（标准间，336元</w:t>
      </w:r>
      <w:r>
        <w:rPr>
          <w:rFonts w:hint="eastAsia" w:ascii="仿宋" w:hAnsi="仿宋" w:eastAsia="仿宋" w:cs="仿宋"/>
          <w:i w:val="0"/>
          <w:iCs w:val="0"/>
          <w:color w:val="000000"/>
          <w:kern w:val="0"/>
          <w:sz w:val="24"/>
          <w:szCs w:val="24"/>
          <w:u w:val="none"/>
          <w:lang w:val="en-US" w:eastAsia="zh-CN" w:bidi="ar"/>
        </w:rPr>
        <w:t>/间，</w:t>
      </w:r>
      <w:r>
        <w:rPr>
          <w:rFonts w:hint="eastAsia" w:ascii="仿宋" w:hAnsi="仿宋" w:eastAsia="仿宋" w:cs="仿宋"/>
          <w:color w:val="auto"/>
          <w:sz w:val="24"/>
          <w:szCs w:val="24"/>
          <w:u w:val="none"/>
          <w:lang w:val="en-US" w:eastAsia="zh-CN"/>
        </w:rPr>
        <w:t>市中心，距离活动地点近）</w:t>
      </w:r>
      <w:r>
        <w:rPr>
          <w:rFonts w:hint="eastAsia" w:ascii="仿宋" w:hAnsi="仿宋" w:eastAsia="仿宋" w:cs="仿宋"/>
          <w:color w:val="auto"/>
          <w:sz w:val="24"/>
          <w:szCs w:val="24"/>
          <w:u w:val="none"/>
          <w:lang w:val="en-US" w:eastAsia="zh-Hans"/>
        </w:rPr>
        <w:t>、餐饮</w:t>
      </w:r>
      <w:r>
        <w:rPr>
          <w:rFonts w:hint="eastAsia" w:ascii="仿宋" w:hAnsi="仿宋" w:eastAsia="仿宋" w:cs="仿宋"/>
          <w:color w:val="auto"/>
          <w:sz w:val="24"/>
          <w:szCs w:val="24"/>
          <w:u w:val="none"/>
          <w:lang w:val="en-US" w:eastAsia="zh-CN"/>
        </w:rPr>
        <w:t>（80元</w:t>
      </w:r>
      <w:r>
        <w:rPr>
          <w:rFonts w:hint="eastAsia" w:ascii="仿宋" w:hAnsi="仿宋" w:eastAsia="仿宋" w:cs="仿宋"/>
          <w:i w:val="0"/>
          <w:iCs w:val="0"/>
          <w:color w:val="000000"/>
          <w:kern w:val="0"/>
          <w:sz w:val="24"/>
          <w:szCs w:val="24"/>
          <w:u w:val="none"/>
          <w:lang w:val="en-US" w:eastAsia="zh-CN" w:bidi="ar"/>
        </w:rPr>
        <w:t>/天</w:t>
      </w:r>
      <w:r>
        <w:rPr>
          <w:rFonts w:hint="eastAsia" w:ascii="仿宋" w:hAnsi="仿宋" w:eastAsia="仿宋" w:cs="仿宋"/>
          <w:color w:val="auto"/>
          <w:sz w:val="24"/>
          <w:szCs w:val="24"/>
          <w:u w:val="none"/>
          <w:lang w:val="en-US" w:eastAsia="zh-CN"/>
        </w:rPr>
        <w:t>）、往返交通（飞机）、市内交通（大巴）、合肥至南京交通（高铁）、保险（意外险身故/伤残保额不低于10万元，详见评分标准。）、安全、后勤保障，协调人员的机票、食宿费等各项保障</w:t>
      </w:r>
      <w:r>
        <w:rPr>
          <w:rFonts w:hint="eastAsia" w:ascii="仿宋" w:hAnsi="仿宋" w:eastAsia="仿宋" w:cs="仿宋"/>
          <w:color w:val="auto"/>
          <w:sz w:val="24"/>
          <w:szCs w:val="24"/>
          <w:u w:val="none"/>
          <w:lang w:val="en-US" w:eastAsia="zh-Hans"/>
        </w:rPr>
        <w:t>。</w:t>
      </w:r>
    </w:p>
    <w:p w14:paraId="5EA651A3">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Hans"/>
        </w:rPr>
        <w:t>4、出行学生中有聋哑、肢体障碍、低视力学生，需有责任心，在研学途中照顾学生，需有一名工作人员会手语（至少能与聋哑生做简单日常交流）</w:t>
      </w:r>
      <w:r>
        <w:rPr>
          <w:rFonts w:hint="eastAsia" w:ascii="仿宋" w:hAnsi="仿宋" w:eastAsia="仿宋" w:cs="仿宋"/>
          <w:color w:val="auto"/>
          <w:sz w:val="24"/>
          <w:szCs w:val="24"/>
          <w:u w:val="none"/>
          <w:lang w:val="en-US" w:eastAsia="zh-CN"/>
        </w:rPr>
        <w:t>。</w:t>
      </w:r>
    </w:p>
    <w:p w14:paraId="4A9DFBE7">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5、</w:t>
      </w:r>
      <w:r>
        <w:rPr>
          <w:rFonts w:hint="eastAsia" w:ascii="仿宋" w:hAnsi="仿宋" w:eastAsia="仿宋" w:cs="仿宋"/>
          <w:color w:val="auto"/>
          <w:sz w:val="24"/>
          <w:szCs w:val="24"/>
          <w:u w:val="none"/>
          <w:lang w:val="en-US" w:eastAsia="zh-Hans"/>
        </w:rPr>
        <w:t>行程路线：</w:t>
      </w:r>
      <w:r>
        <w:rPr>
          <w:rFonts w:hint="eastAsia" w:ascii="仿宋" w:hAnsi="仿宋" w:eastAsia="仿宋" w:cs="仿宋"/>
          <w:color w:val="auto"/>
          <w:sz w:val="24"/>
          <w:szCs w:val="24"/>
          <w:u w:val="none"/>
          <w:lang w:val="en-US" w:eastAsia="zh-CN"/>
        </w:rPr>
        <w:t>昌吉市六工镇—</w:t>
      </w:r>
      <w:r>
        <w:rPr>
          <w:rFonts w:hint="eastAsia" w:ascii="仿宋" w:hAnsi="仿宋" w:eastAsia="仿宋" w:cs="仿宋"/>
          <w:color w:val="auto"/>
          <w:sz w:val="24"/>
          <w:szCs w:val="24"/>
          <w:u w:val="none"/>
          <w:lang w:val="en-US" w:eastAsia="zh-Hans"/>
        </w:rPr>
        <w:t>乌鲁木齐</w:t>
      </w:r>
      <w:bookmarkStart w:id="250" w:name="OLE_LINK1"/>
      <w:r>
        <w:rPr>
          <w:rFonts w:hint="eastAsia" w:ascii="仿宋" w:hAnsi="仿宋" w:eastAsia="仿宋" w:cs="仿宋"/>
          <w:color w:val="auto"/>
          <w:sz w:val="24"/>
          <w:szCs w:val="24"/>
          <w:u w:val="none"/>
          <w:lang w:val="en-US" w:eastAsia="zh-Hans"/>
        </w:rPr>
        <w:t>—</w:t>
      </w:r>
      <w:bookmarkEnd w:id="250"/>
      <w:r>
        <w:rPr>
          <w:rFonts w:hint="eastAsia" w:ascii="仿宋" w:hAnsi="仿宋" w:eastAsia="仿宋" w:cs="仿宋"/>
          <w:color w:val="auto"/>
          <w:sz w:val="24"/>
          <w:szCs w:val="24"/>
          <w:u w:val="none"/>
          <w:lang w:val="en-US" w:eastAsia="zh-CN"/>
        </w:rPr>
        <w:t>合肥</w:t>
      </w:r>
      <w:r>
        <w:rPr>
          <w:rFonts w:hint="eastAsia" w:ascii="仿宋" w:hAnsi="仿宋" w:eastAsia="仿宋" w:cs="仿宋"/>
          <w:color w:val="auto"/>
          <w:sz w:val="24"/>
          <w:szCs w:val="24"/>
          <w:u w:val="none"/>
          <w:lang w:val="en-US" w:eastAsia="zh-Hans"/>
        </w:rPr>
        <w:t>—</w:t>
      </w:r>
      <w:r>
        <w:rPr>
          <w:rFonts w:hint="eastAsia" w:ascii="仿宋" w:hAnsi="仿宋" w:eastAsia="仿宋" w:cs="仿宋"/>
          <w:color w:val="auto"/>
          <w:sz w:val="24"/>
          <w:szCs w:val="24"/>
          <w:u w:val="none"/>
          <w:lang w:val="en-US" w:eastAsia="zh-CN"/>
        </w:rPr>
        <w:t>南京</w:t>
      </w:r>
      <w:r>
        <w:rPr>
          <w:rFonts w:hint="eastAsia" w:ascii="仿宋" w:hAnsi="仿宋" w:eastAsia="仿宋" w:cs="仿宋"/>
          <w:color w:val="auto"/>
          <w:sz w:val="24"/>
          <w:szCs w:val="24"/>
          <w:u w:val="none"/>
          <w:lang w:val="en-US" w:eastAsia="zh-Hans"/>
        </w:rPr>
        <w:t>—乌鲁木齐</w:t>
      </w:r>
      <w:r>
        <w:rPr>
          <w:rFonts w:hint="eastAsia" w:ascii="仿宋" w:hAnsi="仿宋" w:eastAsia="仿宋" w:cs="仿宋"/>
          <w:color w:val="auto"/>
          <w:sz w:val="24"/>
          <w:szCs w:val="24"/>
          <w:u w:val="none"/>
          <w:lang w:val="en-US" w:eastAsia="zh-CN"/>
        </w:rPr>
        <w:t>—昌吉市六工镇</w:t>
      </w:r>
    </w:p>
    <w:p w14:paraId="560D1C3A">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u w:val="none"/>
          <w:lang w:val="en-US" w:eastAsia="zh-CN"/>
        </w:rPr>
        <w:t>6、</w:t>
      </w:r>
      <w:r>
        <w:rPr>
          <w:rFonts w:hint="eastAsia" w:ascii="仿宋" w:hAnsi="仿宋" w:eastAsia="仿宋" w:cs="仿宋"/>
          <w:color w:val="auto"/>
          <w:sz w:val="24"/>
          <w:szCs w:val="24"/>
          <w:u w:val="none"/>
          <w:lang w:val="en-US" w:eastAsia="zh-Hans"/>
        </w:rPr>
        <w:t>活动费用：</w:t>
      </w:r>
      <w:r>
        <w:rPr>
          <w:rFonts w:hint="eastAsia" w:ascii="仿宋" w:hAnsi="仿宋" w:eastAsia="仿宋" w:cs="仿宋"/>
          <w:color w:val="auto"/>
          <w:sz w:val="24"/>
          <w:szCs w:val="24"/>
          <w:highlight w:val="none"/>
          <w:u w:val="none"/>
          <w:lang w:val="en-US" w:eastAsia="zh-CN"/>
        </w:rPr>
        <w:t>本次活动参与学生人数共25名，</w:t>
      </w:r>
      <w:r>
        <w:rPr>
          <w:rFonts w:hint="eastAsia" w:ascii="仿宋" w:hAnsi="仿宋" w:eastAsia="仿宋" w:cs="仿宋"/>
          <w:color w:val="auto"/>
          <w:sz w:val="24"/>
          <w:szCs w:val="24"/>
          <w:highlight w:val="none"/>
          <w:u w:val="none"/>
          <w:lang w:val="en-US" w:eastAsia="zh-Hans"/>
        </w:rPr>
        <w:t>费用</w:t>
      </w:r>
      <w:r>
        <w:rPr>
          <w:rFonts w:hint="eastAsia" w:ascii="仿宋" w:hAnsi="仿宋" w:eastAsia="仿宋" w:cs="仿宋"/>
          <w:color w:val="auto"/>
          <w:sz w:val="24"/>
          <w:szCs w:val="24"/>
          <w:highlight w:val="none"/>
          <w:u w:val="none"/>
          <w:lang w:val="en-US" w:eastAsia="zh-CN"/>
        </w:rPr>
        <w:t>预算17.18万元,甲方支付费用包含乙方为甲方提供服务的全部费用，在履行合同过程中乙方不得以交通费、食宿费涨价等任何因素要求甲方增加合同价款。</w:t>
      </w:r>
    </w:p>
    <w:p w14:paraId="015FABD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i w:val="0"/>
          <w:iCs w:val="0"/>
          <w:caps w:val="0"/>
          <w:spacing w:val="0"/>
          <w:sz w:val="24"/>
          <w:szCs w:val="24"/>
          <w:shd w:val="clear" w:color="auto" w:fill="FFFFFF"/>
          <w:lang w:val="en-US" w:eastAsia="zh-CN"/>
        </w:rPr>
      </w:pPr>
      <w:r>
        <w:rPr>
          <w:rFonts w:hint="eastAsia" w:ascii="仿宋" w:hAnsi="仿宋" w:eastAsia="仿宋" w:cs="仿宋"/>
          <w:b/>
          <w:bCs/>
          <w:sz w:val="24"/>
          <w:szCs w:val="24"/>
          <w:lang w:val="en-US" w:eastAsia="zh-CN"/>
        </w:rPr>
        <w:t>二、费用结算</w:t>
      </w:r>
    </w:p>
    <w:p w14:paraId="160FA6A2">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120"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highlight w:val="none"/>
          <w:u w:val="none"/>
        </w:rPr>
        <w:t>团委结对共建及学生会活动费用在合同签订完毕后</w:t>
      </w:r>
      <w:r>
        <w:rPr>
          <w:rFonts w:hint="eastAsia" w:ascii="仿宋" w:hAnsi="仿宋" w:eastAsia="仿宋" w:cs="仿宋"/>
          <w:color w:val="auto"/>
          <w:sz w:val="24"/>
          <w:szCs w:val="24"/>
          <w:highlight w:val="none"/>
          <w:u w:val="none"/>
          <w:lang w:val="en-US" w:eastAsia="zh-CN"/>
        </w:rPr>
        <w:t>20</w:t>
      </w:r>
      <w:r>
        <w:rPr>
          <w:rFonts w:hint="eastAsia" w:ascii="仿宋" w:hAnsi="仿宋" w:eastAsia="仿宋" w:cs="仿宋"/>
          <w:color w:val="auto"/>
          <w:sz w:val="24"/>
          <w:szCs w:val="24"/>
          <w:highlight w:val="none"/>
          <w:u w:val="none"/>
        </w:rPr>
        <w:t>个工作日内</w:t>
      </w:r>
      <w:r>
        <w:rPr>
          <w:rFonts w:hint="eastAsia" w:ascii="仿宋" w:hAnsi="仿宋" w:eastAsia="仿宋" w:cs="仿宋"/>
          <w:color w:val="auto"/>
          <w:sz w:val="24"/>
          <w:szCs w:val="24"/>
          <w:highlight w:val="none"/>
          <w:u w:val="none"/>
          <w:lang w:val="en-US" w:eastAsia="zh-CN"/>
        </w:rPr>
        <w:t>支付总金额的80%；</w:t>
      </w:r>
      <w:r>
        <w:rPr>
          <w:rFonts w:hint="eastAsia" w:ascii="仿宋" w:hAnsi="仿宋" w:eastAsia="仿宋" w:cs="仿宋"/>
          <w:color w:val="auto"/>
          <w:sz w:val="24"/>
          <w:szCs w:val="24"/>
          <w:highlight w:val="none"/>
          <w:u w:val="none"/>
        </w:rPr>
        <w:t>研学活动结束后</w:t>
      </w:r>
      <w:r>
        <w:rPr>
          <w:rFonts w:hint="eastAsia" w:ascii="仿宋" w:hAnsi="仿宋" w:eastAsia="仿宋" w:cs="仿宋"/>
          <w:color w:val="auto"/>
          <w:sz w:val="24"/>
          <w:szCs w:val="24"/>
          <w:highlight w:val="none"/>
          <w:u w:val="none"/>
          <w:lang w:val="en-US" w:eastAsia="zh-CN"/>
        </w:rPr>
        <w:t>15</w:t>
      </w:r>
      <w:r>
        <w:rPr>
          <w:rFonts w:hint="eastAsia" w:ascii="仿宋" w:hAnsi="仿宋" w:eastAsia="仿宋" w:cs="仿宋"/>
          <w:color w:val="auto"/>
          <w:sz w:val="24"/>
          <w:szCs w:val="24"/>
          <w:highlight w:val="none"/>
          <w:u w:val="none"/>
        </w:rPr>
        <w:t>个工作日内，</w:t>
      </w:r>
      <w:r>
        <w:rPr>
          <w:rFonts w:hint="eastAsia" w:ascii="仿宋" w:hAnsi="仿宋" w:eastAsia="仿宋" w:cs="仿宋"/>
          <w:color w:val="auto"/>
          <w:sz w:val="24"/>
          <w:szCs w:val="24"/>
          <w:highlight w:val="none"/>
          <w:u w:val="none"/>
          <w:lang w:val="en-US" w:eastAsia="zh-CN"/>
        </w:rPr>
        <w:t>乙方提供一份结项报告，</w:t>
      </w:r>
      <w:r>
        <w:rPr>
          <w:rFonts w:hint="eastAsia" w:ascii="仿宋" w:hAnsi="仿宋" w:eastAsia="仿宋" w:cs="仿宋"/>
          <w:color w:val="auto"/>
          <w:sz w:val="24"/>
          <w:szCs w:val="24"/>
          <w:highlight w:val="none"/>
          <w:u w:val="none"/>
        </w:rPr>
        <w:t>经甲方验收合格后，甲方向乙方支付剩余服务费用，乙方需同时提供合法有效发票</w:t>
      </w:r>
      <w:r>
        <w:rPr>
          <w:rFonts w:hint="eastAsia" w:ascii="仿宋" w:hAnsi="仿宋" w:eastAsia="仿宋" w:cs="仿宋"/>
          <w:color w:val="auto"/>
          <w:sz w:val="24"/>
          <w:szCs w:val="24"/>
          <w:highlight w:val="none"/>
          <w:u w:val="none"/>
          <w:lang w:eastAsia="zh-CN"/>
        </w:rPr>
        <w:t>。</w:t>
      </w:r>
    </w:p>
    <w:p w14:paraId="3302813F">
      <w:pPr>
        <w:spacing w:line="360" w:lineRule="auto"/>
        <w:ind w:left="511" w:leftChars="213"/>
        <w:jc w:val="left"/>
        <w:rPr>
          <w:rFonts w:hint="eastAsia" w:ascii="仿宋" w:hAnsi="仿宋" w:eastAsia="仿宋" w:cs="仿宋"/>
          <w:sz w:val="28"/>
          <w:szCs w:val="28"/>
        </w:rPr>
      </w:pPr>
    </w:p>
    <w:p w14:paraId="227D77D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bCs/>
          <w:sz w:val="22"/>
          <w:szCs w:val="22"/>
          <w:highlight w:val="none"/>
          <w:lang w:val="en-US" w:eastAsia="zh-CN"/>
        </w:rPr>
      </w:pPr>
    </w:p>
    <w:p w14:paraId="0D479342">
      <w:pP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br w:type="page"/>
      </w:r>
    </w:p>
    <w:p w14:paraId="4F6930D2">
      <w:pPr>
        <w:pStyle w:val="2"/>
        <w:numPr>
          <w:ilvl w:val="0"/>
          <w:numId w:val="4"/>
        </w:numPr>
        <w:bidi w:val="0"/>
        <w:jc w:val="center"/>
        <w:rPr>
          <w:rFonts w:hint="eastAsia" w:ascii="仿宋" w:hAnsi="仿宋" w:eastAsia="仿宋" w:cs="仿宋"/>
          <w:sz w:val="32"/>
          <w:szCs w:val="32"/>
          <w:highlight w:val="none"/>
          <w:lang w:val="en-US" w:eastAsia="zh-CN"/>
        </w:rPr>
      </w:pPr>
      <w:bookmarkStart w:id="251" w:name="_Toc27718"/>
      <w:r>
        <w:rPr>
          <w:rFonts w:hint="eastAsia" w:ascii="仿宋" w:hAnsi="仿宋" w:eastAsia="仿宋" w:cs="仿宋"/>
          <w:sz w:val="32"/>
          <w:szCs w:val="32"/>
          <w:highlight w:val="none"/>
          <w:lang w:val="en-US" w:eastAsia="zh-CN"/>
        </w:rPr>
        <w:t>评标程序、评标方法和评标标准</w:t>
      </w:r>
      <w:bookmarkEnd w:id="251"/>
    </w:p>
    <w:p w14:paraId="0E3131D5">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仿宋" w:hAnsi="仿宋" w:eastAsia="仿宋" w:cs="仿宋"/>
          <w:b/>
          <w:bCs/>
          <w:sz w:val="32"/>
          <w:szCs w:val="32"/>
          <w:highlight w:val="none"/>
          <w:lang w:val="en-US" w:eastAsia="zh-CN"/>
        </w:rPr>
      </w:pPr>
    </w:p>
    <w:p w14:paraId="40F60E13">
      <w:pPr>
        <w:keepNext w:val="0"/>
        <w:keepLines w:val="0"/>
        <w:pageBreakBefore w:val="0"/>
        <w:widowControl w:val="0"/>
        <w:numPr>
          <w:ilvl w:val="0"/>
          <w:numId w:val="12"/>
        </w:numPr>
        <w:kinsoku/>
        <w:wordWrap/>
        <w:overflowPunct/>
        <w:topLinePunct w:val="0"/>
        <w:autoSpaceDE/>
        <w:autoSpaceDN/>
        <w:bidi w:val="0"/>
        <w:adjustRightInd/>
        <w:snapToGrid/>
        <w:spacing w:line="420" w:lineRule="exact"/>
        <w:jc w:val="both"/>
        <w:textAlignment w:val="auto"/>
        <w:outlineLvl w:val="1"/>
        <w:rPr>
          <w:rFonts w:hint="eastAsia" w:ascii="仿宋" w:hAnsi="仿宋" w:eastAsia="仿宋" w:cs="仿宋"/>
          <w:b/>
          <w:bCs/>
          <w:sz w:val="24"/>
          <w:szCs w:val="24"/>
          <w:highlight w:val="none"/>
          <w:lang w:val="en-US" w:eastAsia="zh-CN"/>
        </w:rPr>
      </w:pPr>
      <w:bookmarkStart w:id="252" w:name="_Toc21122"/>
      <w:r>
        <w:rPr>
          <w:rFonts w:hint="eastAsia" w:ascii="仿宋" w:hAnsi="仿宋" w:eastAsia="仿宋" w:cs="仿宋"/>
          <w:b/>
          <w:bCs/>
          <w:sz w:val="24"/>
          <w:szCs w:val="24"/>
          <w:highlight w:val="none"/>
          <w:lang w:val="en-US" w:eastAsia="zh-CN"/>
        </w:rPr>
        <w:t>评标方法</w:t>
      </w:r>
      <w:bookmarkEnd w:id="252"/>
      <w:r>
        <w:rPr>
          <w:rFonts w:hint="eastAsia" w:ascii="仿宋" w:hAnsi="仿宋" w:eastAsia="仿宋" w:cs="仿宋"/>
          <w:b/>
          <w:bCs/>
          <w:sz w:val="24"/>
          <w:szCs w:val="24"/>
          <w:highlight w:val="none"/>
          <w:lang w:val="en-US" w:eastAsia="zh-CN"/>
        </w:rPr>
        <w:t xml:space="preserve"> </w:t>
      </w:r>
    </w:p>
    <w:p w14:paraId="47E6296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次评标采用综合评分法。是指经磋商确定最终采购需求和提交最后报价的供应商后，由磋商小组采用综合评分法对提交最后报价的供应商的响应文件和最后报价进行综合评分。评审得分最高的供应商为成交候选人的评标方法。</w:t>
      </w:r>
    </w:p>
    <w:p w14:paraId="2237196B">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253" w:name="_Toc1193"/>
      <w:r>
        <w:rPr>
          <w:rFonts w:hint="eastAsia" w:ascii="仿宋" w:hAnsi="仿宋" w:eastAsia="仿宋" w:cs="仿宋"/>
          <w:b/>
          <w:bCs/>
          <w:sz w:val="24"/>
          <w:szCs w:val="24"/>
          <w:highlight w:val="none"/>
          <w:lang w:val="en-US" w:eastAsia="zh-CN"/>
        </w:rPr>
        <w:t>评标原则</w:t>
      </w:r>
      <w:bookmarkEnd w:id="253"/>
    </w:p>
    <w:p w14:paraId="15D3FA71">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评标活动遵循公平、公正、科学和择优的原则，以采购文件和响应文件为评标的基本依据，并按照采购文件规定的评标方法和评标标准进行评标。</w:t>
      </w:r>
    </w:p>
    <w:p w14:paraId="6A11C34E">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具体评标事项由磋商小组负责，并按采购文件的规定办法进行评审。对采购文件中描述有歧义或前后不一致的地方，磋商小组有权按法律法规的规定进行评判，但对同一条款的评判应适用于每个响应供应商。</w:t>
      </w:r>
    </w:p>
    <w:p w14:paraId="505876BC">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（4）全体评委应按照采购文件规定进行评标，一切认定事项应查有实据且不得弄虚作假。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（6）法律法规及采购文件规定的其他情形。</w:t>
      </w:r>
    </w:p>
    <w:p w14:paraId="79E5CE8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对违反评标纪律的评委，将取消其评委资格，对评标工作造成严重损失者将予以通报批评乃至追究法律责任。</w:t>
      </w:r>
    </w:p>
    <w:p w14:paraId="67486B9E">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254" w:name="_Toc7505"/>
      <w:r>
        <w:rPr>
          <w:rFonts w:hint="eastAsia" w:ascii="仿宋" w:hAnsi="仿宋" w:eastAsia="仿宋" w:cs="仿宋"/>
          <w:b/>
          <w:bCs/>
          <w:sz w:val="24"/>
          <w:szCs w:val="24"/>
          <w:highlight w:val="none"/>
          <w:lang w:val="en-US" w:eastAsia="zh-CN"/>
        </w:rPr>
        <w:t>资格审查</w:t>
      </w:r>
      <w:bookmarkEnd w:id="254"/>
    </w:p>
    <w:p w14:paraId="558023BC">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磋商小组依据采购文件，对响应文件中的资格证明文件等进行审查，以确定供应商是否具备磋商资格。资格性审查中凡有其中任意一项未通过的，评审结果为未通过，未通过资格性审查的供应商按无效响应处理，不进入符合性审查。审查内容如下：</w:t>
      </w:r>
    </w:p>
    <w:p w14:paraId="208B0AA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sz w:val="24"/>
          <w:szCs w:val="24"/>
          <w:highlight w:val="none"/>
          <w:lang w:val="en-US" w:eastAsia="zh-CN"/>
        </w:rPr>
      </w:pPr>
    </w:p>
    <w:p w14:paraId="4DEDF7B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资格审查要求</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935"/>
        <w:gridCol w:w="5829"/>
      </w:tblGrid>
      <w:tr w14:paraId="06CC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DFA200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序号</w:t>
            </w:r>
          </w:p>
        </w:tc>
        <w:tc>
          <w:tcPr>
            <w:tcW w:w="1935" w:type="dxa"/>
            <w:vAlign w:val="center"/>
          </w:tcPr>
          <w:p w14:paraId="6D7AFF1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审查因素</w:t>
            </w:r>
          </w:p>
        </w:tc>
        <w:tc>
          <w:tcPr>
            <w:tcW w:w="5829" w:type="dxa"/>
            <w:vAlign w:val="center"/>
          </w:tcPr>
          <w:p w14:paraId="2AFA093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审查内容</w:t>
            </w:r>
          </w:p>
        </w:tc>
      </w:tr>
      <w:tr w14:paraId="7532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A5DF07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w:t>
            </w:r>
          </w:p>
        </w:tc>
        <w:tc>
          <w:tcPr>
            <w:tcW w:w="1935" w:type="dxa"/>
            <w:vAlign w:val="center"/>
          </w:tcPr>
          <w:p w14:paraId="7394CA1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具有独立承担民事责任的能力</w:t>
            </w:r>
          </w:p>
        </w:tc>
        <w:tc>
          <w:tcPr>
            <w:tcW w:w="5829" w:type="dxa"/>
            <w:vAlign w:val="center"/>
          </w:tcPr>
          <w:p w14:paraId="67F1122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供应商为企业（包括合伙企业）的，应提供有效的“营业执照”；供应商为事业单位的，应提供有效的“事业单位法人证书”；供应商是非企业机构的，应提供有效的“执业许可证”、“登记证书”等证明文件;供应商是个体工商户的，应提供有效的“个体工商户营业执照”；供应商是自然人的，应提供有效的自然人身份证明。”（上述资料须复印件加盖公章）</w:t>
            </w:r>
          </w:p>
          <w:p w14:paraId="6432364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5E7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634628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w:t>
            </w:r>
          </w:p>
        </w:tc>
        <w:tc>
          <w:tcPr>
            <w:tcW w:w="1935" w:type="dxa"/>
            <w:vAlign w:val="center"/>
          </w:tcPr>
          <w:p w14:paraId="519A2F8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具有良好的商业信誉和健全的财务会计制度</w:t>
            </w:r>
          </w:p>
        </w:tc>
        <w:tc>
          <w:tcPr>
            <w:tcW w:w="5829" w:type="dxa"/>
            <w:vAlign w:val="center"/>
          </w:tcPr>
          <w:p w14:paraId="23FD1194">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具有良好的商业信誉和健全的财务会计制度：须提供下列任意一项证明材料：（1）提供本单位2024年度或2025年度由第三方会计师事务所出具的财务审计报告扫描件加盖电子公章</w:t>
            </w:r>
            <w:r>
              <w:rPr>
                <w:rFonts w:hint="eastAsia" w:ascii="仿宋" w:hAnsi="仿宋" w:eastAsia="仿宋" w:cs="仿宋"/>
                <w:b/>
                <w:bCs/>
                <w:color w:val="000000"/>
                <w:spacing w:val="0"/>
                <w:kern w:val="2"/>
                <w:sz w:val="21"/>
                <w:szCs w:val="21"/>
                <w:highlight w:val="none"/>
                <w:u w:val="none"/>
                <w:vertAlign w:val="baseline"/>
                <w:lang w:val="en-US" w:eastAsia="zh-CN" w:bidi="ar"/>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仿宋" w:hAnsi="仿宋" w:eastAsia="仿宋" w:cs="仿宋"/>
                <w:b w:val="0"/>
                <w:bCs w:val="0"/>
                <w:color w:val="000000"/>
                <w:spacing w:val="0"/>
                <w:kern w:val="2"/>
                <w:sz w:val="21"/>
                <w:szCs w:val="21"/>
                <w:highlight w:val="none"/>
                <w:u w:val="none"/>
                <w:vertAlign w:val="baseline"/>
                <w:lang w:val="en-US" w:eastAsia="zh-CN" w:bidi="ar"/>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2B66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3215B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3</w:t>
            </w:r>
          </w:p>
        </w:tc>
        <w:tc>
          <w:tcPr>
            <w:tcW w:w="1935" w:type="dxa"/>
            <w:vAlign w:val="center"/>
          </w:tcPr>
          <w:p w14:paraId="6B068DA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具有履行合同所必需的设备和专业技术能力</w:t>
            </w:r>
          </w:p>
        </w:tc>
        <w:tc>
          <w:tcPr>
            <w:tcW w:w="5829" w:type="dxa"/>
            <w:vAlign w:val="center"/>
          </w:tcPr>
          <w:p w14:paraId="057A443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须提供具备履行合同所必需的设备和专业技术能力的资格声明书加盖电子公章</w:t>
            </w:r>
          </w:p>
        </w:tc>
      </w:tr>
      <w:tr w14:paraId="230E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5E4981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4</w:t>
            </w:r>
          </w:p>
        </w:tc>
        <w:tc>
          <w:tcPr>
            <w:tcW w:w="1935" w:type="dxa"/>
            <w:vAlign w:val="center"/>
          </w:tcPr>
          <w:p w14:paraId="02C1B44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829" w:type="dxa"/>
            <w:vAlign w:val="center"/>
          </w:tcPr>
          <w:p w14:paraId="47FA22A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须提供投标（响应）文件递交截止日期之前六个月内（含投标（响应）截止时间当月）任何一期的依法缴纳税收的相关证明材料扫描件加盖电子公章（如供应商缴纳的增值税、所得税、印花税等我国现行税种中任意一项即可），依法免税的应提供相应文件说明。</w:t>
            </w:r>
          </w:p>
          <w:p w14:paraId="42FDB41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须提供投标（响应）文件递交截止日期之前六个月内（含投标（响应）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6CD8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jc w:val="center"/>
        </w:trPr>
        <w:tc>
          <w:tcPr>
            <w:tcW w:w="758" w:type="dxa"/>
            <w:tcBorders>
              <w:bottom w:val="single" w:color="auto" w:sz="4" w:space="0"/>
            </w:tcBorders>
            <w:vAlign w:val="center"/>
          </w:tcPr>
          <w:p w14:paraId="30D0E7C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5</w:t>
            </w:r>
          </w:p>
        </w:tc>
        <w:tc>
          <w:tcPr>
            <w:tcW w:w="1935" w:type="dxa"/>
            <w:tcBorders>
              <w:bottom w:val="single" w:color="auto" w:sz="4" w:space="0"/>
            </w:tcBorders>
            <w:vAlign w:val="center"/>
          </w:tcPr>
          <w:p w14:paraId="7E346FE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829" w:type="dxa"/>
            <w:tcBorders>
              <w:bottom w:val="single" w:color="auto" w:sz="4" w:space="0"/>
            </w:tcBorders>
            <w:vAlign w:val="center"/>
          </w:tcPr>
          <w:p w14:paraId="32B84DD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参加采购活动前3年内，在经营活动中没有重大违法记录，提供供应商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5A60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58" w:type="dxa"/>
            <w:tcBorders>
              <w:top w:val="single" w:color="auto" w:sz="4" w:space="0"/>
              <w:bottom w:val="single" w:color="auto" w:sz="4" w:space="0"/>
            </w:tcBorders>
            <w:vAlign w:val="center"/>
          </w:tcPr>
          <w:p w14:paraId="11EE40A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6</w:t>
            </w:r>
          </w:p>
        </w:tc>
        <w:tc>
          <w:tcPr>
            <w:tcW w:w="1935" w:type="dxa"/>
            <w:tcBorders>
              <w:top w:val="single" w:color="auto" w:sz="4" w:space="0"/>
              <w:bottom w:val="single" w:color="auto" w:sz="4" w:space="0"/>
            </w:tcBorders>
            <w:vAlign w:val="center"/>
          </w:tcPr>
          <w:p w14:paraId="1007FE9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法律、行政法规规定的其他条件</w:t>
            </w:r>
          </w:p>
        </w:tc>
        <w:tc>
          <w:tcPr>
            <w:tcW w:w="5829" w:type="dxa"/>
            <w:tcBorders>
              <w:top w:val="single" w:color="auto" w:sz="4" w:space="0"/>
              <w:bottom w:val="single" w:color="auto" w:sz="4" w:space="0"/>
            </w:tcBorders>
            <w:vAlign w:val="center"/>
          </w:tcPr>
          <w:p w14:paraId="7DB6FDF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不存在违反国家法律、法规规定的其他情形</w:t>
            </w:r>
          </w:p>
        </w:tc>
      </w:tr>
      <w:tr w14:paraId="02B3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8" w:type="dxa"/>
            <w:tcBorders>
              <w:top w:val="single" w:color="auto" w:sz="4" w:space="0"/>
              <w:bottom w:val="single" w:color="auto" w:sz="4" w:space="0"/>
            </w:tcBorders>
            <w:vAlign w:val="center"/>
          </w:tcPr>
          <w:p w14:paraId="20789E9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7</w:t>
            </w:r>
          </w:p>
        </w:tc>
        <w:tc>
          <w:tcPr>
            <w:tcW w:w="1935" w:type="dxa"/>
            <w:tcBorders>
              <w:top w:val="single" w:color="auto" w:sz="4" w:space="0"/>
              <w:bottom w:val="single" w:color="auto" w:sz="4" w:space="0"/>
            </w:tcBorders>
            <w:vAlign w:val="center"/>
          </w:tcPr>
          <w:p w14:paraId="1D5481D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投标保证金</w:t>
            </w:r>
          </w:p>
        </w:tc>
        <w:tc>
          <w:tcPr>
            <w:tcW w:w="5829" w:type="dxa"/>
            <w:tcBorders>
              <w:top w:val="single" w:color="auto" w:sz="4" w:space="0"/>
              <w:bottom w:val="single" w:color="auto" w:sz="4" w:space="0"/>
            </w:tcBorders>
            <w:vAlign w:val="center"/>
          </w:tcPr>
          <w:p w14:paraId="225F186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按照采购文件的规定提交投标保证金</w:t>
            </w:r>
          </w:p>
        </w:tc>
      </w:tr>
      <w:tr w14:paraId="7E58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758" w:type="dxa"/>
            <w:tcBorders>
              <w:top w:val="single" w:color="auto" w:sz="4" w:space="0"/>
              <w:bottom w:val="single" w:color="auto" w:sz="4" w:space="0"/>
            </w:tcBorders>
            <w:vAlign w:val="center"/>
          </w:tcPr>
          <w:p w14:paraId="789B1AD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8</w:t>
            </w:r>
          </w:p>
        </w:tc>
        <w:tc>
          <w:tcPr>
            <w:tcW w:w="1935" w:type="dxa"/>
            <w:tcBorders>
              <w:top w:val="single" w:color="auto" w:sz="4" w:space="0"/>
              <w:bottom w:val="single" w:color="auto" w:sz="4" w:space="0"/>
            </w:tcBorders>
            <w:vAlign w:val="center"/>
          </w:tcPr>
          <w:p w14:paraId="4A5CEA5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落实政府采购政策的资格要求</w:t>
            </w:r>
          </w:p>
        </w:tc>
        <w:tc>
          <w:tcPr>
            <w:tcW w:w="5829" w:type="dxa"/>
            <w:tcBorders>
              <w:top w:val="single" w:color="auto" w:sz="4" w:space="0"/>
              <w:bottom w:val="single" w:color="auto" w:sz="4" w:space="0"/>
            </w:tcBorders>
            <w:vAlign w:val="center"/>
          </w:tcPr>
          <w:p w14:paraId="2ABE761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本项目专门面向小微企业，供应商必须提供中小企业声明函 。</w:t>
            </w:r>
          </w:p>
        </w:tc>
      </w:tr>
      <w:tr w14:paraId="1E9F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tcBorders>
            <w:vAlign w:val="center"/>
          </w:tcPr>
          <w:p w14:paraId="3BDDCE9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9</w:t>
            </w:r>
          </w:p>
        </w:tc>
        <w:tc>
          <w:tcPr>
            <w:tcW w:w="1935" w:type="dxa"/>
            <w:tcBorders>
              <w:top w:val="single" w:color="auto" w:sz="4" w:space="0"/>
            </w:tcBorders>
            <w:vAlign w:val="center"/>
          </w:tcPr>
          <w:p w14:paraId="70267F2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本项目的其他资格要求（1）</w:t>
            </w:r>
          </w:p>
        </w:tc>
        <w:tc>
          <w:tcPr>
            <w:tcW w:w="5829" w:type="dxa"/>
            <w:tcBorders>
              <w:top w:val="single" w:color="auto" w:sz="4" w:space="0"/>
            </w:tcBorders>
            <w:vAlign w:val="center"/>
          </w:tcPr>
          <w:p w14:paraId="083E28C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供应商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3ED6242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注：如组成联合体参加政府采购活动的，将对所有联合体成员进行信用记录查询，联合体成员存在不良信用记录的，视同联合体存在不良信用记录。</w:t>
            </w:r>
          </w:p>
          <w:p w14:paraId="00ABD4D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如供应商为分支机构的，同时对该分支机构所属总公司（总所）进行信用记录查询，该分支机构所属总公司(总所）存在不良信用记录的，视同供应商存在不良信用记录。</w:t>
            </w:r>
          </w:p>
        </w:tc>
      </w:tr>
      <w:tr w14:paraId="017D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58" w:type="dxa"/>
            <w:vAlign w:val="center"/>
          </w:tcPr>
          <w:p w14:paraId="4C5D7AC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10</w:t>
            </w:r>
          </w:p>
        </w:tc>
        <w:tc>
          <w:tcPr>
            <w:tcW w:w="1935" w:type="dxa"/>
            <w:vAlign w:val="center"/>
          </w:tcPr>
          <w:p w14:paraId="3B3B98B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本项目的其他资格要求（2）</w:t>
            </w:r>
          </w:p>
        </w:tc>
        <w:tc>
          <w:tcPr>
            <w:tcW w:w="5829" w:type="dxa"/>
            <w:vAlign w:val="center"/>
          </w:tcPr>
          <w:p w14:paraId="1EE3953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单位负责人为同一人或者存在直接控股、管理关系的不同供应商，不得同时参加本采购项目（或采购包）投标（响应）。为本项目提供整体设计、</w:t>
            </w:r>
            <w:bookmarkStart w:id="318" w:name="_GoBack"/>
            <w:bookmarkEnd w:id="318"/>
            <w:r>
              <w:rPr>
                <w:rFonts w:hint="eastAsia" w:ascii="仿宋" w:hAnsi="仿宋" w:eastAsia="仿宋" w:cs="仿宋"/>
                <w:b w:val="0"/>
                <w:bCs w:val="0"/>
                <w:color w:val="000000"/>
                <w:spacing w:val="0"/>
                <w:kern w:val="2"/>
                <w:sz w:val="21"/>
                <w:szCs w:val="21"/>
                <w:highlight w:val="none"/>
                <w:u w:val="none"/>
                <w:vertAlign w:val="baseline"/>
                <w:lang w:val="en-US" w:eastAsia="zh-CN" w:bidi="ar"/>
              </w:rPr>
              <w:t>规范编制或者项目管理、监理、 检测等服务的供应商，不得再参与本项目投标（响应）。提供供应商资格声明书。</w:t>
            </w:r>
          </w:p>
        </w:tc>
      </w:tr>
    </w:tbl>
    <w:p w14:paraId="6FC21025">
      <w:pPr>
        <w:pStyle w:val="24"/>
        <w:widowControl w:val="0"/>
        <w:numPr>
          <w:ilvl w:val="0"/>
          <w:numId w:val="0"/>
        </w:numPr>
        <w:autoSpaceDE w:val="0"/>
        <w:autoSpaceDN w:val="0"/>
        <w:spacing w:before="0" w:after="0" w:line="240" w:lineRule="auto"/>
        <w:ind w:right="0" w:rightChars="0"/>
        <w:jc w:val="left"/>
        <w:rPr>
          <w:rFonts w:hint="eastAsia" w:ascii="仿宋" w:hAnsi="仿宋" w:eastAsia="仿宋" w:cs="仿宋"/>
          <w:b/>
          <w:bCs/>
          <w:highlight w:val="none"/>
          <w:lang w:val="en-US" w:eastAsia="zh-CN"/>
        </w:rPr>
      </w:pPr>
    </w:p>
    <w:p w14:paraId="7987B38E">
      <w:pPr>
        <w:pStyle w:val="24"/>
        <w:keepNext w:val="0"/>
        <w:keepLines w:val="0"/>
        <w:pageBreakBefore w:val="0"/>
        <w:widowControl w:val="0"/>
        <w:numPr>
          <w:ilvl w:val="0"/>
          <w:numId w:val="12"/>
        </w:numPr>
        <w:kinsoku/>
        <w:wordWrap/>
        <w:overflowPunct/>
        <w:topLinePunct w:val="0"/>
        <w:autoSpaceDE w:val="0"/>
        <w:autoSpaceDN w:val="0"/>
        <w:bidi w:val="0"/>
        <w:adjustRightInd/>
        <w:snapToGrid/>
        <w:spacing w:before="0" w:after="0" w:line="440" w:lineRule="exact"/>
        <w:ind w:left="0" w:leftChars="0" w:right="0" w:rightChars="0" w:firstLine="0" w:firstLineChars="0"/>
        <w:jc w:val="left"/>
        <w:textAlignment w:val="auto"/>
        <w:outlineLvl w:val="1"/>
        <w:rPr>
          <w:rFonts w:hint="eastAsia" w:ascii="仿宋" w:hAnsi="仿宋" w:eastAsia="仿宋" w:cs="仿宋"/>
          <w:sz w:val="24"/>
          <w:szCs w:val="24"/>
          <w:highlight w:val="none"/>
          <w:lang w:val="en-US" w:eastAsia="zh-CN"/>
        </w:rPr>
      </w:pPr>
      <w:bookmarkStart w:id="255" w:name="_Toc27889"/>
      <w:r>
        <w:rPr>
          <w:rFonts w:hint="eastAsia" w:ascii="仿宋" w:hAnsi="仿宋" w:eastAsia="仿宋" w:cs="仿宋"/>
          <w:b/>
          <w:bCs/>
          <w:sz w:val="24"/>
          <w:szCs w:val="24"/>
          <w:highlight w:val="none"/>
          <w:lang w:val="en-US" w:eastAsia="zh-CN"/>
        </w:rPr>
        <w:t>符合性审查</w:t>
      </w:r>
      <w:bookmarkEnd w:id="255"/>
    </w:p>
    <w:p w14:paraId="781FBA8C">
      <w:pPr>
        <w:keepNext w:val="0"/>
        <w:keepLines w:val="0"/>
        <w:pageBreakBefore w:val="0"/>
        <w:widowControl w:val="0"/>
        <w:numPr>
          <w:ilvl w:val="1"/>
          <w:numId w:val="12"/>
        </w:numPr>
        <w:kinsoku/>
        <w:wordWrap/>
        <w:overflowPunct/>
        <w:topLinePunct w:val="0"/>
        <w:bidi w:val="0"/>
        <w:adjustRightInd/>
        <w:snapToGrid/>
        <w:spacing w:line="44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19A163E1">
      <w:pPr>
        <w:pStyle w:val="24"/>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 w:hAnsi="仿宋" w:eastAsia="仿宋" w:cs="仿宋"/>
          <w:b/>
          <w:bCs/>
          <w:sz w:val="24"/>
          <w:szCs w:val="24"/>
          <w:highlight w:val="none"/>
          <w:lang w:val="en-US" w:eastAsia="zh-CN"/>
        </w:rPr>
      </w:pPr>
    </w:p>
    <w:p w14:paraId="3D01363E">
      <w:pPr>
        <w:pStyle w:val="24"/>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符合性审查要求</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5FF8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7D3955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序号</w:t>
            </w:r>
          </w:p>
        </w:tc>
        <w:tc>
          <w:tcPr>
            <w:tcW w:w="2132" w:type="dxa"/>
            <w:vAlign w:val="center"/>
          </w:tcPr>
          <w:p w14:paraId="7A29495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审查因素</w:t>
            </w:r>
          </w:p>
        </w:tc>
        <w:tc>
          <w:tcPr>
            <w:tcW w:w="5573" w:type="dxa"/>
            <w:vAlign w:val="center"/>
          </w:tcPr>
          <w:p w14:paraId="210DD42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审查内容</w:t>
            </w:r>
          </w:p>
        </w:tc>
      </w:tr>
      <w:tr w14:paraId="5627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0B6DEF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1</w:t>
            </w:r>
          </w:p>
        </w:tc>
        <w:tc>
          <w:tcPr>
            <w:tcW w:w="2132" w:type="dxa"/>
            <w:vAlign w:val="center"/>
          </w:tcPr>
          <w:p w14:paraId="3168116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授权委托书</w:t>
            </w:r>
          </w:p>
        </w:tc>
        <w:tc>
          <w:tcPr>
            <w:tcW w:w="5573" w:type="dxa"/>
            <w:vAlign w:val="center"/>
          </w:tcPr>
          <w:p w14:paraId="6A66194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7A35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vAlign w:val="center"/>
          </w:tcPr>
          <w:p w14:paraId="5A38C3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w:t>
            </w:r>
          </w:p>
        </w:tc>
        <w:tc>
          <w:tcPr>
            <w:tcW w:w="2132" w:type="dxa"/>
            <w:vAlign w:val="center"/>
          </w:tcPr>
          <w:p w14:paraId="6F16AA3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响应完整性</w:t>
            </w:r>
          </w:p>
        </w:tc>
        <w:tc>
          <w:tcPr>
            <w:tcW w:w="5573" w:type="dxa"/>
            <w:vAlign w:val="center"/>
          </w:tcPr>
          <w:p w14:paraId="5CFD816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未将一个采购包/标项中的内容拆开投标</w:t>
            </w:r>
          </w:p>
        </w:tc>
      </w:tr>
      <w:tr w14:paraId="3AEF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B32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3</w:t>
            </w:r>
          </w:p>
        </w:tc>
        <w:tc>
          <w:tcPr>
            <w:tcW w:w="2132" w:type="dxa"/>
            <w:vAlign w:val="center"/>
          </w:tcPr>
          <w:p w14:paraId="2A0164A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响应报价</w:t>
            </w:r>
          </w:p>
        </w:tc>
        <w:tc>
          <w:tcPr>
            <w:tcW w:w="5573" w:type="dxa"/>
            <w:vAlign w:val="center"/>
          </w:tcPr>
          <w:p w14:paraId="2FA1DDF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最后报价未超过磋商文件中规定的采购品目单价预算金额/单价最高限价或项目/采购包（标项）预算金额或者项目/采购包（标项）最高限价；</w:t>
            </w:r>
          </w:p>
        </w:tc>
      </w:tr>
      <w:tr w14:paraId="3ADF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1CEC66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4</w:t>
            </w:r>
          </w:p>
        </w:tc>
        <w:tc>
          <w:tcPr>
            <w:tcW w:w="2132" w:type="dxa"/>
            <w:vAlign w:val="center"/>
          </w:tcPr>
          <w:p w14:paraId="4A4F973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报价唯一性</w:t>
            </w:r>
          </w:p>
        </w:tc>
        <w:tc>
          <w:tcPr>
            <w:tcW w:w="5573" w:type="dxa"/>
            <w:vAlign w:val="center"/>
          </w:tcPr>
          <w:p w14:paraId="590D39E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响应文件未出现可选择性或可调整的报价（采购文件另有规定的除外）</w:t>
            </w:r>
          </w:p>
        </w:tc>
      </w:tr>
      <w:tr w14:paraId="6CDA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5F6AA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5</w:t>
            </w:r>
          </w:p>
        </w:tc>
        <w:tc>
          <w:tcPr>
            <w:tcW w:w="2132" w:type="dxa"/>
            <w:vAlign w:val="center"/>
          </w:tcPr>
          <w:p w14:paraId="35146A6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响应有效期</w:t>
            </w:r>
          </w:p>
        </w:tc>
        <w:tc>
          <w:tcPr>
            <w:tcW w:w="5573" w:type="dxa"/>
            <w:vAlign w:val="center"/>
          </w:tcPr>
          <w:p w14:paraId="366C194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响应文件中承诺的响应有效期满足采购文件中载明的响应有效期的</w:t>
            </w:r>
          </w:p>
        </w:tc>
      </w:tr>
      <w:tr w14:paraId="7BCA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7" w:type="dxa"/>
            <w:vAlign w:val="center"/>
          </w:tcPr>
          <w:p w14:paraId="29645E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6</w:t>
            </w:r>
          </w:p>
        </w:tc>
        <w:tc>
          <w:tcPr>
            <w:tcW w:w="2132" w:type="dxa"/>
            <w:vAlign w:val="center"/>
          </w:tcPr>
          <w:p w14:paraId="4F760B3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签署、盖章</w:t>
            </w:r>
          </w:p>
        </w:tc>
        <w:tc>
          <w:tcPr>
            <w:tcW w:w="5573" w:type="dxa"/>
            <w:vAlign w:val="center"/>
          </w:tcPr>
          <w:p w14:paraId="24995C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按照采购文件要求签署、盖章的</w:t>
            </w:r>
          </w:p>
        </w:tc>
      </w:tr>
      <w:tr w14:paraId="5FE4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3BCBAC0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7</w:t>
            </w:r>
          </w:p>
        </w:tc>
        <w:tc>
          <w:tcPr>
            <w:tcW w:w="2132" w:type="dxa"/>
            <w:vAlign w:val="center"/>
          </w:tcPr>
          <w:p w14:paraId="7C62F97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采购需求的响应</w:t>
            </w:r>
          </w:p>
        </w:tc>
        <w:tc>
          <w:tcPr>
            <w:tcW w:w="5573" w:type="dxa"/>
            <w:vAlign w:val="center"/>
          </w:tcPr>
          <w:p w14:paraId="40D231F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响应文件满足采购文件中※号条款要求的</w:t>
            </w:r>
          </w:p>
        </w:tc>
      </w:tr>
      <w:tr w14:paraId="6B3F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24029F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8</w:t>
            </w:r>
          </w:p>
        </w:tc>
        <w:tc>
          <w:tcPr>
            <w:tcW w:w="2132" w:type="dxa"/>
            <w:vAlign w:val="center"/>
          </w:tcPr>
          <w:p w14:paraId="268CD0E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报价合理性</w:t>
            </w:r>
          </w:p>
        </w:tc>
        <w:tc>
          <w:tcPr>
            <w:tcW w:w="5573" w:type="dxa"/>
            <w:vAlign w:val="center"/>
          </w:tcPr>
          <w:p w14:paraId="192DD3B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报价合理，或</w:t>
            </w:r>
            <w:r>
              <w:rPr>
                <w:rFonts w:hint="eastAsia" w:ascii="方正仿宋_GB2312" w:hAnsi="方正仿宋_GB2312" w:eastAsia="方正仿宋_GB2312" w:cs="方正仿宋_GB2312"/>
                <w:b w:val="0"/>
                <w:bCs w:val="0"/>
                <w:sz w:val="21"/>
                <w:szCs w:val="21"/>
                <w:highlight w:val="none"/>
                <w:vertAlign w:val="baseline"/>
                <w:lang w:val="en-US" w:eastAsia="zh-CN"/>
              </w:rPr>
              <w:t>报价通过磋商小组异常低价投标(响应)审查</w:t>
            </w:r>
          </w:p>
        </w:tc>
      </w:tr>
      <w:tr w14:paraId="3331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17" w:type="dxa"/>
            <w:vAlign w:val="center"/>
          </w:tcPr>
          <w:p w14:paraId="583F18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9</w:t>
            </w:r>
          </w:p>
        </w:tc>
        <w:tc>
          <w:tcPr>
            <w:tcW w:w="2132" w:type="dxa"/>
            <w:vAlign w:val="center"/>
          </w:tcPr>
          <w:p w14:paraId="144B7F9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附加条件</w:t>
            </w:r>
          </w:p>
        </w:tc>
        <w:tc>
          <w:tcPr>
            <w:tcW w:w="5573" w:type="dxa"/>
            <w:vAlign w:val="center"/>
          </w:tcPr>
          <w:p w14:paraId="0999766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响应文件未含有采购人不能接受的附加条件的</w:t>
            </w:r>
          </w:p>
        </w:tc>
      </w:tr>
      <w:tr w14:paraId="643C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0DAD4C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10</w:t>
            </w:r>
          </w:p>
        </w:tc>
        <w:tc>
          <w:tcPr>
            <w:tcW w:w="2132" w:type="dxa"/>
            <w:vAlign w:val="center"/>
          </w:tcPr>
          <w:p w14:paraId="7F8FDC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其他</w:t>
            </w:r>
          </w:p>
        </w:tc>
        <w:tc>
          <w:tcPr>
            <w:tcW w:w="5573" w:type="dxa"/>
            <w:vAlign w:val="center"/>
          </w:tcPr>
          <w:p w14:paraId="2D210E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响应文件中不存在违反国家法律、法规和采购文件规定的其他无效情形</w:t>
            </w:r>
          </w:p>
        </w:tc>
      </w:tr>
    </w:tbl>
    <w:p w14:paraId="342C1F97">
      <w:pPr>
        <w:pStyle w:val="24"/>
        <w:ind w:left="0" w:leftChars="0" w:firstLine="0" w:firstLineChars="0"/>
        <w:rPr>
          <w:rFonts w:hint="eastAsia" w:ascii="仿宋" w:hAnsi="仿宋" w:eastAsia="仿宋" w:cs="仿宋"/>
          <w:highlight w:val="none"/>
          <w:lang w:val="en-US" w:eastAsia="zh-CN"/>
        </w:rPr>
      </w:pPr>
    </w:p>
    <w:p w14:paraId="19376780">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56" w:name="_Toc31864"/>
      <w:r>
        <w:rPr>
          <w:rFonts w:hint="eastAsia" w:ascii="仿宋" w:hAnsi="仿宋" w:eastAsia="仿宋" w:cs="仿宋"/>
          <w:b/>
          <w:bCs/>
          <w:sz w:val="24"/>
          <w:szCs w:val="24"/>
          <w:highlight w:val="none"/>
          <w:lang w:val="en-US" w:eastAsia="zh-CN"/>
        </w:rPr>
        <w:t>响应文件澄清</w:t>
      </w:r>
      <w:bookmarkEnd w:id="256"/>
    </w:p>
    <w:p w14:paraId="096B9A6A">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标过程中，磋商小组将以书面形式要求供应商对其投标（响应）文件中含义不明确、同类问题表述不一致或者有明显文字和计算错误的内容，作出必要的澄清、说明或者补正。代理机构可根据开标环节记录的授权代表人联系方式电话告知供应商，供应商需登录电子招投标系统，在规定时间内完成澄清（响应），并加盖电子印章。若因供应商联系方式错误未接收短信、未接听电话或超时未进行澄清（响应）造成的不利后果由供应商自行承担。供应商的澄清、说明或者补正不得超出投标（响应）文件的范围或者改变投标（响应）文件的实质性内容。澄清文件将作为投标（响应）文件内容的一部分。</w:t>
      </w:r>
    </w:p>
    <w:p w14:paraId="16944EF2">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异常低价审查：依据《关于推动解决政府采购异常低价问题的通知》（财库〔2026〕2号）政府采购评审中出现下列情形之一的，磋商小组应当启动异常低价投标（响应）审查程序：</w:t>
      </w:r>
    </w:p>
    <w:p w14:paraId="4419C5C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34F41AF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6CCD729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（3）投标（响应）报价低于采购项目最高限价45%的，即投标（响应）报价＜采购项目最高限价×45%；</w:t>
      </w:r>
    </w:p>
    <w:p w14:paraId="38C24A0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（4）评审委员会基于专业判断，认为供应商报价过低，有可能影响产品质量或者不能诚信履约的其他情形。</w:t>
      </w:r>
    </w:p>
    <w:p w14:paraId="67A4278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37F864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44C6A48B">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磋商小组不接受供应商主动提出的澄清、说明或补正。</w:t>
      </w:r>
    </w:p>
    <w:p w14:paraId="54AA363F">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磋商小组对供应商提交的澄清、说明或补正有疑问的，可以要求供应商进一步澄清、说明或补正。</w:t>
      </w:r>
    </w:p>
    <w:p w14:paraId="2990785F">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 w:hAnsi="仿宋" w:eastAsia="仿宋" w:cs="仿宋"/>
          <w:sz w:val="24"/>
          <w:szCs w:val="24"/>
          <w:highlight w:val="none"/>
          <w:lang w:val="en-US" w:eastAsia="zh-CN"/>
        </w:rPr>
      </w:pPr>
      <w:bookmarkStart w:id="257" w:name="_Toc12580"/>
      <w:r>
        <w:rPr>
          <w:rFonts w:hint="eastAsia" w:ascii="仿宋" w:hAnsi="仿宋" w:eastAsia="仿宋" w:cs="仿宋"/>
          <w:b/>
          <w:bCs/>
          <w:sz w:val="24"/>
          <w:szCs w:val="24"/>
          <w:highlight w:val="none"/>
          <w:lang w:val="en-US" w:eastAsia="zh-CN"/>
        </w:rPr>
        <w:t>磋商</w:t>
      </w:r>
      <w:bookmarkEnd w:id="257"/>
    </w:p>
    <w:p w14:paraId="485F5F96">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磋商小组所有成员应当集中与单一供应商分别进行磋商，并给予所有参加磋商的供应商平等的磋商机会。</w:t>
      </w:r>
    </w:p>
    <w:p w14:paraId="57E6DF0E">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在磋商过程中，磋商小组可以根据采购文件和磋商情况实质性变动采购需求中的技术、服务要求以及合同草案条款，但不得变动采购文件中的其他内容。实质性变动的内容，须经采购人代表确认。</w:t>
      </w:r>
    </w:p>
    <w:p w14:paraId="0424BCDD">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对采购文件作出的实质性变动是采购文件的有效组成部分，磋商小组应当及时、同时通知所有参加磋商的供应商。</w:t>
      </w:r>
    </w:p>
    <w:p w14:paraId="43A0DF99">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应当按照采购文件的变动情况和磋商小组的要求进行最后报价或重新提交响应文件，并由其法定代表人或授权代表签字或者加盖公章。由授权代表签字的，应当附法定代表人授权书。供应商为自然人的，应当由本人签字并附身份证明。</w:t>
      </w:r>
    </w:p>
    <w:p w14:paraId="0618C4A0">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58" w:name="_Toc3596"/>
      <w:r>
        <w:rPr>
          <w:rFonts w:hint="eastAsia" w:ascii="仿宋" w:hAnsi="仿宋" w:eastAsia="仿宋" w:cs="仿宋"/>
          <w:b/>
          <w:bCs/>
          <w:sz w:val="24"/>
          <w:szCs w:val="24"/>
          <w:highlight w:val="none"/>
          <w:lang w:val="en-US" w:eastAsia="zh-CN"/>
        </w:rPr>
        <w:t>最后报价</w:t>
      </w:r>
      <w:bookmarkEnd w:id="258"/>
    </w:p>
    <w:p w14:paraId="04D2DBBD">
      <w:pPr>
        <w:pStyle w:val="24"/>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磋商结束后，磋商小组应当要求所有实质性响应的供应商在规定时间内提交最后报价。最后报价是供应商响应文件的有效组成部分。未在规定的时间内提交最后报价的供应商将视为自愿退出本次磋商。</w:t>
      </w:r>
    </w:p>
    <w:p w14:paraId="731C3EB3">
      <w:pPr>
        <w:pStyle w:val="24"/>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已提交响应文件的供应商，在提交最后报价之前，可以根据磋商情况退出磋商。</w:t>
      </w:r>
    </w:p>
    <w:p w14:paraId="4E6DF683">
      <w:pPr>
        <w:pStyle w:val="24"/>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除法规规定的特殊性情形外，提交最后报价的供应商不得少于3家。</w:t>
      </w:r>
    </w:p>
    <w:p w14:paraId="5574CD9F">
      <w:pPr>
        <w:pStyle w:val="24"/>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最后报价须包含竞争性磋商文件全部内容，如最后分项报价表有缺漏视为已 含在其他各项报价中，将不对最后报价总价进行调整。磋商小组有权要求供应商在评审现场合理的时间内对此进行书面确认，供应商不确认的，视为将一个采购包中的内容拆开响应，其</w:t>
      </w:r>
      <w:r>
        <w:rPr>
          <w:rFonts w:hint="eastAsia" w:ascii="仿宋" w:hAnsi="仿宋" w:eastAsia="仿宋" w:cs="仿宋"/>
          <w:b/>
          <w:bCs/>
          <w:highlight w:val="none"/>
          <w:lang w:val="en-US" w:eastAsia="zh-CN"/>
        </w:rPr>
        <w:t>响应无效</w:t>
      </w:r>
      <w:r>
        <w:rPr>
          <w:rFonts w:hint="eastAsia" w:ascii="仿宋" w:hAnsi="仿宋" w:eastAsia="仿宋" w:cs="仿宋"/>
          <w:highlight w:val="none"/>
          <w:lang w:val="en-US" w:eastAsia="zh-CN"/>
        </w:rPr>
        <w:t>。</w:t>
      </w:r>
    </w:p>
    <w:p w14:paraId="4C0ECF9F">
      <w:pPr>
        <w:keepNext w:val="0"/>
        <w:keepLines w:val="0"/>
        <w:pageBreakBefore w:val="0"/>
        <w:widowControl w:val="0"/>
        <w:numPr>
          <w:ilvl w:val="0"/>
          <w:numId w:val="12"/>
        </w:numPr>
        <w:kinsoku/>
        <w:wordWrap/>
        <w:overflowPunct/>
        <w:topLinePunct w:val="0"/>
        <w:bidi w:val="0"/>
        <w:adjustRightInd/>
        <w:snapToGrid/>
        <w:spacing w:line="42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59" w:name="_Toc22657"/>
      <w:r>
        <w:rPr>
          <w:rFonts w:hint="eastAsia" w:ascii="仿宋" w:hAnsi="仿宋" w:eastAsia="仿宋" w:cs="仿宋"/>
          <w:b/>
          <w:bCs/>
          <w:sz w:val="24"/>
          <w:szCs w:val="24"/>
          <w:highlight w:val="none"/>
          <w:lang w:val="en-US" w:eastAsia="zh-CN"/>
        </w:rPr>
        <w:t>详细评审</w:t>
      </w:r>
      <w:bookmarkEnd w:id="259"/>
    </w:p>
    <w:p w14:paraId="7EB5C8C7">
      <w:pPr>
        <w:pStyle w:val="24"/>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磋商小组对提交最后报价的供应商的响应文件和最后报价，对其技术部分、商务部分及报价部分作进一步的综合比较和评价。详细评审标准如下：</w:t>
      </w:r>
    </w:p>
    <w:p w14:paraId="3BB7CF20">
      <w:pPr>
        <w:pStyle w:val="24"/>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2A880B12">
      <w:pPr>
        <w:pStyle w:val="24"/>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7A7C6246">
      <w:pPr>
        <w:pStyle w:val="24"/>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4F2B07BF">
      <w:pPr>
        <w:pStyle w:val="24"/>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5B3A2607">
      <w:pPr>
        <w:pStyle w:val="24"/>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367320AA">
      <w:pPr>
        <w:pStyle w:val="24"/>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3FA00FA9">
      <w:pPr>
        <w:pStyle w:val="24"/>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报价评审标准</w:t>
      </w:r>
    </w:p>
    <w:tbl>
      <w:tblPr>
        <w:tblStyle w:val="27"/>
        <w:tblW w:w="9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0"/>
        <w:gridCol w:w="843"/>
        <w:gridCol w:w="6091"/>
      </w:tblGrid>
      <w:tr w14:paraId="40B5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860" w:type="dxa"/>
            <w:vAlign w:val="center"/>
          </w:tcPr>
          <w:p w14:paraId="48547E26">
            <w:pPr>
              <w:pStyle w:val="18"/>
              <w:keepNext w:val="0"/>
              <w:keepLines w:val="0"/>
              <w:pageBreakBefore w:val="0"/>
              <w:widowControl w:val="0"/>
              <w:kinsoku/>
              <w:wordWrap/>
              <w:overflowPunct/>
              <w:topLinePunct w:val="0"/>
              <w:autoSpaceDE w:val="0"/>
              <w:autoSpaceDN w:val="0"/>
              <w:bidi w:val="0"/>
              <w:adjustRightInd/>
              <w:spacing w:line="360" w:lineRule="exact"/>
              <w:ind w:right="8" w:rightChars="0"/>
              <w:jc w:val="center"/>
              <w:textAlignment w:val="auto"/>
              <w:rPr>
                <w:rFonts w:hint="eastAsia" w:ascii="仿宋" w:hAnsi="仿宋" w:eastAsia="仿宋" w:cs="仿宋"/>
                <w:kern w:val="0"/>
                <w:sz w:val="21"/>
                <w:szCs w:val="21"/>
                <w:highlight w:val="none"/>
                <w:vertAlign w:val="baseline"/>
              </w:rPr>
            </w:pPr>
            <w:r>
              <w:rPr>
                <w:rFonts w:hint="eastAsia" w:ascii="仿宋" w:hAnsi="仿宋" w:eastAsia="仿宋" w:cs="仿宋"/>
                <w:kern w:val="0"/>
                <w:sz w:val="21"/>
                <w:szCs w:val="21"/>
                <w:highlight w:val="none"/>
                <w:vertAlign w:val="baseline"/>
                <w:lang w:val="en-US" w:eastAsia="zh-CN"/>
              </w:rPr>
              <w:t>报价</w:t>
            </w:r>
            <w:r>
              <w:rPr>
                <w:rFonts w:hint="eastAsia" w:ascii="仿宋" w:hAnsi="仿宋" w:eastAsia="仿宋" w:cs="仿宋"/>
                <w:kern w:val="0"/>
                <w:sz w:val="21"/>
                <w:szCs w:val="21"/>
                <w:highlight w:val="none"/>
                <w:vertAlign w:val="baseline"/>
              </w:rPr>
              <w:t>部分</w:t>
            </w:r>
          </w:p>
          <w:p w14:paraId="025979B2">
            <w:pPr>
              <w:pStyle w:val="18"/>
              <w:keepNext w:val="0"/>
              <w:keepLines w:val="0"/>
              <w:pageBreakBefore w:val="0"/>
              <w:widowControl w:val="0"/>
              <w:kinsoku/>
              <w:wordWrap/>
              <w:overflowPunct/>
              <w:topLinePunct w:val="0"/>
              <w:autoSpaceDE w:val="0"/>
              <w:autoSpaceDN w:val="0"/>
              <w:bidi w:val="0"/>
              <w:adjustRightInd/>
              <w:spacing w:line="360" w:lineRule="exact"/>
              <w:ind w:right="8" w:rightChars="0"/>
              <w:jc w:val="center"/>
              <w:textAlignment w:val="auto"/>
              <w:rPr>
                <w:rFonts w:hint="eastAsia" w:ascii="仿宋" w:hAnsi="仿宋" w:eastAsia="仿宋" w:cs="仿宋"/>
                <w:kern w:val="0"/>
                <w:sz w:val="21"/>
                <w:szCs w:val="21"/>
                <w:highlight w:val="none"/>
                <w:vertAlign w:val="baseline"/>
              </w:rPr>
            </w:pPr>
            <w:r>
              <w:rPr>
                <w:rFonts w:hint="eastAsia" w:ascii="仿宋" w:hAnsi="仿宋" w:eastAsia="仿宋" w:cs="仿宋"/>
                <w:kern w:val="0"/>
                <w:sz w:val="21"/>
                <w:szCs w:val="21"/>
                <w:highlight w:val="none"/>
                <w:vertAlign w:val="baseline"/>
              </w:rPr>
              <w:t>（</w:t>
            </w:r>
            <w:r>
              <w:rPr>
                <w:rFonts w:hint="eastAsia" w:ascii="仿宋" w:hAnsi="仿宋" w:eastAsia="仿宋" w:cs="仿宋"/>
                <w:kern w:val="0"/>
                <w:sz w:val="21"/>
                <w:szCs w:val="21"/>
                <w:highlight w:val="none"/>
                <w:vertAlign w:val="baseline"/>
                <w:lang w:val="en-US" w:eastAsia="zh-CN"/>
              </w:rPr>
              <w:t>1</w:t>
            </w:r>
            <w:r>
              <w:rPr>
                <w:rFonts w:hint="eastAsia" w:ascii="仿宋" w:hAnsi="仿宋" w:eastAsia="仿宋" w:cs="仿宋"/>
                <w:kern w:val="0"/>
                <w:sz w:val="21"/>
                <w:szCs w:val="21"/>
                <w:highlight w:val="none"/>
                <w:vertAlign w:val="baseline"/>
              </w:rPr>
              <w:t>0分）</w:t>
            </w:r>
          </w:p>
        </w:tc>
        <w:tc>
          <w:tcPr>
            <w:tcW w:w="843" w:type="dxa"/>
            <w:vAlign w:val="center"/>
          </w:tcPr>
          <w:p w14:paraId="1F832C31">
            <w:pPr>
              <w:pStyle w:val="18"/>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 w:hAnsi="仿宋" w:eastAsia="仿宋" w:cs="仿宋"/>
                <w:kern w:val="0"/>
                <w:sz w:val="21"/>
                <w:szCs w:val="21"/>
                <w:highlight w:val="none"/>
                <w:vertAlign w:val="baseline"/>
                <w:lang w:val="en-US" w:eastAsia="zh-CN"/>
              </w:rPr>
            </w:pPr>
            <w:r>
              <w:rPr>
                <w:rFonts w:hint="eastAsia" w:ascii="仿宋" w:hAnsi="仿宋" w:eastAsia="仿宋" w:cs="仿宋"/>
                <w:kern w:val="0"/>
                <w:sz w:val="21"/>
                <w:szCs w:val="21"/>
                <w:highlight w:val="none"/>
                <w:vertAlign w:val="baseline"/>
                <w:lang w:val="en-US" w:eastAsia="zh-CN"/>
              </w:rPr>
              <w:t>10分</w:t>
            </w:r>
          </w:p>
        </w:tc>
        <w:tc>
          <w:tcPr>
            <w:tcW w:w="6091" w:type="dxa"/>
          </w:tcPr>
          <w:p w14:paraId="52D13E4B">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 w:hAnsi="仿宋" w:eastAsia="仿宋" w:cs="仿宋"/>
                <w:kern w:val="0"/>
                <w:sz w:val="21"/>
                <w:szCs w:val="21"/>
                <w:highlight w:val="none"/>
                <w:vertAlign w:val="baseline"/>
              </w:rPr>
            </w:pPr>
            <w:r>
              <w:rPr>
                <w:rFonts w:hint="eastAsia" w:ascii="仿宋" w:hAnsi="仿宋" w:eastAsia="仿宋" w:cs="仿宋"/>
                <w:kern w:val="0"/>
                <w:sz w:val="21"/>
                <w:szCs w:val="21"/>
                <w:highlight w:val="none"/>
                <w:vertAlign w:val="baseline"/>
                <w:lang w:val="en-US" w:eastAsia="zh-CN"/>
              </w:rPr>
              <w:t>满足采购文件</w:t>
            </w:r>
            <w:r>
              <w:rPr>
                <w:rFonts w:hint="eastAsia" w:ascii="仿宋" w:hAnsi="仿宋" w:eastAsia="仿宋" w:cs="仿宋"/>
                <w:kern w:val="0"/>
                <w:sz w:val="21"/>
                <w:szCs w:val="21"/>
                <w:highlight w:val="none"/>
                <w:vertAlign w:val="baseline"/>
              </w:rPr>
              <w:t>要求且</w:t>
            </w:r>
            <w:r>
              <w:rPr>
                <w:rFonts w:hint="eastAsia" w:ascii="仿宋" w:hAnsi="仿宋" w:eastAsia="仿宋" w:cs="仿宋"/>
                <w:kern w:val="0"/>
                <w:sz w:val="21"/>
                <w:szCs w:val="21"/>
                <w:highlight w:val="none"/>
                <w:vertAlign w:val="baseline"/>
                <w:lang w:val="en-US" w:eastAsia="zh-CN"/>
              </w:rPr>
              <w:t>投标</w:t>
            </w:r>
            <w:r>
              <w:rPr>
                <w:rFonts w:hint="eastAsia" w:ascii="仿宋" w:hAnsi="仿宋" w:eastAsia="仿宋" w:cs="仿宋"/>
                <w:kern w:val="0"/>
                <w:sz w:val="21"/>
                <w:szCs w:val="21"/>
                <w:highlight w:val="none"/>
                <w:vertAlign w:val="baseline"/>
              </w:rPr>
              <w:t>价格最低的有效</w:t>
            </w:r>
            <w:r>
              <w:rPr>
                <w:rFonts w:hint="eastAsia" w:ascii="仿宋" w:hAnsi="仿宋" w:eastAsia="仿宋" w:cs="仿宋"/>
                <w:kern w:val="0"/>
                <w:sz w:val="21"/>
                <w:szCs w:val="21"/>
                <w:highlight w:val="none"/>
                <w:vertAlign w:val="baseline"/>
                <w:lang w:val="en-US" w:eastAsia="zh-CN"/>
              </w:rPr>
              <w:t>投标</w:t>
            </w:r>
            <w:r>
              <w:rPr>
                <w:rFonts w:hint="eastAsia" w:ascii="仿宋" w:hAnsi="仿宋" w:eastAsia="仿宋" w:cs="仿宋"/>
                <w:kern w:val="0"/>
                <w:sz w:val="21"/>
                <w:szCs w:val="21"/>
                <w:highlight w:val="none"/>
                <w:vertAlign w:val="baseline"/>
              </w:rPr>
              <w:t>报价（即除低于成本报价以外的报价）为评标基准价。其他</w:t>
            </w:r>
            <w:r>
              <w:rPr>
                <w:rFonts w:hint="eastAsia" w:ascii="仿宋" w:hAnsi="仿宋" w:eastAsia="仿宋" w:cs="仿宋"/>
                <w:kern w:val="0"/>
                <w:sz w:val="21"/>
                <w:szCs w:val="21"/>
                <w:highlight w:val="none"/>
                <w:vertAlign w:val="baseline"/>
                <w:lang w:val="en-US" w:eastAsia="zh-CN"/>
              </w:rPr>
              <w:t>供应商</w:t>
            </w:r>
            <w:r>
              <w:rPr>
                <w:rFonts w:hint="eastAsia" w:ascii="仿宋" w:hAnsi="仿宋" w:eastAsia="仿宋" w:cs="仿宋"/>
                <w:kern w:val="0"/>
                <w:sz w:val="21"/>
                <w:szCs w:val="21"/>
                <w:highlight w:val="none"/>
                <w:vertAlign w:val="baseline"/>
              </w:rPr>
              <w:t>的价格分统一按照下列公式计算：</w:t>
            </w:r>
          </w:p>
          <w:p w14:paraId="26B41A71">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 w:hAnsi="仿宋" w:eastAsia="仿宋" w:cs="仿宋"/>
                <w:kern w:val="0"/>
                <w:sz w:val="21"/>
                <w:szCs w:val="21"/>
                <w:highlight w:val="none"/>
                <w:vertAlign w:val="baseline"/>
                <w:lang w:val="en-US" w:eastAsia="zh-CN"/>
              </w:rPr>
            </w:pPr>
            <w:r>
              <w:rPr>
                <w:rFonts w:hint="eastAsia" w:ascii="仿宋" w:hAnsi="仿宋" w:eastAsia="仿宋" w:cs="仿宋"/>
                <w:kern w:val="0"/>
                <w:sz w:val="21"/>
                <w:szCs w:val="21"/>
                <w:highlight w:val="none"/>
                <w:vertAlign w:val="baseline"/>
              </w:rPr>
              <w:t>投标报价得分=（评标基准价/投标报价）×</w:t>
            </w:r>
            <w:r>
              <w:rPr>
                <w:rFonts w:hint="eastAsia" w:ascii="仿宋" w:hAnsi="仿宋" w:eastAsia="仿宋" w:cs="仿宋"/>
                <w:kern w:val="0"/>
                <w:sz w:val="21"/>
                <w:szCs w:val="21"/>
                <w:highlight w:val="none"/>
                <w:vertAlign w:val="baseline"/>
                <w:lang w:val="en-US" w:eastAsia="zh-CN"/>
              </w:rPr>
              <w:t>价格满分分值</w:t>
            </w:r>
          </w:p>
          <w:p w14:paraId="7FA22D6A">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 w:hAnsi="仿宋" w:eastAsia="仿宋" w:cs="仿宋"/>
                <w:kern w:val="0"/>
                <w:sz w:val="21"/>
                <w:szCs w:val="21"/>
                <w:highlight w:val="none"/>
                <w:vertAlign w:val="baseline"/>
                <w:lang w:val="en-US" w:eastAsia="zh-CN"/>
              </w:rPr>
            </w:pPr>
            <w:r>
              <w:rPr>
                <w:rFonts w:hint="eastAsia" w:ascii="仿宋" w:hAnsi="仿宋" w:eastAsia="仿宋" w:cs="仿宋"/>
                <w:kern w:val="0"/>
                <w:sz w:val="21"/>
                <w:szCs w:val="21"/>
                <w:highlight w:val="none"/>
                <w:vertAlign w:val="baseline"/>
                <w:lang w:val="en-US" w:eastAsia="zh-CN"/>
              </w:rPr>
              <w:t>因落实政府采购政策进行价格调整的，以调整后的价格计算评标基准价和响应报价。</w:t>
            </w:r>
          </w:p>
        </w:tc>
      </w:tr>
    </w:tbl>
    <w:p w14:paraId="3A5953EA">
      <w:pPr>
        <w:pStyle w:val="24"/>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default" w:ascii="仿宋" w:hAnsi="仿宋" w:eastAsia="仿宋" w:cs="仿宋"/>
          <w:b/>
          <w:bCs/>
          <w:highlight w:val="none"/>
          <w:lang w:val="en-US" w:eastAsia="zh-CN"/>
        </w:rPr>
      </w:pPr>
      <w:r>
        <w:rPr>
          <w:rFonts w:hint="eastAsia" w:ascii="仿宋" w:hAnsi="仿宋" w:eastAsia="仿宋" w:cs="仿宋"/>
          <w:b/>
          <w:bCs/>
          <w:highlight w:val="none"/>
          <w:lang w:val="en-US" w:eastAsia="zh-CN"/>
        </w:rPr>
        <w:t>商务技术评审标准</w:t>
      </w:r>
    </w:p>
    <w:tbl>
      <w:tblPr>
        <w:tblStyle w:val="26"/>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9"/>
        <w:gridCol w:w="898"/>
        <w:gridCol w:w="1400"/>
        <w:gridCol w:w="5429"/>
        <w:gridCol w:w="833"/>
        <w:gridCol w:w="689"/>
      </w:tblGrid>
      <w:tr w14:paraId="0107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7" w:hRule="atLeast"/>
          <w:jc w:val="center"/>
        </w:trPr>
        <w:tc>
          <w:tcPr>
            <w:tcW w:w="1387" w:type="dxa"/>
            <w:gridSpan w:val="2"/>
            <w:vAlign w:val="top"/>
          </w:tcPr>
          <w:p w14:paraId="47B2E7A3">
            <w:pPr>
              <w:keepNext w:val="0"/>
              <w:keepLines w:val="0"/>
              <w:pageBreakBefore w:val="0"/>
              <w:widowControl w:val="0"/>
              <w:kinsoku/>
              <w:wordWrap/>
              <w:overflowPunct/>
              <w:topLinePunct w:val="0"/>
              <w:autoSpaceDE/>
              <w:autoSpaceDN/>
              <w:bidi w:val="0"/>
              <w:adjustRightInd w:val="0"/>
              <w:snapToGrid w:val="0"/>
              <w:spacing w:line="440" w:lineRule="exact"/>
              <w:ind w:firstLine="517" w:firstLineChars="245"/>
              <w:rPr>
                <w:rFonts w:hint="eastAsia" w:ascii="仿宋" w:hAnsi="仿宋" w:eastAsia="仿宋" w:cs="仿宋"/>
                <w:color w:val="auto"/>
                <w:spacing w:val="0"/>
                <w:sz w:val="21"/>
                <w:szCs w:val="21"/>
                <w:highlight w:val="none"/>
              </w:rPr>
            </w:pPr>
            <w:r>
              <w:rPr>
                <w:rFonts w:hint="eastAsia" w:ascii="仿宋" w:hAnsi="仿宋" w:eastAsia="仿宋" w:cs="仿宋"/>
                <w:b/>
                <w:color w:val="auto"/>
                <w:spacing w:val="0"/>
                <w:sz w:val="21"/>
                <w:szCs w:val="21"/>
                <w:highlight w:val="none"/>
              </w:rPr>
              <w:t>评分因素</w:t>
            </w:r>
          </w:p>
        </w:tc>
        <w:tc>
          <w:tcPr>
            <w:tcW w:w="1400" w:type="dxa"/>
            <w:vAlign w:val="center"/>
          </w:tcPr>
          <w:p w14:paraId="1CECD71B">
            <w:pPr>
              <w:keepNext w:val="0"/>
              <w:keepLines w:val="0"/>
              <w:pageBreakBefore w:val="0"/>
              <w:widowControl w:val="0"/>
              <w:kinsoku/>
              <w:wordWrap/>
              <w:overflowPunct/>
              <w:topLinePunct w:val="0"/>
              <w:autoSpaceDE/>
              <w:autoSpaceDN/>
              <w:bidi w:val="0"/>
              <w:adjustRightInd w:val="0"/>
              <w:snapToGrid w:val="0"/>
              <w:spacing w:line="440" w:lineRule="exact"/>
              <w:ind w:firstLine="527" w:firstLineChars="250"/>
              <w:rPr>
                <w:rFonts w:hint="eastAsia" w:ascii="仿宋" w:hAnsi="仿宋" w:eastAsia="仿宋" w:cs="仿宋"/>
                <w:color w:val="auto"/>
                <w:spacing w:val="0"/>
                <w:sz w:val="21"/>
                <w:szCs w:val="21"/>
                <w:highlight w:val="none"/>
              </w:rPr>
            </w:pPr>
            <w:r>
              <w:rPr>
                <w:rFonts w:hint="eastAsia" w:ascii="仿宋" w:hAnsi="仿宋" w:eastAsia="仿宋" w:cs="仿宋"/>
                <w:b/>
                <w:color w:val="auto"/>
                <w:spacing w:val="0"/>
                <w:sz w:val="21"/>
                <w:szCs w:val="21"/>
                <w:highlight w:val="none"/>
              </w:rPr>
              <w:t>评分点</w:t>
            </w:r>
          </w:p>
        </w:tc>
        <w:tc>
          <w:tcPr>
            <w:tcW w:w="5429" w:type="dxa"/>
            <w:vAlign w:val="center"/>
          </w:tcPr>
          <w:p w14:paraId="2F993E27">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r>
              <w:rPr>
                <w:rFonts w:hint="eastAsia" w:ascii="仿宋" w:hAnsi="仿宋" w:eastAsia="仿宋" w:cs="仿宋"/>
                <w:b/>
                <w:color w:val="auto"/>
                <w:spacing w:val="0"/>
                <w:sz w:val="21"/>
                <w:szCs w:val="21"/>
                <w:highlight w:val="none"/>
              </w:rPr>
              <w:t>评分标准</w:t>
            </w:r>
          </w:p>
        </w:tc>
        <w:tc>
          <w:tcPr>
            <w:tcW w:w="1522" w:type="dxa"/>
            <w:gridSpan w:val="2"/>
            <w:vAlign w:val="top"/>
          </w:tcPr>
          <w:p w14:paraId="07CE3003">
            <w:pPr>
              <w:keepNext w:val="0"/>
              <w:keepLines w:val="0"/>
              <w:pageBreakBefore w:val="0"/>
              <w:widowControl w:val="0"/>
              <w:kinsoku/>
              <w:wordWrap/>
              <w:overflowPunct/>
              <w:topLinePunct w:val="0"/>
              <w:autoSpaceDE/>
              <w:autoSpaceDN/>
              <w:bidi w:val="0"/>
              <w:adjustRightInd w:val="0"/>
              <w:snapToGrid w:val="0"/>
              <w:spacing w:line="440" w:lineRule="exact"/>
              <w:ind w:firstLine="310" w:firstLineChars="147"/>
              <w:rPr>
                <w:rFonts w:hint="eastAsia" w:ascii="仿宋" w:hAnsi="仿宋" w:eastAsia="仿宋" w:cs="仿宋"/>
                <w:color w:val="auto"/>
                <w:spacing w:val="0"/>
                <w:sz w:val="21"/>
                <w:szCs w:val="21"/>
                <w:highlight w:val="none"/>
                <w:lang w:eastAsia="zh-CN"/>
              </w:rPr>
            </w:pPr>
            <w:r>
              <w:rPr>
                <w:rFonts w:hint="eastAsia" w:ascii="仿宋" w:hAnsi="仿宋" w:eastAsia="仿宋" w:cs="仿宋"/>
                <w:b/>
                <w:color w:val="auto"/>
                <w:spacing w:val="0"/>
                <w:sz w:val="21"/>
                <w:szCs w:val="21"/>
                <w:highlight w:val="none"/>
                <w:lang w:eastAsia="zh-CN"/>
              </w:rPr>
              <w:t>分值</w:t>
            </w:r>
          </w:p>
        </w:tc>
      </w:tr>
      <w:tr w14:paraId="0C37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2" w:hRule="atLeast"/>
          <w:jc w:val="center"/>
        </w:trPr>
        <w:tc>
          <w:tcPr>
            <w:tcW w:w="489" w:type="dxa"/>
            <w:vMerge w:val="restart"/>
            <w:vAlign w:val="top"/>
          </w:tcPr>
          <w:p w14:paraId="5EE57021">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p w14:paraId="610B8362">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p w14:paraId="718E30AB">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p w14:paraId="2542B373">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p w14:paraId="7D91BE47">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p w14:paraId="13AE241D">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p w14:paraId="179606AC">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详细评审</w:t>
            </w:r>
          </w:p>
        </w:tc>
        <w:tc>
          <w:tcPr>
            <w:tcW w:w="898" w:type="dxa"/>
            <w:vMerge w:val="restart"/>
            <w:vAlign w:val="center"/>
          </w:tcPr>
          <w:p w14:paraId="728D7B66">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商务标评审</w:t>
            </w:r>
          </w:p>
        </w:tc>
        <w:tc>
          <w:tcPr>
            <w:tcW w:w="1400" w:type="dxa"/>
            <w:vAlign w:val="center"/>
          </w:tcPr>
          <w:p w14:paraId="46D2FAC5">
            <w:pPr>
              <w:keepNext w:val="0"/>
              <w:keepLines w:val="0"/>
              <w:pageBreakBefore w:val="0"/>
              <w:widowControl w:val="0"/>
              <w:kinsoku/>
              <w:wordWrap/>
              <w:overflowPunct/>
              <w:topLinePunct w:val="0"/>
              <w:autoSpaceDE/>
              <w:autoSpaceDN/>
              <w:bidi w:val="0"/>
              <w:adjustRightInd w:val="0"/>
              <w:snapToGrid w:val="0"/>
              <w:spacing w:line="288" w:lineRule="auto"/>
              <w:jc w:val="center"/>
              <w:rPr>
                <w:rFonts w:hint="eastAsia" w:ascii="仿宋" w:hAnsi="仿宋" w:eastAsia="仿宋" w:cs="仿宋"/>
                <w:color w:val="auto"/>
                <w:spacing w:val="0"/>
                <w:sz w:val="21"/>
                <w:szCs w:val="21"/>
                <w:highlight w:val="none"/>
                <w:lang w:eastAsia="zh-CN"/>
              </w:rPr>
            </w:pPr>
            <w:r>
              <w:rPr>
                <w:rFonts w:hint="eastAsia" w:ascii="仿宋" w:hAnsi="仿宋" w:eastAsia="仿宋" w:cs="仿宋"/>
                <w:color w:val="auto"/>
                <w:spacing w:val="0"/>
                <w:sz w:val="21"/>
                <w:szCs w:val="21"/>
                <w:highlight w:val="none"/>
                <w:lang w:eastAsia="zh-CN"/>
              </w:rPr>
              <w:t>业绩情况</w:t>
            </w:r>
          </w:p>
        </w:tc>
        <w:tc>
          <w:tcPr>
            <w:tcW w:w="6262" w:type="dxa"/>
            <w:gridSpan w:val="2"/>
            <w:vAlign w:val="center"/>
          </w:tcPr>
          <w:p w14:paraId="7A9E2E7E">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rPr>
            </w:pPr>
            <w:r>
              <w:rPr>
                <w:rFonts w:hint="eastAsia" w:ascii="仿宋" w:hAnsi="仿宋" w:eastAsia="仿宋" w:cs="仿宋"/>
                <w:bCs/>
                <w:color w:val="auto"/>
                <w:spacing w:val="0"/>
                <w:sz w:val="21"/>
                <w:szCs w:val="21"/>
                <w:highlight w:val="none"/>
                <w:lang w:val="en-US" w:eastAsia="zh-CN"/>
              </w:rPr>
              <w:t>投标人提供2023年1月1日以来完成的类似项目业绩（须提供成交通知书或合同或业主证明材料），每提供 1 项得 4 分，最多得 12 分。注：</w:t>
            </w:r>
            <w:r>
              <w:rPr>
                <w:rFonts w:hint="eastAsia" w:ascii="仿宋" w:hAnsi="仿宋" w:eastAsia="仿宋" w:cs="仿宋"/>
                <w:bCs/>
                <w:color w:val="auto"/>
                <w:spacing w:val="0"/>
                <w:sz w:val="21"/>
                <w:szCs w:val="21"/>
                <w:highlight w:val="none"/>
              </w:rPr>
              <w:t>在标书中附清晰且完整的复印件，否则不得分。</w:t>
            </w:r>
          </w:p>
        </w:tc>
        <w:tc>
          <w:tcPr>
            <w:tcW w:w="689" w:type="dxa"/>
            <w:vAlign w:val="center"/>
          </w:tcPr>
          <w:p w14:paraId="56C142C6">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lang w:val="en-US" w:eastAsia="zh-CN"/>
              </w:rPr>
            </w:pPr>
            <w:r>
              <w:rPr>
                <w:rFonts w:hint="eastAsia" w:ascii="仿宋" w:hAnsi="仿宋" w:eastAsia="仿宋" w:cs="仿宋"/>
                <w:color w:val="auto"/>
                <w:spacing w:val="0"/>
                <w:sz w:val="21"/>
                <w:szCs w:val="21"/>
                <w:highlight w:val="none"/>
                <w:lang w:val="en-US" w:eastAsia="zh-CN"/>
              </w:rPr>
              <w:t>12分</w:t>
            </w:r>
          </w:p>
        </w:tc>
      </w:tr>
      <w:tr w14:paraId="5F18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79" w:hRule="atLeast"/>
          <w:jc w:val="center"/>
        </w:trPr>
        <w:tc>
          <w:tcPr>
            <w:tcW w:w="489" w:type="dxa"/>
            <w:vMerge w:val="continue"/>
            <w:vAlign w:val="top"/>
          </w:tcPr>
          <w:p w14:paraId="1DB7837D">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898" w:type="dxa"/>
            <w:vMerge w:val="continue"/>
            <w:vAlign w:val="center"/>
          </w:tcPr>
          <w:p w14:paraId="79291C11">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1400" w:type="dxa"/>
            <w:vAlign w:val="center"/>
          </w:tcPr>
          <w:p w14:paraId="25760620">
            <w:pPr>
              <w:keepNext w:val="0"/>
              <w:keepLines w:val="0"/>
              <w:pageBreakBefore w:val="0"/>
              <w:widowControl w:val="0"/>
              <w:kinsoku/>
              <w:wordWrap/>
              <w:overflowPunct/>
              <w:topLinePunct w:val="0"/>
              <w:autoSpaceDE/>
              <w:autoSpaceDN/>
              <w:bidi w:val="0"/>
              <w:adjustRightInd w:val="0"/>
              <w:snapToGrid w:val="0"/>
              <w:spacing w:line="288" w:lineRule="auto"/>
              <w:jc w:val="center"/>
              <w:rPr>
                <w:rFonts w:hint="eastAsia" w:ascii="仿宋" w:hAnsi="仿宋" w:eastAsia="仿宋" w:cs="仿宋"/>
                <w:color w:val="auto"/>
                <w:spacing w:val="0"/>
                <w:sz w:val="21"/>
                <w:szCs w:val="21"/>
                <w:highlight w:val="none"/>
                <w:lang w:eastAsia="zh-CN"/>
              </w:rPr>
            </w:pPr>
            <w:r>
              <w:rPr>
                <w:rFonts w:hint="eastAsia" w:ascii="仿宋" w:hAnsi="仿宋" w:eastAsia="仿宋" w:cs="仿宋"/>
                <w:bCs/>
                <w:color w:val="auto"/>
                <w:spacing w:val="0"/>
                <w:sz w:val="21"/>
                <w:szCs w:val="21"/>
                <w:highlight w:val="none"/>
                <w:lang w:val="en-US" w:eastAsia="zh-CN"/>
              </w:rPr>
              <w:t>项目负责人</w:t>
            </w:r>
          </w:p>
        </w:tc>
        <w:tc>
          <w:tcPr>
            <w:tcW w:w="6262" w:type="dxa"/>
            <w:gridSpan w:val="2"/>
            <w:vAlign w:val="top"/>
          </w:tcPr>
          <w:p w14:paraId="06D590DA">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拟投入本项目的项目负责人，负责组织活动并带领学员，需具备相关工作经验。需提供劳动合同、相应证书复印件；得2分；提供2023年1月1日以来完成的类似项目业绩，每提供 1 项得 2分，最多得4分。</w:t>
            </w:r>
          </w:p>
          <w:p w14:paraId="43CA4CEC">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注：业绩证明文件（业绩证明文件需体现负责人姓名）等证明材料加盖公章。</w:t>
            </w:r>
          </w:p>
        </w:tc>
        <w:tc>
          <w:tcPr>
            <w:tcW w:w="689" w:type="dxa"/>
            <w:vAlign w:val="center"/>
          </w:tcPr>
          <w:p w14:paraId="5E47A2A2">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lang w:val="en-US" w:eastAsia="zh-CN"/>
              </w:rPr>
            </w:pPr>
            <w:r>
              <w:rPr>
                <w:rFonts w:hint="eastAsia" w:ascii="仿宋" w:hAnsi="仿宋" w:eastAsia="仿宋" w:cs="仿宋"/>
                <w:color w:val="auto"/>
                <w:spacing w:val="0"/>
                <w:sz w:val="21"/>
                <w:szCs w:val="21"/>
                <w:highlight w:val="none"/>
                <w:lang w:val="en-US" w:eastAsia="zh-CN"/>
              </w:rPr>
              <w:t>6分</w:t>
            </w:r>
          </w:p>
        </w:tc>
      </w:tr>
      <w:tr w14:paraId="3798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24" w:hRule="atLeast"/>
          <w:jc w:val="center"/>
        </w:trPr>
        <w:tc>
          <w:tcPr>
            <w:tcW w:w="489" w:type="dxa"/>
            <w:vMerge w:val="continue"/>
            <w:vAlign w:val="top"/>
          </w:tcPr>
          <w:p w14:paraId="19B44649">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898" w:type="dxa"/>
            <w:vMerge w:val="continue"/>
            <w:vAlign w:val="center"/>
          </w:tcPr>
          <w:p w14:paraId="2F7A19CE">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1400" w:type="dxa"/>
            <w:vAlign w:val="center"/>
          </w:tcPr>
          <w:p w14:paraId="45CCD27E">
            <w:pPr>
              <w:keepNext w:val="0"/>
              <w:keepLines w:val="0"/>
              <w:pageBreakBefore w:val="0"/>
              <w:widowControl w:val="0"/>
              <w:kinsoku/>
              <w:wordWrap/>
              <w:overflowPunct/>
              <w:topLinePunct w:val="0"/>
              <w:autoSpaceDE/>
              <w:autoSpaceDN/>
              <w:bidi w:val="0"/>
              <w:adjustRightInd w:val="0"/>
              <w:snapToGrid w:val="0"/>
              <w:spacing w:line="288" w:lineRule="auto"/>
              <w:jc w:val="center"/>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团队人员1</w:t>
            </w:r>
          </w:p>
        </w:tc>
        <w:tc>
          <w:tcPr>
            <w:tcW w:w="6262" w:type="dxa"/>
            <w:gridSpan w:val="2"/>
            <w:vAlign w:val="top"/>
          </w:tcPr>
          <w:p w14:paraId="76A506B3">
            <w:pPr>
              <w:widowControl/>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拟投入本项目的团队人员，每提供1名持手语翻译员（初级）及以上证书的人员得2分，满分4分。</w:t>
            </w:r>
          </w:p>
          <w:p w14:paraId="06486D8A">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注：需提供劳动合同、相应证书复印件等证明材料加盖公章。</w:t>
            </w:r>
          </w:p>
        </w:tc>
        <w:tc>
          <w:tcPr>
            <w:tcW w:w="689" w:type="dxa"/>
            <w:vAlign w:val="center"/>
          </w:tcPr>
          <w:p w14:paraId="203BBD44">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lang w:val="en-US" w:eastAsia="zh-CN"/>
              </w:rPr>
            </w:pPr>
            <w:r>
              <w:rPr>
                <w:rFonts w:hint="eastAsia" w:ascii="仿宋" w:hAnsi="仿宋" w:eastAsia="仿宋" w:cs="仿宋"/>
                <w:color w:val="auto"/>
                <w:spacing w:val="0"/>
                <w:sz w:val="21"/>
                <w:szCs w:val="21"/>
                <w:highlight w:val="none"/>
                <w:lang w:val="en-US" w:eastAsia="zh-CN"/>
              </w:rPr>
              <w:t>4分</w:t>
            </w:r>
          </w:p>
        </w:tc>
      </w:tr>
      <w:tr w14:paraId="2635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99" w:hRule="atLeast"/>
          <w:jc w:val="center"/>
        </w:trPr>
        <w:tc>
          <w:tcPr>
            <w:tcW w:w="489" w:type="dxa"/>
            <w:vMerge w:val="continue"/>
            <w:vAlign w:val="top"/>
          </w:tcPr>
          <w:p w14:paraId="47F67F87">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898" w:type="dxa"/>
            <w:vMerge w:val="continue"/>
            <w:vAlign w:val="center"/>
          </w:tcPr>
          <w:p w14:paraId="58914C77">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1400" w:type="dxa"/>
            <w:vAlign w:val="center"/>
          </w:tcPr>
          <w:p w14:paraId="6FE56E22">
            <w:pPr>
              <w:keepNext w:val="0"/>
              <w:keepLines w:val="0"/>
              <w:pageBreakBefore w:val="0"/>
              <w:widowControl w:val="0"/>
              <w:kinsoku/>
              <w:wordWrap/>
              <w:overflowPunct/>
              <w:topLinePunct w:val="0"/>
              <w:autoSpaceDE/>
              <w:autoSpaceDN/>
              <w:bidi w:val="0"/>
              <w:adjustRightInd w:val="0"/>
              <w:snapToGrid w:val="0"/>
              <w:spacing w:line="288" w:lineRule="auto"/>
              <w:jc w:val="center"/>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团队人员2</w:t>
            </w:r>
          </w:p>
        </w:tc>
        <w:tc>
          <w:tcPr>
            <w:tcW w:w="6262" w:type="dxa"/>
            <w:gridSpan w:val="2"/>
            <w:vAlign w:val="top"/>
          </w:tcPr>
          <w:p w14:paraId="6100C3CA">
            <w:pPr>
              <w:widowControl/>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拟投入本项目的其他带队人员，每提供1名得2分，满分6分。未提供不得分。</w:t>
            </w:r>
          </w:p>
          <w:p w14:paraId="00EAA586">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注：需提供劳动合同、相应证书复印件等证明材料加盖公章。</w:t>
            </w:r>
          </w:p>
        </w:tc>
        <w:tc>
          <w:tcPr>
            <w:tcW w:w="689" w:type="dxa"/>
            <w:vAlign w:val="center"/>
          </w:tcPr>
          <w:p w14:paraId="37FB35CA">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lang w:val="en-US" w:eastAsia="zh-CN"/>
              </w:rPr>
            </w:pPr>
            <w:r>
              <w:rPr>
                <w:rFonts w:hint="eastAsia" w:ascii="仿宋" w:hAnsi="仿宋" w:eastAsia="仿宋" w:cs="仿宋"/>
                <w:color w:val="auto"/>
                <w:spacing w:val="0"/>
                <w:sz w:val="21"/>
                <w:szCs w:val="21"/>
                <w:highlight w:val="none"/>
                <w:lang w:val="en-US" w:eastAsia="zh-CN"/>
              </w:rPr>
              <w:t>6分</w:t>
            </w:r>
          </w:p>
        </w:tc>
      </w:tr>
      <w:tr w14:paraId="5FCD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34" w:hRule="atLeast"/>
          <w:jc w:val="center"/>
        </w:trPr>
        <w:tc>
          <w:tcPr>
            <w:tcW w:w="489" w:type="dxa"/>
            <w:vMerge w:val="continue"/>
            <w:vAlign w:val="top"/>
          </w:tcPr>
          <w:p w14:paraId="5F69934D">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898" w:type="dxa"/>
            <w:vMerge w:val="continue"/>
            <w:vAlign w:val="center"/>
          </w:tcPr>
          <w:p w14:paraId="03410B25">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1400" w:type="dxa"/>
            <w:vAlign w:val="center"/>
          </w:tcPr>
          <w:p w14:paraId="0B2C7024">
            <w:pPr>
              <w:keepNext w:val="0"/>
              <w:keepLines w:val="0"/>
              <w:pageBreakBefore w:val="0"/>
              <w:widowControl w:val="0"/>
              <w:kinsoku/>
              <w:wordWrap/>
              <w:overflowPunct/>
              <w:topLinePunct w:val="0"/>
              <w:autoSpaceDE/>
              <w:autoSpaceDN/>
              <w:bidi w:val="0"/>
              <w:adjustRightInd w:val="0"/>
              <w:snapToGrid w:val="0"/>
              <w:spacing w:line="288" w:lineRule="auto"/>
              <w:jc w:val="center"/>
              <w:rPr>
                <w:rFonts w:hint="eastAsia" w:ascii="仿宋" w:hAnsi="仿宋" w:eastAsia="仿宋" w:cs="仿宋"/>
                <w:color w:val="auto"/>
                <w:spacing w:val="0"/>
                <w:sz w:val="21"/>
                <w:szCs w:val="21"/>
                <w:highlight w:val="none"/>
                <w:lang w:val="en-US" w:eastAsia="zh-CN"/>
              </w:rPr>
            </w:pPr>
            <w:r>
              <w:rPr>
                <w:rFonts w:hint="eastAsia" w:ascii="仿宋" w:hAnsi="仿宋" w:eastAsia="仿宋" w:cs="仿宋"/>
                <w:color w:val="auto"/>
                <w:spacing w:val="0"/>
                <w:sz w:val="21"/>
                <w:szCs w:val="21"/>
                <w:highlight w:val="none"/>
                <w:lang w:val="en-US" w:eastAsia="zh-CN"/>
              </w:rPr>
              <w:t>人员保险</w:t>
            </w:r>
          </w:p>
        </w:tc>
        <w:tc>
          <w:tcPr>
            <w:tcW w:w="6262" w:type="dxa"/>
            <w:gridSpan w:val="2"/>
            <w:vAlign w:val="top"/>
          </w:tcPr>
          <w:p w14:paraId="78FAC0A6">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需要为本次参与活动的学生购买短期意外保险，意外身故和残疾的保额在10万的得1分，保险保额在20万的得2分，保险保额在30万及以上的得3分。未提供不得分。</w:t>
            </w:r>
          </w:p>
          <w:p w14:paraId="0BC872B9">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 xml:space="preserve">注：需提供保险购买承诺书、拟购买保险保单，提供证明材料加盖公章。   </w:t>
            </w:r>
          </w:p>
        </w:tc>
        <w:tc>
          <w:tcPr>
            <w:tcW w:w="689" w:type="dxa"/>
            <w:vAlign w:val="center"/>
          </w:tcPr>
          <w:p w14:paraId="6EB534A1">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lang w:val="en-US" w:eastAsia="zh-CN"/>
              </w:rPr>
            </w:pPr>
            <w:r>
              <w:rPr>
                <w:rFonts w:hint="eastAsia" w:ascii="仿宋" w:hAnsi="仿宋" w:eastAsia="仿宋" w:cs="仿宋"/>
                <w:color w:val="auto"/>
                <w:spacing w:val="0"/>
                <w:sz w:val="21"/>
                <w:szCs w:val="21"/>
                <w:highlight w:val="none"/>
                <w:lang w:val="en-US" w:eastAsia="zh-CN"/>
              </w:rPr>
              <w:t>3分</w:t>
            </w:r>
          </w:p>
        </w:tc>
      </w:tr>
      <w:tr w14:paraId="5013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4" w:hRule="atLeast"/>
          <w:jc w:val="center"/>
        </w:trPr>
        <w:tc>
          <w:tcPr>
            <w:tcW w:w="489" w:type="dxa"/>
            <w:vMerge w:val="continue"/>
            <w:vAlign w:val="top"/>
          </w:tcPr>
          <w:p w14:paraId="395AEF9B">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898" w:type="dxa"/>
            <w:vMerge w:val="restart"/>
            <w:vAlign w:val="center"/>
          </w:tcPr>
          <w:p w14:paraId="026E620E">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技术标评审</w:t>
            </w:r>
          </w:p>
        </w:tc>
        <w:tc>
          <w:tcPr>
            <w:tcW w:w="1400" w:type="dxa"/>
            <w:vAlign w:val="center"/>
          </w:tcPr>
          <w:p w14:paraId="0A2D03A4">
            <w:pPr>
              <w:keepNext w:val="0"/>
              <w:keepLines w:val="0"/>
              <w:pageBreakBefore w:val="0"/>
              <w:widowControl/>
              <w:suppressLineNumbers w:val="0"/>
              <w:kinsoku/>
              <w:wordWrap/>
              <w:overflowPunct/>
              <w:topLinePunct w:val="0"/>
              <w:bidi w:val="0"/>
              <w:spacing w:line="288" w:lineRule="auto"/>
              <w:jc w:val="center"/>
              <w:rPr>
                <w:rFonts w:hint="eastAsia" w:ascii="仿宋" w:hAnsi="仿宋" w:eastAsia="仿宋" w:cs="仿宋"/>
                <w:color w:val="auto"/>
                <w:spacing w:val="0"/>
                <w:kern w:val="2"/>
                <w:sz w:val="21"/>
                <w:szCs w:val="21"/>
                <w:highlight w:val="none"/>
                <w:lang w:val="en-US" w:eastAsia="zh-CN" w:bidi="ar-SA"/>
              </w:rPr>
            </w:pPr>
            <w:r>
              <w:rPr>
                <w:rFonts w:hint="eastAsia" w:ascii="仿宋" w:hAnsi="仿宋" w:eastAsia="仿宋" w:cs="仿宋"/>
                <w:color w:val="auto"/>
                <w:spacing w:val="0"/>
                <w:kern w:val="2"/>
                <w:sz w:val="21"/>
                <w:szCs w:val="21"/>
                <w:highlight w:val="none"/>
                <w:lang w:val="en-US" w:eastAsia="zh-CN" w:bidi="ar-SA"/>
              </w:rPr>
              <w:t>活动日程</w:t>
            </w:r>
          </w:p>
          <w:p w14:paraId="515ABA3D">
            <w:pPr>
              <w:keepNext w:val="0"/>
              <w:keepLines w:val="0"/>
              <w:pageBreakBefore w:val="0"/>
              <w:widowControl/>
              <w:suppressLineNumbers w:val="0"/>
              <w:kinsoku/>
              <w:wordWrap/>
              <w:overflowPunct/>
              <w:topLinePunct w:val="0"/>
              <w:bidi w:val="0"/>
              <w:spacing w:line="288" w:lineRule="auto"/>
              <w:jc w:val="center"/>
              <w:rPr>
                <w:rFonts w:hint="eastAsia" w:ascii="仿宋" w:hAnsi="仿宋" w:eastAsia="仿宋" w:cs="仿宋"/>
                <w:color w:val="auto"/>
                <w:spacing w:val="0"/>
                <w:kern w:val="2"/>
                <w:sz w:val="21"/>
                <w:szCs w:val="21"/>
                <w:highlight w:val="none"/>
                <w:lang w:val="en-US" w:eastAsia="zh-CN" w:bidi="ar-SA"/>
              </w:rPr>
            </w:pPr>
            <w:r>
              <w:rPr>
                <w:rFonts w:hint="eastAsia" w:ascii="仿宋" w:hAnsi="仿宋" w:eastAsia="仿宋" w:cs="仿宋"/>
                <w:color w:val="auto"/>
                <w:spacing w:val="0"/>
                <w:kern w:val="2"/>
                <w:sz w:val="21"/>
                <w:szCs w:val="21"/>
                <w:highlight w:val="none"/>
                <w:lang w:val="en-US" w:eastAsia="zh-CN" w:bidi="ar-SA"/>
              </w:rPr>
              <w:t>安排</w:t>
            </w:r>
          </w:p>
        </w:tc>
        <w:tc>
          <w:tcPr>
            <w:tcW w:w="6262" w:type="dxa"/>
            <w:gridSpan w:val="2"/>
            <w:vAlign w:val="center"/>
          </w:tcPr>
          <w:p w14:paraId="640F86EE">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供应商提供的方案，包括但不限于以下内容：</w:t>
            </w:r>
          </w:p>
          <w:p w14:paraId="2D224BA0">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 xml:space="preserve">①核心原则； </w:t>
            </w:r>
          </w:p>
          <w:p w14:paraId="75DB1488">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 xml:space="preserve">②活动时间与形式； </w:t>
            </w:r>
          </w:p>
          <w:p w14:paraId="7BBFC4DF">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 xml:space="preserve">③具体活动内容； </w:t>
            </w:r>
          </w:p>
          <w:p w14:paraId="5B736CB5">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每提供一项得4分，满分12分。每项中每有一处具有缺陷(缺陷是指：存在不适用项目实际情况的情形、凭空编造、内容前后不一致、前后逻辑错误、涉及的规范及标准错误、地点区域错误、内容缺失、不符合采购需求等) 的扣2分，扣完为止。</w:t>
            </w:r>
          </w:p>
        </w:tc>
        <w:tc>
          <w:tcPr>
            <w:tcW w:w="689" w:type="dxa"/>
            <w:vAlign w:val="center"/>
          </w:tcPr>
          <w:p w14:paraId="621A37EB">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lang w:val="en-US" w:eastAsia="zh-CN"/>
              </w:rPr>
            </w:pPr>
            <w:r>
              <w:rPr>
                <w:rFonts w:hint="eastAsia" w:ascii="仿宋" w:hAnsi="仿宋" w:eastAsia="仿宋" w:cs="仿宋"/>
                <w:color w:val="auto"/>
                <w:spacing w:val="0"/>
                <w:sz w:val="21"/>
                <w:szCs w:val="21"/>
                <w:highlight w:val="none"/>
                <w:lang w:val="en-US" w:eastAsia="zh-CN"/>
              </w:rPr>
              <w:t>12分</w:t>
            </w:r>
          </w:p>
        </w:tc>
      </w:tr>
      <w:tr w14:paraId="1F77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4" w:hRule="atLeast"/>
          <w:jc w:val="center"/>
        </w:trPr>
        <w:tc>
          <w:tcPr>
            <w:tcW w:w="489" w:type="dxa"/>
            <w:vMerge w:val="continue"/>
            <w:vAlign w:val="top"/>
          </w:tcPr>
          <w:p w14:paraId="5D6E7C64">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898" w:type="dxa"/>
            <w:vMerge w:val="continue"/>
            <w:vAlign w:val="center"/>
          </w:tcPr>
          <w:p w14:paraId="2F8F0DA3">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1400" w:type="dxa"/>
            <w:vAlign w:val="center"/>
          </w:tcPr>
          <w:p w14:paraId="31F3634A">
            <w:pPr>
              <w:keepNext w:val="0"/>
              <w:keepLines w:val="0"/>
              <w:pageBreakBefore w:val="0"/>
              <w:widowControl/>
              <w:suppressLineNumbers w:val="0"/>
              <w:kinsoku/>
              <w:wordWrap/>
              <w:overflowPunct/>
              <w:topLinePunct w:val="0"/>
              <w:bidi w:val="0"/>
              <w:spacing w:line="288" w:lineRule="auto"/>
              <w:jc w:val="center"/>
              <w:rPr>
                <w:rFonts w:hint="eastAsia" w:ascii="仿宋" w:hAnsi="仿宋" w:eastAsia="仿宋" w:cs="仿宋"/>
                <w:color w:val="000000"/>
                <w:kern w:val="0"/>
                <w:sz w:val="21"/>
                <w:szCs w:val="21"/>
                <w:highlight w:val="none"/>
                <w:lang w:val="en-US" w:eastAsia="zh-CN"/>
              </w:rPr>
            </w:pPr>
            <w:r>
              <w:rPr>
                <w:rFonts w:hint="eastAsia" w:ascii="仿宋" w:hAnsi="仿宋" w:eastAsia="仿宋" w:cs="仿宋"/>
                <w:color w:val="000000"/>
                <w:kern w:val="0"/>
                <w:sz w:val="21"/>
                <w:szCs w:val="21"/>
                <w:highlight w:val="none"/>
                <w:lang w:val="en-US" w:eastAsia="zh-CN"/>
              </w:rPr>
              <w:t>交流和学习活动</w:t>
            </w:r>
            <w:r>
              <w:rPr>
                <w:rFonts w:hint="eastAsia" w:ascii="仿宋" w:hAnsi="仿宋" w:eastAsia="仿宋" w:cs="仿宋"/>
                <w:color w:val="000000"/>
                <w:kern w:val="0"/>
                <w:sz w:val="21"/>
                <w:szCs w:val="21"/>
                <w:highlight w:val="none"/>
              </w:rPr>
              <w:t>方案</w:t>
            </w:r>
          </w:p>
        </w:tc>
        <w:tc>
          <w:tcPr>
            <w:tcW w:w="6262" w:type="dxa"/>
            <w:gridSpan w:val="2"/>
            <w:vAlign w:val="center"/>
          </w:tcPr>
          <w:p w14:paraId="709B16B4">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供应商提供的方案，包括但不限于以下内容：</w:t>
            </w:r>
          </w:p>
          <w:p w14:paraId="1D20DAC1">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 xml:space="preserve">①活动启动仪式； </w:t>
            </w:r>
          </w:p>
          <w:p w14:paraId="0976E695">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 xml:space="preserve">②主题交流； </w:t>
            </w:r>
          </w:p>
          <w:p w14:paraId="40F3B361">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 xml:space="preserve">③学生会参观学习活动策划； </w:t>
            </w:r>
          </w:p>
          <w:p w14:paraId="1B5B2060">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 xml:space="preserve">④联谊活动策划； </w:t>
            </w:r>
          </w:p>
          <w:p w14:paraId="6146B4E8">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 xml:space="preserve">⑤活动闭幕式方案； </w:t>
            </w:r>
          </w:p>
          <w:p w14:paraId="296F1D44">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⑥活动保障措施；</w:t>
            </w:r>
          </w:p>
          <w:p w14:paraId="2BFDAB92">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⑦预期成果；</w:t>
            </w:r>
          </w:p>
          <w:p w14:paraId="7C02BAF8">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每提供一项得3分，满分21分。每项中每有一处具有缺陷(缺陷是指：存在不适用项目实际情况的情形、凭空编造、内容前后不一致、前后逻辑错误、涉及的规范及标准错误、地点区域错误、内容缺失、不符合采购需求等) 的扣1.5分，扣完为止。</w:t>
            </w:r>
          </w:p>
        </w:tc>
        <w:tc>
          <w:tcPr>
            <w:tcW w:w="689" w:type="dxa"/>
            <w:vAlign w:val="center"/>
          </w:tcPr>
          <w:p w14:paraId="20D88B88">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lang w:val="en-US" w:eastAsia="zh-CN"/>
              </w:rPr>
            </w:pPr>
            <w:r>
              <w:rPr>
                <w:rFonts w:hint="eastAsia" w:ascii="仿宋" w:hAnsi="仿宋" w:eastAsia="仿宋" w:cs="仿宋"/>
                <w:color w:val="auto"/>
                <w:spacing w:val="0"/>
                <w:sz w:val="21"/>
                <w:szCs w:val="21"/>
                <w:highlight w:val="none"/>
                <w:lang w:val="en-US" w:eastAsia="zh-CN"/>
              </w:rPr>
              <w:t>21分</w:t>
            </w:r>
          </w:p>
        </w:tc>
      </w:tr>
      <w:tr w14:paraId="1729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4" w:hRule="atLeast"/>
          <w:jc w:val="center"/>
        </w:trPr>
        <w:tc>
          <w:tcPr>
            <w:tcW w:w="489" w:type="dxa"/>
            <w:vMerge w:val="continue"/>
            <w:vAlign w:val="top"/>
          </w:tcPr>
          <w:p w14:paraId="522B0009">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898" w:type="dxa"/>
            <w:vMerge w:val="continue"/>
            <w:vAlign w:val="center"/>
          </w:tcPr>
          <w:p w14:paraId="477F13B5">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1400" w:type="dxa"/>
            <w:vAlign w:val="center"/>
          </w:tcPr>
          <w:p w14:paraId="24736357">
            <w:pPr>
              <w:keepNext w:val="0"/>
              <w:keepLines w:val="0"/>
              <w:pageBreakBefore w:val="0"/>
              <w:widowControl w:val="0"/>
              <w:kinsoku/>
              <w:wordWrap/>
              <w:overflowPunct/>
              <w:topLinePunct w:val="0"/>
              <w:autoSpaceDE/>
              <w:autoSpaceDN/>
              <w:bidi w:val="0"/>
              <w:adjustRightInd w:val="0"/>
              <w:snapToGrid w:val="0"/>
              <w:spacing w:line="288" w:lineRule="auto"/>
              <w:jc w:val="center"/>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活动保障</w:t>
            </w:r>
          </w:p>
          <w:p w14:paraId="78244D79">
            <w:pPr>
              <w:keepNext w:val="0"/>
              <w:keepLines w:val="0"/>
              <w:pageBreakBefore w:val="0"/>
              <w:widowControl w:val="0"/>
              <w:kinsoku/>
              <w:wordWrap/>
              <w:overflowPunct/>
              <w:topLinePunct w:val="0"/>
              <w:autoSpaceDE/>
              <w:autoSpaceDN/>
              <w:bidi w:val="0"/>
              <w:adjustRightInd w:val="0"/>
              <w:snapToGrid w:val="0"/>
              <w:spacing w:line="288" w:lineRule="auto"/>
              <w:jc w:val="center"/>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措施</w:t>
            </w:r>
          </w:p>
          <w:p w14:paraId="5B1716E5">
            <w:pPr>
              <w:keepNext w:val="0"/>
              <w:keepLines w:val="0"/>
              <w:pageBreakBefore w:val="0"/>
              <w:widowControl/>
              <w:suppressLineNumbers w:val="0"/>
              <w:kinsoku/>
              <w:wordWrap/>
              <w:overflowPunct/>
              <w:topLinePunct w:val="0"/>
              <w:bidi w:val="0"/>
              <w:spacing w:line="288" w:lineRule="auto"/>
              <w:jc w:val="center"/>
              <w:rPr>
                <w:rFonts w:hint="eastAsia" w:ascii="仿宋" w:hAnsi="仿宋" w:eastAsia="仿宋" w:cs="仿宋"/>
                <w:color w:val="000000"/>
                <w:kern w:val="0"/>
                <w:sz w:val="21"/>
                <w:szCs w:val="21"/>
                <w:highlight w:val="none"/>
              </w:rPr>
            </w:pPr>
          </w:p>
        </w:tc>
        <w:tc>
          <w:tcPr>
            <w:tcW w:w="6262" w:type="dxa"/>
            <w:gridSpan w:val="2"/>
            <w:vAlign w:val="center"/>
          </w:tcPr>
          <w:p w14:paraId="3B93E929">
            <w:pPr>
              <w:keepNext w:val="0"/>
              <w:keepLines w:val="0"/>
              <w:pageBreakBefore w:val="0"/>
              <w:widowControl/>
              <w:numPr>
                <w:ilvl w:val="0"/>
                <w:numId w:val="0"/>
              </w:numPr>
              <w:kinsoku/>
              <w:wordWrap/>
              <w:overflowPunct/>
              <w:topLinePunct w:val="0"/>
              <w:bidi w:val="0"/>
              <w:spacing w:line="288" w:lineRule="auto"/>
              <w:ind w:left="0" w:right="0" w:firstLine="0"/>
              <w:rPr>
                <w:rFonts w:hint="eastAsia" w:ascii="仿宋" w:hAnsi="仿宋" w:eastAsia="仿宋" w:cs="仿宋"/>
                <w:sz w:val="21"/>
                <w:szCs w:val="21"/>
                <w:highlight w:val="none"/>
                <w:lang w:val="en-US" w:eastAsia="zh-CN"/>
              </w:rPr>
            </w:pPr>
            <w:r>
              <w:rPr>
                <w:rFonts w:hint="eastAsia" w:ascii="仿宋" w:hAnsi="仿宋" w:eastAsia="仿宋" w:cs="仿宋"/>
                <w:color w:val="000000"/>
                <w:kern w:val="0"/>
                <w:sz w:val="21"/>
                <w:szCs w:val="21"/>
                <w:highlight w:val="none"/>
                <w:lang w:val="en-US" w:eastAsia="zh-CN" w:bidi="ar-SA"/>
              </w:rPr>
              <w:t>供应商提供的方案，包括但不限于以下内容：</w:t>
            </w:r>
          </w:p>
          <w:p w14:paraId="2AB64B37">
            <w:pPr>
              <w:keepNext w:val="0"/>
              <w:keepLines w:val="0"/>
              <w:pageBreakBefore w:val="0"/>
              <w:widowControl/>
              <w:numPr>
                <w:ilvl w:val="0"/>
                <w:numId w:val="0"/>
              </w:numPr>
              <w:kinsoku/>
              <w:wordWrap/>
              <w:overflowPunct/>
              <w:topLinePunct w:val="0"/>
              <w:bidi w:val="0"/>
              <w:spacing w:line="288" w:lineRule="auto"/>
              <w:ind w:left="0" w:right="0" w:firstLine="0"/>
              <w:rPr>
                <w:rFonts w:hint="eastAsia" w:ascii="仿宋" w:hAnsi="仿宋" w:eastAsia="仿宋" w:cs="仿宋"/>
                <w:color w:val="000000"/>
                <w:kern w:val="0"/>
                <w:sz w:val="21"/>
                <w:szCs w:val="21"/>
                <w:highlight w:val="none"/>
                <w:lang w:val="en-US" w:eastAsia="zh-CN" w:bidi="ar-SA"/>
              </w:rPr>
            </w:pPr>
            <w:r>
              <w:rPr>
                <w:rFonts w:hint="eastAsia" w:ascii="仿宋" w:hAnsi="仿宋" w:eastAsia="仿宋" w:cs="仿宋"/>
                <w:color w:val="000000"/>
                <w:kern w:val="0"/>
                <w:sz w:val="21"/>
                <w:szCs w:val="21"/>
                <w:highlight w:val="none"/>
                <w:lang w:val="en-US" w:eastAsia="zh-CN" w:bidi="ar-SA"/>
              </w:rPr>
              <w:t xml:space="preserve">①无障碍支持； </w:t>
            </w:r>
          </w:p>
          <w:p w14:paraId="2DCB84BC">
            <w:pPr>
              <w:keepNext w:val="0"/>
              <w:keepLines w:val="0"/>
              <w:pageBreakBefore w:val="0"/>
              <w:widowControl/>
              <w:numPr>
                <w:ilvl w:val="0"/>
                <w:numId w:val="0"/>
              </w:numPr>
              <w:kinsoku/>
              <w:wordWrap/>
              <w:overflowPunct/>
              <w:topLinePunct w:val="0"/>
              <w:bidi w:val="0"/>
              <w:spacing w:line="288" w:lineRule="auto"/>
              <w:ind w:left="0" w:right="0" w:firstLine="0"/>
              <w:rPr>
                <w:rFonts w:hint="eastAsia" w:ascii="仿宋" w:hAnsi="仿宋" w:eastAsia="仿宋" w:cs="仿宋"/>
                <w:color w:val="000000"/>
                <w:kern w:val="0"/>
                <w:sz w:val="21"/>
                <w:szCs w:val="21"/>
                <w:highlight w:val="none"/>
                <w:lang w:val="en-US" w:eastAsia="zh-CN" w:bidi="ar-SA"/>
              </w:rPr>
            </w:pPr>
            <w:r>
              <w:rPr>
                <w:rFonts w:hint="eastAsia" w:ascii="仿宋" w:hAnsi="仿宋" w:eastAsia="仿宋" w:cs="仿宋"/>
                <w:color w:val="000000"/>
                <w:kern w:val="0"/>
                <w:sz w:val="21"/>
                <w:szCs w:val="21"/>
                <w:highlight w:val="none"/>
                <w:lang w:val="en-US" w:eastAsia="zh-CN" w:bidi="ar-SA"/>
              </w:rPr>
              <w:t xml:space="preserve">②安全与后勤； </w:t>
            </w:r>
          </w:p>
          <w:p w14:paraId="774B4D69">
            <w:pPr>
              <w:keepNext w:val="0"/>
              <w:keepLines w:val="0"/>
              <w:pageBreakBefore w:val="0"/>
              <w:widowControl/>
              <w:numPr>
                <w:ilvl w:val="0"/>
                <w:numId w:val="0"/>
              </w:numPr>
              <w:kinsoku/>
              <w:wordWrap/>
              <w:overflowPunct/>
              <w:topLinePunct w:val="0"/>
              <w:bidi w:val="0"/>
              <w:spacing w:line="288" w:lineRule="auto"/>
              <w:ind w:left="0" w:right="0" w:firstLine="0"/>
              <w:rPr>
                <w:rFonts w:hint="eastAsia" w:ascii="仿宋" w:hAnsi="仿宋" w:eastAsia="仿宋" w:cs="仿宋"/>
                <w:color w:val="000000"/>
                <w:kern w:val="0"/>
                <w:sz w:val="21"/>
                <w:szCs w:val="21"/>
                <w:highlight w:val="none"/>
                <w:lang w:val="en-US" w:eastAsia="zh-CN" w:bidi="ar-SA"/>
              </w:rPr>
            </w:pPr>
            <w:r>
              <w:rPr>
                <w:rFonts w:hint="eastAsia" w:ascii="仿宋" w:hAnsi="仿宋" w:eastAsia="仿宋" w:cs="仿宋"/>
                <w:color w:val="000000"/>
                <w:kern w:val="0"/>
                <w:sz w:val="21"/>
                <w:szCs w:val="21"/>
                <w:highlight w:val="none"/>
                <w:lang w:val="en-US" w:eastAsia="zh-CN" w:bidi="ar-SA"/>
              </w:rPr>
              <w:t>③经费预算安排；</w:t>
            </w:r>
          </w:p>
          <w:p w14:paraId="61A3F31E">
            <w:pPr>
              <w:keepNext w:val="0"/>
              <w:keepLines w:val="0"/>
              <w:pageBreakBefore w:val="0"/>
              <w:widowControl/>
              <w:numPr>
                <w:ilvl w:val="0"/>
                <w:numId w:val="0"/>
              </w:numPr>
              <w:kinsoku/>
              <w:wordWrap/>
              <w:overflowPunct/>
              <w:topLinePunct w:val="0"/>
              <w:bidi w:val="0"/>
              <w:spacing w:line="288" w:lineRule="auto"/>
              <w:ind w:left="0" w:right="0" w:firstLine="0"/>
              <w:rPr>
                <w:rFonts w:hint="eastAsia" w:ascii="仿宋" w:hAnsi="仿宋" w:eastAsia="仿宋" w:cs="仿宋"/>
                <w:color w:val="000000"/>
                <w:kern w:val="0"/>
                <w:sz w:val="21"/>
                <w:szCs w:val="21"/>
                <w:highlight w:val="none"/>
                <w:lang w:val="en-US" w:eastAsia="zh-CN" w:bidi="ar-SA"/>
              </w:rPr>
            </w:pPr>
            <w:r>
              <w:rPr>
                <w:rFonts w:hint="eastAsia" w:ascii="仿宋" w:hAnsi="仿宋" w:eastAsia="仿宋" w:cs="仿宋"/>
                <w:color w:val="000000"/>
                <w:kern w:val="0"/>
                <w:sz w:val="21"/>
                <w:szCs w:val="21"/>
                <w:highlight w:val="none"/>
                <w:lang w:val="en-US" w:eastAsia="zh-CN" w:bidi="ar-SA"/>
              </w:rPr>
              <w:t>④学生管理制度；</w:t>
            </w:r>
          </w:p>
          <w:p w14:paraId="5D652A21">
            <w:pPr>
              <w:pStyle w:val="34"/>
              <w:keepNext w:val="0"/>
              <w:keepLines w:val="0"/>
              <w:pageBreakBefore w:val="0"/>
              <w:kinsoku/>
              <w:wordWrap/>
              <w:overflowPunct/>
              <w:topLinePunct w:val="0"/>
              <w:bidi w:val="0"/>
              <w:spacing w:line="288" w:lineRule="auto"/>
              <w:rPr>
                <w:rFonts w:hint="eastAsia" w:ascii="仿宋" w:hAnsi="仿宋" w:eastAsia="仿宋" w:cs="仿宋"/>
                <w:sz w:val="21"/>
                <w:szCs w:val="21"/>
                <w:highlight w:val="none"/>
                <w:lang w:val="en-US" w:eastAsia="zh-CN"/>
              </w:rPr>
            </w:pPr>
            <w:r>
              <w:rPr>
                <w:rFonts w:hint="eastAsia" w:ascii="仿宋" w:hAnsi="仿宋" w:eastAsia="仿宋" w:cs="仿宋"/>
                <w:color w:val="000000"/>
                <w:kern w:val="0"/>
                <w:sz w:val="21"/>
                <w:szCs w:val="21"/>
                <w:highlight w:val="none"/>
                <w:lang w:val="en-US" w:eastAsia="zh-CN" w:bidi="ar"/>
              </w:rPr>
              <w:t>每提供一项得3分，满分12分。每项中每有一处具有缺陷(缺陷是指：存在不适用项目实际情况的情形、凭空编造、内容前后不一致、前后逻辑错误、涉及的规范及标准错误、地点区域错误、内容缺失、不符合采购需求等) 的扣1.5分，扣完为止。</w:t>
            </w:r>
          </w:p>
        </w:tc>
        <w:tc>
          <w:tcPr>
            <w:tcW w:w="689" w:type="dxa"/>
            <w:vAlign w:val="center"/>
          </w:tcPr>
          <w:p w14:paraId="3BE5B06A">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lang w:val="en-US" w:eastAsia="zh-CN"/>
              </w:rPr>
            </w:pPr>
            <w:r>
              <w:rPr>
                <w:rFonts w:hint="eastAsia" w:ascii="仿宋" w:hAnsi="仿宋" w:eastAsia="仿宋" w:cs="仿宋"/>
                <w:color w:val="auto"/>
                <w:spacing w:val="0"/>
                <w:sz w:val="21"/>
                <w:szCs w:val="21"/>
                <w:highlight w:val="none"/>
                <w:lang w:val="en-US" w:eastAsia="zh-CN"/>
              </w:rPr>
              <w:t>12分</w:t>
            </w:r>
          </w:p>
        </w:tc>
      </w:tr>
      <w:tr w14:paraId="3376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4" w:hRule="atLeast"/>
          <w:jc w:val="center"/>
        </w:trPr>
        <w:tc>
          <w:tcPr>
            <w:tcW w:w="489" w:type="dxa"/>
            <w:vMerge w:val="continue"/>
            <w:vAlign w:val="top"/>
          </w:tcPr>
          <w:p w14:paraId="06CBA958">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898" w:type="dxa"/>
            <w:vMerge w:val="continue"/>
            <w:vAlign w:val="center"/>
          </w:tcPr>
          <w:p w14:paraId="06F3676E">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1400" w:type="dxa"/>
            <w:vAlign w:val="center"/>
          </w:tcPr>
          <w:p w14:paraId="5D7ED88D">
            <w:pPr>
              <w:keepNext w:val="0"/>
              <w:keepLines w:val="0"/>
              <w:pageBreakBefore w:val="0"/>
              <w:widowControl/>
              <w:suppressLineNumbers w:val="0"/>
              <w:kinsoku/>
              <w:wordWrap/>
              <w:overflowPunct/>
              <w:topLinePunct w:val="0"/>
              <w:bidi w:val="0"/>
              <w:adjustRightInd w:val="0"/>
              <w:snapToGrid w:val="0"/>
              <w:spacing w:line="288" w:lineRule="auto"/>
              <w:jc w:val="center"/>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应急方案</w:t>
            </w:r>
          </w:p>
          <w:p w14:paraId="6A2F71C0">
            <w:pPr>
              <w:keepNext w:val="0"/>
              <w:keepLines w:val="0"/>
              <w:pageBreakBefore w:val="0"/>
              <w:widowControl w:val="0"/>
              <w:kinsoku/>
              <w:wordWrap/>
              <w:overflowPunct/>
              <w:topLinePunct w:val="0"/>
              <w:bidi w:val="0"/>
              <w:adjustRightInd w:val="0"/>
              <w:snapToGrid w:val="0"/>
              <w:spacing w:line="288" w:lineRule="auto"/>
              <w:jc w:val="center"/>
              <w:rPr>
                <w:rFonts w:hint="eastAsia" w:ascii="仿宋" w:hAnsi="仿宋" w:eastAsia="仿宋" w:cs="仿宋"/>
                <w:bCs/>
                <w:color w:val="auto"/>
                <w:spacing w:val="0"/>
                <w:sz w:val="21"/>
                <w:szCs w:val="21"/>
                <w:highlight w:val="none"/>
                <w:lang w:val="en-US" w:eastAsia="zh-CN"/>
              </w:rPr>
            </w:pPr>
          </w:p>
        </w:tc>
        <w:tc>
          <w:tcPr>
            <w:tcW w:w="6262" w:type="dxa"/>
            <w:gridSpan w:val="2"/>
            <w:vAlign w:val="center"/>
          </w:tcPr>
          <w:p w14:paraId="6B95FCB5">
            <w:pPr>
              <w:keepNext w:val="0"/>
              <w:keepLines w:val="0"/>
              <w:pageBreakBefore w:val="0"/>
              <w:widowControl/>
              <w:suppressLineNumbers w:val="0"/>
              <w:kinsoku/>
              <w:wordWrap/>
              <w:overflowPunct/>
              <w:topLinePunct w:val="0"/>
              <w:bidi w:val="0"/>
              <w:adjustRightInd w:val="0"/>
              <w:snapToGrid w:val="0"/>
              <w:spacing w:line="288" w:lineRule="auto"/>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供应商提供的方案，包括但不限于以下内容：</w:t>
            </w:r>
          </w:p>
          <w:p w14:paraId="4735CEF5">
            <w:pPr>
              <w:keepNext w:val="0"/>
              <w:keepLines w:val="0"/>
              <w:pageBreakBefore w:val="0"/>
              <w:widowControl/>
              <w:suppressLineNumbers w:val="0"/>
              <w:kinsoku/>
              <w:wordWrap/>
              <w:overflowPunct/>
              <w:topLinePunct w:val="0"/>
              <w:bidi w:val="0"/>
              <w:adjustRightInd w:val="0"/>
              <w:snapToGrid w:val="0"/>
              <w:spacing w:line="288" w:lineRule="auto"/>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 xml:space="preserve">①公共安全保障措施； </w:t>
            </w:r>
          </w:p>
          <w:p w14:paraId="3C701E09">
            <w:pPr>
              <w:keepNext w:val="0"/>
              <w:keepLines w:val="0"/>
              <w:pageBreakBefore w:val="0"/>
              <w:widowControl/>
              <w:suppressLineNumbers w:val="0"/>
              <w:kinsoku/>
              <w:wordWrap/>
              <w:overflowPunct/>
              <w:topLinePunct w:val="0"/>
              <w:bidi w:val="0"/>
              <w:adjustRightInd w:val="0"/>
              <w:snapToGrid w:val="0"/>
              <w:spacing w:line="288" w:lineRule="auto"/>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 xml:space="preserve">②消防安全与疏散方案； </w:t>
            </w:r>
          </w:p>
          <w:p w14:paraId="43224F2A">
            <w:pPr>
              <w:keepNext w:val="0"/>
              <w:keepLines w:val="0"/>
              <w:pageBreakBefore w:val="0"/>
              <w:widowControl/>
              <w:suppressLineNumbers w:val="0"/>
              <w:kinsoku/>
              <w:wordWrap/>
              <w:overflowPunct/>
              <w:topLinePunct w:val="0"/>
              <w:bidi w:val="0"/>
              <w:adjustRightInd w:val="0"/>
              <w:snapToGrid w:val="0"/>
              <w:spacing w:line="288" w:lineRule="auto"/>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 xml:space="preserve">③应急保障措施及医疗保障措施； </w:t>
            </w:r>
          </w:p>
          <w:p w14:paraId="5855EC36">
            <w:pPr>
              <w:keepNext w:val="0"/>
              <w:keepLines w:val="0"/>
              <w:pageBreakBefore w:val="0"/>
              <w:widowControl/>
              <w:suppressLineNumbers w:val="0"/>
              <w:kinsoku/>
              <w:wordWrap/>
              <w:overflowPunct/>
              <w:topLinePunct w:val="0"/>
              <w:bidi w:val="0"/>
              <w:adjustRightInd w:val="0"/>
              <w:snapToGrid w:val="0"/>
              <w:spacing w:line="288" w:lineRule="auto"/>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 xml:space="preserve">④食品安全与场地消杀等卫生处理措施； </w:t>
            </w:r>
          </w:p>
          <w:p w14:paraId="2112015F">
            <w:pPr>
              <w:keepNext w:val="0"/>
              <w:keepLines w:val="0"/>
              <w:pageBreakBefore w:val="0"/>
              <w:widowControl/>
              <w:suppressLineNumbers w:val="0"/>
              <w:kinsoku/>
              <w:wordWrap/>
              <w:overflowPunct/>
              <w:topLinePunct w:val="0"/>
              <w:bidi w:val="0"/>
              <w:adjustRightInd w:val="0"/>
              <w:snapToGrid w:val="0"/>
              <w:spacing w:line="288" w:lineRule="auto"/>
              <w:jc w:val="left"/>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color w:val="000000"/>
                <w:kern w:val="0"/>
                <w:sz w:val="21"/>
                <w:szCs w:val="21"/>
                <w:highlight w:val="none"/>
                <w:lang w:val="en-US" w:eastAsia="zh-CN" w:bidi="ar"/>
              </w:rPr>
              <w:t>每提供一项得3分，满分12分。每项中每有一处具有缺陷(缺陷是指：存在不适用项目实际情况的情形、凭空编造、内容前后不一致、前后逻辑错误、涉及的规范及标准错误、地点区域错误、内容缺失、不符合采购需求等) 的扣1.5分，扣完为止。</w:t>
            </w:r>
          </w:p>
        </w:tc>
        <w:tc>
          <w:tcPr>
            <w:tcW w:w="689" w:type="dxa"/>
            <w:vAlign w:val="center"/>
          </w:tcPr>
          <w:p w14:paraId="72E2A4C5">
            <w:pPr>
              <w:keepNext w:val="0"/>
              <w:keepLines w:val="0"/>
              <w:pageBreakBefore w:val="0"/>
              <w:widowControl w:val="0"/>
              <w:kinsoku/>
              <w:wordWrap/>
              <w:overflowPunct/>
              <w:topLinePunct w:val="0"/>
              <w:bidi w:val="0"/>
              <w:adjustRightInd w:val="0"/>
              <w:snapToGrid w:val="0"/>
              <w:spacing w:line="312" w:lineRule="auto"/>
              <w:jc w:val="center"/>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 w:val="0"/>
                <w:bCs/>
                <w:color w:val="auto"/>
                <w:spacing w:val="0"/>
                <w:sz w:val="21"/>
                <w:szCs w:val="21"/>
                <w:highlight w:val="none"/>
                <w:lang w:val="en-US" w:eastAsia="zh-CN"/>
              </w:rPr>
              <w:t>12分</w:t>
            </w:r>
          </w:p>
        </w:tc>
      </w:tr>
      <w:tr w14:paraId="7762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64" w:hRule="atLeast"/>
          <w:jc w:val="center"/>
        </w:trPr>
        <w:tc>
          <w:tcPr>
            <w:tcW w:w="489" w:type="dxa"/>
            <w:vMerge w:val="continue"/>
            <w:vAlign w:val="top"/>
          </w:tcPr>
          <w:p w14:paraId="6FAF73BB">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898" w:type="dxa"/>
            <w:vMerge w:val="continue"/>
            <w:vAlign w:val="center"/>
          </w:tcPr>
          <w:p w14:paraId="5E596905">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1400" w:type="dxa"/>
            <w:vAlign w:val="center"/>
          </w:tcPr>
          <w:p w14:paraId="10618CBE">
            <w:pPr>
              <w:keepNext w:val="0"/>
              <w:keepLines w:val="0"/>
              <w:pageBreakBefore w:val="0"/>
              <w:widowControl w:val="0"/>
              <w:kinsoku/>
              <w:wordWrap/>
              <w:overflowPunct/>
              <w:topLinePunct w:val="0"/>
              <w:autoSpaceDE/>
              <w:autoSpaceDN/>
              <w:bidi w:val="0"/>
              <w:adjustRightInd w:val="0"/>
              <w:snapToGrid w:val="0"/>
              <w:spacing w:line="288" w:lineRule="auto"/>
              <w:jc w:val="center"/>
              <w:rPr>
                <w:rFonts w:hint="eastAsia" w:ascii="仿宋" w:hAnsi="仿宋" w:eastAsia="仿宋" w:cs="仿宋"/>
                <w:color w:val="auto"/>
                <w:spacing w:val="0"/>
                <w:sz w:val="21"/>
                <w:szCs w:val="21"/>
                <w:highlight w:val="none"/>
                <w:lang w:val="en-US" w:eastAsia="zh-CN"/>
              </w:rPr>
            </w:pPr>
            <w:r>
              <w:rPr>
                <w:rFonts w:hint="eastAsia" w:ascii="仿宋" w:hAnsi="仿宋" w:eastAsia="仿宋" w:cs="仿宋"/>
                <w:color w:val="auto"/>
                <w:spacing w:val="0"/>
                <w:sz w:val="21"/>
                <w:szCs w:val="21"/>
                <w:highlight w:val="none"/>
                <w:lang w:val="en-US" w:eastAsia="zh-CN"/>
              </w:rPr>
              <w:t>增值服务</w:t>
            </w:r>
          </w:p>
        </w:tc>
        <w:tc>
          <w:tcPr>
            <w:tcW w:w="6262" w:type="dxa"/>
            <w:gridSpan w:val="2"/>
            <w:vAlign w:val="center"/>
          </w:tcPr>
          <w:p w14:paraId="174ECA88">
            <w:pPr>
              <w:keepNext w:val="0"/>
              <w:keepLines w:val="0"/>
              <w:pageBreakBefore w:val="0"/>
              <w:widowControl w:val="0"/>
              <w:kinsoku/>
              <w:wordWrap/>
              <w:overflowPunct/>
              <w:topLinePunct w:val="0"/>
              <w:autoSpaceDE/>
              <w:autoSpaceDN/>
              <w:bidi w:val="0"/>
              <w:adjustRightInd w:val="0"/>
              <w:snapToGrid w:val="0"/>
              <w:spacing w:line="288" w:lineRule="auto"/>
              <w:rPr>
                <w:rFonts w:hint="eastAsia" w:ascii="仿宋" w:hAnsi="仿宋" w:eastAsia="仿宋" w:cs="仿宋"/>
                <w:bCs/>
                <w:color w:val="auto"/>
                <w:spacing w:val="0"/>
                <w:sz w:val="21"/>
                <w:szCs w:val="21"/>
                <w:highlight w:val="none"/>
                <w:lang w:val="en-US" w:eastAsia="zh-CN"/>
              </w:rPr>
            </w:pPr>
            <w:r>
              <w:rPr>
                <w:rFonts w:hint="eastAsia" w:ascii="仿宋" w:hAnsi="仿宋" w:eastAsia="仿宋" w:cs="仿宋"/>
                <w:bCs/>
                <w:color w:val="auto"/>
                <w:spacing w:val="0"/>
                <w:sz w:val="21"/>
                <w:szCs w:val="21"/>
                <w:highlight w:val="none"/>
                <w:lang w:val="en-US" w:eastAsia="zh-CN"/>
              </w:rPr>
              <w:t>投标人针对本项目特性提供可行有效的建议或优惠服务承诺，每提供1条得1分，满分2分，未提供不得分。</w:t>
            </w:r>
          </w:p>
        </w:tc>
        <w:tc>
          <w:tcPr>
            <w:tcW w:w="689" w:type="dxa"/>
            <w:vAlign w:val="center"/>
          </w:tcPr>
          <w:p w14:paraId="7E1F2BA6">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lang w:val="en-US" w:eastAsia="zh-CN"/>
              </w:rPr>
            </w:pPr>
            <w:r>
              <w:rPr>
                <w:rFonts w:hint="eastAsia" w:ascii="仿宋" w:hAnsi="仿宋" w:eastAsia="仿宋" w:cs="仿宋"/>
                <w:color w:val="auto"/>
                <w:spacing w:val="0"/>
                <w:sz w:val="21"/>
                <w:szCs w:val="21"/>
                <w:highlight w:val="none"/>
                <w:lang w:val="en-US" w:eastAsia="zh-CN"/>
              </w:rPr>
              <w:t>2分</w:t>
            </w:r>
          </w:p>
        </w:tc>
      </w:tr>
      <w:tr w14:paraId="58A5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89" w:type="dxa"/>
            <w:vMerge w:val="restart"/>
            <w:vAlign w:val="top"/>
          </w:tcPr>
          <w:p w14:paraId="3C5016FF">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p>
        </w:tc>
        <w:tc>
          <w:tcPr>
            <w:tcW w:w="898" w:type="dxa"/>
            <w:vAlign w:val="center"/>
          </w:tcPr>
          <w:p w14:paraId="6931D291">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合计</w:t>
            </w:r>
          </w:p>
        </w:tc>
        <w:tc>
          <w:tcPr>
            <w:tcW w:w="8351" w:type="dxa"/>
            <w:gridSpan w:val="4"/>
            <w:vAlign w:val="center"/>
          </w:tcPr>
          <w:p w14:paraId="37968A19">
            <w:pPr>
              <w:keepNext w:val="0"/>
              <w:keepLines w:val="0"/>
              <w:pageBreakBefore w:val="0"/>
              <w:widowControl w:val="0"/>
              <w:kinsoku/>
              <w:wordWrap/>
              <w:overflowPunct/>
              <w:topLinePunct w:val="0"/>
              <w:autoSpaceDE/>
              <w:autoSpaceDN/>
              <w:bidi w:val="0"/>
              <w:adjustRightInd w:val="0"/>
              <w:snapToGrid w:val="0"/>
              <w:spacing w:line="440" w:lineRule="exact"/>
              <w:jc w:val="center"/>
              <w:rPr>
                <w:rFonts w:hint="eastAsia" w:ascii="仿宋" w:hAnsi="仿宋" w:eastAsia="仿宋" w:cs="仿宋"/>
                <w:color w:val="auto"/>
                <w:spacing w:val="0"/>
                <w:sz w:val="21"/>
                <w:szCs w:val="21"/>
                <w:highlight w:val="none"/>
                <w:lang w:eastAsia="zh-CN"/>
              </w:rPr>
            </w:pPr>
            <w:r>
              <w:rPr>
                <w:rFonts w:hint="eastAsia" w:ascii="仿宋" w:hAnsi="仿宋" w:eastAsia="仿宋" w:cs="仿宋"/>
                <w:color w:val="auto"/>
                <w:spacing w:val="0"/>
                <w:sz w:val="21"/>
                <w:szCs w:val="21"/>
                <w:highlight w:val="none"/>
                <w:lang w:val="en-US" w:eastAsia="zh-CN"/>
              </w:rPr>
              <w:t>9</w:t>
            </w:r>
            <w:r>
              <w:rPr>
                <w:rFonts w:hint="eastAsia" w:ascii="仿宋" w:hAnsi="仿宋" w:eastAsia="仿宋" w:cs="仿宋"/>
                <w:color w:val="auto"/>
                <w:spacing w:val="0"/>
                <w:sz w:val="21"/>
                <w:szCs w:val="21"/>
                <w:highlight w:val="none"/>
              </w:rPr>
              <w:t>0</w:t>
            </w:r>
            <w:r>
              <w:rPr>
                <w:rFonts w:hint="eastAsia" w:ascii="仿宋" w:hAnsi="仿宋" w:eastAsia="仿宋" w:cs="仿宋"/>
                <w:color w:val="auto"/>
                <w:spacing w:val="0"/>
                <w:sz w:val="21"/>
                <w:szCs w:val="21"/>
                <w:highlight w:val="none"/>
                <w:lang w:eastAsia="zh-CN"/>
              </w:rPr>
              <w:t>分</w:t>
            </w:r>
          </w:p>
        </w:tc>
      </w:tr>
      <w:tr w14:paraId="060F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89" w:type="dxa"/>
            <w:vMerge w:val="continue"/>
            <w:vAlign w:val="top"/>
          </w:tcPr>
          <w:p w14:paraId="092F147E">
            <w:pPr>
              <w:keepNext w:val="0"/>
              <w:keepLines w:val="0"/>
              <w:pageBreakBefore w:val="0"/>
              <w:widowControl w:val="0"/>
              <w:kinsoku/>
              <w:wordWrap/>
              <w:overflowPunct/>
              <w:topLinePunct w:val="0"/>
              <w:autoSpaceDE/>
              <w:autoSpaceDN/>
              <w:bidi w:val="0"/>
              <w:adjustRightInd w:val="0"/>
              <w:snapToGrid w:val="0"/>
              <w:spacing w:line="440" w:lineRule="exact"/>
              <w:rPr>
                <w:rFonts w:hint="eastAsia" w:ascii="仿宋" w:hAnsi="仿宋" w:eastAsia="仿宋" w:cs="仿宋"/>
                <w:color w:val="auto"/>
                <w:spacing w:val="0"/>
                <w:sz w:val="21"/>
                <w:szCs w:val="21"/>
                <w:highlight w:val="none"/>
              </w:rPr>
            </w:pPr>
          </w:p>
        </w:tc>
        <w:tc>
          <w:tcPr>
            <w:tcW w:w="9249" w:type="dxa"/>
            <w:gridSpan w:val="5"/>
            <w:vAlign w:val="top"/>
          </w:tcPr>
          <w:p w14:paraId="6CE01F74">
            <w:pPr>
              <w:keepNext w:val="0"/>
              <w:keepLines w:val="0"/>
              <w:pageBreakBefore w:val="0"/>
              <w:widowControl w:val="0"/>
              <w:kinsoku/>
              <w:wordWrap/>
              <w:overflowPunct/>
              <w:topLinePunct w:val="0"/>
              <w:autoSpaceDE/>
              <w:autoSpaceDN/>
              <w:bidi w:val="0"/>
              <w:adjustRightInd w:val="0"/>
              <w:snapToGrid w:val="0"/>
              <w:spacing w:line="440" w:lineRule="exact"/>
              <w:ind w:firstLine="315" w:firstLineChars="150"/>
              <w:jc w:val="both"/>
              <w:rPr>
                <w:rFonts w:hint="eastAsia" w:ascii="仿宋" w:hAnsi="仿宋" w:eastAsia="仿宋" w:cs="仿宋"/>
                <w:color w:val="auto"/>
                <w:spacing w:val="0"/>
                <w:kern w:val="2"/>
                <w:sz w:val="21"/>
                <w:szCs w:val="21"/>
                <w:highlight w:val="none"/>
                <w:lang w:val="en-US" w:eastAsia="zh-CN" w:bidi="ar-SA"/>
              </w:rPr>
            </w:pPr>
            <w:r>
              <w:rPr>
                <w:rFonts w:hint="eastAsia" w:ascii="仿宋" w:hAnsi="仿宋" w:eastAsia="仿宋" w:cs="仿宋"/>
                <w:color w:val="auto"/>
                <w:spacing w:val="0"/>
                <w:sz w:val="21"/>
                <w:szCs w:val="21"/>
                <w:highlight w:val="none"/>
              </w:rPr>
              <w:t>注：</w:t>
            </w:r>
            <w:r>
              <w:rPr>
                <w:rFonts w:hint="eastAsia" w:ascii="仿宋" w:hAnsi="仿宋" w:eastAsia="仿宋" w:cs="仿宋"/>
                <w:color w:val="auto"/>
                <w:spacing w:val="0"/>
                <w:kern w:val="2"/>
                <w:sz w:val="21"/>
                <w:szCs w:val="21"/>
                <w:highlight w:val="none"/>
                <w:lang w:val="en-US" w:eastAsia="zh-CN" w:bidi="ar-SA"/>
              </w:rPr>
              <w:t xml:space="preserve"> 1、计算过程中，算术平均值保留2位小数（百分比亦取2位小数），第三位小数四舍五入。</w:t>
            </w:r>
          </w:p>
          <w:p w14:paraId="11E60041">
            <w:pPr>
              <w:keepNext w:val="0"/>
              <w:keepLines w:val="0"/>
              <w:pageBreakBefore w:val="0"/>
              <w:widowControl w:val="0"/>
              <w:kinsoku/>
              <w:wordWrap/>
              <w:overflowPunct/>
              <w:topLinePunct w:val="0"/>
              <w:autoSpaceDE/>
              <w:autoSpaceDN/>
              <w:bidi w:val="0"/>
              <w:adjustRightInd w:val="0"/>
              <w:snapToGrid w:val="0"/>
              <w:spacing w:line="440" w:lineRule="exact"/>
              <w:rPr>
                <w:rFonts w:hint="eastAsia" w:ascii="仿宋" w:hAnsi="仿宋" w:eastAsia="仿宋" w:cs="仿宋"/>
                <w:color w:val="auto"/>
                <w:spacing w:val="0"/>
                <w:sz w:val="21"/>
                <w:szCs w:val="21"/>
                <w:highlight w:val="none"/>
              </w:rPr>
            </w:pPr>
            <w:r>
              <w:rPr>
                <w:rFonts w:hint="eastAsia" w:ascii="仿宋" w:hAnsi="仿宋" w:eastAsia="仿宋" w:cs="仿宋"/>
                <w:color w:val="auto"/>
                <w:spacing w:val="0"/>
                <w:kern w:val="2"/>
                <w:sz w:val="21"/>
                <w:szCs w:val="21"/>
                <w:highlight w:val="none"/>
                <w:lang w:val="en-US" w:eastAsia="zh-CN" w:bidi="ar-SA"/>
              </w:rPr>
              <w:t>2、供应商的最终得分为：所有评委对其评分的算术平均值。</w:t>
            </w:r>
          </w:p>
        </w:tc>
      </w:tr>
    </w:tbl>
    <w:p w14:paraId="1B732C84">
      <w:pPr>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br w:type="page"/>
      </w:r>
    </w:p>
    <w:p w14:paraId="6AB3CFEB">
      <w:pPr>
        <w:pStyle w:val="21"/>
        <w:rPr>
          <w:rFonts w:hint="eastAsia"/>
          <w:highlight w:val="none"/>
          <w:lang w:val="en-US" w:eastAsia="zh-CN"/>
        </w:rPr>
      </w:pPr>
    </w:p>
    <w:p w14:paraId="0A77289B">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评审标准中应考虑下列因素：</w:t>
      </w:r>
    </w:p>
    <w:p w14:paraId="23288FA5">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落实中小企业政府采购政策的价格调整：</w:t>
      </w:r>
    </w:p>
    <w:p w14:paraId="26E315D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（1）对于未预留份额专门面向中小企业采购的采购项目，以及预留份额项目中的非预留部分采购包，根据《政府采购促进中小企业发展管理办法》财库〔2020〕46号、《财政部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
          <w:sz w:val="24"/>
          <w:szCs w:val="24"/>
          <w:highlight w:val="none"/>
          <w:u w:val="single"/>
          <w:lang w:val="en-US" w:eastAsia="zh-CN"/>
        </w:rPr>
        <w:t xml:space="preserve"> 10 % </w:t>
      </w:r>
      <w:r>
        <w:rPr>
          <w:rFonts w:hint="eastAsia" w:ascii="仿宋" w:hAnsi="仿宋" w:eastAsia="仿宋" w:cs="仿宋"/>
          <w:sz w:val="24"/>
          <w:szCs w:val="24"/>
          <w:highlight w:val="none"/>
          <w:lang w:val="en-US" w:eastAsia="zh-CN"/>
        </w:rPr>
        <w:t>后参与评审。对于同时属于小微企业、监狱企业或残疾人福利性单位的，不重复进行最后报价扣除。</w:t>
      </w:r>
    </w:p>
    <w:p w14:paraId="6A3CB2F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
          <w:sz w:val="24"/>
          <w:szCs w:val="24"/>
          <w:highlight w:val="none"/>
          <w:u w:val="single"/>
          <w:lang w:val="en-US" w:eastAsia="zh-CN"/>
        </w:rPr>
        <w:t xml:space="preserve"> 30 %</w:t>
      </w:r>
      <w:r>
        <w:rPr>
          <w:rFonts w:hint="eastAsia" w:ascii="仿宋" w:hAnsi="仿宋" w:eastAsia="仿宋" w:cs="仿宋"/>
          <w:sz w:val="24"/>
          <w:szCs w:val="24"/>
          <w:highlight w:val="none"/>
          <w:lang w:val="en-US" w:eastAsia="zh-CN"/>
        </w:rPr>
        <w:t>以上的联合体或者大中型企业的报价给予</w:t>
      </w:r>
      <w:r>
        <w:rPr>
          <w:rFonts w:hint="eastAsia" w:ascii="仿宋" w:hAnsi="仿宋" w:eastAsia="仿宋" w:cs="仿宋"/>
          <w:sz w:val="24"/>
          <w:szCs w:val="24"/>
          <w:highlight w:val="none"/>
          <w:u w:val="single"/>
          <w:lang w:val="en-US" w:eastAsia="zh-CN"/>
        </w:rPr>
        <w:t xml:space="preserve"> 4% </w:t>
      </w:r>
      <w:r>
        <w:rPr>
          <w:rFonts w:hint="eastAsia" w:ascii="仿宋" w:hAnsi="仿宋" w:eastAsia="仿宋" w:cs="仿宋"/>
          <w:sz w:val="24"/>
          <w:szCs w:val="24"/>
          <w:highlight w:val="none"/>
          <w:lang w:val="en-US" w:eastAsia="zh-CN"/>
        </w:rPr>
        <w:t>的扣除，用扣除后的价格参加评审。</w:t>
      </w:r>
    </w:p>
    <w:p w14:paraId="11E3F57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（3）组成联合体或者接受分包的小微企业与联合体内其他企业、分包企业之间存在直接控股、管理关系的，不享受价格扣除优惠政策。</w:t>
      </w:r>
    </w:p>
    <w:p w14:paraId="2A606C6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（4）价格扣除比例对小型企业和微型企业同等对待，不作区分。</w:t>
      </w:r>
    </w:p>
    <w:p w14:paraId="11A1F50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（5）中小企业参加政府采购活动，应当按照采购文件给定的格式出具《中小企业声明函》，否则不得享受相关中小企业扶持政策。</w:t>
      </w:r>
    </w:p>
    <w:p w14:paraId="6FE1EDE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（6）监狱企业提供了由省级以上监狱管理局、戒毒管理局（含新疆生产建设兵团）出具的属于监狱企业的证明文件的，视同小微企业。</w:t>
      </w:r>
    </w:p>
    <w:p w14:paraId="5D4DD9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（7）残疾人福利性单位按采购文件要求提供了《残疾人福利性单位声明函》（见附件）的，视同小微企业。</w:t>
      </w:r>
    </w:p>
    <w:p w14:paraId="0A8DEB4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（8）若供应商同时属于小型或微型企业、监狱企业、残疾人福利性单位中的两种及以上，将不重复享受小微企业价格扣减的优惠政策。</w:t>
      </w:r>
    </w:p>
    <w:p w14:paraId="4224A5A0">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highlight w:val="none"/>
          <w:lang w:val="en-US" w:eastAsia="zh-CN"/>
        </w:rPr>
        <w:t>落实</w:t>
      </w:r>
      <w:r>
        <w:rPr>
          <w:rFonts w:hint="eastAsia" w:ascii="仿宋" w:hAnsi="仿宋" w:eastAsia="仿宋" w:cs="仿宋"/>
          <w:sz w:val="24"/>
          <w:szCs w:val="24"/>
          <w:highlight w:val="none"/>
          <w:lang w:val="en-US" w:eastAsia="zh-CN"/>
        </w:rPr>
        <w:t>对本国产品的支持政策的价格调整：</w:t>
      </w:r>
    </w:p>
    <w:p w14:paraId="58D2F06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2370847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A374EE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0D19884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1064B0C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FFD97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2A0912ED">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
          <w:sz w:val="24"/>
          <w:szCs w:val="24"/>
          <w:highlight w:val="none"/>
          <w:u w:val="single"/>
          <w:lang w:val="en-US" w:eastAsia="zh-CN"/>
        </w:rPr>
        <w:t>综合得分相同时排名优先。</w:t>
      </w:r>
    </w:p>
    <w:p w14:paraId="40659B1F">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供应商所投产品列入无线局域网产品清单，应提供相关证明，在评标时予以优先采购，具体优惠措施为：</w:t>
      </w:r>
      <w:r>
        <w:rPr>
          <w:rFonts w:hint="eastAsia" w:ascii="仿宋" w:hAnsi="仿宋" w:eastAsia="仿宋" w:cs="仿宋"/>
          <w:sz w:val="24"/>
          <w:szCs w:val="24"/>
          <w:highlight w:val="none"/>
          <w:u w:val="single"/>
          <w:lang w:val="en-US" w:eastAsia="zh-CN"/>
        </w:rPr>
        <w:t>综合得分相同时排名优先。</w:t>
      </w:r>
    </w:p>
    <w:p w14:paraId="45114F47">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如采购人所采购产品为政府强制采购的节能产品，供应商所投产品的品牌及型号必须为清单中有效期内产品并提供证明文件，否则其响应将作为无效响应被拒绝。</w:t>
      </w:r>
    </w:p>
    <w:p w14:paraId="5A9D2DE6">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
          <w:sz w:val="24"/>
          <w:szCs w:val="24"/>
          <w:highlight w:val="none"/>
          <w:u w:val="single"/>
          <w:lang w:val="en-US" w:eastAsia="zh-CN"/>
        </w:rPr>
        <w:t xml:space="preserve">  综合得分相同时排名优先。</w:t>
      </w:r>
    </w:p>
    <w:p w14:paraId="75DCFFCE">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同品牌同型号处理办法：</w:t>
      </w:r>
    </w:p>
    <w:p w14:paraId="4C0431C9">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采用综合评标法，则：提供相同品牌相同型号产品（单一产品或核心产品品牌型号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687F3AB8">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如一个分包内包含多种产品的，采购人或采购代理机构将在</w:t>
      </w:r>
      <w:r>
        <w:rPr>
          <w:rFonts w:hint="eastAsia" w:ascii="仿宋" w:hAnsi="仿宋" w:eastAsia="仿宋" w:cs="仿宋"/>
          <w:sz w:val="24"/>
          <w:szCs w:val="24"/>
          <w:highlight w:val="none"/>
          <w:u w:val="single"/>
          <w:lang w:val="en-US" w:eastAsia="zh-CN"/>
        </w:rPr>
        <w:t>供应商须知前附表</w:t>
      </w:r>
      <w:r>
        <w:rPr>
          <w:rFonts w:hint="eastAsia" w:ascii="仿宋" w:hAnsi="仿宋" w:eastAsia="仿宋" w:cs="仿宋"/>
          <w:sz w:val="24"/>
          <w:szCs w:val="24"/>
          <w:highlight w:val="none"/>
          <w:lang w:val="en-US" w:eastAsia="zh-CN"/>
        </w:rPr>
        <w:t xml:space="preserve">中载明核心产品，多家供应商提供的所有核心产品品牌型号均相同的，按前款规定处理。 </w:t>
      </w:r>
    </w:p>
    <w:p w14:paraId="79F62394">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确定中标候选人名单</w:t>
      </w:r>
    </w:p>
    <w:p w14:paraId="6E3C54C2">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47E477B3">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磋商小组要对评分汇总情况进行复核，特别是对排名第一的、报价最低的、响应文件被认定为无效的情形进行重点复核。</w:t>
      </w:r>
    </w:p>
    <w:p w14:paraId="2A742222">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应当根据综合评分情况，按照评审得分由高到低顺序推荐3名以上成交候选供应商，并编写评审报告。符合《政府采购竞争性磋商采购方式管理暂行办法》（财库〔2014〕214号）第二十一条第三款情形的，可以推荐2家成交候选供应商。</w:t>
      </w:r>
    </w:p>
    <w:p w14:paraId="7A7C5431">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18F01DEF">
      <w:pPr>
        <w:pStyle w:val="24"/>
        <w:numPr>
          <w:ilvl w:val="0"/>
          <w:numId w:val="4"/>
        </w:numPr>
        <w:bidi w:val="0"/>
        <w:jc w:val="center"/>
        <w:outlineLvl w:val="0"/>
        <w:rPr>
          <w:rFonts w:hint="eastAsia" w:ascii="仿宋" w:hAnsi="仿宋" w:eastAsia="仿宋" w:cs="仿宋"/>
          <w:b/>
          <w:bCs/>
          <w:sz w:val="32"/>
          <w:szCs w:val="32"/>
          <w:highlight w:val="none"/>
          <w:lang w:val="en-US" w:eastAsia="zh-CN"/>
        </w:rPr>
      </w:pPr>
      <w:bookmarkStart w:id="260" w:name="_Toc8139"/>
      <w:r>
        <w:rPr>
          <w:rFonts w:hint="eastAsia" w:ascii="仿宋" w:hAnsi="仿宋" w:eastAsia="仿宋" w:cs="仿宋"/>
          <w:b/>
          <w:bCs/>
          <w:sz w:val="32"/>
          <w:szCs w:val="32"/>
          <w:highlight w:val="none"/>
          <w:lang w:val="en-US" w:eastAsia="zh-CN"/>
        </w:rPr>
        <w:t>响应文件格式</w:t>
      </w:r>
      <w:bookmarkEnd w:id="260"/>
    </w:p>
    <w:p w14:paraId="76E8E8C2">
      <w:pPr>
        <w:pStyle w:val="24"/>
        <w:rPr>
          <w:rFonts w:hint="eastAsia" w:ascii="仿宋" w:hAnsi="仿宋" w:eastAsia="仿宋" w:cs="仿宋"/>
          <w:highlight w:val="none"/>
          <w:lang w:val="en-US" w:eastAsia="zh-CN"/>
        </w:rPr>
      </w:pPr>
    </w:p>
    <w:p w14:paraId="7C7403B9">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供应商编制文件须知</w:t>
      </w:r>
    </w:p>
    <w:p w14:paraId="68DD1448">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1.为保证评标工作的顺利进行，各供应商需参照如下的格式，认真进行响应文件的编写工作。需建立详细的目录。</w:t>
      </w:r>
    </w:p>
    <w:p w14:paraId="11F4A8CD">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2.各供应商提交文件中涉及商业机密的，应明确标明，采购人及最终用户将给予保密处理，否则视为公开资料。</w:t>
      </w:r>
    </w:p>
    <w:p w14:paraId="2B55F0DB">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0526970E">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4.“法定代表人（单位负责人）”指供应商营业执照或登记证书载明的“法定代表人”、“负责人”、“执行事务合伙人”、“投资人”等。</w:t>
      </w:r>
    </w:p>
    <w:p w14:paraId="5A2C1A65">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5.全部声明和问题的回答及所附材料必须是真实的、准确的和完整的。</w:t>
      </w:r>
    </w:p>
    <w:p w14:paraId="4A9FF093">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6.以联合体参加的，除采购文件格式中要求外，采购文件要求的供应商盖章处应按加盖联合体协议中约定的联合体牵头人公章或所有联合体成员公章。</w:t>
      </w:r>
    </w:p>
    <w:p w14:paraId="4B8AA6CE">
      <w:pPr>
        <w:rPr>
          <w:rFonts w:hint="eastAsia" w:ascii="仿宋" w:hAnsi="仿宋" w:eastAsia="仿宋" w:cs="仿宋"/>
          <w:highlight w:val="none"/>
          <w:lang w:val="en-US" w:eastAsia="zh-CN"/>
        </w:rPr>
      </w:pPr>
    </w:p>
    <w:p w14:paraId="58C0D2A0">
      <w:pPr>
        <w:pStyle w:val="24"/>
        <w:rPr>
          <w:rFonts w:hint="eastAsia" w:ascii="仿宋" w:hAnsi="仿宋" w:eastAsia="仿宋" w:cs="仿宋"/>
          <w:highlight w:val="none"/>
          <w:lang w:val="en-US" w:eastAsia="zh-CN"/>
        </w:rPr>
      </w:pPr>
    </w:p>
    <w:p w14:paraId="610A341F">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46CCAE0B">
      <w:pPr>
        <w:keepNext w:val="0"/>
        <w:keepLines w:val="0"/>
        <w:widowControl/>
        <w:suppressLineNumbers w:val="0"/>
        <w:jc w:val="left"/>
        <w:outlineLvl w:val="1"/>
        <w:rPr>
          <w:rFonts w:hint="eastAsia" w:ascii="仿宋" w:hAnsi="仿宋" w:eastAsia="仿宋" w:cs="仿宋"/>
          <w:b/>
          <w:bCs/>
          <w:color w:val="000000"/>
          <w:kern w:val="0"/>
          <w:sz w:val="24"/>
          <w:szCs w:val="24"/>
          <w:highlight w:val="none"/>
          <w:lang w:val="en-US" w:eastAsia="zh-CN" w:bidi="ar"/>
        </w:rPr>
      </w:pPr>
      <w:bookmarkStart w:id="261" w:name="_Toc14175"/>
      <w:bookmarkStart w:id="262" w:name="_Toc24875"/>
      <w:r>
        <w:rPr>
          <w:rFonts w:hint="eastAsia" w:ascii="仿宋" w:hAnsi="仿宋" w:eastAsia="仿宋" w:cs="仿宋"/>
          <w:b/>
          <w:bCs/>
          <w:color w:val="000000"/>
          <w:kern w:val="0"/>
          <w:sz w:val="24"/>
          <w:szCs w:val="24"/>
          <w:highlight w:val="none"/>
          <w:lang w:val="en-US" w:eastAsia="zh-CN" w:bidi="ar"/>
        </w:rPr>
        <w:t>投标文件封面（参考格式）</w:t>
      </w:r>
      <w:bookmarkEnd w:id="261"/>
      <w:bookmarkEnd w:id="262"/>
    </w:p>
    <w:p w14:paraId="4E70AF9B">
      <w:pPr>
        <w:keepNext w:val="0"/>
        <w:keepLines w:val="0"/>
        <w:widowControl/>
        <w:suppressLineNumbers w:val="0"/>
        <w:jc w:val="left"/>
        <w:rPr>
          <w:rFonts w:hint="eastAsia" w:ascii="仿宋" w:hAnsi="仿宋" w:eastAsia="仿宋" w:cs="仿宋"/>
          <w:b/>
          <w:bCs/>
          <w:color w:val="000000"/>
          <w:kern w:val="0"/>
          <w:sz w:val="84"/>
          <w:szCs w:val="84"/>
          <w:highlight w:val="none"/>
          <w:lang w:val="en-US" w:eastAsia="zh-CN" w:bidi="ar"/>
        </w:rPr>
      </w:pPr>
    </w:p>
    <w:p w14:paraId="557127EC">
      <w:pPr>
        <w:pStyle w:val="25"/>
        <w:rPr>
          <w:rFonts w:hint="eastAsia" w:ascii="仿宋" w:hAnsi="仿宋" w:eastAsia="仿宋" w:cs="仿宋"/>
          <w:highlight w:val="none"/>
          <w:lang w:val="en-US" w:eastAsia="zh-CN"/>
        </w:rPr>
      </w:pPr>
    </w:p>
    <w:p w14:paraId="760A6ACD">
      <w:pPr>
        <w:keepNext w:val="0"/>
        <w:keepLines w:val="0"/>
        <w:widowControl/>
        <w:suppressLineNumbers w:val="0"/>
        <w:jc w:val="center"/>
        <w:rPr>
          <w:rFonts w:hint="eastAsia" w:ascii="仿宋" w:hAnsi="仿宋" w:eastAsia="仿宋" w:cs="仿宋"/>
          <w:highlight w:val="none"/>
        </w:rPr>
      </w:pPr>
      <w:r>
        <w:rPr>
          <w:rFonts w:hint="eastAsia" w:ascii="仿宋" w:hAnsi="仿宋" w:eastAsia="仿宋" w:cs="仿宋"/>
          <w:b/>
          <w:bCs/>
          <w:color w:val="000000"/>
          <w:kern w:val="0"/>
          <w:sz w:val="84"/>
          <w:szCs w:val="84"/>
          <w:highlight w:val="none"/>
          <w:lang w:val="en-US" w:eastAsia="zh-CN" w:bidi="ar"/>
        </w:rPr>
        <w:t>响应文件</w:t>
      </w:r>
    </w:p>
    <w:p w14:paraId="780F446A">
      <w:pPr>
        <w:keepNext w:val="0"/>
        <w:keepLines w:val="0"/>
        <w:widowControl/>
        <w:suppressLineNumbers w:val="0"/>
        <w:jc w:val="left"/>
        <w:rPr>
          <w:rFonts w:hint="eastAsia" w:ascii="仿宋" w:hAnsi="仿宋" w:eastAsia="仿宋" w:cs="仿宋"/>
          <w:b/>
          <w:bCs/>
          <w:color w:val="000000"/>
          <w:kern w:val="0"/>
          <w:sz w:val="52"/>
          <w:szCs w:val="52"/>
          <w:highlight w:val="none"/>
          <w:lang w:val="en-US" w:eastAsia="zh-CN" w:bidi="ar"/>
        </w:rPr>
      </w:pPr>
    </w:p>
    <w:p w14:paraId="753560B4">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52"/>
          <w:szCs w:val="52"/>
          <w:highlight w:val="none"/>
          <w:lang w:val="en-US" w:eastAsia="zh-CN" w:bidi="ar"/>
        </w:rPr>
        <w:t xml:space="preserve"> </w:t>
      </w:r>
    </w:p>
    <w:p w14:paraId="281E2031">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1ACA2EAC">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177101A5">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20B97C4B">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31"/>
          <w:szCs w:val="31"/>
          <w:highlight w:val="none"/>
          <w:lang w:val="en-US" w:eastAsia="zh-CN" w:bidi="ar"/>
        </w:rPr>
        <w:t xml:space="preserve">项目名称: </w:t>
      </w:r>
    </w:p>
    <w:p w14:paraId="30833A78">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31"/>
          <w:szCs w:val="31"/>
          <w:highlight w:val="none"/>
          <w:lang w:val="en-US" w:eastAsia="zh-CN" w:bidi="ar"/>
        </w:rPr>
        <w:t xml:space="preserve">项目编号： </w:t>
      </w:r>
    </w:p>
    <w:p w14:paraId="7A8C54EE">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t>供应商名称（盖公章）：</w:t>
      </w:r>
    </w:p>
    <w:p w14:paraId="29CE6C33">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t>法定代表人或其授权代表（签字或印鉴）：</w:t>
      </w:r>
    </w:p>
    <w:p w14:paraId="2412C74E">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715578FC">
      <w:pPr>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br w:type="page"/>
      </w:r>
    </w:p>
    <w:p w14:paraId="50A6476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1   满足《中华人民共和国政府采购法》第二十二条规定及法律法规的其他规定 </w:t>
      </w:r>
    </w:p>
    <w:p w14:paraId="0BF7F27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highlight w:val="none"/>
          <w:lang w:val="en-US" w:eastAsia="zh-CN" w:bidi="ar"/>
        </w:rPr>
      </w:pPr>
    </w:p>
    <w:p w14:paraId="2293A3A7">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附件 1-1 法人或者其他组织的营业执照等证明文件或自然人的身份证明复印件;</w:t>
      </w:r>
    </w:p>
    <w:p w14:paraId="4228967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p>
    <w:p w14:paraId="2376FFD0">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p>
    <w:p w14:paraId="16566B90">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41646F6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 xml:space="preserve">附件 </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2</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具有良好的商业信誉和健全的财务会计制度的证明文件</w:t>
      </w:r>
    </w:p>
    <w:p w14:paraId="120245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说明：</w:t>
      </w:r>
    </w:p>
    <w:p w14:paraId="7DD8AB6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eastAsia="zh-CN" w:bidi="ar"/>
        </w:rPr>
      </w:pPr>
      <w:bookmarkStart w:id="263" w:name="_Toc29059"/>
      <w:bookmarkStart w:id="264" w:name="_Toc17403"/>
      <w:r>
        <w:rPr>
          <w:rFonts w:hint="eastAsia" w:ascii="仿宋" w:hAnsi="仿宋" w:eastAsia="仿宋" w:cs="仿宋"/>
          <w:color w:val="000000"/>
          <w:kern w:val="0"/>
          <w:sz w:val="24"/>
          <w:highlight w:val="none"/>
          <w:u w:val="none"/>
          <w:lang w:bidi="ar"/>
        </w:rPr>
        <w:t>1、</w:t>
      </w:r>
      <w:bookmarkEnd w:id="263"/>
      <w:bookmarkEnd w:id="264"/>
      <w:r>
        <w:rPr>
          <w:rFonts w:hint="eastAsia" w:ascii="仿宋" w:hAnsi="仿宋" w:eastAsia="仿宋" w:cs="仿宋"/>
          <w:color w:val="000000"/>
          <w:kern w:val="0"/>
          <w:sz w:val="24"/>
          <w:highlight w:val="none"/>
          <w:u w:val="none"/>
          <w:lang w:bidi="ar"/>
        </w:rPr>
        <w:t>扫描件并加盖本单位电子公章</w:t>
      </w:r>
      <w:r>
        <w:rPr>
          <w:rFonts w:hint="eastAsia" w:ascii="仿宋" w:hAnsi="仿宋" w:eastAsia="仿宋" w:cs="仿宋"/>
          <w:color w:val="000000"/>
          <w:kern w:val="0"/>
          <w:sz w:val="24"/>
          <w:highlight w:val="none"/>
          <w:u w:val="none"/>
          <w:lang w:eastAsia="zh-CN" w:bidi="ar"/>
        </w:rPr>
        <w:t>。</w:t>
      </w:r>
    </w:p>
    <w:p w14:paraId="26EB6F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2、采购人、采购代理机构保留审核原件的权利。</w:t>
      </w:r>
    </w:p>
    <w:p w14:paraId="5FA77EF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265" w:name="_Toc4372"/>
      <w:bookmarkStart w:id="266" w:name="_Toc14987"/>
      <w:r>
        <w:rPr>
          <w:rFonts w:hint="eastAsia" w:ascii="仿宋" w:hAnsi="仿宋" w:eastAsia="仿宋" w:cs="仿宋"/>
          <w:color w:val="000000"/>
          <w:kern w:val="0"/>
          <w:sz w:val="24"/>
          <w:highlight w:val="none"/>
          <w:u w:val="none"/>
          <w:lang w:bidi="ar"/>
        </w:rPr>
        <w:t>3、如果是联合体</w:t>
      </w:r>
      <w:r>
        <w:rPr>
          <w:rFonts w:hint="eastAsia" w:ascii="仿宋" w:hAnsi="仿宋" w:eastAsia="仿宋" w:cs="仿宋"/>
          <w:color w:val="000000"/>
          <w:kern w:val="0"/>
          <w:sz w:val="24"/>
          <w:highlight w:val="none"/>
          <w:u w:val="none"/>
          <w:lang w:val="en-US" w:eastAsia="zh-CN" w:bidi="ar"/>
        </w:rPr>
        <w:t>响应</w:t>
      </w:r>
      <w:r>
        <w:rPr>
          <w:rFonts w:hint="eastAsia" w:ascii="仿宋" w:hAnsi="仿宋" w:eastAsia="仿宋" w:cs="仿宋"/>
          <w:color w:val="000000"/>
          <w:kern w:val="0"/>
          <w:sz w:val="24"/>
          <w:highlight w:val="none"/>
          <w:u w:val="none"/>
          <w:lang w:bidi="ar"/>
        </w:rPr>
        <w:t>，联合体各方均需提供上述证明。</w:t>
      </w:r>
      <w:bookmarkEnd w:id="265"/>
      <w:bookmarkEnd w:id="266"/>
    </w:p>
    <w:p w14:paraId="267105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p>
    <w:p w14:paraId="2E9329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br w:type="page"/>
      </w:r>
    </w:p>
    <w:p w14:paraId="210463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附件</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3</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val="en-US" w:eastAsia="zh-CN"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缴纳税收的证明</w:t>
      </w:r>
    </w:p>
    <w:p w14:paraId="101714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说明：</w:t>
      </w:r>
    </w:p>
    <w:p w14:paraId="30F7CC7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eastAsia="zh-CN" w:bidi="ar"/>
        </w:rPr>
      </w:pPr>
      <w:bookmarkStart w:id="267" w:name="_Toc4614"/>
      <w:bookmarkStart w:id="268" w:name="_Toc27172"/>
      <w:r>
        <w:rPr>
          <w:rFonts w:hint="eastAsia" w:ascii="仿宋" w:hAnsi="仿宋" w:eastAsia="仿宋" w:cs="仿宋"/>
          <w:color w:val="000000"/>
          <w:kern w:val="0"/>
          <w:sz w:val="24"/>
          <w:highlight w:val="none"/>
          <w:u w:val="none"/>
          <w:lang w:bidi="ar"/>
        </w:rPr>
        <w:t>1、扫描件并加盖本单位电子公章</w:t>
      </w:r>
      <w:r>
        <w:rPr>
          <w:rFonts w:hint="eastAsia" w:ascii="仿宋" w:hAnsi="仿宋" w:eastAsia="仿宋" w:cs="仿宋"/>
          <w:color w:val="000000"/>
          <w:kern w:val="0"/>
          <w:sz w:val="24"/>
          <w:highlight w:val="none"/>
          <w:u w:val="none"/>
          <w:lang w:eastAsia="zh-CN" w:bidi="ar"/>
        </w:rPr>
        <w:t>。</w:t>
      </w:r>
    </w:p>
    <w:p w14:paraId="17193AD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2、采购人、采购代理机构保留审核原件的权利。</w:t>
      </w:r>
    </w:p>
    <w:p w14:paraId="7CF44E1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3、如果是联合体投标，联合体各方均需提供上述证明。</w:t>
      </w:r>
      <w:r>
        <w:rPr>
          <w:rFonts w:hint="eastAsia" w:ascii="仿宋" w:hAnsi="仿宋" w:eastAsia="仿宋" w:cs="仿宋"/>
          <w:color w:val="000000"/>
          <w:kern w:val="0"/>
          <w:sz w:val="24"/>
          <w:highlight w:val="none"/>
          <w:u w:val="none"/>
          <w:lang w:bidi="ar"/>
        </w:rPr>
        <w:br w:type="page"/>
      </w:r>
      <w:bookmarkEnd w:id="267"/>
      <w:bookmarkEnd w:id="268"/>
    </w:p>
    <w:p w14:paraId="270F572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附件</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4</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val="en-US" w:eastAsia="zh-CN"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为职工缴纳社会保险的证明</w:t>
      </w:r>
    </w:p>
    <w:p w14:paraId="46DED4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说明：</w:t>
      </w:r>
    </w:p>
    <w:p w14:paraId="2BD1D04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eastAsia="zh-CN" w:bidi="ar"/>
        </w:rPr>
      </w:pPr>
      <w:r>
        <w:rPr>
          <w:rFonts w:hint="eastAsia" w:ascii="仿宋" w:hAnsi="仿宋" w:eastAsia="仿宋" w:cs="仿宋"/>
          <w:color w:val="000000"/>
          <w:kern w:val="0"/>
          <w:sz w:val="24"/>
          <w:highlight w:val="none"/>
          <w:u w:val="none"/>
          <w:lang w:bidi="ar"/>
        </w:rPr>
        <w:t>1、扫描件并加盖本单位电子公章</w:t>
      </w:r>
      <w:r>
        <w:rPr>
          <w:rFonts w:hint="eastAsia" w:ascii="仿宋" w:hAnsi="仿宋" w:eastAsia="仿宋" w:cs="仿宋"/>
          <w:color w:val="000000"/>
          <w:kern w:val="0"/>
          <w:sz w:val="24"/>
          <w:highlight w:val="none"/>
          <w:u w:val="none"/>
          <w:lang w:eastAsia="zh-CN" w:bidi="ar"/>
        </w:rPr>
        <w:t>。</w:t>
      </w:r>
    </w:p>
    <w:p w14:paraId="1A87889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2、采购人、采购代理机构保留审核原件的权利。</w:t>
      </w:r>
    </w:p>
    <w:p w14:paraId="37CBE73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3、如果是联合体投标，联合体各方均需提供上述证明。</w:t>
      </w:r>
    </w:p>
    <w:p w14:paraId="0DA30F20">
      <w:pPr>
        <w:rPr>
          <w:rFonts w:hint="eastAsia" w:ascii="仿宋" w:hAnsi="仿宋" w:eastAsia="仿宋" w:cs="仿宋"/>
          <w:color w:val="000000"/>
          <w:kern w:val="0"/>
          <w:sz w:val="24"/>
          <w:highlight w:val="none"/>
          <w:u w:val="none"/>
          <w:lang w:bidi="ar"/>
        </w:rPr>
      </w:pPr>
    </w:p>
    <w:p w14:paraId="04CD6E28">
      <w:pPr>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br w:type="page"/>
      </w:r>
    </w:p>
    <w:p w14:paraId="6E5515C3">
      <w:pPr>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 xml:space="preserve">附件 </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5</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资格声明书</w:t>
      </w:r>
    </w:p>
    <w:p w14:paraId="1081BCFC">
      <w:pPr>
        <w:rPr>
          <w:rFonts w:hint="eastAsia" w:ascii="仿宋" w:hAnsi="仿宋" w:eastAsia="仿宋" w:cs="仿宋"/>
          <w:color w:val="000000"/>
          <w:kern w:val="0"/>
          <w:sz w:val="24"/>
          <w:highlight w:val="none"/>
          <w:u w:val="none"/>
          <w:lang w:bidi="ar"/>
        </w:rPr>
      </w:pPr>
    </w:p>
    <w:p w14:paraId="102F6430">
      <w:pPr>
        <w:keepNext w:val="0"/>
        <w:keepLines w:val="0"/>
        <w:widowControl/>
        <w:suppressLineNumbers w:val="0"/>
        <w:jc w:val="center"/>
        <w:rPr>
          <w:rFonts w:hint="eastAsia" w:ascii="仿宋" w:hAnsi="仿宋" w:eastAsia="仿宋" w:cs="仿宋"/>
          <w:b w:val="0"/>
          <w:bCs w:val="0"/>
          <w:sz w:val="32"/>
          <w:szCs w:val="32"/>
          <w:highlight w:val="none"/>
        </w:rPr>
      </w:pPr>
      <w:r>
        <w:rPr>
          <w:rFonts w:hint="eastAsia" w:ascii="仿宋" w:hAnsi="仿宋" w:eastAsia="仿宋" w:cs="仿宋"/>
          <w:b w:val="0"/>
          <w:bCs w:val="0"/>
          <w:color w:val="000000"/>
          <w:kern w:val="0"/>
          <w:sz w:val="32"/>
          <w:szCs w:val="32"/>
          <w:highlight w:val="none"/>
          <w:lang w:val="en-US" w:eastAsia="zh-CN" w:bidi="ar"/>
        </w:rPr>
        <w:t>供应商资格声明书</w:t>
      </w:r>
    </w:p>
    <w:p w14:paraId="181497F2">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p>
    <w:p w14:paraId="7499CB1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 xml:space="preserve">采购人或采购代理机构 </w:t>
      </w:r>
    </w:p>
    <w:p w14:paraId="4F90DB0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在参与本次项目采购活动中，我单位承诺： </w:t>
      </w:r>
    </w:p>
    <w:p w14:paraId="23E220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（一）具有良好的商业信誉和健全的财务会计制度； </w:t>
      </w:r>
    </w:p>
    <w:p w14:paraId="25E547A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（二）具有履行合同所必需的设备和专业技术能力； </w:t>
      </w:r>
    </w:p>
    <w:p w14:paraId="014490A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（三）有依法缴纳税收和社会保障资金的良好记录； </w:t>
      </w:r>
    </w:p>
    <w:p w14:paraId="124DB81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0C637A1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1AB470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E35328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上述声明真实有效，否则我方负全部责任。 </w:t>
      </w:r>
    </w:p>
    <w:p w14:paraId="46702F6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42BBB2D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C4C19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供应商名称：  </w:t>
      </w:r>
      <w:r>
        <w:rPr>
          <w:rFonts w:hint="eastAsia" w:ascii="仿宋" w:hAnsi="仿宋" w:eastAsia="仿宋" w:cs="仿宋"/>
          <w:i w:val="0"/>
          <w:iCs w:val="0"/>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u w:val="single"/>
          <w:lang w:val="en-US" w:eastAsia="zh-CN" w:bidi="ar"/>
        </w:rPr>
        <w:t>（加盖公章）</w:t>
      </w:r>
    </w:p>
    <w:p w14:paraId="45FA599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法定代表人或其授权代理人：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u w:val="single"/>
          <w:lang w:val="en-US" w:eastAsia="zh-CN" w:bidi="ar"/>
        </w:rPr>
        <w:tab/>
      </w:r>
      <w:r>
        <w:rPr>
          <w:rFonts w:hint="eastAsia" w:ascii="仿宋" w:hAnsi="仿宋" w:eastAsia="仿宋" w:cs="仿宋"/>
          <w:color w:val="000000"/>
          <w:kern w:val="0"/>
          <w:sz w:val="24"/>
          <w:szCs w:val="24"/>
          <w:highlight w:val="none"/>
          <w:u w:val="single"/>
          <w:lang w:val="en-US" w:eastAsia="zh-CN" w:bidi="ar"/>
        </w:rPr>
        <w:t>（签字或印鉴）</w:t>
      </w:r>
      <w:r>
        <w:rPr>
          <w:rFonts w:hint="eastAsia" w:ascii="仿宋" w:hAnsi="仿宋" w:eastAsia="仿宋" w:cs="仿宋"/>
          <w:color w:val="000000"/>
          <w:kern w:val="0"/>
          <w:sz w:val="24"/>
          <w:szCs w:val="24"/>
          <w:highlight w:val="none"/>
          <w:lang w:val="en-US" w:eastAsia="zh-CN" w:bidi="ar"/>
        </w:rPr>
        <w:tab/>
      </w:r>
    </w:p>
    <w:p w14:paraId="476826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p>
    <w:p w14:paraId="798A5BC1">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p>
    <w:p w14:paraId="5D513AA1">
      <w:pPr>
        <w:rPr>
          <w:rFonts w:hint="eastAsia" w:ascii="仿宋" w:hAnsi="仿宋" w:eastAsia="仿宋" w:cs="仿宋"/>
          <w:color w:val="000000"/>
          <w:kern w:val="0"/>
          <w:sz w:val="24"/>
          <w:szCs w:val="24"/>
          <w:highlight w:val="none"/>
          <w:lang w:val="en-US" w:eastAsia="zh-CN" w:bidi="ar"/>
        </w:rPr>
      </w:pPr>
      <w:bookmarkStart w:id="269" w:name="_Toc21978"/>
      <w:bookmarkStart w:id="270" w:name="_Toc14014"/>
      <w:r>
        <w:rPr>
          <w:rFonts w:hint="eastAsia" w:ascii="仿宋" w:hAnsi="仿宋" w:eastAsia="仿宋" w:cs="仿宋"/>
          <w:color w:val="000000"/>
          <w:kern w:val="0"/>
          <w:sz w:val="24"/>
          <w:szCs w:val="24"/>
          <w:highlight w:val="none"/>
          <w:lang w:val="en-US" w:eastAsia="zh-CN" w:bidi="ar"/>
        </w:rPr>
        <w:br w:type="page"/>
      </w:r>
    </w:p>
    <w:p w14:paraId="401636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 落实政府采购政策需满足的资格要求（如有）</w:t>
      </w:r>
      <w:bookmarkEnd w:id="269"/>
      <w:bookmarkEnd w:id="270"/>
      <w:r>
        <w:rPr>
          <w:rFonts w:hint="eastAsia" w:ascii="仿宋" w:hAnsi="仿宋" w:eastAsia="仿宋" w:cs="仿宋"/>
          <w:color w:val="000000"/>
          <w:kern w:val="0"/>
          <w:sz w:val="24"/>
          <w:szCs w:val="24"/>
          <w:highlight w:val="none"/>
          <w:lang w:val="en-US" w:eastAsia="zh-CN" w:bidi="ar"/>
        </w:rPr>
        <w:t xml:space="preserve"> </w:t>
      </w:r>
    </w:p>
    <w:p w14:paraId="5C8B8A2A">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2-1 中小企业声明函 </w:t>
      </w:r>
    </w:p>
    <w:p w14:paraId="0B42A944">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说明： </w:t>
      </w:r>
    </w:p>
    <w:p w14:paraId="247A50CE">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1F850F4D">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3F1CBC68">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588B80FC">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21A94397">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（5）中小企业声明函填写注意事项 </w:t>
      </w:r>
    </w:p>
    <w:p w14:paraId="235CB000">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6B1650C8">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2）对于联合体中由中小企业承担的部分，或者分包给中小企业的部分，必须全</w:t>
      </w:r>
    </w:p>
    <w:p w14:paraId="3B5A4B50">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部由中小企业制造、承建或者承接。供应商应当在声明函“标的名称”部分标明</w:t>
      </w:r>
    </w:p>
    <w:p w14:paraId="1E91CFB4">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联合体中中小企业承担的具体内容或者中小企业的具体分包内容。 </w:t>
      </w:r>
    </w:p>
    <w:p w14:paraId="3F828A62">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6E25E163">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r>
        <w:rPr>
          <w:rFonts w:hint="eastAsia" w:ascii="仿宋" w:hAnsi="仿宋" w:eastAsia="仿宋" w:cs="仿宋"/>
          <w:b w:val="0"/>
          <w:bCs w:val="0"/>
          <w:color w:val="000000"/>
          <w:kern w:val="0"/>
          <w:sz w:val="24"/>
          <w:szCs w:val="24"/>
          <w:highlight w:val="none"/>
          <w:lang w:val="en-US" w:eastAsia="zh-CN" w:bidi="ar"/>
        </w:rPr>
        <w:br w:type="page"/>
      </w:r>
    </w:p>
    <w:p w14:paraId="4DC1EAF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中小企业声明函（服务）</w:t>
      </w:r>
    </w:p>
    <w:p w14:paraId="17EB6D2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B1FEFB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本公司（联合体）郑重声明，根据《政府采购促进中小企业发展管理办法》 </w:t>
      </w:r>
    </w:p>
    <w:p w14:paraId="5F233A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（财库﹝2020﹞46号）的规定，本公司（联合体）参加</w:t>
      </w:r>
      <w:r>
        <w:rPr>
          <w:rFonts w:hint="eastAsia" w:ascii="仿宋" w:hAnsi="仿宋" w:eastAsia="仿宋" w:cs="仿宋"/>
          <w:i/>
          <w:iCs/>
          <w:color w:val="000000"/>
          <w:kern w:val="0"/>
          <w:sz w:val="24"/>
          <w:szCs w:val="24"/>
          <w:highlight w:val="none"/>
          <w:u w:val="single"/>
          <w:lang w:val="en-US" w:eastAsia="zh-CN" w:bidi="ar"/>
        </w:rPr>
        <w:t>（单位名称）</w:t>
      </w:r>
      <w:r>
        <w:rPr>
          <w:rFonts w:hint="eastAsia" w:ascii="仿宋" w:hAnsi="仿宋" w:eastAsia="仿宋" w:cs="仿宋"/>
          <w:color w:val="000000"/>
          <w:kern w:val="0"/>
          <w:sz w:val="24"/>
          <w:szCs w:val="24"/>
          <w:highlight w:val="none"/>
          <w:lang w:val="en-US" w:eastAsia="zh-CN" w:bidi="ar"/>
        </w:rPr>
        <w:t>的</w:t>
      </w:r>
      <w:r>
        <w:rPr>
          <w:rFonts w:hint="eastAsia" w:ascii="仿宋" w:hAnsi="仿宋" w:eastAsia="仿宋" w:cs="仿宋"/>
          <w:i/>
          <w:iCs/>
          <w:color w:val="000000"/>
          <w:kern w:val="0"/>
          <w:sz w:val="24"/>
          <w:szCs w:val="24"/>
          <w:highlight w:val="none"/>
          <w:u w:val="single"/>
          <w:lang w:val="en-US" w:eastAsia="zh-CN" w:bidi="ar"/>
        </w:rPr>
        <w:t>（项目名称）</w:t>
      </w:r>
      <w:r>
        <w:rPr>
          <w:rFonts w:hint="eastAsia" w:ascii="仿宋" w:hAnsi="仿宋" w:eastAsia="仿宋" w:cs="仿宋"/>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125DFC4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1. </w:t>
      </w:r>
      <w:r>
        <w:rPr>
          <w:rFonts w:hint="eastAsia" w:ascii="仿宋" w:hAnsi="仿宋" w:eastAsia="仿宋" w:cs="仿宋"/>
          <w:i/>
          <w:iCs/>
          <w:color w:val="000000"/>
          <w:kern w:val="0"/>
          <w:sz w:val="24"/>
          <w:szCs w:val="24"/>
          <w:highlight w:val="none"/>
          <w:u w:val="single"/>
          <w:lang w:val="en-US" w:eastAsia="zh-CN" w:bidi="ar"/>
        </w:rPr>
        <w:t>（标的名称）</w:t>
      </w:r>
      <w:r>
        <w:rPr>
          <w:rFonts w:hint="eastAsia" w:ascii="仿宋" w:hAnsi="仿宋" w:eastAsia="仿宋" w:cs="仿宋"/>
          <w:color w:val="000000"/>
          <w:kern w:val="0"/>
          <w:sz w:val="24"/>
          <w:szCs w:val="24"/>
          <w:highlight w:val="none"/>
          <w:lang w:val="en-US" w:eastAsia="zh-CN" w:bidi="ar"/>
        </w:rPr>
        <w:t>，属于</w:t>
      </w:r>
      <w:r>
        <w:rPr>
          <w:rFonts w:hint="eastAsia" w:ascii="仿宋" w:hAnsi="仿宋" w:eastAsia="仿宋" w:cs="仿宋"/>
          <w:i/>
          <w:iCs/>
          <w:color w:val="000000"/>
          <w:kern w:val="0"/>
          <w:sz w:val="24"/>
          <w:szCs w:val="24"/>
          <w:highlight w:val="none"/>
          <w:u w:val="single"/>
          <w:lang w:val="en-US" w:eastAsia="zh-CN" w:bidi="ar"/>
        </w:rPr>
        <w:t>（采购文件中明确的所属行业）</w:t>
      </w:r>
      <w:r>
        <w:rPr>
          <w:rFonts w:hint="eastAsia" w:ascii="仿宋" w:hAnsi="仿宋" w:eastAsia="仿宋" w:cs="仿宋"/>
          <w:color w:val="000000"/>
          <w:kern w:val="0"/>
          <w:sz w:val="24"/>
          <w:szCs w:val="24"/>
          <w:highlight w:val="none"/>
          <w:lang w:val="en-US" w:eastAsia="zh-CN" w:bidi="ar"/>
        </w:rPr>
        <w:t xml:space="preserve">；承建（承接）企业 </w:t>
      </w:r>
    </w:p>
    <w:p w14:paraId="12E676A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为</w:t>
      </w:r>
      <w:r>
        <w:rPr>
          <w:rFonts w:hint="eastAsia" w:ascii="仿宋" w:hAnsi="仿宋" w:eastAsia="仿宋" w:cs="仿宋"/>
          <w:i/>
          <w:iCs/>
          <w:color w:val="000000"/>
          <w:kern w:val="0"/>
          <w:sz w:val="24"/>
          <w:szCs w:val="24"/>
          <w:highlight w:val="none"/>
          <w:u w:val="single"/>
          <w:lang w:val="en-US" w:eastAsia="zh-CN" w:bidi="ar"/>
        </w:rPr>
        <w:t>（企业名称）</w:t>
      </w:r>
      <w:r>
        <w:rPr>
          <w:rFonts w:hint="eastAsia" w:ascii="仿宋" w:hAnsi="仿宋" w:eastAsia="仿宋" w:cs="仿宋"/>
          <w:color w:val="000000"/>
          <w:kern w:val="0"/>
          <w:sz w:val="24"/>
          <w:szCs w:val="24"/>
          <w:highlight w:val="none"/>
          <w:lang w:val="en-US" w:eastAsia="zh-CN" w:bidi="ar"/>
        </w:rPr>
        <w:t>，从业人员</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人，营业收入为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万元，资产总额</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为万元，属于</w:t>
      </w:r>
      <w:r>
        <w:rPr>
          <w:rFonts w:hint="eastAsia" w:ascii="仿宋" w:hAnsi="仿宋" w:eastAsia="仿宋" w:cs="仿宋"/>
          <w:i/>
          <w:iCs/>
          <w:color w:val="000000"/>
          <w:kern w:val="0"/>
          <w:sz w:val="24"/>
          <w:szCs w:val="24"/>
          <w:highlight w:val="none"/>
          <w:u w:val="single"/>
          <w:lang w:val="en-US" w:eastAsia="zh-CN" w:bidi="ar"/>
        </w:rPr>
        <w:t>（中型企业、小型企业、微型企业）</w:t>
      </w:r>
      <w:r>
        <w:rPr>
          <w:rFonts w:hint="eastAsia" w:ascii="仿宋" w:hAnsi="仿宋" w:eastAsia="仿宋" w:cs="仿宋"/>
          <w:color w:val="000000"/>
          <w:kern w:val="0"/>
          <w:sz w:val="24"/>
          <w:szCs w:val="24"/>
          <w:highlight w:val="none"/>
          <w:lang w:val="en-US" w:eastAsia="zh-CN" w:bidi="ar"/>
        </w:rPr>
        <w:t xml:space="preserve">； </w:t>
      </w:r>
    </w:p>
    <w:p w14:paraId="12D3366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 </w:t>
      </w:r>
      <w:r>
        <w:rPr>
          <w:rFonts w:hint="eastAsia" w:ascii="仿宋" w:hAnsi="仿宋" w:eastAsia="仿宋" w:cs="仿宋"/>
          <w:i/>
          <w:iCs/>
          <w:color w:val="000000"/>
          <w:kern w:val="0"/>
          <w:sz w:val="24"/>
          <w:szCs w:val="24"/>
          <w:highlight w:val="none"/>
          <w:u w:val="single"/>
          <w:lang w:val="en-US" w:eastAsia="zh-CN" w:bidi="ar"/>
        </w:rPr>
        <w:t>（标的名称）</w:t>
      </w:r>
      <w:r>
        <w:rPr>
          <w:rFonts w:hint="eastAsia" w:ascii="仿宋" w:hAnsi="仿宋" w:eastAsia="仿宋" w:cs="仿宋"/>
          <w:color w:val="000000"/>
          <w:kern w:val="0"/>
          <w:sz w:val="24"/>
          <w:szCs w:val="24"/>
          <w:highlight w:val="none"/>
          <w:lang w:val="en-US" w:eastAsia="zh-CN" w:bidi="ar"/>
        </w:rPr>
        <w:t>，属于</w:t>
      </w:r>
      <w:r>
        <w:rPr>
          <w:rFonts w:hint="eastAsia" w:ascii="仿宋" w:hAnsi="仿宋" w:eastAsia="仿宋" w:cs="仿宋"/>
          <w:i/>
          <w:iCs/>
          <w:color w:val="000000"/>
          <w:kern w:val="0"/>
          <w:sz w:val="24"/>
          <w:szCs w:val="24"/>
          <w:highlight w:val="none"/>
          <w:u w:val="single"/>
          <w:lang w:val="en-US" w:eastAsia="zh-CN" w:bidi="ar"/>
        </w:rPr>
        <w:t>（采购文件中明确的所属行业）</w:t>
      </w:r>
      <w:r>
        <w:rPr>
          <w:rFonts w:hint="eastAsia" w:ascii="仿宋" w:hAnsi="仿宋" w:eastAsia="仿宋" w:cs="仿宋"/>
          <w:color w:val="000000"/>
          <w:kern w:val="0"/>
          <w:sz w:val="24"/>
          <w:szCs w:val="24"/>
          <w:highlight w:val="none"/>
          <w:lang w:val="en-US" w:eastAsia="zh-CN" w:bidi="ar"/>
        </w:rPr>
        <w:t>；承建（承接）企业</w:t>
      </w:r>
    </w:p>
    <w:p w14:paraId="44FFAF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为</w:t>
      </w:r>
      <w:r>
        <w:rPr>
          <w:rFonts w:hint="eastAsia" w:ascii="仿宋" w:hAnsi="仿宋" w:eastAsia="仿宋" w:cs="仿宋"/>
          <w:i/>
          <w:iCs/>
          <w:color w:val="000000"/>
          <w:kern w:val="0"/>
          <w:sz w:val="24"/>
          <w:szCs w:val="24"/>
          <w:highlight w:val="none"/>
          <w:u w:val="single"/>
          <w:lang w:val="en-US" w:eastAsia="zh-CN" w:bidi="ar"/>
        </w:rPr>
        <w:t>（企业名称）</w:t>
      </w:r>
      <w:r>
        <w:rPr>
          <w:rFonts w:hint="eastAsia" w:ascii="仿宋" w:hAnsi="仿宋" w:eastAsia="仿宋" w:cs="仿宋"/>
          <w:color w:val="000000"/>
          <w:kern w:val="0"/>
          <w:sz w:val="24"/>
          <w:szCs w:val="24"/>
          <w:highlight w:val="none"/>
          <w:lang w:val="en-US" w:eastAsia="zh-CN" w:bidi="ar"/>
        </w:rPr>
        <w:t>，从业人员</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人，营业收入为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万元，资产总额</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为万元，属于</w:t>
      </w:r>
      <w:r>
        <w:rPr>
          <w:rFonts w:hint="eastAsia" w:ascii="仿宋" w:hAnsi="仿宋" w:eastAsia="仿宋" w:cs="仿宋"/>
          <w:i/>
          <w:iCs/>
          <w:color w:val="000000"/>
          <w:kern w:val="0"/>
          <w:sz w:val="24"/>
          <w:szCs w:val="24"/>
          <w:highlight w:val="none"/>
          <w:u w:val="single"/>
          <w:lang w:val="en-US" w:eastAsia="zh-CN" w:bidi="ar"/>
        </w:rPr>
        <w:t>（中型企业、小型企业、微型企业）</w:t>
      </w:r>
      <w:r>
        <w:rPr>
          <w:rFonts w:hint="eastAsia" w:ascii="仿宋" w:hAnsi="仿宋" w:eastAsia="仿宋" w:cs="仿宋"/>
          <w:color w:val="000000"/>
          <w:kern w:val="0"/>
          <w:sz w:val="24"/>
          <w:szCs w:val="24"/>
          <w:highlight w:val="none"/>
          <w:lang w:val="en-US" w:eastAsia="zh-CN" w:bidi="ar"/>
        </w:rPr>
        <w:t xml:space="preserve">；； </w:t>
      </w:r>
    </w:p>
    <w:p w14:paraId="328F2C5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 </w:t>
      </w:r>
    </w:p>
    <w:p w14:paraId="19F6E00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以上企业，不属于大企业的分支机构，不存在控股股东为大企业的情形， </w:t>
      </w:r>
    </w:p>
    <w:p w14:paraId="5964BB8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也不存在与大企业的负责人为同一人的情形。 </w:t>
      </w:r>
    </w:p>
    <w:p w14:paraId="196889C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本企业对上述声明内容的真实性负责。如有虚假，将依法承担相应责任。</w:t>
      </w:r>
    </w:p>
    <w:p w14:paraId="117FAE92">
      <w:pPr>
        <w:pStyle w:val="2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 </w:t>
      </w:r>
    </w:p>
    <w:p w14:paraId="2B758435">
      <w:pPr>
        <w:pStyle w:val="2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 w:hAnsi="仿宋" w:eastAsia="仿宋" w:cs="仿宋"/>
          <w:i w:val="0"/>
          <w:iCs w:val="0"/>
          <w:caps w:val="0"/>
          <w:color w:val="000000"/>
          <w:spacing w:val="0"/>
          <w:sz w:val="24"/>
          <w:szCs w:val="24"/>
          <w:highlight w:val="none"/>
          <w:u w:val="singl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             </w:t>
      </w:r>
      <w:r>
        <w:rPr>
          <w:rFonts w:hint="eastAsia" w:ascii="仿宋" w:hAnsi="仿宋" w:eastAsia="仿宋" w:cs="仿宋"/>
          <w:i w:val="0"/>
          <w:iCs w:val="0"/>
          <w:caps w:val="0"/>
          <w:color w:val="000000"/>
          <w:spacing w:val="0"/>
          <w:sz w:val="24"/>
          <w:szCs w:val="24"/>
          <w:highlight w:val="none"/>
        </w:rPr>
        <w:t>企业名称（盖章）：</w:t>
      </w:r>
      <w:r>
        <w:rPr>
          <w:rFonts w:hint="eastAsia" w:ascii="仿宋" w:hAnsi="仿宋" w:eastAsia="仿宋" w:cs="仿宋"/>
          <w:i w:val="0"/>
          <w:iCs w:val="0"/>
          <w:caps w:val="0"/>
          <w:color w:val="000000"/>
          <w:spacing w:val="0"/>
          <w:sz w:val="24"/>
          <w:szCs w:val="24"/>
          <w:highlight w:val="none"/>
          <w:u w:val="single"/>
          <w:lang w:val="en-US" w:eastAsia="zh-CN"/>
        </w:rPr>
        <w:t xml:space="preserve">          </w:t>
      </w:r>
    </w:p>
    <w:p w14:paraId="2E95F5AD">
      <w:pPr>
        <w:pStyle w:val="2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 w:hAnsi="仿宋" w:eastAsia="仿宋" w:cs="仿宋"/>
          <w:i w:val="0"/>
          <w:iCs w:val="0"/>
          <w:caps w:val="0"/>
          <w:color w:val="000000"/>
          <w:spacing w:val="0"/>
          <w:sz w:val="27"/>
          <w:szCs w:val="27"/>
          <w:highlight w:val="none"/>
          <w:u w:val="single"/>
          <w:lang w:val="en-US" w:eastAsia="zh-CN"/>
        </w:rPr>
      </w:pPr>
      <w:r>
        <w:rPr>
          <w:rFonts w:hint="eastAsia" w:ascii="仿宋" w:hAnsi="仿宋" w:eastAsia="仿宋" w:cs="仿宋"/>
          <w:i w:val="0"/>
          <w:iCs w:val="0"/>
          <w:caps w:val="0"/>
          <w:color w:val="000000"/>
          <w:spacing w:val="0"/>
          <w:sz w:val="24"/>
          <w:szCs w:val="24"/>
          <w:highlight w:val="none"/>
        </w:rPr>
        <w:t>日期：</w:t>
      </w:r>
      <w:r>
        <w:rPr>
          <w:rFonts w:hint="eastAsia" w:ascii="仿宋" w:hAnsi="仿宋" w:eastAsia="仿宋" w:cs="仿宋"/>
          <w:i w:val="0"/>
          <w:iCs w:val="0"/>
          <w:caps w:val="0"/>
          <w:color w:val="000000"/>
          <w:spacing w:val="0"/>
          <w:sz w:val="24"/>
          <w:szCs w:val="24"/>
          <w:highlight w:val="none"/>
          <w:u w:val="single"/>
          <w:lang w:val="en-US" w:eastAsia="zh-CN"/>
        </w:rPr>
        <w:t xml:space="preserve">         </w:t>
      </w:r>
    </w:p>
    <w:p w14:paraId="68FDB2F0">
      <w:pPr>
        <w:rPr>
          <w:rFonts w:hint="eastAsia" w:ascii="仿宋" w:hAnsi="仿宋" w:eastAsia="仿宋" w:cs="仿宋"/>
          <w:b w:val="0"/>
          <w:bCs w:val="0"/>
          <w:color w:val="000000"/>
          <w:kern w:val="0"/>
          <w:sz w:val="21"/>
          <w:szCs w:val="21"/>
          <w:highlight w:val="none"/>
          <w:lang w:val="en-US" w:eastAsia="zh-CN" w:bidi="ar"/>
        </w:rPr>
      </w:pPr>
    </w:p>
    <w:p w14:paraId="79EA4A95">
      <w:pPr>
        <w:rPr>
          <w:rFonts w:hint="eastAsia" w:ascii="仿宋" w:hAnsi="仿宋" w:eastAsia="仿宋" w:cs="仿宋"/>
          <w:b w:val="0"/>
          <w:bCs w:val="0"/>
          <w:color w:val="000000"/>
          <w:kern w:val="0"/>
          <w:sz w:val="21"/>
          <w:szCs w:val="21"/>
          <w:highlight w:val="none"/>
          <w:lang w:val="en-US" w:eastAsia="zh-CN" w:bidi="ar"/>
        </w:rPr>
      </w:pPr>
    </w:p>
    <w:p w14:paraId="2C5709A3">
      <w:pPr>
        <w:rPr>
          <w:rFonts w:hint="eastAsia" w:ascii="仿宋" w:hAnsi="仿宋" w:eastAsia="仿宋" w:cs="仿宋"/>
          <w:b w:val="0"/>
          <w:bCs w:val="0"/>
          <w:color w:val="000000"/>
          <w:kern w:val="0"/>
          <w:sz w:val="21"/>
          <w:szCs w:val="21"/>
          <w:highlight w:val="none"/>
          <w:lang w:val="en-US" w:eastAsia="zh-CN" w:bidi="ar"/>
        </w:rPr>
      </w:pPr>
    </w:p>
    <w:p w14:paraId="7054ACAB">
      <w:pPr>
        <w:rPr>
          <w:rFonts w:hint="eastAsia" w:ascii="仿宋" w:hAnsi="仿宋" w:eastAsia="仿宋" w:cs="仿宋"/>
          <w:b w:val="0"/>
          <w:bCs w:val="0"/>
          <w:color w:val="000000"/>
          <w:kern w:val="0"/>
          <w:sz w:val="21"/>
          <w:szCs w:val="21"/>
          <w:highlight w:val="none"/>
          <w:lang w:val="en-US" w:eastAsia="zh-CN" w:bidi="ar"/>
        </w:rPr>
      </w:pPr>
    </w:p>
    <w:p w14:paraId="3587C514">
      <w:pPr>
        <w:rPr>
          <w:rFonts w:hint="eastAsia" w:ascii="仿宋" w:hAnsi="仿宋" w:eastAsia="仿宋" w:cs="仿宋"/>
          <w:b w:val="0"/>
          <w:bCs w:val="0"/>
          <w:color w:val="000000"/>
          <w:kern w:val="0"/>
          <w:sz w:val="21"/>
          <w:szCs w:val="21"/>
          <w:highlight w:val="none"/>
          <w:lang w:val="en-US" w:eastAsia="zh-CN" w:bidi="ar"/>
        </w:rPr>
      </w:pPr>
    </w:p>
    <w:p w14:paraId="0A8A9347">
      <w:pPr>
        <w:rPr>
          <w:rFonts w:hint="eastAsia" w:ascii="仿宋" w:hAnsi="仿宋" w:eastAsia="仿宋" w:cs="仿宋"/>
          <w:b w:val="0"/>
          <w:bCs w:val="0"/>
          <w:color w:val="000000"/>
          <w:kern w:val="0"/>
          <w:sz w:val="21"/>
          <w:szCs w:val="21"/>
          <w:highlight w:val="none"/>
          <w:lang w:val="en-US" w:eastAsia="zh-CN" w:bidi="ar"/>
        </w:rPr>
      </w:pPr>
    </w:p>
    <w:p w14:paraId="1C6923B4">
      <w:pPr>
        <w:rPr>
          <w:rFonts w:hint="eastAsia" w:ascii="仿宋" w:hAnsi="仿宋" w:eastAsia="仿宋" w:cs="仿宋"/>
          <w:b w:val="0"/>
          <w:bCs w:val="0"/>
          <w:color w:val="000000"/>
          <w:kern w:val="0"/>
          <w:sz w:val="21"/>
          <w:szCs w:val="21"/>
          <w:highlight w:val="none"/>
          <w:lang w:val="en-US" w:eastAsia="zh-CN" w:bidi="ar"/>
        </w:rPr>
      </w:pPr>
    </w:p>
    <w:p w14:paraId="4ED6FE7C">
      <w:pPr>
        <w:rPr>
          <w:rFonts w:hint="eastAsia" w:ascii="仿宋" w:hAnsi="仿宋" w:eastAsia="仿宋" w:cs="仿宋"/>
          <w:b w:val="0"/>
          <w:bCs w:val="0"/>
          <w:color w:val="000000"/>
          <w:kern w:val="0"/>
          <w:sz w:val="21"/>
          <w:szCs w:val="21"/>
          <w:highlight w:val="none"/>
          <w:lang w:val="en-US" w:eastAsia="zh-CN" w:bidi="ar"/>
        </w:rPr>
      </w:pPr>
      <w:r>
        <w:rPr>
          <w:rFonts w:hint="eastAsia" w:ascii="仿宋" w:hAnsi="仿宋" w:eastAsia="仿宋" w:cs="仿宋"/>
          <w:b w:val="0"/>
          <w:bCs w:val="0"/>
          <w:color w:val="000000"/>
          <w:kern w:val="0"/>
          <w:sz w:val="21"/>
          <w:szCs w:val="21"/>
          <w:highlight w:val="none"/>
          <w:lang w:val="en-US" w:eastAsia="zh-CN" w:bidi="ar"/>
        </w:rPr>
        <w:t>从业人员、营业收入、资产总额填报上一年度数据，无上一年度数据的新成立企业可不填报。</w:t>
      </w:r>
    </w:p>
    <w:p w14:paraId="4A50FBD5">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03BD2FF5">
      <w:pPr>
        <w:keepNext w:val="0"/>
        <w:keepLines w:val="0"/>
        <w:widowControl/>
        <w:suppressLineNumbers w:val="0"/>
        <w:jc w:val="center"/>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残疾人福利性单位声明函格式</w:t>
      </w:r>
    </w:p>
    <w:p w14:paraId="6ADD5423">
      <w:pPr>
        <w:keepNext w:val="0"/>
        <w:keepLines w:val="0"/>
        <w:widowControl/>
        <w:suppressLineNumbers w:val="0"/>
        <w:jc w:val="center"/>
        <w:rPr>
          <w:rFonts w:hint="eastAsia" w:ascii="仿宋" w:hAnsi="仿宋" w:eastAsia="仿宋" w:cs="仿宋"/>
          <w:b/>
          <w:bCs/>
          <w:color w:val="000000"/>
          <w:kern w:val="0"/>
          <w:sz w:val="32"/>
          <w:szCs w:val="32"/>
          <w:highlight w:val="none"/>
          <w:lang w:val="en-US" w:eastAsia="zh-CN" w:bidi="ar"/>
        </w:rPr>
      </w:pPr>
    </w:p>
    <w:p w14:paraId="3626DA9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 w:hAnsi="仿宋" w:eastAsia="仿宋" w:cs="仿宋"/>
          <w:b/>
          <w:bCs/>
          <w:color w:val="000000"/>
          <w:kern w:val="0"/>
          <w:sz w:val="24"/>
          <w:szCs w:val="24"/>
          <w:highlight w:val="none"/>
          <w:lang w:val="en-US" w:eastAsia="zh-CN" w:bidi="ar"/>
        </w:rPr>
        <w:t>（请进行勾选）</w:t>
      </w:r>
      <w:r>
        <w:rPr>
          <w:rFonts w:hint="eastAsia" w:ascii="仿宋" w:hAnsi="仿宋" w:eastAsia="仿宋" w:cs="仿宋"/>
          <w:color w:val="000000"/>
          <w:kern w:val="0"/>
          <w:sz w:val="24"/>
          <w:szCs w:val="24"/>
          <w:highlight w:val="none"/>
          <w:lang w:val="en-US" w:eastAsia="zh-CN" w:bidi="ar"/>
        </w:rPr>
        <w:t xml:space="preserve">： </w:t>
      </w:r>
    </w:p>
    <w:p w14:paraId="5D6A64FA">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 xml:space="preserve">□不属于符合条件的残疾人福利性单位。 </w:t>
      </w:r>
    </w:p>
    <w:p w14:paraId="624045D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□属于符合条件的残疾人福利性单位，</w:t>
      </w:r>
      <w:r>
        <w:rPr>
          <w:rFonts w:hint="eastAsia" w:ascii="仿宋" w:hAnsi="仿宋" w:eastAsia="仿宋" w:cs="仿宋"/>
          <w:color w:val="000000"/>
          <w:kern w:val="0"/>
          <w:sz w:val="24"/>
          <w:szCs w:val="24"/>
          <w:highlight w:val="none"/>
          <w:lang w:val="en-US" w:eastAsia="zh-CN" w:bidi="ar"/>
        </w:rPr>
        <w:t>且本单位参加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单位的</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84922B0">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 xml:space="preserve">本单位对上述声明的真实性负责。如有虚假，将依法承担相应责任。 </w:t>
      </w:r>
    </w:p>
    <w:p w14:paraId="2B182F5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02EA3E4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1DD2398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             单位名称（盖章）：</w:t>
      </w:r>
    </w:p>
    <w:p w14:paraId="7277959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                         日期：</w:t>
      </w:r>
    </w:p>
    <w:p w14:paraId="74576E01">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1488DF6E">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2-3 其它落实政府采购政策的资格要求（如有）</w:t>
      </w:r>
    </w:p>
    <w:p w14:paraId="1CD52470">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682672E8">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1FD8552D">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78083B09">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3  本项目的特定资格要求（如有） </w:t>
      </w:r>
    </w:p>
    <w:p w14:paraId="7BA27001">
      <w:pPr>
        <w:keepNext/>
        <w:keepLines/>
        <w:widowControl w:val="0"/>
        <w:spacing w:before="260" w:after="260" w:line="360" w:lineRule="auto"/>
        <w:jc w:val="center"/>
        <w:outlineLvl w:val="2"/>
        <w:rPr>
          <w:rFonts w:hint="eastAsia" w:ascii="仿宋" w:hAnsi="仿宋" w:eastAsia="仿宋" w:cs="仿宋"/>
          <w:b/>
          <w:bCs/>
          <w:kern w:val="2"/>
          <w:sz w:val="32"/>
          <w:szCs w:val="28"/>
          <w:highlight w:val="none"/>
          <w:lang w:val="en-US" w:eastAsia="zh-CN" w:bidi="ar-SA"/>
        </w:rPr>
      </w:pPr>
      <w:r>
        <w:rPr>
          <w:rFonts w:hint="eastAsia" w:ascii="仿宋" w:hAnsi="仿宋" w:eastAsia="仿宋" w:cs="仿宋"/>
          <w:b/>
          <w:bCs/>
          <w:kern w:val="2"/>
          <w:sz w:val="32"/>
          <w:szCs w:val="32"/>
          <w:highlight w:val="none"/>
          <w:lang w:val="en-US" w:eastAsia="zh-CN" w:bidi="ar-SA"/>
        </w:rPr>
        <w:t>3-1投标人无直接控股、管理关系书面声明函</w:t>
      </w:r>
    </w:p>
    <w:p w14:paraId="78EC6A54">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一、下述公司负责人与我公司单位负责人为同一人：（如无则本项填写“无”）  </w:t>
      </w:r>
    </w:p>
    <w:p w14:paraId="01AB03A2">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04A8B59">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23D2CB51">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041AB9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3A6B5378">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二、我公司与下述公司存在直接控股关系：（如无则本项填写“无”） </w:t>
      </w:r>
    </w:p>
    <w:p w14:paraId="3FAEFF99">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72DB522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5941C994">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C6690F4">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7E5331E7">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三、我公司与下述公司存在直接管理关系：（如无则本项填写“无”） </w:t>
      </w:r>
    </w:p>
    <w:p w14:paraId="309AC1FE">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6F1C5783">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795831CD">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1295775">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345E29A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我单位郑重声明：与本单位负责人为同一人或者与本单位存在直接控股关系、管理关系的供应商未参加</w:t>
      </w:r>
      <w:r>
        <w:rPr>
          <w:rFonts w:hint="eastAsia" w:ascii="仿宋" w:hAnsi="仿宋" w:eastAsia="仿宋" w:cs="仿宋"/>
          <w:sz w:val="24"/>
          <w:szCs w:val="24"/>
          <w:highlight w:val="none"/>
          <w:u w:val="single"/>
        </w:rPr>
        <w:t xml:space="preserve">  （项目名称、项目编号、包/标段号）    </w:t>
      </w:r>
      <w:r>
        <w:rPr>
          <w:rFonts w:hint="eastAsia" w:ascii="仿宋" w:hAnsi="仿宋" w:eastAsia="仿宋" w:cs="仿宋"/>
          <w:sz w:val="24"/>
          <w:szCs w:val="24"/>
          <w:highlight w:val="none"/>
        </w:rPr>
        <w:t>同一合同项下的投标。</w:t>
      </w:r>
    </w:p>
    <w:p w14:paraId="32F8898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我单位保证上述声明真实、有效、可查。</w:t>
      </w:r>
    </w:p>
    <w:p w14:paraId="24AC5E32">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特此声明。 </w:t>
      </w:r>
    </w:p>
    <w:p w14:paraId="3590EA2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rPr>
      </w:pPr>
    </w:p>
    <w:p w14:paraId="05C21B2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供应商名称：</w:t>
      </w:r>
      <w:r>
        <w:rPr>
          <w:rFonts w:hint="eastAsia" w:ascii="仿宋" w:hAnsi="仿宋" w:eastAsia="仿宋" w:cs="仿宋"/>
          <w:sz w:val="24"/>
          <w:szCs w:val="24"/>
          <w:highlight w:val="none"/>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p>
    <w:p w14:paraId="32DC4E2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p>
    <w:p w14:paraId="2C6D7CF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注：1、单位负责人，是指单位法定代表人或者法律、行政法规规定代表单位行使职权的主要负责人。</w:t>
      </w:r>
    </w:p>
    <w:p w14:paraId="2AC1FBB7">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3、直接管理关系，是指不具有出资持股关系的其他单位之间存在的直接管理与被管理关系，如上下级关系的事业单位和团体组织。</w:t>
      </w:r>
    </w:p>
    <w:p w14:paraId="7666E196">
      <w:pPr>
        <w:rPr>
          <w:rFonts w:hint="eastAsia" w:ascii="仿宋" w:hAnsi="仿宋" w:eastAsia="仿宋" w:cs="仿宋"/>
          <w:b w:val="0"/>
          <w:bCs w:val="0"/>
          <w:color w:val="000000"/>
          <w:kern w:val="0"/>
          <w:sz w:val="24"/>
          <w:szCs w:val="24"/>
          <w:highlight w:val="none"/>
          <w:lang w:val="en-US" w:eastAsia="zh-CN" w:bidi="ar"/>
        </w:rPr>
      </w:pPr>
    </w:p>
    <w:p w14:paraId="52C6F5D3">
      <w:pPr>
        <w:rPr>
          <w:rFonts w:hint="eastAsia" w:ascii="仿宋" w:hAnsi="仿宋" w:eastAsia="仿宋" w:cs="仿宋"/>
          <w:b w:val="0"/>
          <w:bCs w:val="0"/>
          <w:color w:val="000000"/>
          <w:kern w:val="0"/>
          <w:sz w:val="24"/>
          <w:szCs w:val="24"/>
          <w:highlight w:val="none"/>
          <w:lang w:val="en-US" w:eastAsia="zh-CN" w:bidi="ar"/>
        </w:rPr>
      </w:pPr>
    </w:p>
    <w:p w14:paraId="36B85302">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1147CD3B">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3-2其它本项目的特定资格要求（如有）</w:t>
      </w:r>
      <w:r>
        <w:rPr>
          <w:rFonts w:hint="eastAsia" w:ascii="仿宋" w:hAnsi="仿宋" w:eastAsia="仿宋" w:cs="仿宋"/>
          <w:b w:val="0"/>
          <w:bCs w:val="0"/>
          <w:color w:val="000000"/>
          <w:kern w:val="0"/>
          <w:sz w:val="24"/>
          <w:szCs w:val="24"/>
          <w:highlight w:val="none"/>
          <w:lang w:val="en-US" w:eastAsia="zh-CN" w:bidi="ar"/>
        </w:rPr>
        <w:br w:type="page"/>
      </w:r>
    </w:p>
    <w:p w14:paraId="3EA8F44E">
      <w:pPr>
        <w:keepNext w:val="0"/>
        <w:keepLines w:val="0"/>
        <w:widowControl/>
        <w:suppressLineNumbers w:val="0"/>
        <w:jc w:val="left"/>
        <w:rPr>
          <w:rFonts w:hint="eastAsia" w:ascii="仿宋" w:hAnsi="仿宋" w:eastAsia="仿宋" w:cs="仿宋"/>
          <w:sz w:val="24"/>
          <w:szCs w:val="24"/>
          <w:highlight w:val="none"/>
          <w:lang w:val="en-US"/>
        </w:rPr>
      </w:pPr>
      <w:r>
        <w:rPr>
          <w:rFonts w:hint="eastAsia" w:ascii="仿宋" w:hAnsi="仿宋" w:eastAsia="仿宋" w:cs="仿宋"/>
          <w:color w:val="000000"/>
          <w:kern w:val="0"/>
          <w:sz w:val="24"/>
          <w:szCs w:val="24"/>
          <w:highlight w:val="none"/>
          <w:lang w:val="en-US" w:eastAsia="zh-CN" w:bidi="ar"/>
        </w:rPr>
        <w:t>4  保证金凭证/交款单据电子件/保函</w:t>
      </w:r>
    </w:p>
    <w:p w14:paraId="109BF281">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7DEB9478">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4A5EC5E2">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0C63D841">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02A099FB">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5  投标书 </w:t>
      </w:r>
    </w:p>
    <w:p w14:paraId="14E01D1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p>
    <w:p w14:paraId="2C098E3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投标书</w:t>
      </w:r>
    </w:p>
    <w:p w14:paraId="68E5E9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54DB0A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（采购人或采购代理机构）</w:t>
      </w:r>
      <w:r>
        <w:rPr>
          <w:rFonts w:hint="eastAsia" w:ascii="仿宋" w:hAnsi="仿宋" w:eastAsia="仿宋" w:cs="仿宋"/>
          <w:color w:val="000000"/>
          <w:kern w:val="0"/>
          <w:sz w:val="24"/>
          <w:szCs w:val="24"/>
          <w:highlight w:val="none"/>
          <w:lang w:val="en-US" w:eastAsia="zh-CN" w:bidi="ar"/>
        </w:rPr>
        <w:t xml:space="preserve"> </w:t>
      </w:r>
    </w:p>
    <w:p w14:paraId="7A75002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我方参加你方就</w:t>
      </w:r>
      <w:r>
        <w:rPr>
          <w:rFonts w:hint="eastAsia" w:ascii="仿宋" w:hAnsi="仿宋" w:eastAsia="仿宋" w:cs="仿宋"/>
          <w:color w:val="000000"/>
          <w:kern w:val="0"/>
          <w:sz w:val="24"/>
          <w:szCs w:val="24"/>
          <w:highlight w:val="none"/>
          <w:u w:val="single"/>
          <w:lang w:val="en-US" w:eastAsia="zh-CN" w:bidi="ar"/>
        </w:rPr>
        <w:t>（项目名称、项目编号、包/标段号）</w:t>
      </w:r>
      <w:r>
        <w:rPr>
          <w:rFonts w:hint="eastAsia" w:ascii="仿宋" w:hAnsi="仿宋" w:eastAsia="仿宋" w:cs="仿宋"/>
          <w:color w:val="000000"/>
          <w:kern w:val="0"/>
          <w:sz w:val="24"/>
          <w:szCs w:val="24"/>
          <w:highlight w:val="none"/>
          <w:lang w:val="en-US" w:eastAsia="zh-CN" w:bidi="ar"/>
        </w:rPr>
        <w:t xml:space="preserve">组织的采购活动，并对此项目进行投标响应。 </w:t>
      </w:r>
    </w:p>
    <w:p w14:paraId="139FBA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271" w:name="_Toc31541"/>
      <w:bookmarkStart w:id="272" w:name="_Toc962"/>
      <w:r>
        <w:rPr>
          <w:rFonts w:hint="eastAsia" w:ascii="仿宋" w:hAnsi="仿宋" w:eastAsia="仿宋" w:cs="仿宋"/>
          <w:color w:val="000000"/>
          <w:kern w:val="0"/>
          <w:sz w:val="24"/>
          <w:szCs w:val="24"/>
          <w:highlight w:val="none"/>
          <w:lang w:val="en-US" w:eastAsia="zh-CN" w:bidi="ar"/>
        </w:rPr>
        <w:t>1. 我方已详细审查全部采购文件，自愿参与投标响应并承诺如下：</w:t>
      </w:r>
      <w:bookmarkEnd w:id="271"/>
      <w:bookmarkEnd w:id="272"/>
      <w:r>
        <w:rPr>
          <w:rFonts w:hint="eastAsia" w:ascii="仿宋" w:hAnsi="仿宋" w:eastAsia="仿宋" w:cs="仿宋"/>
          <w:color w:val="000000"/>
          <w:kern w:val="0"/>
          <w:sz w:val="24"/>
          <w:szCs w:val="24"/>
          <w:highlight w:val="none"/>
          <w:lang w:val="en-US" w:eastAsia="zh-CN" w:bidi="ar"/>
        </w:rPr>
        <w:t xml:space="preserve"> </w:t>
      </w:r>
    </w:p>
    <w:p w14:paraId="06893A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（1）本响应有效期为自提交响应文件的截止之日起</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个日历日。 </w:t>
      </w:r>
    </w:p>
    <w:p w14:paraId="6AD987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（2）除合同条款及采购需求偏离表列出的偏离外，我方响应采购文件的全部要求。 </w:t>
      </w:r>
    </w:p>
    <w:p w14:paraId="1AA120E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（3）我方已提供的全部文件资料是真实、准确的，并对此承担一切法律后果。 </w:t>
      </w:r>
    </w:p>
    <w:p w14:paraId="3313763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630A45C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273" w:name="_Toc30568"/>
      <w:bookmarkStart w:id="274" w:name="_Toc7839"/>
      <w:r>
        <w:rPr>
          <w:rFonts w:hint="eastAsia" w:ascii="仿宋" w:hAnsi="仿宋" w:eastAsia="仿宋" w:cs="仿宋"/>
          <w:color w:val="000000"/>
          <w:kern w:val="0"/>
          <w:sz w:val="24"/>
          <w:szCs w:val="24"/>
          <w:highlight w:val="none"/>
          <w:lang w:val="en-US" w:eastAsia="zh-CN" w:bidi="ar"/>
        </w:rPr>
        <w:t>2. 其他补充条款（如有）：</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w:t>
      </w:r>
      <w:bookmarkEnd w:id="273"/>
      <w:bookmarkEnd w:id="274"/>
      <w:r>
        <w:rPr>
          <w:rFonts w:hint="eastAsia" w:ascii="仿宋" w:hAnsi="仿宋" w:eastAsia="仿宋" w:cs="仿宋"/>
          <w:color w:val="000000"/>
          <w:kern w:val="0"/>
          <w:sz w:val="24"/>
          <w:szCs w:val="24"/>
          <w:highlight w:val="none"/>
          <w:lang w:val="en-US" w:eastAsia="zh-CN" w:bidi="ar"/>
        </w:rPr>
        <w:t xml:space="preserve"> </w:t>
      </w:r>
    </w:p>
    <w:p w14:paraId="2823F4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与本投标有关的一切正式往来信函请寄： </w:t>
      </w:r>
    </w:p>
    <w:p w14:paraId="4AE134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地址</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传真</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4D7D07E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电话</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电子函件</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7815384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22C1CDE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供应商名称（加盖公章） </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7CF823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p>
    <w:p w14:paraId="76BB9BF4">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7C53345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275" w:name="_Toc19816"/>
      <w:bookmarkStart w:id="276" w:name="_Toc26890"/>
      <w:r>
        <w:rPr>
          <w:rFonts w:hint="eastAsia" w:ascii="仿宋" w:hAnsi="仿宋" w:eastAsia="仿宋" w:cs="仿宋"/>
          <w:color w:val="000000"/>
          <w:kern w:val="0"/>
          <w:sz w:val="24"/>
          <w:szCs w:val="24"/>
          <w:highlight w:val="none"/>
          <w:lang w:val="en-US" w:eastAsia="zh-CN" w:bidi="ar"/>
        </w:rPr>
        <w:t>6  授权委托书</w:t>
      </w:r>
      <w:bookmarkEnd w:id="275"/>
      <w:bookmarkEnd w:id="276"/>
      <w:r>
        <w:rPr>
          <w:rFonts w:hint="eastAsia" w:ascii="仿宋" w:hAnsi="仿宋" w:eastAsia="仿宋" w:cs="仿宋"/>
          <w:color w:val="000000"/>
          <w:kern w:val="0"/>
          <w:sz w:val="24"/>
          <w:szCs w:val="24"/>
          <w:highlight w:val="none"/>
          <w:lang w:val="en-US" w:eastAsia="zh-CN" w:bidi="ar"/>
        </w:rPr>
        <w:t xml:space="preserve"> </w:t>
      </w:r>
    </w:p>
    <w:p w14:paraId="12872E6F">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000000"/>
          <w:kern w:val="0"/>
          <w:sz w:val="32"/>
          <w:szCs w:val="32"/>
          <w:highlight w:val="none"/>
          <w:lang w:val="en-US" w:eastAsia="zh-CN" w:bidi="ar"/>
        </w:rPr>
      </w:pPr>
    </w:p>
    <w:p w14:paraId="1E17DE2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授权委托书</w:t>
      </w:r>
    </w:p>
    <w:p w14:paraId="4EE5F98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p>
    <w:p w14:paraId="13E74E6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（姓名）系</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（供应商名称）的法定代表人（单位负责人），现委托</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（姓名）为我方代理人。代理人根据授权，以我方名义签署、澄清确认、递交、撤回、修改</w:t>
      </w:r>
      <w:r>
        <w:rPr>
          <w:rFonts w:hint="eastAsia" w:ascii="仿宋" w:hAnsi="仿宋" w:eastAsia="仿宋" w:cs="仿宋"/>
          <w:color w:val="000000"/>
          <w:kern w:val="0"/>
          <w:sz w:val="24"/>
          <w:szCs w:val="24"/>
          <w:highlight w:val="none"/>
          <w:u w:val="single"/>
          <w:lang w:val="en-US" w:eastAsia="zh-CN" w:bidi="ar"/>
        </w:rPr>
        <w:t xml:space="preserve">        （项目名称、项目编号、包/标段号）</w:t>
      </w:r>
      <w:r>
        <w:rPr>
          <w:rFonts w:hint="eastAsia" w:ascii="仿宋" w:hAnsi="仿宋" w:eastAsia="仿宋" w:cs="仿宋"/>
          <w:color w:val="000000"/>
          <w:kern w:val="0"/>
          <w:sz w:val="24"/>
          <w:szCs w:val="24"/>
          <w:highlight w:val="none"/>
          <w:lang w:val="en-US" w:eastAsia="zh-CN" w:bidi="ar"/>
        </w:rPr>
        <w:t xml:space="preserve">响应文件和处理有关事宜，其法律后果由我方承担。 </w:t>
      </w:r>
    </w:p>
    <w:p w14:paraId="6B0C3C5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委托期限：自本授权委托书签署之日起至响应有效期届满之日止。 </w:t>
      </w:r>
    </w:p>
    <w:p w14:paraId="4F0E7E4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代理人无转委托权。 </w:t>
      </w:r>
    </w:p>
    <w:p w14:paraId="7F5199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7122554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6D83780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法定代表人（单位负责人）（签字或印鉴）：</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5E07A69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委托代理人（签字或印鉴）：</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6B77081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r>
        <w:rPr>
          <w:rFonts w:hint="eastAsia" w:ascii="仿宋" w:hAnsi="仿宋" w:eastAsia="仿宋" w:cs="仿宋"/>
          <w:color w:val="000000"/>
          <w:kern w:val="0"/>
          <w:sz w:val="24"/>
          <w:szCs w:val="24"/>
          <w:highlight w:val="none"/>
          <w:lang w:val="en-US" w:eastAsia="zh-CN" w:bidi="ar"/>
        </w:rPr>
        <w:t xml:space="preserve"> </w:t>
      </w:r>
    </w:p>
    <w:p w14:paraId="1E2242B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58516B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 xml:space="preserve">复印件：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6C4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14B5379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c>
          <w:tcPr>
            <w:tcW w:w="4261" w:type="dxa"/>
          </w:tcPr>
          <w:p w14:paraId="23AA1D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r>
    </w:tbl>
    <w:p w14:paraId="4C03D8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委托代理人有效期内的身份证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 xml:space="preserve">复印件：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53E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947AA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c>
          <w:tcPr>
            <w:tcW w:w="4261" w:type="dxa"/>
          </w:tcPr>
          <w:p w14:paraId="74DDD0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r>
    </w:tbl>
    <w:p w14:paraId="43499DF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说明：1.若供应商为事业单位或其他组织或分支机构（仅当采购文件注明允许分支机构投标的），则法定代表人（单位负责人）处的签署人可为单位负责人。 </w:t>
      </w:r>
    </w:p>
    <w:p w14:paraId="55D7E53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25FA61F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277" w:name="_Toc24165"/>
      <w:bookmarkStart w:id="278" w:name="_Toc19808"/>
      <w:r>
        <w:rPr>
          <w:rFonts w:hint="eastAsia" w:ascii="仿宋" w:hAnsi="仿宋" w:eastAsia="仿宋" w:cs="仿宋"/>
          <w:color w:val="000000"/>
          <w:kern w:val="0"/>
          <w:sz w:val="24"/>
          <w:szCs w:val="24"/>
          <w:highlight w:val="none"/>
          <w:lang w:val="en-US" w:eastAsia="zh-CN" w:bidi="ar"/>
        </w:rPr>
        <w:t>3.供应商为自然人的情形，可不提供本《授权委托书》。</w:t>
      </w:r>
      <w:bookmarkEnd w:id="277"/>
      <w:bookmarkEnd w:id="278"/>
    </w:p>
    <w:p w14:paraId="1F3C560D">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4551B66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附：法定代表人（单位负责人）身份证明</w:t>
      </w:r>
    </w:p>
    <w:p w14:paraId="2123A6B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4776A7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 xml:space="preserve">（采购人或采购代理机构） </w:t>
      </w:r>
    </w:p>
    <w:p w14:paraId="7CEECFF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兹证明， </w:t>
      </w:r>
    </w:p>
    <w:p w14:paraId="4587465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000000"/>
          <w:kern w:val="0"/>
          <w:sz w:val="24"/>
          <w:szCs w:val="24"/>
          <w:highlight w:val="none"/>
          <w:u w:val="single"/>
          <w:lang w:val="en-US" w:eastAsia="zh-CN" w:bidi="ar"/>
        </w:rPr>
      </w:pPr>
      <w:r>
        <w:rPr>
          <w:rFonts w:hint="eastAsia" w:ascii="仿宋" w:hAnsi="仿宋" w:eastAsia="仿宋" w:cs="仿宋"/>
          <w:color w:val="000000"/>
          <w:kern w:val="0"/>
          <w:sz w:val="24"/>
          <w:szCs w:val="24"/>
          <w:highlight w:val="none"/>
          <w:lang w:val="en-US" w:eastAsia="zh-CN" w:bidi="ar"/>
        </w:rPr>
        <w:t>姓名：</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性别：</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年龄：</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职务：</w:t>
      </w:r>
      <w:r>
        <w:rPr>
          <w:rFonts w:hint="eastAsia" w:ascii="仿宋" w:hAnsi="仿宋" w:eastAsia="仿宋" w:cs="仿宋"/>
          <w:color w:val="000000"/>
          <w:kern w:val="0"/>
          <w:sz w:val="24"/>
          <w:szCs w:val="24"/>
          <w:highlight w:val="none"/>
          <w:u w:val="single"/>
          <w:lang w:val="en-US" w:eastAsia="zh-CN" w:bidi="ar"/>
        </w:rPr>
        <w:t xml:space="preserve">     </w:t>
      </w:r>
    </w:p>
    <w:p w14:paraId="3EBD637F">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系</w:t>
      </w:r>
      <w:r>
        <w:rPr>
          <w:rFonts w:hint="eastAsia" w:ascii="仿宋" w:hAnsi="仿宋" w:eastAsia="仿宋" w:cs="仿宋"/>
          <w:color w:val="000000"/>
          <w:kern w:val="0"/>
          <w:sz w:val="24"/>
          <w:szCs w:val="24"/>
          <w:highlight w:val="none"/>
          <w:u w:val="single"/>
          <w:lang w:val="en-US" w:eastAsia="zh-CN" w:bidi="ar"/>
        </w:rPr>
        <w:t xml:space="preserve">       （供应商名称）</w:t>
      </w:r>
      <w:r>
        <w:rPr>
          <w:rFonts w:hint="eastAsia" w:ascii="仿宋" w:hAnsi="仿宋" w:eastAsia="仿宋" w:cs="仿宋"/>
          <w:color w:val="000000"/>
          <w:kern w:val="0"/>
          <w:sz w:val="24"/>
          <w:szCs w:val="24"/>
          <w:highlight w:val="none"/>
          <w:lang w:val="en-US" w:eastAsia="zh-CN" w:bidi="ar"/>
        </w:rPr>
        <w:t xml:space="preserve">的法定代表人（单位负责人）。 </w:t>
      </w:r>
    </w:p>
    <w:p w14:paraId="1121C9A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1898AF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04C0BF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附：法定代表人（单位负责人）有效期内的身份证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 xml:space="preserve">复印件。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7B5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55BCBB6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vertAlign w:val="baseline"/>
                <w:lang w:val="en-US" w:eastAsia="zh-CN" w:bidi="ar"/>
              </w:rPr>
            </w:pPr>
          </w:p>
        </w:tc>
        <w:tc>
          <w:tcPr>
            <w:tcW w:w="4261" w:type="dxa"/>
          </w:tcPr>
          <w:p w14:paraId="4999AC16">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vertAlign w:val="baseline"/>
                <w:lang w:val="en-US" w:eastAsia="zh-CN" w:bidi="ar"/>
              </w:rPr>
            </w:pPr>
          </w:p>
        </w:tc>
      </w:tr>
    </w:tbl>
    <w:p w14:paraId="36E7BEE1">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2CD7A4FD">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18F91D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42A7B8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法定代表人（单位负责人）（签字或印鉴）：</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194D25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p>
    <w:p w14:paraId="0A235EB0">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76C9E5CF">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017DCBE5">
      <w:pPr>
        <w:outlineLvl w:val="1"/>
        <w:rPr>
          <w:rFonts w:hint="eastAsia" w:ascii="仿宋" w:hAnsi="仿宋" w:eastAsia="仿宋" w:cs="仿宋"/>
          <w:sz w:val="24"/>
          <w:szCs w:val="24"/>
          <w:highlight w:val="none"/>
          <w:lang w:val="en-US" w:eastAsia="zh-CN"/>
        </w:rPr>
      </w:pPr>
      <w:bookmarkStart w:id="279" w:name="_Toc18742"/>
      <w:bookmarkStart w:id="280" w:name="_Toc26817"/>
      <w:r>
        <w:rPr>
          <w:rFonts w:hint="eastAsia" w:ascii="仿宋" w:hAnsi="仿宋" w:eastAsia="仿宋" w:cs="仿宋"/>
          <w:sz w:val="24"/>
          <w:szCs w:val="24"/>
          <w:highlight w:val="none"/>
          <w:lang w:val="en-US" w:eastAsia="zh-CN"/>
        </w:rPr>
        <w:t>7  报价一览表</w:t>
      </w:r>
      <w:bookmarkEnd w:id="279"/>
      <w:bookmarkEnd w:id="280"/>
    </w:p>
    <w:p w14:paraId="4FB5F192">
      <w:pPr>
        <w:rPr>
          <w:rFonts w:hint="eastAsia" w:ascii="仿宋" w:hAnsi="仿宋" w:eastAsia="仿宋" w:cs="仿宋"/>
          <w:highlight w:val="none"/>
          <w:lang w:val="en-US" w:eastAsia="zh-CN"/>
        </w:rPr>
      </w:pPr>
    </w:p>
    <w:p w14:paraId="0F523E6A">
      <w:pPr>
        <w:jc w:val="center"/>
        <w:rPr>
          <w:rFonts w:hint="eastAsia" w:ascii="仿宋" w:hAnsi="仿宋" w:eastAsia="仿宋" w:cs="仿宋"/>
          <w:highlight w:val="none"/>
          <w:lang w:val="en-US" w:eastAsia="zh-CN"/>
        </w:rPr>
      </w:pPr>
      <w:r>
        <w:rPr>
          <w:rFonts w:hint="eastAsia" w:ascii="仿宋" w:hAnsi="仿宋" w:eastAsia="仿宋" w:cs="仿宋"/>
          <w:b/>
          <w:bCs/>
          <w:sz w:val="32"/>
          <w:szCs w:val="32"/>
          <w:highlight w:val="none"/>
          <w:lang w:val="en-US" w:eastAsia="zh-CN"/>
        </w:rPr>
        <w:t>首次报价表</w:t>
      </w:r>
    </w:p>
    <w:p w14:paraId="04D7174A">
      <w:pPr>
        <w:rPr>
          <w:rFonts w:hint="eastAsia" w:ascii="仿宋" w:hAnsi="仿宋" w:eastAsia="仿宋" w:cs="仿宋"/>
          <w:highlight w:val="none"/>
          <w:lang w:val="en-US" w:eastAsia="zh-CN"/>
        </w:rPr>
      </w:pPr>
    </w:p>
    <w:p w14:paraId="2331822E">
      <w:pPr>
        <w:rPr>
          <w:rFonts w:hint="eastAsia" w:ascii="仿宋" w:hAnsi="仿宋" w:eastAsia="仿宋" w:cs="仿宋"/>
          <w:highlight w:val="none"/>
          <w:lang w:val="en-US" w:eastAsia="zh-CN"/>
        </w:rPr>
      </w:pPr>
      <w:r>
        <w:rPr>
          <w:rFonts w:hint="eastAsia" w:ascii="仿宋" w:hAnsi="仿宋" w:eastAsia="仿宋" w:cs="仿宋"/>
          <w:sz w:val="21"/>
          <w:szCs w:val="21"/>
          <w:highlight w:val="none"/>
          <w:lang w:val="en-US" w:eastAsia="zh-CN"/>
        </w:rPr>
        <w:t>项目编号/包（标项）号：</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项目名称：</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highlight w:val="none"/>
          <w:u w:val="single"/>
          <w:lang w:val="en-US" w:eastAsia="zh-CN"/>
        </w:rPr>
        <w:t xml:space="preserve">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0C03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vAlign w:val="center"/>
          </w:tcPr>
          <w:p w14:paraId="14587D44">
            <w:pPr>
              <w:pStyle w:val="25"/>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序号</w:t>
            </w:r>
          </w:p>
        </w:tc>
        <w:tc>
          <w:tcPr>
            <w:tcW w:w="2951" w:type="dxa"/>
            <w:vMerge w:val="restart"/>
            <w:vAlign w:val="center"/>
          </w:tcPr>
          <w:p w14:paraId="07F9A26F">
            <w:pPr>
              <w:pStyle w:val="25"/>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供应商名称</w:t>
            </w:r>
          </w:p>
        </w:tc>
        <w:tc>
          <w:tcPr>
            <w:tcW w:w="4262" w:type="dxa"/>
            <w:gridSpan w:val="2"/>
            <w:vAlign w:val="center"/>
          </w:tcPr>
          <w:p w14:paraId="457AAFC4">
            <w:pPr>
              <w:pStyle w:val="25"/>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响应报价（元）</w:t>
            </w:r>
          </w:p>
        </w:tc>
      </w:tr>
      <w:tr w14:paraId="6CB7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vAlign w:val="center"/>
          </w:tcPr>
          <w:p w14:paraId="7B91E8BD">
            <w:pPr>
              <w:pStyle w:val="25"/>
              <w:jc w:val="center"/>
              <w:rPr>
                <w:rFonts w:hint="eastAsia" w:ascii="仿宋" w:hAnsi="仿宋" w:eastAsia="仿宋" w:cs="仿宋"/>
                <w:b/>
                <w:bCs/>
                <w:sz w:val="21"/>
                <w:szCs w:val="21"/>
                <w:highlight w:val="none"/>
                <w:vertAlign w:val="baseline"/>
                <w:lang w:val="en-US" w:eastAsia="zh-CN"/>
              </w:rPr>
            </w:pPr>
          </w:p>
        </w:tc>
        <w:tc>
          <w:tcPr>
            <w:tcW w:w="2951" w:type="dxa"/>
            <w:vMerge w:val="continue"/>
            <w:vAlign w:val="center"/>
          </w:tcPr>
          <w:p w14:paraId="496E0DED">
            <w:pPr>
              <w:pStyle w:val="25"/>
              <w:jc w:val="center"/>
              <w:rPr>
                <w:rFonts w:hint="eastAsia" w:ascii="仿宋" w:hAnsi="仿宋" w:eastAsia="仿宋" w:cs="仿宋"/>
                <w:b/>
                <w:bCs/>
                <w:sz w:val="21"/>
                <w:szCs w:val="21"/>
                <w:highlight w:val="none"/>
                <w:vertAlign w:val="baseline"/>
                <w:lang w:val="en-US" w:eastAsia="zh-CN"/>
              </w:rPr>
            </w:pPr>
          </w:p>
        </w:tc>
        <w:tc>
          <w:tcPr>
            <w:tcW w:w="2131" w:type="dxa"/>
            <w:vAlign w:val="center"/>
          </w:tcPr>
          <w:p w14:paraId="502EEBBA">
            <w:pPr>
              <w:pStyle w:val="25"/>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大写</w:t>
            </w:r>
          </w:p>
        </w:tc>
        <w:tc>
          <w:tcPr>
            <w:tcW w:w="2131" w:type="dxa"/>
            <w:vAlign w:val="center"/>
          </w:tcPr>
          <w:p w14:paraId="723B51BC">
            <w:pPr>
              <w:pStyle w:val="25"/>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小写</w:t>
            </w:r>
          </w:p>
        </w:tc>
      </w:tr>
      <w:tr w14:paraId="5CC4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2BAEB606">
            <w:pPr>
              <w:pStyle w:val="25"/>
              <w:jc w:val="center"/>
              <w:rPr>
                <w:rFonts w:hint="eastAsia" w:ascii="仿宋" w:hAnsi="仿宋" w:eastAsia="仿宋" w:cs="仿宋"/>
                <w:sz w:val="21"/>
                <w:szCs w:val="21"/>
                <w:highlight w:val="none"/>
                <w:vertAlign w:val="baseline"/>
                <w:lang w:val="en-US" w:eastAsia="zh-CN"/>
              </w:rPr>
            </w:pPr>
          </w:p>
        </w:tc>
        <w:tc>
          <w:tcPr>
            <w:tcW w:w="2951" w:type="dxa"/>
            <w:vAlign w:val="center"/>
          </w:tcPr>
          <w:p w14:paraId="6BC8E6A2">
            <w:pPr>
              <w:pStyle w:val="25"/>
              <w:jc w:val="center"/>
              <w:rPr>
                <w:rFonts w:hint="eastAsia" w:ascii="仿宋" w:hAnsi="仿宋" w:eastAsia="仿宋" w:cs="仿宋"/>
                <w:sz w:val="21"/>
                <w:szCs w:val="21"/>
                <w:highlight w:val="none"/>
                <w:vertAlign w:val="baseline"/>
                <w:lang w:val="en-US" w:eastAsia="zh-CN"/>
              </w:rPr>
            </w:pPr>
          </w:p>
        </w:tc>
        <w:tc>
          <w:tcPr>
            <w:tcW w:w="2131" w:type="dxa"/>
            <w:vAlign w:val="center"/>
          </w:tcPr>
          <w:p w14:paraId="326DFD8F">
            <w:pPr>
              <w:pStyle w:val="25"/>
              <w:jc w:val="center"/>
              <w:rPr>
                <w:rFonts w:hint="eastAsia" w:ascii="仿宋" w:hAnsi="仿宋" w:eastAsia="仿宋" w:cs="仿宋"/>
                <w:sz w:val="21"/>
                <w:szCs w:val="21"/>
                <w:highlight w:val="none"/>
                <w:vertAlign w:val="baseline"/>
                <w:lang w:val="en-US" w:eastAsia="zh-CN"/>
              </w:rPr>
            </w:pPr>
          </w:p>
        </w:tc>
        <w:tc>
          <w:tcPr>
            <w:tcW w:w="2131" w:type="dxa"/>
            <w:vAlign w:val="center"/>
          </w:tcPr>
          <w:p w14:paraId="03BBBD21">
            <w:pPr>
              <w:pStyle w:val="25"/>
              <w:jc w:val="center"/>
              <w:rPr>
                <w:rFonts w:hint="eastAsia" w:ascii="仿宋" w:hAnsi="仿宋" w:eastAsia="仿宋" w:cs="仿宋"/>
                <w:sz w:val="21"/>
                <w:szCs w:val="21"/>
                <w:highlight w:val="none"/>
                <w:vertAlign w:val="baseline"/>
                <w:lang w:val="en-US" w:eastAsia="zh-CN"/>
              </w:rPr>
            </w:pPr>
          </w:p>
        </w:tc>
      </w:tr>
      <w:tr w14:paraId="2388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32101A74">
            <w:pPr>
              <w:pStyle w:val="25"/>
              <w:ind w:left="0" w:leftChars="0"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bl>
    <w:p w14:paraId="1F9127B5">
      <w:pPr>
        <w:pStyle w:val="25"/>
        <w:ind w:left="0" w:leftChars="0" w:firstLine="0" w:firstLineChars="0"/>
        <w:rPr>
          <w:rFonts w:hint="eastAsia" w:ascii="仿宋" w:hAnsi="仿宋" w:eastAsia="仿宋" w:cs="仿宋"/>
          <w:highlight w:val="none"/>
          <w:lang w:val="en-US" w:eastAsia="zh-CN"/>
        </w:rPr>
      </w:pPr>
    </w:p>
    <w:p w14:paraId="6AC43C0E">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r>
        <w:rPr>
          <w:rFonts w:hint="eastAsia" w:ascii="仿宋" w:hAnsi="仿宋" w:eastAsia="仿宋" w:cs="仿宋"/>
          <w:kern w:val="2"/>
          <w:sz w:val="21"/>
          <w:szCs w:val="24"/>
          <w:highlight w:val="none"/>
          <w:lang w:val="en-US" w:eastAsia="zh-CN" w:bidi="zh-CN"/>
        </w:rPr>
        <w:t>注：1.此表中，每包（标项）的响应报价应和《分项报价表》中的总价相一致。</w:t>
      </w:r>
    </w:p>
    <w:p w14:paraId="2CB97E1B">
      <w:pPr>
        <w:widowControl w:val="0"/>
        <w:spacing w:line="360" w:lineRule="auto"/>
        <w:ind w:firstLine="210" w:firstLineChars="100"/>
        <w:jc w:val="both"/>
        <w:outlineLvl w:val="1"/>
        <w:rPr>
          <w:rFonts w:hint="eastAsia" w:ascii="仿宋" w:hAnsi="仿宋" w:eastAsia="仿宋" w:cs="仿宋"/>
          <w:kern w:val="2"/>
          <w:sz w:val="21"/>
          <w:szCs w:val="24"/>
          <w:highlight w:val="none"/>
          <w:lang w:val="en-US" w:eastAsia="zh-CN" w:bidi="zh-CN"/>
        </w:rPr>
      </w:pPr>
      <w:bookmarkStart w:id="281" w:name="_Toc16486"/>
      <w:bookmarkStart w:id="282" w:name="_Toc28372"/>
      <w:r>
        <w:rPr>
          <w:rFonts w:hint="eastAsia" w:ascii="仿宋" w:hAnsi="仿宋" w:eastAsia="仿宋" w:cs="仿宋"/>
          <w:kern w:val="2"/>
          <w:sz w:val="21"/>
          <w:szCs w:val="24"/>
          <w:highlight w:val="none"/>
          <w:lang w:val="en-US" w:eastAsia="zh-CN" w:bidi="zh-CN"/>
        </w:rPr>
        <w:t>2.本表必须按包（标项）分别填写。</w:t>
      </w:r>
      <w:bookmarkEnd w:id="281"/>
      <w:bookmarkEnd w:id="282"/>
    </w:p>
    <w:p w14:paraId="6A475658">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p>
    <w:p w14:paraId="0F8403A6">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p>
    <w:p w14:paraId="238057E1">
      <w:pPr>
        <w:widowControl w:val="0"/>
        <w:spacing w:line="360" w:lineRule="auto"/>
        <w:ind w:firstLine="240" w:firstLineChars="100"/>
        <w:jc w:val="both"/>
        <w:rPr>
          <w:rFonts w:hint="eastAsia" w:ascii="仿宋" w:hAnsi="仿宋" w:eastAsia="仿宋" w:cs="仿宋"/>
          <w:kern w:val="2"/>
          <w:sz w:val="24"/>
          <w:szCs w:val="24"/>
          <w:highlight w:val="none"/>
          <w:u w:val="single"/>
          <w:lang w:val="en-US" w:eastAsia="zh-CN" w:bidi="zh-CN"/>
        </w:rPr>
      </w:pPr>
      <w:r>
        <w:rPr>
          <w:rFonts w:hint="eastAsia" w:ascii="仿宋" w:hAnsi="仿宋" w:eastAsia="仿宋" w:cs="仿宋"/>
          <w:kern w:val="2"/>
          <w:sz w:val="24"/>
          <w:szCs w:val="24"/>
          <w:highlight w:val="none"/>
          <w:lang w:val="en-US" w:eastAsia="zh-CN" w:bidi="zh-CN"/>
        </w:rPr>
        <w:t xml:space="preserve">供应商名称（加盖公章）： </w:t>
      </w:r>
      <w:r>
        <w:rPr>
          <w:rFonts w:hint="eastAsia" w:ascii="仿宋" w:hAnsi="仿宋" w:eastAsia="仿宋" w:cs="仿宋"/>
          <w:kern w:val="2"/>
          <w:sz w:val="24"/>
          <w:szCs w:val="24"/>
          <w:highlight w:val="none"/>
          <w:u w:val="single"/>
          <w:lang w:val="en-US" w:eastAsia="zh-CN" w:bidi="zh-CN"/>
        </w:rPr>
        <w:t xml:space="preserve">                </w:t>
      </w:r>
    </w:p>
    <w:p w14:paraId="1A96CFEC">
      <w:pPr>
        <w:widowControl w:val="0"/>
        <w:spacing w:line="360" w:lineRule="auto"/>
        <w:ind w:firstLine="240" w:firstLineChars="100"/>
        <w:jc w:val="both"/>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日期：</w:t>
      </w:r>
      <w:r>
        <w:rPr>
          <w:rFonts w:hint="eastAsia" w:ascii="仿宋" w:hAnsi="仿宋" w:eastAsia="仿宋" w:cs="仿宋"/>
          <w:kern w:val="2"/>
          <w:sz w:val="24"/>
          <w:szCs w:val="24"/>
          <w:highlight w:val="none"/>
          <w:u w:val="single"/>
          <w:lang w:val="en-US" w:eastAsia="zh-CN" w:bidi="zh-CN"/>
        </w:rPr>
        <w:t xml:space="preserve">     年    月    日</w:t>
      </w:r>
    </w:p>
    <w:p w14:paraId="24DE8807">
      <w:pPr>
        <w:pStyle w:val="21"/>
        <w:rPr>
          <w:rFonts w:hint="eastAsia" w:ascii="仿宋" w:hAnsi="仿宋" w:eastAsia="仿宋" w:cs="仿宋"/>
          <w:highlight w:val="none"/>
          <w:lang w:val="en-US" w:eastAsia="zh-CN"/>
        </w:rPr>
      </w:pPr>
    </w:p>
    <w:p w14:paraId="7751D12E">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300F4E95">
      <w:pPr>
        <w:pStyle w:val="25"/>
        <w:ind w:left="0" w:leftChars="0" w:firstLine="0" w:firstLineChars="0"/>
        <w:outlineLvl w:val="1"/>
        <w:rPr>
          <w:rFonts w:hint="eastAsia" w:ascii="仿宋" w:hAnsi="仿宋" w:eastAsia="仿宋" w:cs="仿宋"/>
          <w:sz w:val="24"/>
          <w:szCs w:val="24"/>
          <w:highlight w:val="none"/>
          <w:lang w:val="en-US" w:eastAsia="zh-CN"/>
        </w:rPr>
      </w:pPr>
      <w:bookmarkStart w:id="283" w:name="_Toc16619"/>
      <w:bookmarkStart w:id="284" w:name="_Toc32732"/>
      <w:r>
        <w:rPr>
          <w:rFonts w:hint="eastAsia" w:ascii="仿宋" w:hAnsi="仿宋" w:eastAsia="仿宋" w:cs="仿宋"/>
          <w:sz w:val="24"/>
          <w:szCs w:val="24"/>
          <w:highlight w:val="none"/>
          <w:lang w:val="en-US" w:eastAsia="zh-CN"/>
        </w:rPr>
        <w:t>7  分项报价表</w:t>
      </w:r>
      <w:bookmarkEnd w:id="283"/>
      <w:bookmarkEnd w:id="284"/>
    </w:p>
    <w:p w14:paraId="3EFAFAE3">
      <w:pPr>
        <w:widowControl w:val="0"/>
        <w:spacing w:after="120" w:line="360" w:lineRule="auto"/>
        <w:ind w:left="0" w:leftChars="0" w:firstLine="0" w:firstLineChars="0"/>
        <w:jc w:val="center"/>
        <w:rPr>
          <w:rFonts w:hint="eastAsia" w:ascii="仿宋" w:hAnsi="仿宋" w:eastAsia="仿宋" w:cs="仿宋"/>
          <w:b/>
          <w:bCs/>
          <w:kern w:val="0"/>
          <w:sz w:val="32"/>
          <w:szCs w:val="32"/>
          <w:highlight w:val="none"/>
          <w:lang w:val="en-US" w:eastAsia="zh-CN" w:bidi="ar-SA"/>
        </w:rPr>
      </w:pPr>
      <w:r>
        <w:rPr>
          <w:rFonts w:hint="eastAsia" w:ascii="仿宋" w:hAnsi="仿宋" w:eastAsia="仿宋" w:cs="仿宋"/>
          <w:b/>
          <w:bCs/>
          <w:kern w:val="0"/>
          <w:sz w:val="32"/>
          <w:szCs w:val="32"/>
          <w:highlight w:val="none"/>
          <w:lang w:val="en-US" w:eastAsia="zh-CN" w:bidi="ar-SA"/>
        </w:rPr>
        <w:t>投标分项报价表（服务）</w:t>
      </w:r>
    </w:p>
    <w:p w14:paraId="68576C4C">
      <w:pPr>
        <w:widowControl w:val="0"/>
        <w:spacing w:after="120" w:line="360" w:lineRule="auto"/>
        <w:ind w:left="0" w:leftChars="0" w:firstLine="0" w:firstLineChars="0"/>
        <w:jc w:val="center"/>
        <w:rPr>
          <w:rFonts w:hint="eastAsia" w:ascii="仿宋" w:hAnsi="仿宋" w:eastAsia="仿宋" w:cs="仿宋"/>
          <w:kern w:val="0"/>
          <w:sz w:val="21"/>
          <w:szCs w:val="24"/>
          <w:highlight w:val="none"/>
          <w:lang w:val="en-US" w:eastAsia="zh-CN" w:bidi="ar-SA"/>
        </w:rPr>
      </w:pPr>
    </w:p>
    <w:p w14:paraId="7A591788">
      <w:pPr>
        <w:widowControl w:val="0"/>
        <w:spacing w:after="120" w:line="360" w:lineRule="auto"/>
        <w:ind w:left="0" w:leftChars="0" w:firstLine="0" w:firstLineChars="0"/>
        <w:jc w:val="center"/>
        <w:rPr>
          <w:rFonts w:hint="eastAsia" w:ascii="仿宋" w:hAnsi="仿宋" w:eastAsia="仿宋" w:cs="仿宋"/>
          <w:kern w:val="0"/>
          <w:sz w:val="21"/>
          <w:szCs w:val="24"/>
          <w:highlight w:val="none"/>
          <w:lang w:val="en-US" w:eastAsia="zh-CN" w:bidi="ar-SA"/>
        </w:rPr>
      </w:pPr>
      <w:r>
        <w:rPr>
          <w:rFonts w:hint="eastAsia" w:ascii="仿宋" w:hAnsi="仿宋" w:eastAsia="仿宋" w:cs="仿宋"/>
          <w:kern w:val="0"/>
          <w:sz w:val="21"/>
          <w:szCs w:val="24"/>
          <w:highlight w:val="none"/>
          <w:lang w:val="en-US" w:eastAsia="zh-CN" w:bidi="ar-SA"/>
        </w:rPr>
        <w:t>项目编号/包（标项）号：</w:t>
      </w:r>
      <w:r>
        <w:rPr>
          <w:rFonts w:hint="eastAsia" w:ascii="仿宋" w:hAnsi="仿宋" w:eastAsia="仿宋" w:cs="仿宋"/>
          <w:kern w:val="0"/>
          <w:sz w:val="21"/>
          <w:szCs w:val="24"/>
          <w:highlight w:val="none"/>
          <w:u w:val="single"/>
          <w:lang w:val="en-US" w:eastAsia="zh-CN" w:bidi="ar-SA"/>
        </w:rPr>
        <w:t xml:space="preserve">            </w:t>
      </w:r>
      <w:r>
        <w:rPr>
          <w:rFonts w:hint="eastAsia" w:ascii="仿宋" w:hAnsi="仿宋" w:eastAsia="仿宋" w:cs="仿宋"/>
          <w:kern w:val="0"/>
          <w:sz w:val="21"/>
          <w:szCs w:val="24"/>
          <w:highlight w:val="none"/>
          <w:lang w:val="en-US" w:eastAsia="zh-CN" w:bidi="ar-SA"/>
        </w:rPr>
        <w:t xml:space="preserve"> 项目名称：</w:t>
      </w:r>
      <w:r>
        <w:rPr>
          <w:rFonts w:hint="eastAsia" w:ascii="仿宋" w:hAnsi="仿宋" w:eastAsia="仿宋" w:cs="仿宋"/>
          <w:kern w:val="0"/>
          <w:sz w:val="21"/>
          <w:szCs w:val="24"/>
          <w:highlight w:val="none"/>
          <w:u w:val="single"/>
          <w:lang w:val="en-US" w:eastAsia="zh-CN" w:bidi="ar-SA"/>
        </w:rPr>
        <w:t xml:space="preserve">          </w:t>
      </w:r>
      <w:r>
        <w:rPr>
          <w:rFonts w:hint="eastAsia" w:ascii="仿宋" w:hAnsi="仿宋" w:eastAsia="仿宋" w:cs="仿宋"/>
          <w:kern w:val="0"/>
          <w:sz w:val="21"/>
          <w:szCs w:val="24"/>
          <w:highlight w:val="none"/>
          <w:lang w:val="en-US" w:eastAsia="zh-CN" w:bidi="ar-SA"/>
        </w:rPr>
        <w:t xml:space="preserve">      报价单位：人民币元</w:t>
      </w:r>
    </w:p>
    <w:tbl>
      <w:tblPr>
        <w:tblStyle w:val="27"/>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385"/>
        <w:gridCol w:w="1483"/>
        <w:gridCol w:w="1401"/>
        <w:gridCol w:w="1201"/>
        <w:gridCol w:w="1260"/>
        <w:gridCol w:w="1075"/>
        <w:gridCol w:w="1417"/>
      </w:tblGrid>
      <w:tr w14:paraId="2256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64945CBB">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序号</w:t>
            </w:r>
          </w:p>
        </w:tc>
        <w:tc>
          <w:tcPr>
            <w:tcW w:w="1385" w:type="dxa"/>
            <w:vAlign w:val="center"/>
          </w:tcPr>
          <w:p w14:paraId="08B73A4F">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服务名称</w:t>
            </w:r>
          </w:p>
        </w:tc>
        <w:tc>
          <w:tcPr>
            <w:tcW w:w="1483" w:type="dxa"/>
            <w:vAlign w:val="center"/>
          </w:tcPr>
          <w:p w14:paraId="09E15D5C">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服务范围</w:t>
            </w:r>
          </w:p>
        </w:tc>
        <w:tc>
          <w:tcPr>
            <w:tcW w:w="1401" w:type="dxa"/>
            <w:vAlign w:val="center"/>
          </w:tcPr>
          <w:p w14:paraId="2F4E29DD">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服务标准</w:t>
            </w:r>
          </w:p>
        </w:tc>
        <w:tc>
          <w:tcPr>
            <w:tcW w:w="1201" w:type="dxa"/>
            <w:vAlign w:val="center"/>
          </w:tcPr>
          <w:p w14:paraId="2A3BC1A9">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单价</w:t>
            </w:r>
          </w:p>
        </w:tc>
        <w:tc>
          <w:tcPr>
            <w:tcW w:w="1260" w:type="dxa"/>
            <w:vAlign w:val="center"/>
          </w:tcPr>
          <w:p w14:paraId="643BEAD4">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数量/单位</w:t>
            </w:r>
          </w:p>
        </w:tc>
        <w:tc>
          <w:tcPr>
            <w:tcW w:w="1075" w:type="dxa"/>
            <w:vAlign w:val="center"/>
          </w:tcPr>
          <w:p w14:paraId="173CEF37">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合价（元）</w:t>
            </w:r>
          </w:p>
        </w:tc>
        <w:tc>
          <w:tcPr>
            <w:tcW w:w="1417" w:type="dxa"/>
            <w:vAlign w:val="center"/>
          </w:tcPr>
          <w:p w14:paraId="4F9EB9CA">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备注/说明</w:t>
            </w:r>
          </w:p>
        </w:tc>
      </w:tr>
      <w:tr w14:paraId="0CA5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26FA11D9">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385" w:type="dxa"/>
            <w:vAlign w:val="center"/>
          </w:tcPr>
          <w:p w14:paraId="27A0EF2F">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83" w:type="dxa"/>
            <w:vAlign w:val="center"/>
          </w:tcPr>
          <w:p w14:paraId="04E08657">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01" w:type="dxa"/>
            <w:vAlign w:val="center"/>
          </w:tcPr>
          <w:p w14:paraId="1033FC31">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01" w:type="dxa"/>
            <w:vAlign w:val="center"/>
          </w:tcPr>
          <w:p w14:paraId="277D7A6D">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60" w:type="dxa"/>
            <w:vAlign w:val="center"/>
          </w:tcPr>
          <w:p w14:paraId="05E7093E">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075" w:type="dxa"/>
            <w:vAlign w:val="center"/>
          </w:tcPr>
          <w:p w14:paraId="2C9C63F3">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17" w:type="dxa"/>
            <w:vAlign w:val="center"/>
          </w:tcPr>
          <w:p w14:paraId="6E02EBAE">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r>
      <w:tr w14:paraId="57CC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EFC1FBC">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385" w:type="dxa"/>
            <w:vAlign w:val="center"/>
          </w:tcPr>
          <w:p w14:paraId="48B6C24C">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83" w:type="dxa"/>
            <w:vAlign w:val="center"/>
          </w:tcPr>
          <w:p w14:paraId="5AB1D02C">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01" w:type="dxa"/>
            <w:vAlign w:val="center"/>
          </w:tcPr>
          <w:p w14:paraId="4EDD5AD9">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01" w:type="dxa"/>
            <w:vAlign w:val="center"/>
          </w:tcPr>
          <w:p w14:paraId="20FF457A">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60" w:type="dxa"/>
            <w:vAlign w:val="center"/>
          </w:tcPr>
          <w:p w14:paraId="102BE3C9">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075" w:type="dxa"/>
            <w:vAlign w:val="center"/>
          </w:tcPr>
          <w:p w14:paraId="73D70944">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17" w:type="dxa"/>
            <w:vAlign w:val="center"/>
          </w:tcPr>
          <w:p w14:paraId="3C4337CD">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r>
      <w:tr w14:paraId="2B23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01260420">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385" w:type="dxa"/>
            <w:vAlign w:val="center"/>
          </w:tcPr>
          <w:p w14:paraId="2CAA7478">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83" w:type="dxa"/>
            <w:vAlign w:val="center"/>
          </w:tcPr>
          <w:p w14:paraId="48F1A7B8">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01" w:type="dxa"/>
            <w:vAlign w:val="center"/>
          </w:tcPr>
          <w:p w14:paraId="6FC2E8E7">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01" w:type="dxa"/>
            <w:vAlign w:val="center"/>
          </w:tcPr>
          <w:p w14:paraId="2A148F4B">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60" w:type="dxa"/>
            <w:vAlign w:val="center"/>
          </w:tcPr>
          <w:p w14:paraId="54A30199">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075" w:type="dxa"/>
            <w:vAlign w:val="center"/>
          </w:tcPr>
          <w:p w14:paraId="0245A22C">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17" w:type="dxa"/>
            <w:vAlign w:val="center"/>
          </w:tcPr>
          <w:p w14:paraId="03D6B2C6">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r>
      <w:tr w14:paraId="6ECF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72AE61D">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385" w:type="dxa"/>
            <w:vAlign w:val="center"/>
          </w:tcPr>
          <w:p w14:paraId="65099795">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83" w:type="dxa"/>
            <w:vAlign w:val="center"/>
          </w:tcPr>
          <w:p w14:paraId="1A2ABC3E">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01" w:type="dxa"/>
            <w:vAlign w:val="center"/>
          </w:tcPr>
          <w:p w14:paraId="7CA8DCDC">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01" w:type="dxa"/>
            <w:vAlign w:val="center"/>
          </w:tcPr>
          <w:p w14:paraId="3E3AB6C4">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60" w:type="dxa"/>
            <w:vAlign w:val="center"/>
          </w:tcPr>
          <w:p w14:paraId="375B78ED">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075" w:type="dxa"/>
            <w:vAlign w:val="center"/>
          </w:tcPr>
          <w:p w14:paraId="375097CE">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17" w:type="dxa"/>
            <w:vAlign w:val="center"/>
          </w:tcPr>
          <w:p w14:paraId="0613D77C">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r>
      <w:tr w14:paraId="1D20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4" w:type="dxa"/>
            <w:gridSpan w:val="6"/>
            <w:vAlign w:val="center"/>
          </w:tcPr>
          <w:p w14:paraId="0B65C476">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总价（元）</w:t>
            </w:r>
          </w:p>
        </w:tc>
        <w:tc>
          <w:tcPr>
            <w:tcW w:w="1075" w:type="dxa"/>
            <w:vAlign w:val="center"/>
          </w:tcPr>
          <w:p w14:paraId="72BFA508">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17" w:type="dxa"/>
            <w:vAlign w:val="center"/>
          </w:tcPr>
          <w:p w14:paraId="1BAB79BD">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r>
    </w:tbl>
    <w:p w14:paraId="2D1E6449">
      <w:pPr>
        <w:widowControl w:val="0"/>
        <w:spacing w:line="360" w:lineRule="auto"/>
        <w:ind w:left="0" w:leftChars="0" w:firstLine="0" w:firstLineChars="0"/>
        <w:jc w:val="both"/>
        <w:rPr>
          <w:rFonts w:hint="eastAsia" w:ascii="仿宋" w:hAnsi="仿宋" w:eastAsia="仿宋" w:cs="仿宋"/>
          <w:kern w:val="2"/>
          <w:sz w:val="21"/>
          <w:szCs w:val="24"/>
          <w:highlight w:val="none"/>
          <w:lang w:val="en-US" w:eastAsia="zh-CN" w:bidi="zh-CN"/>
        </w:rPr>
      </w:pPr>
    </w:p>
    <w:p w14:paraId="4F317FEB">
      <w:pPr>
        <w:pStyle w:val="21"/>
        <w:rPr>
          <w:rFonts w:hint="eastAsia" w:ascii="仿宋" w:hAnsi="仿宋" w:eastAsia="仿宋" w:cs="仿宋"/>
          <w:highlight w:val="none"/>
          <w:lang w:val="en-US" w:eastAsia="zh-CN"/>
        </w:rPr>
      </w:pPr>
    </w:p>
    <w:p w14:paraId="4868D665">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注：1.本表应按包（标项）分别填写。</w:t>
      </w:r>
    </w:p>
    <w:p w14:paraId="47EC77E9">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2.如果不提供分项报价将视为没有实质性响应采购文件。</w:t>
      </w:r>
    </w:p>
    <w:p w14:paraId="1F92D3DA">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3.上述各项的详细规格（如有），可另页描述。</w:t>
      </w:r>
    </w:p>
    <w:p w14:paraId="21F5CA79">
      <w:pPr>
        <w:spacing w:line="360" w:lineRule="auto"/>
        <w:rPr>
          <w:rFonts w:hint="eastAsia" w:ascii="仿宋" w:hAnsi="仿宋" w:eastAsia="仿宋" w:cs="仿宋"/>
          <w:sz w:val="24"/>
          <w:szCs w:val="24"/>
          <w:highlight w:val="none"/>
          <w:lang w:val="en-US" w:eastAsia="zh-CN"/>
        </w:rPr>
      </w:pPr>
    </w:p>
    <w:p w14:paraId="70F811DF">
      <w:pPr>
        <w:spacing w:line="360" w:lineRule="auto"/>
        <w:rPr>
          <w:rFonts w:hint="eastAsia" w:ascii="仿宋" w:hAnsi="仿宋" w:eastAsia="仿宋" w:cs="仿宋"/>
          <w:sz w:val="24"/>
          <w:szCs w:val="24"/>
          <w:highlight w:val="none"/>
          <w:lang w:val="en-US" w:eastAsia="zh-CN"/>
        </w:rPr>
      </w:pPr>
    </w:p>
    <w:p w14:paraId="4A1A88E3">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投标人名称（加盖公章）：____________</w:t>
      </w:r>
    </w:p>
    <w:p w14:paraId="5C519600">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日期：_____年______月______日</w:t>
      </w:r>
    </w:p>
    <w:p w14:paraId="0E30B9C6">
      <w:pPr>
        <w:spacing w:line="360" w:lineRule="auto"/>
        <w:rPr>
          <w:rFonts w:hint="eastAsia" w:ascii="仿宋" w:hAnsi="仿宋" w:eastAsia="仿宋" w:cs="仿宋"/>
          <w:sz w:val="24"/>
          <w:szCs w:val="24"/>
          <w:highlight w:val="none"/>
          <w:lang w:val="en-US" w:eastAsia="zh-CN"/>
        </w:rPr>
      </w:pPr>
    </w:p>
    <w:p w14:paraId="6CE81779">
      <w:pPr>
        <w:pStyle w:val="25"/>
        <w:rPr>
          <w:rFonts w:hint="eastAsia" w:ascii="仿宋" w:hAnsi="仿宋" w:eastAsia="仿宋" w:cs="仿宋"/>
          <w:sz w:val="24"/>
          <w:szCs w:val="24"/>
          <w:highlight w:val="none"/>
          <w:lang w:val="en-US" w:eastAsia="zh-CN"/>
        </w:rPr>
      </w:pPr>
    </w:p>
    <w:p w14:paraId="1B378CDD">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40CF4DBC">
      <w:pPr>
        <w:pStyle w:val="21"/>
        <w:ind w:left="0" w:leftChars="0" w:firstLine="0" w:firstLineChars="0"/>
        <w:jc w:val="left"/>
        <w:outlineLvl w:val="1"/>
        <w:rPr>
          <w:rFonts w:hint="eastAsia" w:ascii="仿宋" w:hAnsi="仿宋" w:eastAsia="仿宋" w:cs="仿宋"/>
          <w:sz w:val="24"/>
          <w:szCs w:val="24"/>
          <w:highlight w:val="none"/>
          <w:lang w:val="en-US" w:eastAsia="zh-CN"/>
        </w:rPr>
      </w:pPr>
      <w:bookmarkStart w:id="285" w:name="_Toc27376"/>
      <w:bookmarkStart w:id="286" w:name="_Toc23182"/>
      <w:r>
        <w:rPr>
          <w:rFonts w:hint="eastAsia" w:ascii="仿宋" w:hAnsi="仿宋" w:eastAsia="仿宋" w:cs="仿宋"/>
          <w:sz w:val="24"/>
          <w:szCs w:val="24"/>
          <w:highlight w:val="none"/>
          <w:lang w:val="en-US" w:eastAsia="zh-CN"/>
        </w:rPr>
        <w:t>8  合同条款偏离表</w:t>
      </w:r>
      <w:bookmarkEnd w:id="285"/>
      <w:bookmarkEnd w:id="286"/>
    </w:p>
    <w:p w14:paraId="153DAF7E">
      <w:pPr>
        <w:pStyle w:val="21"/>
        <w:ind w:left="0" w:leftChars="0" w:firstLine="0" w:firstLineChars="0"/>
        <w:jc w:val="center"/>
        <w:rPr>
          <w:rFonts w:hint="eastAsia" w:ascii="仿宋" w:hAnsi="仿宋" w:eastAsia="仿宋" w:cs="仿宋"/>
          <w:sz w:val="32"/>
          <w:szCs w:val="32"/>
          <w:highlight w:val="none"/>
          <w:lang w:val="en-US" w:eastAsia="zh-CN"/>
        </w:rPr>
      </w:pPr>
    </w:p>
    <w:p w14:paraId="50358A47">
      <w:pPr>
        <w:pStyle w:val="21"/>
        <w:ind w:left="0" w:leftChars="0" w:firstLine="0" w:firstLineChars="0"/>
        <w:jc w:val="center"/>
        <w:rPr>
          <w:rFonts w:hint="eastAsia" w:ascii="仿宋" w:hAnsi="仿宋" w:eastAsia="仿宋" w:cs="仿宋"/>
          <w:b/>
          <w:bCs/>
          <w:i w:val="0"/>
          <w:iCs w:val="0"/>
          <w:sz w:val="32"/>
          <w:szCs w:val="32"/>
          <w:highlight w:val="none"/>
          <w:lang w:val="en-US" w:eastAsia="zh-CN"/>
        </w:rPr>
      </w:pPr>
      <w:r>
        <w:rPr>
          <w:rFonts w:hint="eastAsia" w:ascii="仿宋" w:hAnsi="仿宋" w:eastAsia="仿宋" w:cs="仿宋"/>
          <w:b/>
          <w:bCs/>
          <w:i w:val="0"/>
          <w:iCs w:val="0"/>
          <w:sz w:val="32"/>
          <w:szCs w:val="32"/>
          <w:highlight w:val="none"/>
          <w:lang w:val="en-US" w:eastAsia="zh-CN"/>
        </w:rPr>
        <w:t>合同条款偏离表</w:t>
      </w:r>
    </w:p>
    <w:p w14:paraId="39BC85D7">
      <w:pPr>
        <w:rPr>
          <w:rFonts w:hint="eastAsia" w:ascii="仿宋" w:hAnsi="仿宋" w:eastAsia="仿宋" w:cs="仿宋"/>
          <w:highlight w:val="none"/>
          <w:lang w:val="en-US" w:eastAsia="zh-CN"/>
        </w:rPr>
      </w:pPr>
    </w:p>
    <w:p w14:paraId="7E7232A4">
      <w:pPr>
        <w:pStyle w:val="21"/>
        <w:ind w:left="0" w:leftChars="0" w:firstLine="0" w:firstLineChars="0"/>
        <w:jc w:val="left"/>
        <w:rPr>
          <w:rFonts w:hint="eastAsia" w:ascii="仿宋" w:hAnsi="仿宋" w:eastAsia="仿宋" w:cs="仿宋"/>
          <w:highlight w:val="none"/>
          <w:lang w:val="en-US" w:eastAsia="zh-CN"/>
        </w:rPr>
      </w:pPr>
      <w:r>
        <w:rPr>
          <w:rFonts w:hint="eastAsia" w:ascii="仿宋" w:hAnsi="仿宋" w:eastAsia="仿宋" w:cs="仿宋"/>
          <w:highlight w:val="none"/>
          <w:lang w:val="en-US" w:eastAsia="zh-CN"/>
        </w:rPr>
        <w:t>项目编号/包（标项）号：</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lang w:val="en-US" w:eastAsia="zh-CN"/>
        </w:rPr>
        <w:t xml:space="preserve"> 项目名称：</w:t>
      </w:r>
      <w:r>
        <w:rPr>
          <w:rFonts w:hint="eastAsia" w:ascii="仿宋" w:hAnsi="仿宋" w:eastAsia="仿宋" w:cs="仿宋"/>
          <w:highlight w:val="none"/>
          <w:u w:val="single"/>
          <w:lang w:val="en-US" w:eastAsia="zh-CN"/>
        </w:rPr>
        <w:t xml:space="preserve">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496F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00D73A5A">
            <w:pPr>
              <w:spacing w:line="240" w:lineRule="auto"/>
              <w:rPr>
                <w:rFonts w:hint="eastAsia" w:ascii="仿宋" w:hAnsi="仿宋" w:eastAsia="仿宋" w:cs="仿宋"/>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对本项目合同条款的偏离情况（请进行勾选）：</w:t>
            </w:r>
          </w:p>
          <w:p w14:paraId="505F0C26">
            <w:pPr>
              <w:spacing w:line="240" w:lineRule="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w:t>
            </w:r>
            <w:r>
              <w:rPr>
                <w:rFonts w:hint="eastAsia" w:ascii="仿宋" w:hAnsi="仿宋" w:eastAsia="仿宋" w:cs="仿宋"/>
                <w:b/>
                <w:bCs/>
                <w:sz w:val="24"/>
                <w:szCs w:val="24"/>
                <w:highlight w:val="none"/>
                <w:vertAlign w:val="baseline"/>
                <w:lang w:val="en-US" w:eastAsia="zh-CN"/>
              </w:rPr>
              <w:t>无偏离</w:t>
            </w:r>
            <w:r>
              <w:rPr>
                <w:rFonts w:hint="eastAsia" w:ascii="仿宋" w:hAnsi="仿宋" w:eastAsia="仿宋" w:cs="仿宋"/>
                <w:sz w:val="24"/>
                <w:szCs w:val="24"/>
                <w:highlight w:val="none"/>
                <w:vertAlign w:val="baseline"/>
                <w:lang w:val="en-US" w:eastAsia="zh-CN"/>
              </w:rPr>
              <w:t>（如无偏离，仅选择无偏离即可；无偏离即为对合同条款中的所有要求，均视作供应商已对之理解和响应。）</w:t>
            </w:r>
          </w:p>
          <w:p w14:paraId="0610BDC8">
            <w:pPr>
              <w:spacing w:line="240" w:lineRule="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4"/>
                <w:szCs w:val="24"/>
                <w:highlight w:val="none"/>
                <w:vertAlign w:val="baseline"/>
                <w:lang w:val="en-US" w:eastAsia="zh-CN"/>
              </w:rPr>
              <w:t>□</w:t>
            </w:r>
            <w:r>
              <w:rPr>
                <w:rFonts w:hint="eastAsia" w:ascii="仿宋" w:hAnsi="仿宋" w:eastAsia="仿宋" w:cs="仿宋"/>
                <w:b/>
                <w:bCs/>
                <w:sz w:val="24"/>
                <w:szCs w:val="24"/>
                <w:highlight w:val="none"/>
                <w:vertAlign w:val="baseline"/>
                <w:lang w:val="en-US" w:eastAsia="zh-CN"/>
              </w:rPr>
              <w:t>有偏离</w:t>
            </w:r>
            <w:r>
              <w:rPr>
                <w:rFonts w:hint="eastAsia" w:ascii="仿宋" w:hAnsi="仿宋" w:eastAsia="仿宋" w:cs="仿宋"/>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3D6A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2E1CF2">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421" w:type="dxa"/>
            <w:vAlign w:val="center"/>
          </w:tcPr>
          <w:p w14:paraId="3F14DCBF">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w:t>
            </w:r>
          </w:p>
          <w:p w14:paraId="55814100">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条目号</w:t>
            </w:r>
          </w:p>
          <w:p w14:paraId="2D7CCBC8">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（页码）</w:t>
            </w:r>
          </w:p>
        </w:tc>
        <w:tc>
          <w:tcPr>
            <w:tcW w:w="1901" w:type="dxa"/>
            <w:vAlign w:val="center"/>
          </w:tcPr>
          <w:p w14:paraId="34C8941E">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采购文件要求</w:t>
            </w:r>
          </w:p>
        </w:tc>
        <w:tc>
          <w:tcPr>
            <w:tcW w:w="1753" w:type="dxa"/>
            <w:vAlign w:val="center"/>
          </w:tcPr>
          <w:p w14:paraId="20874B8C">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响应文件内容</w:t>
            </w:r>
          </w:p>
        </w:tc>
        <w:tc>
          <w:tcPr>
            <w:tcW w:w="1561" w:type="dxa"/>
            <w:vAlign w:val="center"/>
          </w:tcPr>
          <w:p w14:paraId="0C737A6F">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偏离情况</w:t>
            </w:r>
          </w:p>
        </w:tc>
        <w:tc>
          <w:tcPr>
            <w:tcW w:w="1052" w:type="dxa"/>
            <w:vAlign w:val="center"/>
          </w:tcPr>
          <w:p w14:paraId="64E48EA9">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说明</w:t>
            </w:r>
          </w:p>
        </w:tc>
      </w:tr>
      <w:tr w14:paraId="0E3A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3A791769">
            <w:pPr>
              <w:rPr>
                <w:rFonts w:hint="eastAsia" w:ascii="仿宋" w:hAnsi="仿宋" w:eastAsia="仿宋" w:cs="仿宋"/>
                <w:sz w:val="21"/>
                <w:szCs w:val="21"/>
                <w:highlight w:val="none"/>
                <w:vertAlign w:val="baseline"/>
                <w:lang w:val="en-US" w:eastAsia="zh-CN"/>
              </w:rPr>
            </w:pPr>
          </w:p>
        </w:tc>
        <w:tc>
          <w:tcPr>
            <w:tcW w:w="1421" w:type="dxa"/>
          </w:tcPr>
          <w:p w14:paraId="31C4EE19">
            <w:pPr>
              <w:rPr>
                <w:rFonts w:hint="eastAsia" w:ascii="仿宋" w:hAnsi="仿宋" w:eastAsia="仿宋" w:cs="仿宋"/>
                <w:sz w:val="21"/>
                <w:szCs w:val="21"/>
                <w:highlight w:val="none"/>
                <w:vertAlign w:val="baseline"/>
                <w:lang w:val="en-US" w:eastAsia="zh-CN"/>
              </w:rPr>
            </w:pPr>
          </w:p>
        </w:tc>
        <w:tc>
          <w:tcPr>
            <w:tcW w:w="1901" w:type="dxa"/>
          </w:tcPr>
          <w:p w14:paraId="6FCD3964">
            <w:pPr>
              <w:rPr>
                <w:rFonts w:hint="eastAsia" w:ascii="仿宋" w:hAnsi="仿宋" w:eastAsia="仿宋" w:cs="仿宋"/>
                <w:sz w:val="21"/>
                <w:szCs w:val="21"/>
                <w:highlight w:val="none"/>
                <w:vertAlign w:val="baseline"/>
                <w:lang w:val="en-US" w:eastAsia="zh-CN"/>
              </w:rPr>
            </w:pPr>
          </w:p>
        </w:tc>
        <w:tc>
          <w:tcPr>
            <w:tcW w:w="1753" w:type="dxa"/>
          </w:tcPr>
          <w:p w14:paraId="55208365">
            <w:pPr>
              <w:rPr>
                <w:rFonts w:hint="eastAsia" w:ascii="仿宋" w:hAnsi="仿宋" w:eastAsia="仿宋" w:cs="仿宋"/>
                <w:sz w:val="21"/>
                <w:szCs w:val="21"/>
                <w:highlight w:val="none"/>
                <w:vertAlign w:val="baseline"/>
                <w:lang w:val="en-US" w:eastAsia="zh-CN"/>
              </w:rPr>
            </w:pPr>
          </w:p>
        </w:tc>
        <w:tc>
          <w:tcPr>
            <w:tcW w:w="1561" w:type="dxa"/>
          </w:tcPr>
          <w:p w14:paraId="13E967EC">
            <w:pPr>
              <w:rPr>
                <w:rFonts w:hint="eastAsia" w:ascii="仿宋" w:hAnsi="仿宋" w:eastAsia="仿宋" w:cs="仿宋"/>
                <w:sz w:val="21"/>
                <w:szCs w:val="21"/>
                <w:highlight w:val="none"/>
                <w:vertAlign w:val="baseline"/>
                <w:lang w:val="en-US" w:eastAsia="zh-CN"/>
              </w:rPr>
            </w:pPr>
          </w:p>
        </w:tc>
        <w:tc>
          <w:tcPr>
            <w:tcW w:w="1052" w:type="dxa"/>
          </w:tcPr>
          <w:p w14:paraId="5469A9CF">
            <w:pPr>
              <w:rPr>
                <w:rFonts w:hint="eastAsia" w:ascii="仿宋" w:hAnsi="仿宋" w:eastAsia="仿宋" w:cs="仿宋"/>
                <w:sz w:val="21"/>
                <w:szCs w:val="21"/>
                <w:highlight w:val="none"/>
                <w:vertAlign w:val="baseline"/>
                <w:lang w:val="en-US" w:eastAsia="zh-CN"/>
              </w:rPr>
            </w:pPr>
          </w:p>
        </w:tc>
      </w:tr>
      <w:tr w14:paraId="3936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2911D12">
            <w:pPr>
              <w:rPr>
                <w:rFonts w:hint="eastAsia" w:ascii="仿宋" w:hAnsi="仿宋" w:eastAsia="仿宋" w:cs="仿宋"/>
                <w:sz w:val="21"/>
                <w:szCs w:val="21"/>
                <w:highlight w:val="none"/>
                <w:vertAlign w:val="baseline"/>
                <w:lang w:val="en-US" w:eastAsia="zh-CN"/>
              </w:rPr>
            </w:pPr>
          </w:p>
        </w:tc>
        <w:tc>
          <w:tcPr>
            <w:tcW w:w="1421" w:type="dxa"/>
          </w:tcPr>
          <w:p w14:paraId="027A4FD5">
            <w:pPr>
              <w:rPr>
                <w:rFonts w:hint="eastAsia" w:ascii="仿宋" w:hAnsi="仿宋" w:eastAsia="仿宋" w:cs="仿宋"/>
                <w:sz w:val="21"/>
                <w:szCs w:val="21"/>
                <w:highlight w:val="none"/>
                <w:vertAlign w:val="baseline"/>
                <w:lang w:val="en-US" w:eastAsia="zh-CN"/>
              </w:rPr>
            </w:pPr>
          </w:p>
        </w:tc>
        <w:tc>
          <w:tcPr>
            <w:tcW w:w="1901" w:type="dxa"/>
          </w:tcPr>
          <w:p w14:paraId="598482EF">
            <w:pPr>
              <w:rPr>
                <w:rFonts w:hint="eastAsia" w:ascii="仿宋" w:hAnsi="仿宋" w:eastAsia="仿宋" w:cs="仿宋"/>
                <w:sz w:val="21"/>
                <w:szCs w:val="21"/>
                <w:highlight w:val="none"/>
                <w:vertAlign w:val="baseline"/>
                <w:lang w:val="en-US" w:eastAsia="zh-CN"/>
              </w:rPr>
            </w:pPr>
          </w:p>
        </w:tc>
        <w:tc>
          <w:tcPr>
            <w:tcW w:w="1753" w:type="dxa"/>
          </w:tcPr>
          <w:p w14:paraId="42BE6F30">
            <w:pPr>
              <w:rPr>
                <w:rFonts w:hint="eastAsia" w:ascii="仿宋" w:hAnsi="仿宋" w:eastAsia="仿宋" w:cs="仿宋"/>
                <w:sz w:val="21"/>
                <w:szCs w:val="21"/>
                <w:highlight w:val="none"/>
                <w:vertAlign w:val="baseline"/>
                <w:lang w:val="en-US" w:eastAsia="zh-CN"/>
              </w:rPr>
            </w:pPr>
          </w:p>
        </w:tc>
        <w:tc>
          <w:tcPr>
            <w:tcW w:w="1561" w:type="dxa"/>
          </w:tcPr>
          <w:p w14:paraId="2C696AFE">
            <w:pPr>
              <w:rPr>
                <w:rFonts w:hint="eastAsia" w:ascii="仿宋" w:hAnsi="仿宋" w:eastAsia="仿宋" w:cs="仿宋"/>
                <w:sz w:val="21"/>
                <w:szCs w:val="21"/>
                <w:highlight w:val="none"/>
                <w:vertAlign w:val="baseline"/>
                <w:lang w:val="en-US" w:eastAsia="zh-CN"/>
              </w:rPr>
            </w:pPr>
          </w:p>
        </w:tc>
        <w:tc>
          <w:tcPr>
            <w:tcW w:w="1052" w:type="dxa"/>
          </w:tcPr>
          <w:p w14:paraId="2B1D2349">
            <w:pPr>
              <w:rPr>
                <w:rFonts w:hint="eastAsia" w:ascii="仿宋" w:hAnsi="仿宋" w:eastAsia="仿宋" w:cs="仿宋"/>
                <w:sz w:val="21"/>
                <w:szCs w:val="21"/>
                <w:highlight w:val="none"/>
                <w:vertAlign w:val="baseline"/>
                <w:lang w:val="en-US" w:eastAsia="zh-CN"/>
              </w:rPr>
            </w:pPr>
          </w:p>
        </w:tc>
      </w:tr>
      <w:tr w14:paraId="1BA0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183CA163">
            <w:pPr>
              <w:rPr>
                <w:rFonts w:hint="eastAsia" w:ascii="仿宋" w:hAnsi="仿宋" w:eastAsia="仿宋" w:cs="仿宋"/>
                <w:sz w:val="21"/>
                <w:szCs w:val="21"/>
                <w:highlight w:val="none"/>
                <w:vertAlign w:val="baseline"/>
                <w:lang w:val="en-US" w:eastAsia="zh-CN"/>
              </w:rPr>
            </w:pPr>
          </w:p>
        </w:tc>
        <w:tc>
          <w:tcPr>
            <w:tcW w:w="1421" w:type="dxa"/>
          </w:tcPr>
          <w:p w14:paraId="12396A21">
            <w:pPr>
              <w:rPr>
                <w:rFonts w:hint="eastAsia" w:ascii="仿宋" w:hAnsi="仿宋" w:eastAsia="仿宋" w:cs="仿宋"/>
                <w:sz w:val="21"/>
                <w:szCs w:val="21"/>
                <w:highlight w:val="none"/>
                <w:vertAlign w:val="baseline"/>
                <w:lang w:val="en-US" w:eastAsia="zh-CN"/>
              </w:rPr>
            </w:pPr>
          </w:p>
        </w:tc>
        <w:tc>
          <w:tcPr>
            <w:tcW w:w="1901" w:type="dxa"/>
          </w:tcPr>
          <w:p w14:paraId="271FD244">
            <w:pPr>
              <w:rPr>
                <w:rFonts w:hint="eastAsia" w:ascii="仿宋" w:hAnsi="仿宋" w:eastAsia="仿宋" w:cs="仿宋"/>
                <w:sz w:val="21"/>
                <w:szCs w:val="21"/>
                <w:highlight w:val="none"/>
                <w:vertAlign w:val="baseline"/>
                <w:lang w:val="en-US" w:eastAsia="zh-CN"/>
              </w:rPr>
            </w:pPr>
          </w:p>
        </w:tc>
        <w:tc>
          <w:tcPr>
            <w:tcW w:w="1753" w:type="dxa"/>
          </w:tcPr>
          <w:p w14:paraId="0F26E969">
            <w:pPr>
              <w:rPr>
                <w:rFonts w:hint="eastAsia" w:ascii="仿宋" w:hAnsi="仿宋" w:eastAsia="仿宋" w:cs="仿宋"/>
                <w:sz w:val="21"/>
                <w:szCs w:val="21"/>
                <w:highlight w:val="none"/>
                <w:vertAlign w:val="baseline"/>
                <w:lang w:val="en-US" w:eastAsia="zh-CN"/>
              </w:rPr>
            </w:pPr>
          </w:p>
        </w:tc>
        <w:tc>
          <w:tcPr>
            <w:tcW w:w="1561" w:type="dxa"/>
          </w:tcPr>
          <w:p w14:paraId="1DB4D91B">
            <w:pPr>
              <w:rPr>
                <w:rFonts w:hint="eastAsia" w:ascii="仿宋" w:hAnsi="仿宋" w:eastAsia="仿宋" w:cs="仿宋"/>
                <w:sz w:val="21"/>
                <w:szCs w:val="21"/>
                <w:highlight w:val="none"/>
                <w:vertAlign w:val="baseline"/>
                <w:lang w:val="en-US" w:eastAsia="zh-CN"/>
              </w:rPr>
            </w:pPr>
          </w:p>
        </w:tc>
        <w:tc>
          <w:tcPr>
            <w:tcW w:w="1052" w:type="dxa"/>
          </w:tcPr>
          <w:p w14:paraId="713C2EFF">
            <w:pPr>
              <w:rPr>
                <w:rFonts w:hint="eastAsia" w:ascii="仿宋" w:hAnsi="仿宋" w:eastAsia="仿宋" w:cs="仿宋"/>
                <w:sz w:val="21"/>
                <w:szCs w:val="21"/>
                <w:highlight w:val="none"/>
                <w:vertAlign w:val="baseline"/>
                <w:lang w:val="en-US" w:eastAsia="zh-CN"/>
              </w:rPr>
            </w:pPr>
          </w:p>
        </w:tc>
      </w:tr>
      <w:tr w14:paraId="17AB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71DA790B">
            <w:pPr>
              <w:rPr>
                <w:rFonts w:hint="eastAsia" w:ascii="仿宋" w:hAnsi="仿宋" w:eastAsia="仿宋" w:cs="仿宋"/>
                <w:sz w:val="21"/>
                <w:szCs w:val="21"/>
                <w:highlight w:val="none"/>
                <w:vertAlign w:val="baseline"/>
                <w:lang w:val="en-US" w:eastAsia="zh-CN"/>
              </w:rPr>
            </w:pPr>
          </w:p>
        </w:tc>
        <w:tc>
          <w:tcPr>
            <w:tcW w:w="1421" w:type="dxa"/>
          </w:tcPr>
          <w:p w14:paraId="60AF06B7">
            <w:pPr>
              <w:rPr>
                <w:rFonts w:hint="eastAsia" w:ascii="仿宋" w:hAnsi="仿宋" w:eastAsia="仿宋" w:cs="仿宋"/>
                <w:sz w:val="21"/>
                <w:szCs w:val="21"/>
                <w:highlight w:val="none"/>
                <w:vertAlign w:val="baseline"/>
                <w:lang w:val="en-US" w:eastAsia="zh-CN"/>
              </w:rPr>
            </w:pPr>
          </w:p>
        </w:tc>
        <w:tc>
          <w:tcPr>
            <w:tcW w:w="1901" w:type="dxa"/>
          </w:tcPr>
          <w:p w14:paraId="7E2E9BBF">
            <w:pPr>
              <w:rPr>
                <w:rFonts w:hint="eastAsia" w:ascii="仿宋" w:hAnsi="仿宋" w:eastAsia="仿宋" w:cs="仿宋"/>
                <w:sz w:val="21"/>
                <w:szCs w:val="21"/>
                <w:highlight w:val="none"/>
                <w:vertAlign w:val="baseline"/>
                <w:lang w:val="en-US" w:eastAsia="zh-CN"/>
              </w:rPr>
            </w:pPr>
          </w:p>
        </w:tc>
        <w:tc>
          <w:tcPr>
            <w:tcW w:w="1753" w:type="dxa"/>
          </w:tcPr>
          <w:p w14:paraId="49D337F0">
            <w:pPr>
              <w:rPr>
                <w:rFonts w:hint="eastAsia" w:ascii="仿宋" w:hAnsi="仿宋" w:eastAsia="仿宋" w:cs="仿宋"/>
                <w:sz w:val="21"/>
                <w:szCs w:val="21"/>
                <w:highlight w:val="none"/>
                <w:vertAlign w:val="baseline"/>
                <w:lang w:val="en-US" w:eastAsia="zh-CN"/>
              </w:rPr>
            </w:pPr>
          </w:p>
        </w:tc>
        <w:tc>
          <w:tcPr>
            <w:tcW w:w="1561" w:type="dxa"/>
          </w:tcPr>
          <w:p w14:paraId="1A79B249">
            <w:pPr>
              <w:rPr>
                <w:rFonts w:hint="eastAsia" w:ascii="仿宋" w:hAnsi="仿宋" w:eastAsia="仿宋" w:cs="仿宋"/>
                <w:sz w:val="21"/>
                <w:szCs w:val="21"/>
                <w:highlight w:val="none"/>
                <w:vertAlign w:val="baseline"/>
                <w:lang w:val="en-US" w:eastAsia="zh-CN"/>
              </w:rPr>
            </w:pPr>
          </w:p>
        </w:tc>
        <w:tc>
          <w:tcPr>
            <w:tcW w:w="1052" w:type="dxa"/>
          </w:tcPr>
          <w:p w14:paraId="6323F973">
            <w:pPr>
              <w:rPr>
                <w:rFonts w:hint="eastAsia" w:ascii="仿宋" w:hAnsi="仿宋" w:eastAsia="仿宋" w:cs="仿宋"/>
                <w:sz w:val="21"/>
                <w:szCs w:val="21"/>
                <w:highlight w:val="none"/>
                <w:vertAlign w:val="baseline"/>
                <w:lang w:val="en-US" w:eastAsia="zh-CN"/>
              </w:rPr>
            </w:pPr>
          </w:p>
        </w:tc>
      </w:tr>
      <w:tr w14:paraId="46AF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850108F">
            <w:pPr>
              <w:rPr>
                <w:rFonts w:hint="eastAsia" w:ascii="仿宋" w:hAnsi="仿宋" w:eastAsia="仿宋" w:cs="仿宋"/>
                <w:sz w:val="21"/>
                <w:szCs w:val="21"/>
                <w:highlight w:val="none"/>
                <w:vertAlign w:val="baseline"/>
                <w:lang w:val="en-US" w:eastAsia="zh-CN"/>
              </w:rPr>
            </w:pPr>
          </w:p>
        </w:tc>
        <w:tc>
          <w:tcPr>
            <w:tcW w:w="1421" w:type="dxa"/>
          </w:tcPr>
          <w:p w14:paraId="1B6BF59D">
            <w:pPr>
              <w:rPr>
                <w:rFonts w:hint="eastAsia" w:ascii="仿宋" w:hAnsi="仿宋" w:eastAsia="仿宋" w:cs="仿宋"/>
                <w:sz w:val="21"/>
                <w:szCs w:val="21"/>
                <w:highlight w:val="none"/>
                <w:vertAlign w:val="baseline"/>
                <w:lang w:val="en-US" w:eastAsia="zh-CN"/>
              </w:rPr>
            </w:pPr>
          </w:p>
        </w:tc>
        <w:tc>
          <w:tcPr>
            <w:tcW w:w="1901" w:type="dxa"/>
          </w:tcPr>
          <w:p w14:paraId="4A3DE4AF">
            <w:pPr>
              <w:rPr>
                <w:rFonts w:hint="eastAsia" w:ascii="仿宋" w:hAnsi="仿宋" w:eastAsia="仿宋" w:cs="仿宋"/>
                <w:sz w:val="21"/>
                <w:szCs w:val="21"/>
                <w:highlight w:val="none"/>
                <w:vertAlign w:val="baseline"/>
                <w:lang w:val="en-US" w:eastAsia="zh-CN"/>
              </w:rPr>
            </w:pPr>
          </w:p>
        </w:tc>
        <w:tc>
          <w:tcPr>
            <w:tcW w:w="1753" w:type="dxa"/>
          </w:tcPr>
          <w:p w14:paraId="383BE75C">
            <w:pPr>
              <w:rPr>
                <w:rFonts w:hint="eastAsia" w:ascii="仿宋" w:hAnsi="仿宋" w:eastAsia="仿宋" w:cs="仿宋"/>
                <w:sz w:val="21"/>
                <w:szCs w:val="21"/>
                <w:highlight w:val="none"/>
                <w:vertAlign w:val="baseline"/>
                <w:lang w:val="en-US" w:eastAsia="zh-CN"/>
              </w:rPr>
            </w:pPr>
          </w:p>
        </w:tc>
        <w:tc>
          <w:tcPr>
            <w:tcW w:w="1561" w:type="dxa"/>
          </w:tcPr>
          <w:p w14:paraId="15857B3D">
            <w:pPr>
              <w:rPr>
                <w:rFonts w:hint="eastAsia" w:ascii="仿宋" w:hAnsi="仿宋" w:eastAsia="仿宋" w:cs="仿宋"/>
                <w:sz w:val="21"/>
                <w:szCs w:val="21"/>
                <w:highlight w:val="none"/>
                <w:vertAlign w:val="baseline"/>
                <w:lang w:val="en-US" w:eastAsia="zh-CN"/>
              </w:rPr>
            </w:pPr>
          </w:p>
        </w:tc>
        <w:tc>
          <w:tcPr>
            <w:tcW w:w="1052" w:type="dxa"/>
          </w:tcPr>
          <w:p w14:paraId="73720B83">
            <w:pPr>
              <w:rPr>
                <w:rFonts w:hint="eastAsia" w:ascii="仿宋" w:hAnsi="仿宋" w:eastAsia="仿宋" w:cs="仿宋"/>
                <w:sz w:val="21"/>
                <w:szCs w:val="21"/>
                <w:highlight w:val="none"/>
                <w:vertAlign w:val="baseline"/>
                <w:lang w:val="en-US" w:eastAsia="zh-CN"/>
              </w:rPr>
            </w:pPr>
          </w:p>
        </w:tc>
      </w:tr>
    </w:tbl>
    <w:p w14:paraId="56B0C4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w:t>
      </w:r>
    </w:p>
    <w:p w14:paraId="6C8BC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 对合同条款中的所有要求，除本表所列明的所有偏离外，均视作供应商已对之理解和响应。</w:t>
      </w:r>
    </w:p>
    <w:p w14:paraId="6E4EA1BF">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sz w:val="24"/>
          <w:szCs w:val="24"/>
          <w:highlight w:val="none"/>
          <w:lang w:val="en-US" w:eastAsia="zh-CN"/>
        </w:rPr>
      </w:pPr>
      <w:bookmarkStart w:id="287" w:name="_Toc30559"/>
      <w:bookmarkStart w:id="288" w:name="_Toc5054"/>
      <w:r>
        <w:rPr>
          <w:rFonts w:hint="eastAsia" w:ascii="仿宋" w:hAnsi="仿宋" w:eastAsia="仿宋" w:cs="仿宋"/>
          <w:sz w:val="24"/>
          <w:szCs w:val="24"/>
          <w:highlight w:val="none"/>
          <w:lang w:val="en-US" w:eastAsia="zh-CN"/>
        </w:rPr>
        <w:t>2. “偏离情况”列应据实填写“正偏离”或“负偏离”。</w:t>
      </w:r>
      <w:bookmarkEnd w:id="287"/>
      <w:bookmarkEnd w:id="288"/>
    </w:p>
    <w:p w14:paraId="367E64B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160A25F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5C5623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供应商名称（加盖公章）：</w:t>
      </w:r>
      <w:r>
        <w:rPr>
          <w:rFonts w:hint="eastAsia" w:ascii="仿宋" w:hAnsi="仿宋" w:eastAsia="仿宋" w:cs="仿宋"/>
          <w:sz w:val="24"/>
          <w:szCs w:val="24"/>
          <w:highlight w:val="none"/>
          <w:u w:val="single"/>
          <w:lang w:val="en-US" w:eastAsia="zh-CN"/>
        </w:rPr>
        <w:t xml:space="preserve">                 </w:t>
      </w:r>
    </w:p>
    <w:p w14:paraId="7AAE027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 xml:space="preserve">     年     月     日</w:t>
      </w:r>
    </w:p>
    <w:p w14:paraId="14D7366F">
      <w:pPr>
        <w:pStyle w:val="25"/>
        <w:rPr>
          <w:rFonts w:hint="eastAsia" w:ascii="仿宋" w:hAnsi="仿宋" w:eastAsia="仿宋" w:cs="仿宋"/>
          <w:sz w:val="24"/>
          <w:szCs w:val="24"/>
          <w:highlight w:val="none"/>
          <w:lang w:val="en-US" w:eastAsia="zh-CN"/>
        </w:rPr>
      </w:pPr>
    </w:p>
    <w:p w14:paraId="05EB6812">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063415D7">
      <w:pPr>
        <w:pStyle w:val="21"/>
        <w:ind w:left="0" w:leftChars="0" w:firstLine="0" w:firstLineChars="0"/>
        <w:outlineLvl w:val="1"/>
        <w:rPr>
          <w:rFonts w:hint="eastAsia" w:ascii="仿宋" w:hAnsi="仿宋" w:eastAsia="仿宋" w:cs="仿宋"/>
          <w:sz w:val="24"/>
          <w:szCs w:val="24"/>
          <w:highlight w:val="none"/>
          <w:lang w:val="en-US" w:eastAsia="zh-CN"/>
        </w:rPr>
      </w:pPr>
      <w:bookmarkStart w:id="289" w:name="_Toc3795"/>
      <w:bookmarkStart w:id="290" w:name="_Toc12415"/>
      <w:r>
        <w:rPr>
          <w:rFonts w:hint="eastAsia" w:ascii="仿宋" w:hAnsi="仿宋" w:eastAsia="仿宋" w:cs="仿宋"/>
          <w:sz w:val="24"/>
          <w:szCs w:val="24"/>
          <w:highlight w:val="none"/>
          <w:lang w:val="en-US" w:eastAsia="zh-CN"/>
        </w:rPr>
        <w:t>9  技术要求偏离表</w:t>
      </w:r>
      <w:bookmarkEnd w:id="289"/>
      <w:bookmarkEnd w:id="290"/>
    </w:p>
    <w:p w14:paraId="3D1C909A">
      <w:pPr>
        <w:pStyle w:val="21"/>
        <w:ind w:left="0" w:leftChars="0" w:firstLine="0" w:firstLineChars="0"/>
        <w:rPr>
          <w:rFonts w:hint="eastAsia" w:ascii="仿宋" w:hAnsi="仿宋" w:eastAsia="仿宋" w:cs="仿宋"/>
          <w:sz w:val="24"/>
          <w:szCs w:val="24"/>
          <w:highlight w:val="none"/>
          <w:lang w:val="en-US" w:eastAsia="zh-CN"/>
        </w:rPr>
      </w:pPr>
    </w:p>
    <w:p w14:paraId="1DBAC2C3">
      <w:pPr>
        <w:pStyle w:val="21"/>
        <w:ind w:left="0" w:leftChars="0" w:firstLine="0" w:firstLineChars="0"/>
        <w:jc w:val="center"/>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采购需求偏离表</w:t>
      </w:r>
    </w:p>
    <w:p w14:paraId="395F1441">
      <w:pPr>
        <w:pStyle w:val="21"/>
        <w:ind w:left="0" w:leftChars="0" w:firstLine="0" w:firstLineChars="0"/>
        <w:rPr>
          <w:rFonts w:hint="eastAsia" w:ascii="仿宋" w:hAnsi="仿宋" w:eastAsia="仿宋" w:cs="仿宋"/>
          <w:sz w:val="24"/>
          <w:szCs w:val="24"/>
          <w:highlight w:val="none"/>
          <w:lang w:val="en-US" w:eastAsia="zh-CN"/>
        </w:rPr>
      </w:pPr>
    </w:p>
    <w:p w14:paraId="5BD765DC">
      <w:pPr>
        <w:pStyle w:val="21"/>
        <w:ind w:left="0" w:leftChars="0"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项目编号/包（标项）号：</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项目名称：</w:t>
      </w:r>
      <w:r>
        <w:rPr>
          <w:rFonts w:hint="eastAsia" w:ascii="仿宋" w:hAnsi="仿宋" w:eastAsia="仿宋" w:cs="仿宋"/>
          <w:sz w:val="21"/>
          <w:szCs w:val="21"/>
          <w:highlight w:val="none"/>
          <w:u w:val="single"/>
          <w:lang w:val="en-US" w:eastAsia="zh-CN"/>
        </w:rPr>
        <w:t xml:space="preserve">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7E5F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1789C7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422" w:type="dxa"/>
            <w:vAlign w:val="center"/>
          </w:tcPr>
          <w:p w14:paraId="33515D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采购文件条</w:t>
            </w:r>
          </w:p>
          <w:p w14:paraId="4AB32FF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目号(页码)</w:t>
            </w:r>
          </w:p>
        </w:tc>
        <w:tc>
          <w:tcPr>
            <w:tcW w:w="1805" w:type="dxa"/>
            <w:vAlign w:val="center"/>
          </w:tcPr>
          <w:p w14:paraId="3A6EE2A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采购文件要求</w:t>
            </w:r>
          </w:p>
        </w:tc>
        <w:tc>
          <w:tcPr>
            <w:tcW w:w="1672" w:type="dxa"/>
            <w:vAlign w:val="center"/>
          </w:tcPr>
          <w:p w14:paraId="53C0E92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响应文件内容</w:t>
            </w:r>
          </w:p>
        </w:tc>
        <w:tc>
          <w:tcPr>
            <w:tcW w:w="1421" w:type="dxa"/>
            <w:vAlign w:val="center"/>
          </w:tcPr>
          <w:p w14:paraId="62ACCDD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偏离情况</w:t>
            </w:r>
          </w:p>
        </w:tc>
        <w:tc>
          <w:tcPr>
            <w:tcW w:w="1421" w:type="dxa"/>
            <w:vAlign w:val="center"/>
          </w:tcPr>
          <w:p w14:paraId="5570DB3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说明</w:t>
            </w:r>
          </w:p>
        </w:tc>
      </w:tr>
      <w:tr w14:paraId="7D46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C9A24B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2BBD5E4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6D0BFB1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495CEC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0B28988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297066F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4722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1" w:type="dxa"/>
          </w:tcPr>
          <w:p w14:paraId="3433EB1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07F7C1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15F0E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3244EF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688A212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0DED64E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7BC3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2E9B7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63F9FD8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0175766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5B08CBD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676A05A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190F70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2883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4D4BD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10B0D8A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3867B5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7F6BE93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61B7E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D72E5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5151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03C49A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4B81953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41351F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58B4238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5114D2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082729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bl>
    <w:p w14:paraId="1347086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w:t>
      </w:r>
    </w:p>
    <w:p w14:paraId="6743BAA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1.供应商应对采购文件第五章采购需求的内容给予逐条响应，以投标产品和服务所能达到的内容予以填写，而不得复制招标的技术要求作为响应内容，有具体参数的应填写具体参数。</w:t>
      </w:r>
    </w:p>
    <w:p w14:paraId="0754E2D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2.在本表中未对采购文件第五章采购需求的内容给予逐条响应的视为没有实质上响应采购文件的要求，响应无效。 此表中仅标注“全部满足”、“全部响应”等，无法体现供应商实质性响应或者偏离技术要求的；或无任何文字说明，内容为空白的，其响应无效。</w:t>
      </w:r>
    </w:p>
    <w:p w14:paraId="27BE8C0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3.供应商应按照采购文件第五章采购需求中要求提供投标产品技术支持资料（或证明材料），并在采购需求响应及偏离表中给予文件名称、所处响应文件页码或位置等必要说明。</w:t>
      </w:r>
    </w:p>
    <w:p w14:paraId="6C270E1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4.“偏离情况”列应据实填写“正偏离”、“负偏离”或“无偏离”。</w:t>
      </w:r>
    </w:p>
    <w:p w14:paraId="3868B9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2E386B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76B2BD8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供应商名称（加盖公章）： </w:t>
      </w:r>
      <w:r>
        <w:rPr>
          <w:rFonts w:hint="eastAsia" w:ascii="仿宋" w:hAnsi="仿宋" w:eastAsia="仿宋" w:cs="仿宋"/>
          <w:sz w:val="24"/>
          <w:szCs w:val="24"/>
          <w:highlight w:val="none"/>
          <w:u w:val="single"/>
          <w:lang w:val="en-US" w:eastAsia="zh-CN"/>
        </w:rPr>
        <w:t xml:space="preserve">              </w:t>
      </w:r>
    </w:p>
    <w:p w14:paraId="792BCC3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 xml:space="preserve">     年     月     日</w:t>
      </w:r>
    </w:p>
    <w:p w14:paraId="42155D68">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5F8226AA">
      <w:pPr>
        <w:widowControl w:val="0"/>
        <w:numPr>
          <w:ilvl w:val="0"/>
          <w:numId w:val="0"/>
        </w:numPr>
        <w:spacing w:line="360" w:lineRule="auto"/>
        <w:ind w:left="0" w:leftChars="0" w:firstLine="0" w:firstLineChars="0"/>
        <w:jc w:val="both"/>
        <w:rPr>
          <w:rFonts w:hint="eastAsia" w:ascii="仿宋" w:hAnsi="仿宋" w:eastAsia="仿宋" w:cs="仿宋"/>
          <w:kern w:val="2"/>
          <w:sz w:val="21"/>
          <w:szCs w:val="21"/>
          <w:highlight w:val="none"/>
          <w:lang w:val="en-US" w:eastAsia="zh-CN" w:bidi="zh-CN"/>
        </w:rPr>
      </w:pPr>
      <w:r>
        <w:rPr>
          <w:rFonts w:hint="eastAsia" w:ascii="仿宋" w:hAnsi="仿宋" w:eastAsia="仿宋" w:cs="仿宋"/>
          <w:kern w:val="2"/>
          <w:sz w:val="21"/>
          <w:szCs w:val="21"/>
          <w:highlight w:val="none"/>
          <w:lang w:val="en-US" w:eastAsia="zh-CN" w:bidi="zh-CN"/>
        </w:rPr>
        <w:t>10、业绩一览表（格式）</w:t>
      </w:r>
    </w:p>
    <w:p w14:paraId="44C9C318">
      <w:pPr>
        <w:widowControl w:val="0"/>
        <w:numPr>
          <w:ilvl w:val="0"/>
          <w:numId w:val="0"/>
        </w:numPr>
        <w:spacing w:line="360" w:lineRule="auto"/>
        <w:ind w:leftChars="0" w:firstLine="240" w:firstLineChars="100"/>
        <w:jc w:val="both"/>
        <w:rPr>
          <w:rFonts w:hint="eastAsia" w:ascii="仿宋" w:hAnsi="仿宋" w:eastAsia="仿宋" w:cs="仿宋"/>
          <w:kern w:val="2"/>
          <w:sz w:val="24"/>
          <w:szCs w:val="24"/>
          <w:highlight w:val="none"/>
          <w:vertAlign w:val="baseline"/>
          <w:lang w:val="en-US" w:eastAsia="zh-CN" w:bidi="zh-CN"/>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656"/>
        <w:gridCol w:w="1645"/>
        <w:gridCol w:w="1219"/>
        <w:gridCol w:w="1824"/>
        <w:gridCol w:w="1117"/>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57" w:type="dxa"/>
            <w:vAlign w:val="center"/>
          </w:tcPr>
          <w:p w14:paraId="47F386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序号</w:t>
            </w:r>
          </w:p>
        </w:tc>
        <w:tc>
          <w:tcPr>
            <w:tcW w:w="1656" w:type="dxa"/>
            <w:vAlign w:val="center"/>
          </w:tcPr>
          <w:p w14:paraId="35503A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合同签订时间</w:t>
            </w:r>
          </w:p>
        </w:tc>
        <w:tc>
          <w:tcPr>
            <w:tcW w:w="1645" w:type="dxa"/>
            <w:vAlign w:val="center"/>
          </w:tcPr>
          <w:p w14:paraId="52FD39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服务主要内容</w:t>
            </w:r>
          </w:p>
        </w:tc>
        <w:tc>
          <w:tcPr>
            <w:tcW w:w="1219" w:type="dxa"/>
            <w:vAlign w:val="center"/>
          </w:tcPr>
          <w:p w14:paraId="6467EB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采购单位</w:t>
            </w:r>
          </w:p>
        </w:tc>
        <w:tc>
          <w:tcPr>
            <w:tcW w:w="1824" w:type="dxa"/>
            <w:vAlign w:val="center"/>
          </w:tcPr>
          <w:p w14:paraId="475A49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联系人及电话</w:t>
            </w:r>
          </w:p>
        </w:tc>
        <w:tc>
          <w:tcPr>
            <w:tcW w:w="1117" w:type="dxa"/>
            <w:vAlign w:val="center"/>
          </w:tcPr>
          <w:p w14:paraId="5EBEE5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57" w:type="dxa"/>
          </w:tcPr>
          <w:p w14:paraId="5E7AF5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56" w:type="dxa"/>
          </w:tcPr>
          <w:p w14:paraId="413996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45" w:type="dxa"/>
          </w:tcPr>
          <w:p w14:paraId="6AE8F5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219" w:type="dxa"/>
          </w:tcPr>
          <w:p w14:paraId="060E46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824" w:type="dxa"/>
          </w:tcPr>
          <w:p w14:paraId="4CE243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117" w:type="dxa"/>
          </w:tcPr>
          <w:p w14:paraId="10DC30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57" w:type="dxa"/>
          </w:tcPr>
          <w:p w14:paraId="6B0C80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56" w:type="dxa"/>
          </w:tcPr>
          <w:p w14:paraId="245FBA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45" w:type="dxa"/>
          </w:tcPr>
          <w:p w14:paraId="64686D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219" w:type="dxa"/>
          </w:tcPr>
          <w:p w14:paraId="60F0C3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824" w:type="dxa"/>
          </w:tcPr>
          <w:p w14:paraId="684A81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117" w:type="dxa"/>
          </w:tcPr>
          <w:p w14:paraId="3FDFFF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57" w:type="dxa"/>
          </w:tcPr>
          <w:p w14:paraId="72C207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56" w:type="dxa"/>
          </w:tcPr>
          <w:p w14:paraId="0BB4B9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45" w:type="dxa"/>
          </w:tcPr>
          <w:p w14:paraId="434C67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219" w:type="dxa"/>
          </w:tcPr>
          <w:p w14:paraId="6DE5B7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824" w:type="dxa"/>
          </w:tcPr>
          <w:p w14:paraId="6DA70D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117" w:type="dxa"/>
          </w:tcPr>
          <w:p w14:paraId="42D5ED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r>
    </w:tbl>
    <w:p w14:paraId="05F6FF6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240" w:firstLineChars="100"/>
        <w:jc w:val="both"/>
        <w:textAlignment w:val="auto"/>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 xml:space="preserve">  </w:t>
      </w:r>
    </w:p>
    <w:p w14:paraId="4BD457A9">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注： </w:t>
      </w:r>
    </w:p>
    <w:p w14:paraId="0079B945">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1.供应商应如实列出以上情况，如有虚假，一经查实将导致其</w:t>
      </w:r>
      <w:r>
        <w:rPr>
          <w:rFonts w:hint="eastAsia" w:ascii="仿宋" w:hAnsi="仿宋" w:eastAsia="仿宋" w:cs="仿宋"/>
          <w:b/>
          <w:bCs/>
          <w:kern w:val="2"/>
          <w:sz w:val="24"/>
          <w:szCs w:val="24"/>
          <w:highlight w:val="none"/>
          <w:lang w:val="en-US" w:eastAsia="zh-CN" w:bidi="ar-SA"/>
        </w:rPr>
        <w:t>响应无效</w:t>
      </w:r>
      <w:r>
        <w:rPr>
          <w:rFonts w:hint="eastAsia" w:ascii="仿宋" w:hAnsi="仿宋" w:eastAsia="仿宋" w:cs="仿宋"/>
          <w:kern w:val="2"/>
          <w:sz w:val="24"/>
          <w:szCs w:val="24"/>
          <w:highlight w:val="none"/>
          <w:lang w:val="en-US" w:eastAsia="zh-CN" w:bidi="ar-SA"/>
        </w:rPr>
        <w:t>并被拒绝。 2.供应商应按照采购文件第六章评标程序、评标方法和评标标准中的要求提供业绩证明材料。</w:t>
      </w:r>
    </w:p>
    <w:p w14:paraId="2FFA81F1">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kern w:val="2"/>
          <w:sz w:val="24"/>
          <w:szCs w:val="24"/>
          <w:highlight w:val="none"/>
          <w:lang w:val="en-US" w:eastAsia="zh-CN" w:bidi="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供应商名称</w:t>
      </w:r>
      <w:r>
        <w:rPr>
          <w:rFonts w:hint="eastAsia" w:ascii="仿宋" w:hAnsi="仿宋" w:eastAsia="仿宋" w:cs="仿宋"/>
          <w:sz w:val="24"/>
          <w:szCs w:val="24"/>
          <w:highlight w:val="none"/>
          <w:u w:val="none"/>
          <w:lang w:val="en-US" w:eastAsia="zh-CN"/>
        </w:rPr>
        <w:t>：</w:t>
      </w:r>
      <w:r>
        <w:rPr>
          <w:rFonts w:hint="eastAsia" w:ascii="仿宋" w:hAnsi="仿宋" w:eastAsia="仿宋" w:cs="仿宋"/>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 xml:space="preserve">                                         </w:t>
      </w:r>
    </w:p>
    <w:p w14:paraId="1CE4B262">
      <w:pPr>
        <w:widowControl w:val="0"/>
        <w:spacing w:after="120" w:line="360" w:lineRule="auto"/>
        <w:ind w:left="480" w:leftChars="200" w:firstLine="420" w:firstLineChars="200"/>
        <w:jc w:val="both"/>
        <w:rPr>
          <w:rFonts w:hint="eastAsia" w:ascii="仿宋" w:hAnsi="仿宋" w:eastAsia="仿宋" w:cs="仿宋"/>
          <w:kern w:val="0"/>
          <w:sz w:val="21"/>
          <w:szCs w:val="24"/>
          <w:highlight w:val="none"/>
          <w:lang w:val="en-US" w:eastAsia="zh-CN" w:bidi="ar-SA"/>
        </w:rPr>
      </w:pPr>
    </w:p>
    <w:p w14:paraId="4B7DBE15">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57746A76">
      <w:pPr>
        <w:widowControl w:val="0"/>
        <w:spacing w:line="360" w:lineRule="auto"/>
        <w:ind w:left="0" w:leftChars="0" w:firstLine="0" w:firstLineChars="0"/>
        <w:jc w:val="both"/>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11、采购文件要求提供或供应商认为应附的其他材料</w:t>
      </w:r>
    </w:p>
    <w:p w14:paraId="74EC9DAD">
      <w:pPr>
        <w:pStyle w:val="21"/>
        <w:rPr>
          <w:rFonts w:hint="eastAsia" w:ascii="仿宋" w:hAnsi="仿宋" w:eastAsia="仿宋" w:cs="仿宋"/>
          <w:highlight w:val="none"/>
          <w:lang w:val="en-US" w:eastAsia="zh-CN"/>
        </w:rPr>
      </w:pPr>
    </w:p>
    <w:p w14:paraId="4902779E">
      <w:pPr>
        <w:rPr>
          <w:rFonts w:hint="eastAsia" w:ascii="仿宋" w:hAnsi="仿宋" w:eastAsia="仿宋" w:cs="仿宋"/>
          <w:sz w:val="21"/>
          <w:highlight w:val="none"/>
          <w:lang w:val="en-US" w:eastAsia="zh-CN"/>
        </w:rPr>
      </w:pPr>
      <w:r>
        <w:rPr>
          <w:rFonts w:hint="eastAsia" w:ascii="仿宋" w:hAnsi="仿宋" w:eastAsia="仿宋" w:cs="仿宋"/>
          <w:sz w:val="21"/>
          <w:highlight w:val="none"/>
          <w:lang w:val="en-US" w:eastAsia="zh-CN"/>
        </w:rPr>
        <w:br w:type="page"/>
      </w:r>
    </w:p>
    <w:p w14:paraId="160BFBFE">
      <w:pPr>
        <w:keepNext/>
        <w:keepLines/>
        <w:widowControl w:val="0"/>
        <w:spacing w:before="0" w:after="260" w:line="240" w:lineRule="atLeast"/>
        <w:jc w:val="both"/>
        <w:outlineLvl w:val="1"/>
        <w:rPr>
          <w:rFonts w:hint="eastAsia" w:ascii="仿宋" w:hAnsi="仿宋" w:eastAsia="仿宋" w:cs="仿宋"/>
          <w:b w:val="0"/>
          <w:bCs/>
          <w:kern w:val="2"/>
          <w:sz w:val="24"/>
          <w:szCs w:val="32"/>
          <w:highlight w:val="none"/>
          <w:lang w:val="en-US" w:eastAsia="zh-CN" w:bidi="ar-SA"/>
        </w:rPr>
      </w:pPr>
      <w:bookmarkStart w:id="291" w:name="_Toc216582819"/>
      <w:bookmarkStart w:id="292" w:name="_Toc480942355"/>
      <w:bookmarkStart w:id="293" w:name="_Ref467988543"/>
      <w:bookmarkStart w:id="294" w:name="_Toc520356224"/>
      <w:bookmarkStart w:id="295" w:name="_Toc9592"/>
      <w:bookmarkStart w:id="296" w:name="_Toc17143"/>
      <w:bookmarkStart w:id="297" w:name="_Toc21320"/>
      <w:bookmarkStart w:id="298" w:name="_Toc522"/>
      <w:bookmarkStart w:id="299" w:name="_Toc20238"/>
      <w:bookmarkStart w:id="300" w:name="_Toc15963"/>
      <w:bookmarkStart w:id="301" w:name="_Toc4183"/>
      <w:bookmarkStart w:id="302" w:name="_Toc507399535"/>
      <w:bookmarkStart w:id="303" w:name="_Toc3420"/>
      <w:bookmarkStart w:id="304" w:name="_Toc8281"/>
      <w:r>
        <w:rPr>
          <w:rFonts w:hint="eastAsia" w:ascii="仿宋" w:hAnsi="仿宋" w:eastAsia="仿宋" w:cs="仿宋"/>
          <w:b/>
          <w:bCs/>
          <w:kern w:val="2"/>
          <w:sz w:val="24"/>
          <w:szCs w:val="32"/>
          <w:highlight w:val="none"/>
          <w:lang w:val="en-US" w:eastAsia="zh-CN" w:bidi="ar-SA"/>
        </w:rPr>
        <w:t xml:space="preserve">12   </w:t>
      </w:r>
      <w:bookmarkEnd w:id="291"/>
      <w:bookmarkEnd w:id="292"/>
      <w:bookmarkEnd w:id="293"/>
      <w:bookmarkEnd w:id="294"/>
      <w:bookmarkStart w:id="305" w:name="_Hlt520273711"/>
      <w:bookmarkEnd w:id="305"/>
      <w:bookmarkStart w:id="306" w:name="_Hlt520343392"/>
      <w:bookmarkEnd w:id="306"/>
      <w:bookmarkStart w:id="307" w:name="_Hlt520274407"/>
      <w:bookmarkEnd w:id="307"/>
      <w:bookmarkStart w:id="308" w:name="_Hlt520350957"/>
      <w:bookmarkEnd w:id="308"/>
      <w:bookmarkStart w:id="309" w:name="_Hlt520271212"/>
      <w:bookmarkEnd w:id="309"/>
      <w:bookmarkStart w:id="310" w:name="_Hlt520343000"/>
      <w:bookmarkEnd w:id="310"/>
      <w:bookmarkStart w:id="311" w:name="_Hlt520274911"/>
      <w:bookmarkEnd w:id="311"/>
      <w:bookmarkStart w:id="312" w:name="_Hlt520274065"/>
      <w:bookmarkEnd w:id="312"/>
      <w:bookmarkStart w:id="313" w:name="_Hlt520350918"/>
      <w:bookmarkEnd w:id="313"/>
      <w:bookmarkStart w:id="314" w:name="_Hlt520274393"/>
      <w:bookmarkEnd w:id="314"/>
      <w:bookmarkStart w:id="315" w:name="_Hlt520273973"/>
      <w:bookmarkEnd w:id="315"/>
      <w:bookmarkStart w:id="316" w:name="_Toc216582821"/>
      <w:bookmarkStart w:id="317" w:name="_Toc216513801"/>
      <w:r>
        <w:rPr>
          <w:rFonts w:hint="eastAsia" w:ascii="仿宋" w:hAnsi="仿宋" w:eastAsia="仿宋" w:cs="仿宋"/>
          <w:b/>
          <w:bCs/>
          <w:kern w:val="2"/>
          <w:sz w:val="24"/>
          <w:szCs w:val="32"/>
          <w:highlight w:val="none"/>
          <w:lang w:val="en-US" w:eastAsia="zh-CN" w:bidi="ar-SA"/>
        </w:rPr>
        <w:t>中标服务费承诺书</w:t>
      </w:r>
      <w:bookmarkEnd w:id="295"/>
      <w:bookmarkEnd w:id="296"/>
      <w:bookmarkEnd w:id="297"/>
      <w:bookmarkEnd w:id="298"/>
      <w:bookmarkEnd w:id="299"/>
      <w:bookmarkEnd w:id="300"/>
      <w:bookmarkEnd w:id="301"/>
      <w:bookmarkEnd w:id="302"/>
    </w:p>
    <w:p w14:paraId="4E67CB56">
      <w:pPr>
        <w:spacing w:line="240" w:lineRule="atLeast"/>
        <w:ind w:left="1157" w:leftChars="257" w:hanging="540"/>
        <w:rPr>
          <w:rFonts w:hint="eastAsia" w:ascii="仿宋" w:hAnsi="仿宋" w:eastAsia="仿宋" w:cs="仿宋"/>
          <w:b/>
          <w:sz w:val="24"/>
          <w:highlight w:val="none"/>
        </w:rPr>
      </w:pPr>
    </w:p>
    <w:p w14:paraId="51D19976">
      <w:pPr>
        <w:spacing w:line="240" w:lineRule="atLeast"/>
        <w:ind w:left="1157" w:leftChars="257" w:hanging="540"/>
        <w:jc w:val="center"/>
        <w:rPr>
          <w:rFonts w:hint="eastAsia" w:ascii="仿宋" w:hAnsi="仿宋" w:eastAsia="仿宋" w:cs="仿宋"/>
          <w:b/>
          <w:bCs/>
          <w:sz w:val="24"/>
          <w:highlight w:val="none"/>
        </w:rPr>
      </w:pPr>
      <w:r>
        <w:rPr>
          <w:rFonts w:hint="eastAsia" w:ascii="仿宋" w:hAnsi="仿宋" w:eastAsia="仿宋" w:cs="仿宋"/>
          <w:b/>
          <w:bCs/>
          <w:sz w:val="24"/>
          <w:highlight w:val="none"/>
        </w:rPr>
        <w:t>中标服务费承诺书</w:t>
      </w:r>
    </w:p>
    <w:p w14:paraId="71DA6760">
      <w:pPr>
        <w:spacing w:line="440" w:lineRule="exact"/>
        <w:ind w:left="1080" w:hanging="1080"/>
        <w:rPr>
          <w:rFonts w:hint="eastAsia" w:ascii="仿宋" w:hAnsi="仿宋" w:eastAsia="仿宋" w:cs="仿宋"/>
          <w:sz w:val="24"/>
          <w:highlight w:val="none"/>
        </w:rPr>
      </w:pPr>
    </w:p>
    <w:p w14:paraId="7B0F7B95">
      <w:pPr>
        <w:spacing w:line="440" w:lineRule="exact"/>
        <w:ind w:left="1080" w:hanging="1080"/>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致：</w:t>
      </w:r>
      <w:r>
        <w:rPr>
          <w:rFonts w:hint="eastAsia" w:ascii="仿宋" w:hAnsi="仿宋" w:eastAsia="仿宋" w:cs="仿宋"/>
          <w:sz w:val="24"/>
          <w:highlight w:val="none"/>
          <w:lang w:val="en-US" w:eastAsia="zh-CN"/>
        </w:rPr>
        <w:t>新疆世纪星工程咨询有限公司</w:t>
      </w:r>
    </w:p>
    <w:p w14:paraId="484D36FD">
      <w:pPr>
        <w:spacing w:line="440" w:lineRule="exact"/>
        <w:ind w:left="1157" w:leftChars="257" w:hanging="540"/>
        <w:rPr>
          <w:rFonts w:hint="eastAsia" w:ascii="仿宋" w:hAnsi="仿宋" w:eastAsia="仿宋" w:cs="仿宋"/>
          <w:sz w:val="24"/>
          <w:highlight w:val="none"/>
        </w:rPr>
      </w:pPr>
    </w:p>
    <w:p w14:paraId="03435E3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ab/>
      </w:r>
      <w:r>
        <w:rPr>
          <w:rFonts w:hint="eastAsia" w:ascii="仿宋" w:hAnsi="仿宋" w:eastAsia="仿宋" w:cs="仿宋"/>
          <w:sz w:val="24"/>
          <w:highlight w:val="none"/>
        </w:rPr>
        <w:t xml:space="preserve"> 我们在贵公司组织的</w:t>
      </w:r>
      <w:r>
        <w:rPr>
          <w:rFonts w:hint="eastAsia" w:ascii="仿宋" w:hAnsi="仿宋" w:eastAsia="仿宋" w:cs="仿宋"/>
          <w:sz w:val="24"/>
          <w:highlight w:val="none"/>
          <w:u w:val="single"/>
        </w:rPr>
        <w:tab/>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lang w:val="en-US" w:eastAsia="zh-CN"/>
        </w:rPr>
        <w:t>项目名称、项目编号</w:t>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rPr>
        <w:tab/>
      </w:r>
      <w:r>
        <w:rPr>
          <w:rFonts w:hint="eastAsia" w:ascii="仿宋" w:hAnsi="仿宋" w:eastAsia="仿宋" w:cs="仿宋"/>
          <w:sz w:val="24"/>
          <w:highlight w:val="none"/>
        </w:rPr>
        <w:t>项目招标中若获得中标资格，我们保证在领取中标通知书的同时按</w:t>
      </w:r>
      <w:r>
        <w:rPr>
          <w:rFonts w:hint="eastAsia" w:ascii="仿宋" w:hAnsi="仿宋" w:eastAsia="仿宋" w:cs="仿宋"/>
          <w:sz w:val="24"/>
          <w:highlight w:val="none"/>
          <w:lang w:eastAsia="zh-CN"/>
        </w:rPr>
        <w:t>采购文件</w:t>
      </w:r>
      <w:r>
        <w:rPr>
          <w:rFonts w:hint="eastAsia" w:ascii="仿宋" w:hAnsi="仿宋" w:eastAsia="仿宋" w:cs="仿宋"/>
          <w:sz w:val="24"/>
          <w:highlight w:val="none"/>
        </w:rPr>
        <w:t>的规定，按</w:t>
      </w:r>
      <w:r>
        <w:rPr>
          <w:rFonts w:hint="eastAsia" w:ascii="仿宋" w:hAnsi="仿宋" w:eastAsia="仿宋" w:cs="仿宋"/>
          <w:sz w:val="24"/>
          <w:highlight w:val="none"/>
          <w:lang w:eastAsia="zh-CN"/>
        </w:rPr>
        <w:t>采购文件</w:t>
      </w:r>
      <w:r>
        <w:rPr>
          <w:rFonts w:hint="eastAsia" w:ascii="仿宋" w:hAnsi="仿宋" w:eastAsia="仿宋" w:cs="仿宋"/>
          <w:sz w:val="24"/>
          <w:highlight w:val="none"/>
        </w:rPr>
        <w:t>对代理服务费支付方式的约定，承担本项目代理服务费。</w:t>
      </w:r>
    </w:p>
    <w:p w14:paraId="43D69F4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157" w:leftChars="257" w:hanging="540"/>
        <w:rPr>
          <w:rFonts w:hint="eastAsia" w:ascii="仿宋" w:hAnsi="仿宋" w:eastAsia="仿宋" w:cs="仿宋"/>
          <w:sz w:val="24"/>
          <w:highlight w:val="none"/>
        </w:rPr>
      </w:pPr>
      <w:r>
        <w:rPr>
          <w:rFonts w:hint="eastAsia" w:ascii="仿宋" w:hAnsi="仿宋" w:eastAsia="仿宋" w:cs="仿宋"/>
          <w:sz w:val="24"/>
          <w:highlight w:val="none"/>
        </w:rPr>
        <w:t>特此承诺！</w:t>
      </w:r>
    </w:p>
    <w:p w14:paraId="69FCE403">
      <w:pPr>
        <w:spacing w:line="440" w:lineRule="exact"/>
        <w:ind w:left="1157" w:leftChars="257" w:hanging="540"/>
        <w:rPr>
          <w:rFonts w:hint="eastAsia" w:ascii="仿宋" w:hAnsi="仿宋" w:eastAsia="仿宋" w:cs="仿宋"/>
          <w:sz w:val="24"/>
          <w:highlight w:val="none"/>
        </w:rPr>
      </w:pPr>
    </w:p>
    <w:p w14:paraId="58630916">
      <w:pPr>
        <w:spacing w:line="440" w:lineRule="exact"/>
        <w:ind w:left="1157" w:leftChars="257" w:hanging="540"/>
        <w:rPr>
          <w:rFonts w:hint="eastAsia" w:ascii="仿宋" w:hAnsi="仿宋" w:eastAsia="仿宋" w:cs="仿宋"/>
          <w:sz w:val="24"/>
          <w:highlight w:val="none"/>
        </w:rPr>
      </w:pPr>
    </w:p>
    <w:p w14:paraId="436BA01B">
      <w:pPr>
        <w:spacing w:line="440" w:lineRule="exact"/>
        <w:ind w:left="1157" w:leftChars="257" w:hanging="540"/>
        <w:rPr>
          <w:rFonts w:hint="eastAsia" w:ascii="仿宋" w:hAnsi="仿宋" w:eastAsia="仿宋" w:cs="仿宋"/>
          <w:sz w:val="24"/>
          <w:highlight w:val="none"/>
        </w:rPr>
      </w:pPr>
    </w:p>
    <w:p w14:paraId="574B7AFD">
      <w:pPr>
        <w:spacing w:line="440" w:lineRule="exact"/>
        <w:ind w:left="1157" w:leftChars="257" w:hanging="540"/>
        <w:rPr>
          <w:rFonts w:hint="eastAsia" w:ascii="仿宋" w:hAnsi="仿宋" w:eastAsia="仿宋" w:cs="仿宋"/>
          <w:sz w:val="24"/>
          <w:highlight w:val="none"/>
        </w:rPr>
      </w:pPr>
    </w:p>
    <w:p w14:paraId="0921CCAD">
      <w:pPr>
        <w:spacing w:line="440" w:lineRule="exact"/>
        <w:ind w:left="1080" w:hanging="1080"/>
        <w:rPr>
          <w:rFonts w:hint="eastAsia" w:ascii="仿宋" w:hAnsi="仿宋" w:eastAsia="仿宋" w:cs="仿宋"/>
          <w:sz w:val="24"/>
          <w:highlight w:val="none"/>
        </w:rPr>
      </w:pPr>
    </w:p>
    <w:p w14:paraId="3852A371">
      <w:pPr>
        <w:spacing w:line="440" w:lineRule="exact"/>
        <w:ind w:left="1495" w:leftChars="273" w:hanging="840" w:hangingChars="350"/>
        <w:rPr>
          <w:rFonts w:hint="eastAsia" w:ascii="仿宋" w:hAnsi="仿宋" w:eastAsia="仿宋" w:cs="仿宋"/>
          <w:sz w:val="24"/>
          <w:highlight w:val="none"/>
        </w:rPr>
      </w:pPr>
      <w:r>
        <w:rPr>
          <w:rFonts w:hint="eastAsia" w:ascii="仿宋" w:hAnsi="仿宋" w:eastAsia="仿宋" w:cs="仿宋"/>
          <w:sz w:val="24"/>
          <w:highlight w:val="none"/>
        </w:rPr>
        <w:t>承诺方法定名称：</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none"/>
        </w:rPr>
        <w:t>（承诺方盖章）</w:t>
      </w:r>
    </w:p>
    <w:p w14:paraId="0C95BCDD">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1F41CF89">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电话：</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传真：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3EDB604C">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电传：</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邮编：</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742151BC">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承诺方授权代表签字：</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 xml:space="preserve">    </w:t>
      </w:r>
    </w:p>
    <w:p w14:paraId="5434612C">
      <w:pPr>
        <w:spacing w:line="440" w:lineRule="exact"/>
        <w:ind w:left="1697" w:leftChars="257" w:hanging="1080"/>
        <w:rPr>
          <w:rFonts w:hint="eastAsia" w:ascii="仿宋" w:hAnsi="仿宋" w:eastAsia="仿宋" w:cs="仿宋"/>
          <w:sz w:val="24"/>
          <w:highlight w:val="none"/>
          <w:u w:val="single"/>
        </w:rPr>
      </w:pPr>
      <w:r>
        <w:rPr>
          <w:rFonts w:hint="eastAsia" w:ascii="仿宋" w:hAnsi="仿宋" w:eastAsia="仿宋" w:cs="仿宋"/>
          <w:sz w:val="24"/>
          <w:highlight w:val="none"/>
        </w:rPr>
        <w:t>承诺日期：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 xml:space="preserve">                      </w:t>
      </w:r>
      <w:bookmarkEnd w:id="316"/>
      <w:bookmarkEnd w:id="317"/>
    </w:p>
    <w:bookmarkEnd w:id="303"/>
    <w:bookmarkEnd w:id="304"/>
    <w:p w14:paraId="0F5F0768">
      <w:pPr>
        <w:rPr>
          <w:rFonts w:hint="eastAsia" w:ascii="仿宋" w:hAnsi="仿宋" w:eastAsia="仿宋" w:cs="仿宋"/>
          <w:b w:val="0"/>
          <w:bCs w:val="0"/>
          <w:color w:val="000000"/>
          <w:kern w:val="0"/>
          <w:sz w:val="24"/>
          <w:szCs w:val="24"/>
          <w:highlight w:val="none"/>
          <w:lang w:val="en-US" w:eastAsia="zh-CN" w:bidi="ar"/>
        </w:rPr>
      </w:pPr>
    </w:p>
    <w:p w14:paraId="678096D5">
      <w:pPr>
        <w:pStyle w:val="21"/>
        <w:ind w:left="0" w:leftChars="0" w:firstLine="0" w:firstLineChars="0"/>
        <w:rPr>
          <w:rFonts w:hint="eastAsia" w:ascii="仿宋" w:hAnsi="仿宋" w:eastAsia="仿宋" w:cs="仿宋"/>
          <w:highlight w:val="none"/>
          <w:lang w:val="en-US" w:eastAsia="zh-CN"/>
        </w:rPr>
      </w:pPr>
    </w:p>
    <w:p w14:paraId="08ACA8B5">
      <w:pPr>
        <w:rPr>
          <w:rFonts w:hint="eastAsia" w:ascii="仿宋" w:hAnsi="仿宋" w:eastAsia="仿宋" w:cs="仿宋"/>
          <w:highlight w:val="none"/>
          <w:lang w:val="en-US" w:eastAsia="zh-CN"/>
        </w:rPr>
      </w:pPr>
    </w:p>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E6B7465B-A26B-4742-9633-5EDC24CC110F}"/>
  </w:font>
  <w:font w:name="微软雅黑">
    <w:panose1 w:val="020B0503020204020204"/>
    <w:charset w:val="86"/>
    <w:family w:val="auto"/>
    <w:pitch w:val="default"/>
    <w:sig w:usb0="80000287" w:usb1="2ACF3C50" w:usb2="00000016" w:usb3="00000000" w:csb0="0004001F" w:csb1="00000000"/>
    <w:embedRegular r:id="rId2" w:fontKey="{F8ADC34F-087A-4628-B5F5-013F6E28C0BB}"/>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3" w:fontKey="{01996C12-261D-4014-8202-B4331A182E88}"/>
  </w:font>
  <w:font w:name="Microsoft JhengHei UI">
    <w:panose1 w:val="020B0604030504040204"/>
    <w:charset w:val="88"/>
    <w:family w:val="auto"/>
    <w:pitch w:val="default"/>
    <w:sig w:usb0="000002A7" w:usb1="28CF4400" w:usb2="00000016" w:usb3="00000000" w:csb0="00100009" w:csb1="00000000"/>
    <w:embedRegular r:id="rId4" w:fontKey="{0A390A2C-3928-4FDE-8AB7-F6960A97F758}"/>
  </w:font>
  <w:font w:name="方正仿宋_GB2312">
    <w:panose1 w:val="02000000000000000000"/>
    <w:charset w:val="86"/>
    <w:family w:val="auto"/>
    <w:pitch w:val="default"/>
    <w:sig w:usb0="A00002BF" w:usb1="184F6CFA" w:usb2="00000012" w:usb3="00000000" w:csb0="00040001" w:csb1="00000000"/>
    <w:embedRegular r:id="rId5" w:fontKey="{3FDFEEBA-320A-430A-87F4-E769F3E43E7C}"/>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723AE">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9B8CC">
                          <w:pPr>
                            <w:pStyle w:val="1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D9B8CC">
                    <w:pPr>
                      <w:pStyle w:val="1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D2404">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F96FE">
    <w:pPr>
      <w:pStyle w:val="18"/>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a:effectLst/>
                    </wps:spPr>
                    <wps:txbx>
                      <w:txbxContent>
                        <w:p w14:paraId="0C13DD50">
                          <w:pPr>
                            <w:pStyle w:val="18"/>
                            <w:jc w:val="center"/>
                          </w:pPr>
                          <w:r>
                            <w:fldChar w:fldCharType="begin"/>
                          </w:r>
                          <w:r>
                            <w:instrText xml:space="preserve">PAGE   \* MERGEFORMAT</w:instrText>
                          </w:r>
                          <w:r>
                            <w:fldChar w:fldCharType="separate"/>
                          </w:r>
                          <w:r>
                            <w:rPr>
                              <w:lang w:val="zh-CN"/>
                            </w:rPr>
                            <w:t>46</w:t>
                          </w:r>
                          <w:r>
                            <w:rPr>
                              <w:lang w:val="zh-CN"/>
                            </w:rPr>
                            <w:fldChar w:fldCharType="end"/>
                          </w:r>
                        </w:p>
                      </w:txbxContent>
                    </wps:txbx>
                    <wps:bodyPr rot="0"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yJ92v0wAAAAUB&#10;AAAPAAAAAAAAAAEAIAAAACIAAABkcnMvZG93bnJldi54bWxQSwECFAAUAAAACACHTuJAZc5c8ecB&#10;AADSAwAADgAAAAAAAAABACAAAAAiAQAAZHJzL2Uyb0RvYy54bWxQSwUGAAAAAAYABgBZAQAAewUA&#10;AAAA&#10;">
              <v:fill on="f" focussize="0,0"/>
              <v:stroke on="f" weight="1pt"/>
              <v:imagedata o:title=""/>
              <o:lock v:ext="edit" aspectratio="f"/>
              <v:textbox inset="0mm,0mm,0mm,0mm" style="mso-fit-shape-to-text:t;">
                <w:txbxContent>
                  <w:p w14:paraId="0C13DD50">
                    <w:pPr>
                      <w:pStyle w:val="18"/>
                      <w:jc w:val="center"/>
                    </w:pPr>
                    <w:r>
                      <w:fldChar w:fldCharType="begin"/>
                    </w:r>
                    <w:r>
                      <w:instrText xml:space="preserve">PAGE   \* MERGEFORMAT</w:instrText>
                    </w:r>
                    <w:r>
                      <w:fldChar w:fldCharType="separate"/>
                    </w:r>
                    <w:r>
                      <w:rPr>
                        <w:lang w:val="zh-CN"/>
                      </w:rPr>
                      <w:t>46</w:t>
                    </w:r>
                    <w:r>
                      <w:rPr>
                        <w:lang w:val="zh-CN"/>
                      </w:rPr>
                      <w:fldChar w:fldCharType="end"/>
                    </w:r>
                  </w:p>
                </w:txbxContent>
              </v:textbox>
            </v:shape>
          </w:pict>
        </mc:Fallback>
      </mc:AlternateContent>
    </w:r>
  </w:p>
  <w:p w14:paraId="506C768F">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1C0EB">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3BEE4">
                          <w:pPr>
                            <w:pStyle w:val="18"/>
                          </w:pPr>
                          <w:r>
                            <w:t xml:space="preserve">第 </w:t>
                          </w:r>
                          <w:r>
                            <w:fldChar w:fldCharType="begin"/>
                          </w:r>
                          <w:r>
                            <w:instrText xml:space="preserve"> PAGE  \* MERGEFORMAT </w:instrText>
                          </w:r>
                          <w:r>
                            <w:fldChar w:fldCharType="separate"/>
                          </w:r>
                          <w:r>
                            <w:t>- 1 -</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33BEE4">
                    <w:pPr>
                      <w:pStyle w:val="18"/>
                    </w:pPr>
                    <w:r>
                      <w:t xml:space="preserve">第 </w:t>
                    </w:r>
                    <w:r>
                      <w:fldChar w:fldCharType="begin"/>
                    </w:r>
                    <w:r>
                      <w:instrText xml:space="preserve"> PAGE  \* MERGEFORMAT </w:instrText>
                    </w:r>
                    <w:r>
                      <w:fldChar w:fldCharType="separate"/>
                    </w:r>
                    <w:r>
                      <w:t>- 1 -</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29636">
    <w:pPr>
      <w:pStyle w:val="19"/>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1312"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21"/>
        <w:szCs w:val="21"/>
        <w:lang w:val="en-US" w:eastAsia="zh-CN"/>
      </w:rPr>
      <w:t>新疆乌鲁木齐市黄山街德港大厦20层</w:t>
    </w:r>
  </w:p>
  <w:p w14:paraId="52271041">
    <w:pPr>
      <w:pStyle w:val="19"/>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 Century Star Engineering Consulting Co., Ltd.</w:t>
    </w:r>
    <w:r>
      <w:rPr>
        <w:rFonts w:hint="eastAsia" w:ascii="仿宋_GB2312" w:hAnsi="仿宋_GB2312" w:eastAsia="仿宋_GB2312" w:cs="仿宋_GB2312"/>
        <w:sz w:val="13"/>
        <w:szCs w:val="13"/>
        <w:lang w:val="en-US" w:eastAsia="zh-CN"/>
      </w:rPr>
      <w:t xml:space="preserve">          </w:t>
    </w:r>
    <w:r>
      <w:rPr>
        <w:rFonts w:hint="eastAsia" w:ascii="仿宋_GB2312" w:hAnsi="仿宋_GB2312" w:eastAsia="仿宋_GB2312" w:cs="仿宋_GB2312"/>
        <w:sz w:val="16"/>
        <w:szCs w:val="16"/>
        <w:lang w:val="en-US" w:eastAsia="zh-CN"/>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82F1D4"/>
    <w:multiLevelType w:val="singleLevel"/>
    <w:tmpl w:val="BC82F1D4"/>
    <w:lvl w:ilvl="0" w:tentative="0">
      <w:start w:val="1"/>
      <w:numFmt w:val="chineseCounting"/>
      <w:suff w:val="space"/>
      <w:lvlText w:val="第%1章"/>
      <w:lvlJc w:val="left"/>
      <w:rPr>
        <w:rFonts w:hint="eastAsia"/>
      </w:rPr>
    </w:lvl>
  </w:abstractNum>
  <w:abstractNum w:abstractNumId="1">
    <w:nsid w:val="CB60E306"/>
    <w:multiLevelType w:val="singleLevel"/>
    <w:tmpl w:val="CB60E306"/>
    <w:lvl w:ilvl="0" w:tentative="0">
      <w:start w:val="1"/>
      <w:numFmt w:val="decimal"/>
      <w:suff w:val="nothing"/>
      <w:lvlText w:val="（%1）"/>
      <w:lvlJc w:val="left"/>
    </w:lvl>
  </w:abstractNum>
  <w:abstractNum w:abstractNumId="2">
    <w:nsid w:val="F442234C"/>
    <w:multiLevelType w:val="singleLevel"/>
    <w:tmpl w:val="F442234C"/>
    <w:lvl w:ilvl="0" w:tentative="0">
      <w:start w:val="1"/>
      <w:numFmt w:val="chineseCounting"/>
      <w:suff w:val="nothing"/>
      <w:lvlText w:val="%1、"/>
      <w:lvlJc w:val="left"/>
      <w:rPr>
        <w:rFonts w:hint="eastAsia"/>
      </w:rPr>
    </w:lvl>
  </w:abstractNum>
  <w:abstractNum w:abstractNumId="3">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54B0E084"/>
    <w:multiLevelType w:val="singleLevel"/>
    <w:tmpl w:val="54B0E084"/>
    <w:lvl w:ilvl="0" w:tentative="0">
      <w:start w:val="2"/>
      <w:numFmt w:val="chineseCounting"/>
      <w:suff w:val="space"/>
      <w:lvlText w:val="第%1章"/>
      <w:lvlJc w:val="left"/>
      <w:rPr>
        <w:rFonts w:hint="eastAsia"/>
      </w:rPr>
    </w:lvl>
  </w:abstractNum>
  <w:abstractNum w:abstractNumId="7">
    <w:nsid w:val="63862E25"/>
    <w:multiLevelType w:val="singleLevel"/>
    <w:tmpl w:val="63862E25"/>
    <w:lvl w:ilvl="0" w:tentative="0">
      <w:start w:val="1"/>
      <w:numFmt w:val="decimal"/>
      <w:suff w:val="space"/>
      <w:lvlText w:val="（%1）"/>
      <w:lvlJc w:val="left"/>
    </w:lvl>
  </w:abstractNum>
  <w:abstractNum w:abstractNumId="8">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9">
    <w:nsid w:val="73E6972B"/>
    <w:multiLevelType w:val="singleLevel"/>
    <w:tmpl w:val="73E6972B"/>
    <w:lvl w:ilvl="0" w:tentative="0">
      <w:start w:val="1"/>
      <w:numFmt w:val="chineseCounting"/>
      <w:suff w:val="space"/>
      <w:lvlText w:val="%1、"/>
      <w:lvlJc w:val="left"/>
      <w:rPr>
        <w:rFonts w:hint="eastAsia"/>
      </w:rPr>
    </w:lvl>
  </w:abstractNum>
  <w:abstractNum w:abstractNumId="10">
    <w:nsid w:val="7633D9B6"/>
    <w:multiLevelType w:val="singleLevel"/>
    <w:tmpl w:val="7633D9B6"/>
    <w:lvl w:ilvl="0" w:tentative="0">
      <w:start w:val="3"/>
      <w:numFmt w:val="chineseCounting"/>
      <w:suff w:val="space"/>
      <w:lvlText w:val="第%1章"/>
      <w:lvlJc w:val="left"/>
      <w:rPr>
        <w:rFonts w:hint="eastAsia"/>
      </w:rPr>
    </w:lvl>
  </w:abstractNum>
  <w:abstractNum w:abstractNumId="11">
    <w:nsid w:val="78F60E4F"/>
    <w:multiLevelType w:val="singleLevel"/>
    <w:tmpl w:val="78F60E4F"/>
    <w:lvl w:ilvl="0" w:tentative="0">
      <w:start w:val="1"/>
      <w:numFmt w:val="chineseCounting"/>
      <w:suff w:val="nothing"/>
      <w:lvlText w:val="%1、"/>
      <w:lvlJc w:val="left"/>
      <w:rPr>
        <w:rFonts w:hint="eastAsia"/>
      </w:rPr>
    </w:lvl>
  </w:abstractNum>
  <w:num w:numId="1">
    <w:abstractNumId w:val="0"/>
  </w:num>
  <w:num w:numId="2">
    <w:abstractNumId w:val="9"/>
  </w:num>
  <w:num w:numId="3">
    <w:abstractNumId w:val="6"/>
  </w:num>
  <w:num w:numId="4">
    <w:abstractNumId w:val="10"/>
  </w:num>
  <w:num w:numId="5">
    <w:abstractNumId w:val="11"/>
  </w:num>
  <w:num w:numId="6">
    <w:abstractNumId w:val="8"/>
  </w:num>
  <w:num w:numId="7">
    <w:abstractNumId w:val="5"/>
  </w:num>
  <w:num w:numId="8">
    <w:abstractNumId w:val="1"/>
  </w:num>
  <w:num w:numId="9">
    <w:abstractNumId w:val="7"/>
  </w:num>
  <w:num w:numId="10">
    <w:abstractNumId w:val="3"/>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zNTlhMDFiZjVkM2Y0NGMxN2NlOGJjYmI4OTYyMWMifQ=="/>
  </w:docVars>
  <w:rsids>
    <w:rsidRoot w:val="1AA24D9F"/>
    <w:rsid w:val="002542B1"/>
    <w:rsid w:val="004C21E5"/>
    <w:rsid w:val="02353A89"/>
    <w:rsid w:val="023769C8"/>
    <w:rsid w:val="030A23FA"/>
    <w:rsid w:val="034F484F"/>
    <w:rsid w:val="03711A83"/>
    <w:rsid w:val="04071455"/>
    <w:rsid w:val="04100C9A"/>
    <w:rsid w:val="041932E9"/>
    <w:rsid w:val="05545C1C"/>
    <w:rsid w:val="061B1E9A"/>
    <w:rsid w:val="06C4362D"/>
    <w:rsid w:val="07011CC2"/>
    <w:rsid w:val="071751E8"/>
    <w:rsid w:val="07644792"/>
    <w:rsid w:val="07BE71A8"/>
    <w:rsid w:val="0822060B"/>
    <w:rsid w:val="08E17110"/>
    <w:rsid w:val="09284798"/>
    <w:rsid w:val="09353BD7"/>
    <w:rsid w:val="09857EFE"/>
    <w:rsid w:val="099153F6"/>
    <w:rsid w:val="09BC4A90"/>
    <w:rsid w:val="0AD0118D"/>
    <w:rsid w:val="0C5D0751"/>
    <w:rsid w:val="0C6E02C3"/>
    <w:rsid w:val="0D6A1561"/>
    <w:rsid w:val="0D8A6C86"/>
    <w:rsid w:val="0D9037A8"/>
    <w:rsid w:val="0D9F625A"/>
    <w:rsid w:val="0E0407B3"/>
    <w:rsid w:val="0F2B6FD9"/>
    <w:rsid w:val="0F6459AD"/>
    <w:rsid w:val="10240C99"/>
    <w:rsid w:val="11286567"/>
    <w:rsid w:val="116A0877"/>
    <w:rsid w:val="12816272"/>
    <w:rsid w:val="1294398E"/>
    <w:rsid w:val="1324792E"/>
    <w:rsid w:val="1393060F"/>
    <w:rsid w:val="15113EE2"/>
    <w:rsid w:val="1585667E"/>
    <w:rsid w:val="16175528"/>
    <w:rsid w:val="170B3BD8"/>
    <w:rsid w:val="17363E85"/>
    <w:rsid w:val="181A30AD"/>
    <w:rsid w:val="183C240D"/>
    <w:rsid w:val="18EE62E8"/>
    <w:rsid w:val="1A7D3DC7"/>
    <w:rsid w:val="1A824F3A"/>
    <w:rsid w:val="1A8607B2"/>
    <w:rsid w:val="1AA24D9F"/>
    <w:rsid w:val="1AA9696A"/>
    <w:rsid w:val="1B723BA2"/>
    <w:rsid w:val="1B8D0258"/>
    <w:rsid w:val="1C6923AC"/>
    <w:rsid w:val="1DCB5CE7"/>
    <w:rsid w:val="1FB05EDF"/>
    <w:rsid w:val="1FEC5F97"/>
    <w:rsid w:val="21754D72"/>
    <w:rsid w:val="22491B20"/>
    <w:rsid w:val="22FD7853"/>
    <w:rsid w:val="23CF5A1D"/>
    <w:rsid w:val="244200FD"/>
    <w:rsid w:val="2451225E"/>
    <w:rsid w:val="24B77ED6"/>
    <w:rsid w:val="28DA2E89"/>
    <w:rsid w:val="2A4254F9"/>
    <w:rsid w:val="2A7D0224"/>
    <w:rsid w:val="2B065713"/>
    <w:rsid w:val="2C0C0B07"/>
    <w:rsid w:val="2C87105C"/>
    <w:rsid w:val="2D1F32F4"/>
    <w:rsid w:val="2E220607"/>
    <w:rsid w:val="2F055054"/>
    <w:rsid w:val="2FBB1B81"/>
    <w:rsid w:val="323B4D81"/>
    <w:rsid w:val="32742892"/>
    <w:rsid w:val="32DA370D"/>
    <w:rsid w:val="32E4458C"/>
    <w:rsid w:val="34B70380"/>
    <w:rsid w:val="35E13004"/>
    <w:rsid w:val="365C69BF"/>
    <w:rsid w:val="366D4898"/>
    <w:rsid w:val="36AD2FF0"/>
    <w:rsid w:val="36C31C10"/>
    <w:rsid w:val="370C7C37"/>
    <w:rsid w:val="37804343"/>
    <w:rsid w:val="3783605E"/>
    <w:rsid w:val="39F75D2A"/>
    <w:rsid w:val="3AE174A3"/>
    <w:rsid w:val="3B133C60"/>
    <w:rsid w:val="3B810614"/>
    <w:rsid w:val="3C6109FB"/>
    <w:rsid w:val="3CA61E79"/>
    <w:rsid w:val="3D1B32A0"/>
    <w:rsid w:val="3EAB01F4"/>
    <w:rsid w:val="3F172BE7"/>
    <w:rsid w:val="3F3314F0"/>
    <w:rsid w:val="3F6455D5"/>
    <w:rsid w:val="40BE2AD0"/>
    <w:rsid w:val="421F113C"/>
    <w:rsid w:val="42AC04F6"/>
    <w:rsid w:val="42B71375"/>
    <w:rsid w:val="43446334"/>
    <w:rsid w:val="445A5800"/>
    <w:rsid w:val="448C5F4F"/>
    <w:rsid w:val="44A84E71"/>
    <w:rsid w:val="477172B3"/>
    <w:rsid w:val="477DCE1E"/>
    <w:rsid w:val="47A2531C"/>
    <w:rsid w:val="48D6451F"/>
    <w:rsid w:val="4B2E7391"/>
    <w:rsid w:val="4C2061DD"/>
    <w:rsid w:val="4C577725"/>
    <w:rsid w:val="4E9C3B15"/>
    <w:rsid w:val="4EC72940"/>
    <w:rsid w:val="4F1418FD"/>
    <w:rsid w:val="4FEE65F2"/>
    <w:rsid w:val="50D737EC"/>
    <w:rsid w:val="51416E8D"/>
    <w:rsid w:val="51A52CE0"/>
    <w:rsid w:val="5253098E"/>
    <w:rsid w:val="525C3CE7"/>
    <w:rsid w:val="535C4392"/>
    <w:rsid w:val="536A4041"/>
    <w:rsid w:val="54581294"/>
    <w:rsid w:val="56557314"/>
    <w:rsid w:val="56C91884"/>
    <w:rsid w:val="56E60023"/>
    <w:rsid w:val="57037009"/>
    <w:rsid w:val="570D1A54"/>
    <w:rsid w:val="573E1E21"/>
    <w:rsid w:val="589B63E9"/>
    <w:rsid w:val="58C61EBA"/>
    <w:rsid w:val="592A2449"/>
    <w:rsid w:val="593D0B75"/>
    <w:rsid w:val="5A571512"/>
    <w:rsid w:val="5B4251D6"/>
    <w:rsid w:val="5B44356A"/>
    <w:rsid w:val="5B487E91"/>
    <w:rsid w:val="5C553C81"/>
    <w:rsid w:val="5C9E0AC3"/>
    <w:rsid w:val="5CF9550F"/>
    <w:rsid w:val="5D6B74D4"/>
    <w:rsid w:val="5DF13A02"/>
    <w:rsid w:val="5E4C10B3"/>
    <w:rsid w:val="5E781EA8"/>
    <w:rsid w:val="5E955F07"/>
    <w:rsid w:val="5EA84152"/>
    <w:rsid w:val="5EFEBDE8"/>
    <w:rsid w:val="60755DA6"/>
    <w:rsid w:val="6085265B"/>
    <w:rsid w:val="60FD0443"/>
    <w:rsid w:val="6155202D"/>
    <w:rsid w:val="619B0311"/>
    <w:rsid w:val="625B691D"/>
    <w:rsid w:val="626D784A"/>
    <w:rsid w:val="642B176B"/>
    <w:rsid w:val="64BF74AD"/>
    <w:rsid w:val="64FD3107"/>
    <w:rsid w:val="65672428"/>
    <w:rsid w:val="67E61C31"/>
    <w:rsid w:val="68CA2609"/>
    <w:rsid w:val="68CC1AED"/>
    <w:rsid w:val="692A0243"/>
    <w:rsid w:val="69BB0F42"/>
    <w:rsid w:val="6A637494"/>
    <w:rsid w:val="6AD23432"/>
    <w:rsid w:val="6B1308BC"/>
    <w:rsid w:val="6BB81877"/>
    <w:rsid w:val="6BCF62E6"/>
    <w:rsid w:val="6C8639E2"/>
    <w:rsid w:val="6CD3A16D"/>
    <w:rsid w:val="6D535020"/>
    <w:rsid w:val="6E5F49A6"/>
    <w:rsid w:val="6F23376B"/>
    <w:rsid w:val="6FBE656C"/>
    <w:rsid w:val="6FE0165C"/>
    <w:rsid w:val="6FF637CB"/>
    <w:rsid w:val="6FFF37D2"/>
    <w:rsid w:val="70127B77"/>
    <w:rsid w:val="70DA1D6D"/>
    <w:rsid w:val="70DE2EF1"/>
    <w:rsid w:val="71520337"/>
    <w:rsid w:val="71AA1F21"/>
    <w:rsid w:val="71D7294D"/>
    <w:rsid w:val="7221658E"/>
    <w:rsid w:val="72DC0379"/>
    <w:rsid w:val="73BF43B6"/>
    <w:rsid w:val="75203B28"/>
    <w:rsid w:val="7523330F"/>
    <w:rsid w:val="76057F95"/>
    <w:rsid w:val="76181E56"/>
    <w:rsid w:val="76437269"/>
    <w:rsid w:val="767B4F55"/>
    <w:rsid w:val="769413F2"/>
    <w:rsid w:val="77D850E7"/>
    <w:rsid w:val="780D6D66"/>
    <w:rsid w:val="782064CA"/>
    <w:rsid w:val="78FE5A60"/>
    <w:rsid w:val="79D815F5"/>
    <w:rsid w:val="7A6D3E2A"/>
    <w:rsid w:val="7B436597"/>
    <w:rsid w:val="7BB75966"/>
    <w:rsid w:val="7C5F4108"/>
    <w:rsid w:val="7CBA6CCD"/>
    <w:rsid w:val="7CCF6CE0"/>
    <w:rsid w:val="7D332F7E"/>
    <w:rsid w:val="7DF86D11"/>
    <w:rsid w:val="7E213C73"/>
    <w:rsid w:val="7E67712E"/>
    <w:rsid w:val="7E687DD8"/>
    <w:rsid w:val="7F79C282"/>
    <w:rsid w:val="7F7B6CAE"/>
    <w:rsid w:val="7FB126CD"/>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Arial" w:hAnsi="Arial" w:eastAsia="仿宋_GB2312" w:cs="Times New Roman"/>
      <w:kern w:val="2"/>
      <w:sz w:val="24"/>
      <w:szCs w:val="24"/>
      <w:lang w:val="en-US" w:eastAsia="zh-CN" w:bidi="ar-SA"/>
    </w:rPr>
  </w:style>
  <w:style w:type="paragraph" w:styleId="2">
    <w:name w:val="heading 1"/>
    <w:basedOn w:val="1"/>
    <w:next w:val="1"/>
    <w:autoRedefine/>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autoRedefine/>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autoRedefine/>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autoRedefine/>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autoRedefine/>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autoRedefine/>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autoRedefine/>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autoRedefine/>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autoRedefine/>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8">
    <w:name w:val="Default Paragraph Font"/>
    <w:autoRedefine/>
    <w:qFormat/>
    <w:uiPriority w:val="0"/>
    <w:rPr>
      <w:rFonts w:eastAsia="微软雅黑" w:asciiTheme="minorAscii" w:hAnsiTheme="minorAscii"/>
    </w:rPr>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11">
    <w:name w:val="Normal Indent"/>
    <w:next w:val="12"/>
    <w:autoRedefine/>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2">
    <w:name w:val="toa heading"/>
    <w:next w:val="1"/>
    <w:autoRedefine/>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3">
    <w:name w:val="Body Text"/>
    <w:basedOn w:val="1"/>
    <w:autoRedefine/>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4">
    <w:name w:val="Body Text Indent"/>
    <w:next w:val="15"/>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5">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6">
    <w:name w:val="Plain Text"/>
    <w:basedOn w:val="1"/>
    <w:unhideWhenUsed/>
    <w:qFormat/>
    <w:uiPriority w:val="0"/>
    <w:rPr>
      <w:rFonts w:hAnsi="Courier New"/>
    </w:rPr>
  </w:style>
  <w:style w:type="paragraph" w:styleId="17">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8">
    <w:name w:val="footer"/>
    <w:basedOn w:val="1"/>
    <w:autoRedefine/>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1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0">
    <w:name w:val="toc 1"/>
    <w:basedOn w:val="1"/>
    <w:next w:val="1"/>
    <w:autoRedefine/>
    <w:qFormat/>
    <w:uiPriority w:val="0"/>
  </w:style>
  <w:style w:type="paragraph" w:styleId="21">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2">
    <w:name w:val="toc 2"/>
    <w:basedOn w:val="1"/>
    <w:next w:val="1"/>
    <w:autoRedefine/>
    <w:qFormat/>
    <w:uiPriority w:val="0"/>
    <w:pPr>
      <w:ind w:left="420" w:leftChars="200"/>
    </w:pPr>
  </w:style>
  <w:style w:type="paragraph" w:styleId="23">
    <w:name w:val="Normal (Web)"/>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4">
    <w:name w:val="Body Text First Indent"/>
    <w:next w:val="21"/>
    <w:autoRedefine/>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5">
    <w:name w:val="Body Text First Indent 2"/>
    <w:next w:val="24"/>
    <w:autoRedefine/>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table" w:styleId="27">
    <w:name w:val="Table Grid"/>
    <w:basedOn w:val="26"/>
    <w:autoRedefine/>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uiPriority w:val="0"/>
    <w:rPr>
      <w:b/>
    </w:rPr>
  </w:style>
  <w:style w:type="character" w:styleId="30">
    <w:name w:val="Emphasis"/>
    <w:qFormat/>
    <w:uiPriority w:val="0"/>
    <w:rPr>
      <w:i/>
    </w:rPr>
  </w:style>
  <w:style w:type="paragraph" w:customStyle="1" w:styleId="31">
    <w:name w:val="WPSOffice手动目录 1"/>
    <w:autoRedefine/>
    <w:qFormat/>
    <w:uiPriority w:val="0"/>
    <w:pPr>
      <w:ind w:leftChars="0"/>
    </w:pPr>
    <w:rPr>
      <w:rFonts w:ascii="Times New Roman" w:hAnsi="Times New Roman" w:eastAsia="宋体" w:cs="Times New Roman"/>
      <w:sz w:val="20"/>
      <w:szCs w:val="20"/>
    </w:rPr>
  </w:style>
  <w:style w:type="paragraph" w:customStyle="1" w:styleId="32">
    <w:name w:val="WPSOffice手动目录 2"/>
    <w:autoRedefine/>
    <w:qFormat/>
    <w:uiPriority w:val="0"/>
    <w:pPr>
      <w:ind w:leftChars="200"/>
    </w:pPr>
    <w:rPr>
      <w:rFonts w:ascii="Times New Roman" w:hAnsi="Times New Roman" w:eastAsia="宋体" w:cs="Times New Roman"/>
      <w:sz w:val="20"/>
      <w:szCs w:val="20"/>
    </w:rPr>
  </w:style>
  <w:style w:type="paragraph" w:customStyle="1" w:styleId="33">
    <w:name w:val="null3"/>
    <w:hidden/>
    <w:qFormat/>
    <w:uiPriority w:val="0"/>
    <w:rPr>
      <w:rFonts w:hint="eastAsia" w:asciiTheme="minorHAnsi" w:hAnsiTheme="minorHAnsi" w:eastAsiaTheme="minorEastAsia" w:cstheme="minorBidi"/>
      <w:lang w:val="en-US" w:eastAsia="zh-Hans"/>
    </w:rPr>
  </w:style>
  <w:style w:type="paragraph" w:customStyle="1" w:styleId="34">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35">
    <w:name w:val="No Spacing"/>
    <w:autoRedefine/>
    <w:qFormat/>
    <w:uiPriority w:val="1"/>
    <w:pPr>
      <w:widowControl w:val="0"/>
    </w:pPr>
    <w:rPr>
      <w:rFonts w:ascii="宋体" w:hAnsi="宋体" w:eastAsia="宋体" w:cstheme="minorBidi"/>
      <w:kern w:val="2"/>
      <w:sz w:val="24"/>
      <w:szCs w:val="22"/>
      <w:lang w:val="en-US" w:eastAsia="zh-CN" w:bidi="ar-SA"/>
    </w:rPr>
  </w:style>
  <w:style w:type="paragraph" w:customStyle="1" w:styleId="36">
    <w:name w:val="正文2b"/>
    <w:basedOn w:val="1"/>
    <w:next w:val="1"/>
    <w:autoRedefine/>
    <w:qFormat/>
    <w:uiPriority w:val="0"/>
    <w:pPr>
      <w:spacing w:line="360" w:lineRule="auto"/>
      <w:ind w:firstLine="200" w:firstLineChars="200"/>
    </w:pPr>
    <w:rPr>
      <w:rFonts w:ascii="仿宋_GB2312" w:eastAsia="仿宋_GB2312"/>
      <w:sz w:val="24"/>
    </w:rPr>
  </w:style>
  <w:style w:type="character" w:customStyle="1" w:styleId="37">
    <w:name w:val="font31"/>
    <w:autoRedefine/>
    <w:qFormat/>
    <w:uiPriority w:val="0"/>
    <w:rPr>
      <w:rFonts w:hint="eastAsia" w:ascii="宋体" w:hAnsi="宋体" w:eastAsia="宋体" w:cs="宋体"/>
      <w:color w:val="000000"/>
      <w:sz w:val="21"/>
      <w:szCs w:val="21"/>
      <w:u w:val="none"/>
    </w:rPr>
  </w:style>
  <w:style w:type="paragraph" w:customStyle="1" w:styleId="38">
    <w:name w:val="正文2a"/>
    <w:basedOn w:val="36"/>
    <w:next w:val="36"/>
    <w:qFormat/>
    <w:uiPriority w:val="0"/>
    <w:pPr>
      <w:ind w:firstLine="482"/>
    </w:pPr>
    <w:rPr>
      <w:rFonts w:cs="宋体"/>
      <w:b/>
      <w:bCs/>
    </w:rPr>
  </w:style>
  <w:style w:type="paragraph" w:customStyle="1" w:styleId="39">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rPr>
  </w:style>
  <w:style w:type="paragraph" w:customStyle="1" w:styleId="40">
    <w:name w:val="Normal_5"/>
    <w:qFormat/>
    <w:uiPriority w:val="0"/>
    <w:rPr>
      <w:rFonts w:ascii="Times New Roman" w:hAnsi="Times New Roman" w:eastAsia="Times New Roman" w:cs="Times New Roman"/>
      <w:sz w:val="24"/>
      <w:szCs w:val="24"/>
    </w:rPr>
  </w:style>
  <w:style w:type="paragraph" w:customStyle="1" w:styleId="41">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42">
    <w:name w:val="Char1"/>
    <w:basedOn w:val="1"/>
    <w:qFormat/>
    <w:uiPriority w:val="0"/>
    <w:pPr>
      <w:tabs>
        <w:tab w:val="left" w:pos="360"/>
      </w:tabs>
    </w:pPr>
    <w:rPr>
      <w:sz w:val="24"/>
    </w:rPr>
  </w:style>
  <w:style w:type="paragraph" w:customStyle="1" w:styleId="43">
    <w:name w:val="正文缩进1"/>
    <w:basedOn w:val="1"/>
    <w:qFormat/>
    <w:uiPriority w:val="0"/>
    <w:pPr>
      <w:autoSpaceDE w:val="0"/>
      <w:autoSpaceDN w:val="0"/>
      <w:adjustRightInd w:val="0"/>
      <w:ind w:firstLine="420"/>
      <w:jc w:val="left"/>
    </w:pPr>
    <w:rPr>
      <w:rFonts w:ascii="宋体"/>
      <w:kern w:val="0"/>
      <w:sz w:val="24"/>
      <w:szCs w:val="20"/>
    </w:rPr>
  </w:style>
  <w:style w:type="paragraph" w:customStyle="1" w:styleId="44">
    <w:name w:val="索引 11"/>
    <w:basedOn w:val="1"/>
    <w:qFormat/>
    <w:uiPriority w:val="0"/>
    <w:pPr>
      <w:spacing w:line="360" w:lineRule="auto"/>
    </w:pPr>
    <w:rPr>
      <w:rFonts w:ascii="仿宋_GB2312" w:eastAsia="仿宋_GB2312"/>
      <w:sz w:val="24"/>
      <w:szCs w:val="20"/>
    </w:rPr>
  </w:style>
  <w:style w:type="paragraph" w:customStyle="1" w:styleId="45">
    <w:name w:val="纯文本1"/>
    <w:basedOn w:val="1"/>
    <w:qFormat/>
    <w:uiPriority w:val="0"/>
    <w:rPr>
      <w:rFonts w:ascii="宋体" w:hAnsi="Courier New"/>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75</Pages>
  <Words>1538</Words>
  <Characters>1900</Characters>
  <Lines>0</Lines>
  <Paragraphs>0</Paragraphs>
  <TotalTime>31</TotalTime>
  <ScaleCrop>false</ScaleCrop>
  <LinksUpToDate>false</LinksUpToDate>
  <CharactersWithSpaces>2037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lihang</dc:creator>
  <cp:lastModifiedBy>Adminer</cp:lastModifiedBy>
  <dcterms:modified xsi:type="dcterms:W3CDTF">2026-04-22T03:59:05Z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C2D4D3E5F3164C90B4643843E58869AB_13</vt:lpwstr>
  </property>
  <property fmtid="{D5CDD505-2E9C-101B-9397-08002B2CF9AE}" pid="6" name="KSOTemplateDocerSaveRecord">
    <vt:lpwstr>eyJoZGlkIjoiN2E5M2YxN2ZhYjM1MWZkZjZiYTE5YWI5NDQ0ZTE2NjMiLCJ1c2VySWQiOiIyNzE4NjU2NDUifQ==</vt:lpwstr>
  </property>
</Properties>
</file>