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版本号：N510001202600056420260422001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双电源改造项目（狱政配套）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N5100012026000564</w:t>
      </w:r>
    </w:p>
    <w:p>
      <w:pPr>
        <w:pStyle w:val="null3"/>
        <w:jc w:val="left"/>
        <w:outlineLvl w:val="2"/>
      </w:pPr>
      <w:r>
        <w:rPr>
          <w:rFonts w:ascii="仿宋_GB2312" w:hAnsi="仿宋_GB2312" w:cs="仿宋_GB2312" w:eastAsia="仿宋_GB2312"/>
          <w:sz w:val="28"/>
          <w:b/>
        </w:rPr>
        <w:t>四川省川西监狱</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四川省川西监狱</w:t>
      </w:r>
      <w:r>
        <w:rPr>
          <w:rFonts w:ascii="仿宋_GB2312" w:hAnsi="仿宋_GB2312" w:cs="仿宋_GB2312" w:eastAsia="仿宋_GB2312"/>
        </w:rPr>
        <w:t xml:space="preserve"> 委托，拟对 </w:t>
      </w:r>
      <w:r>
        <w:rPr>
          <w:rFonts w:ascii="仿宋_GB2312" w:hAnsi="仿宋_GB2312" w:cs="仿宋_GB2312" w:eastAsia="仿宋_GB2312"/>
        </w:rPr>
        <w:t>双电源改造项目（狱政配套）</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N5100012026000564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双电源改造项目（狱政配套）</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建设内容及规模：本工程为四川省川西监狱10kV电源改造工程，该工程地理位置为四川省成都市龙泉驿区大众路卫星村大包村七组。现该工程地面一层设有一处10KV配电所，供电容量为2630kVA。改造后，新增备供电源点由10kV松油线53#杆起，至10KV高压配电室改造后备供电源进线柜AH07，主供电源不变；架设双电源后，提供24小时不间断供电需求。 资金来源为：财政资金。 项目地点：四川省成都市龙泉驿区洪安镇红光村4组25号四川省川西监狱。</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电力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注册地不在四川省行政区域内需提供的相关证明材料（描述：“供应商注册地不在四川省行政区域内的，应当在响应文件中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w:t>
      </w:r>
    </w:p>
    <w:p>
      <w:pPr>
        <w:pStyle w:val="null3"/>
        <w:jc w:val="left"/>
      </w:pPr>
      <w:r>
        <w:rPr>
          <w:rFonts w:ascii="仿宋_GB2312" w:hAnsi="仿宋_GB2312" w:cs="仿宋_GB2312" w:eastAsia="仿宋_GB2312"/>
        </w:rPr>
        <w:t>3、供应商资质（描述：供应商须具有有效期内的承装（修、试）电力设施许可证三级及以上资质证书）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四川省川西监狱</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罗端平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19940551655</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文件编制：028-86139138；开、评标：028-61323020（15）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采购包1：1,315,000.00元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合同款中扣除,保函/保险</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四川省川西监狱</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四川省川西监狱</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工程具备竣工验收条件，供应商按工程竣工验收有关规定，向采购人提供一式3份 完整的纸质版竣工资料(包含但不限于：合同、中标通知书、工程竣工结算书、竣工图纸、图纸会审纪要、例会纪要、分部分项验收、开竣工报告等)，采购人收到竣工验收申请报告并审核竣工文件资料后组织竣工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1、经验收评定，工程质量及工程内容符合合同要求的，采购人、供应商、监理人及设计人均应在工程竣工验收报告上签字盖章；工程质量不合格或工程内容有尚未完成者，由供应商在商定的期限内进行整改后，再进行竣工验收，直至达到完全符合合同要求为止，并按最后验收合格的日期作为竣工日期。 2、 采购人按照采购文件的要求、成交供应商的响应文件和承诺、合同相关约定以及国家和行业有关标准进行验收，其他未尽事宜按照《财政部关于进一步加强政府采购需求和履约验收管理的指导意见》 (财库〔2016〕205号)的要求进行验收。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按照本项目采购文件在“技术要求”及供应商投标文件中的约定执行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按照本项目采购文件在“商务要求”及供应商投标文件中的约定执行。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四川省川西监狱</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联系人：罗端平</w:t>
      </w:r>
    </w:p>
    <w:p>
      <w:pPr>
        <w:pStyle w:val="null3"/>
        <w:jc w:val="left"/>
      </w:pPr>
      <w:r>
        <w:rPr>
          <w:rFonts w:ascii="仿宋_GB2312" w:hAnsi="仿宋_GB2312" w:cs="仿宋_GB2312" w:eastAsia="仿宋_GB2312"/>
        </w:rPr>
        <w:t>联系电话：19940551655</w:t>
      </w:r>
    </w:p>
    <w:p>
      <w:pPr>
        <w:pStyle w:val="null3"/>
        <w:jc w:val="left"/>
      </w:pPr>
      <w:r>
        <w:rPr>
          <w:rFonts w:ascii="仿宋_GB2312" w:hAnsi="仿宋_GB2312" w:cs="仿宋_GB2312" w:eastAsia="仿宋_GB2312"/>
        </w:rPr>
        <w:t>地址：四川省成都市龙泉驿区</w:t>
      </w:r>
    </w:p>
    <w:p>
      <w:pPr>
        <w:pStyle w:val="null3"/>
        <w:jc w:val="left"/>
      </w:pPr>
      <w:r>
        <w:rPr>
          <w:rFonts w:ascii="仿宋_GB2312" w:hAnsi="仿宋_GB2312" w:cs="仿宋_GB2312" w:eastAsia="仿宋_GB2312"/>
        </w:rPr>
        <w:t>邮编：610109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1,315,000.00</w:t>
      </w:r>
    </w:p>
    <w:p>
      <w:pPr>
        <w:pStyle w:val="null3"/>
        <w:jc w:val="left"/>
      </w:pPr>
      <w:r>
        <w:rPr>
          <w:rFonts w:ascii="仿宋_GB2312" w:hAnsi="仿宋_GB2312" w:cs="仿宋_GB2312" w:eastAsia="仿宋_GB2312"/>
        </w:rPr>
        <w:t>采购包最高限价（元）: 1,315,000.00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B06039900 其他电力系统安装</w:t>
            </w:r>
          </w:p>
        </w:tc>
        <w:tc>
          <w:tcPr>
            <w:tcW w:type="dxa" w:w="821"/>
          </w:tcPr>
          <w:p>
            <w:pPr>
              <w:pStyle w:val="null3"/>
              <w:jc w:val="left"/>
            </w:pPr>
            <w:r>
              <w:rPr>
                <w:rFonts w:ascii="仿宋_GB2312" w:hAnsi="仿宋_GB2312" w:cs="仿宋_GB2312" w:eastAsia="仿宋_GB2312"/>
              </w:rPr>
              <w:t>双电源改造项目（狱政配套）</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1,315,000.00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双电源改造项目（狱政配套）</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B06039900 其他电力系统安装</w:t>
            </w:r>
          </w:p>
        </w:tc>
        <w:tc>
          <w:tcPr>
            <w:tcW w:type="dxa" w:w="2492"/>
          </w:tcPr>
          <w:p>
            <w:pPr>
              <w:pStyle w:val="null3"/>
              <w:jc w:val="left"/>
            </w:pPr>
            <w:r>
              <w:rPr>
                <w:rFonts w:ascii="仿宋_GB2312" w:hAnsi="仿宋_GB2312" w:cs="仿宋_GB2312" w:eastAsia="仿宋_GB2312"/>
              </w:rPr>
              <w:t>双电源改造项目（狱政配套）</w:t>
            </w:r>
          </w:p>
        </w:tc>
        <w:tc>
          <w:tcPr>
            <w:tcW w:type="dxa" w:w="2492"/>
          </w:tcPr>
          <w:p>
            <w:pPr>
              <w:pStyle w:val="null3"/>
              <w:jc w:val="left"/>
            </w:pPr>
            <w:r>
              <w:rPr>
                <w:rFonts w:ascii="仿宋_GB2312" w:hAnsi="仿宋_GB2312" w:cs="仿宋_GB2312" w:eastAsia="仿宋_GB2312"/>
              </w:rPr>
              <w:t>混凝土</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标的名称：双电源改造项目（狱政配套）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numPr>
                <w:ilvl w:val="0"/>
                <w:numId w:val="1"/>
              </w:numPr>
              <w:jc w:val="both"/>
            </w:pPr>
            <w:r>
              <w:rPr>
                <w:rFonts w:ascii="仿宋_GB2312" w:hAnsi="仿宋_GB2312" w:cs="仿宋_GB2312" w:eastAsia="仿宋_GB2312"/>
                <w:sz w:val="24"/>
                <w:color w:val="000000"/>
              </w:rPr>
              <w:t>详见附件：工程量清单</w:t>
            </w:r>
          </w:p>
          <w:p>
            <w:pPr>
              <w:pStyle w:val="null3"/>
              <w:numPr>
                <w:ilvl w:val="0"/>
                <w:numId w:val="1"/>
              </w:numPr>
              <w:jc w:val="both"/>
            </w:pPr>
            <w:r>
              <w:rPr>
                <w:rFonts w:ascii="仿宋_GB2312" w:hAnsi="仿宋_GB2312" w:cs="仿宋_GB2312" w:eastAsia="仿宋_GB2312"/>
                <w:sz w:val="24"/>
                <w:color w:val="000000"/>
              </w:rPr>
              <w:t>工程质量要求：按采购人提供的有关图纸、设计说明、工程量清单和相关要求进行施工，符合国家现行的设计标准（GB标准和电力行业标准）要求进行施工，如《供配电系统设计规范》《20KV及以下变电所设计规范》《民用建筑电气设计标准》《高压配电装置设计规范》《电力装置安装工程接地装置施工及验收规范》等规范，达到国家规范和相关质量要求；若有最新标准以最新标准为准；满足设计及相关验收规范要求，如有质量问题应在限期内进行整改。</w:t>
            </w:r>
          </w:p>
          <w:p>
            <w:pPr>
              <w:pStyle w:val="null3"/>
              <w:numPr>
                <w:ilvl w:val="0"/>
                <w:numId w:val="1"/>
              </w:numPr>
              <w:jc w:val="both"/>
            </w:pPr>
            <w:r>
              <w:rPr>
                <w:rFonts w:ascii="仿宋_GB2312" w:hAnsi="仿宋_GB2312" w:cs="仿宋_GB2312" w:eastAsia="仿宋_GB2312"/>
                <w:sz w:val="24"/>
                <w:color w:val="000000"/>
              </w:rPr>
              <w:t>材料质量要求：满足设计且达到国家或地方相关质量标准及采购人要求。</w:t>
            </w:r>
          </w:p>
          <w:p>
            <w:pPr>
              <w:pStyle w:val="null3"/>
              <w:numPr>
                <w:ilvl w:val="0"/>
                <w:numId w:val="1"/>
              </w:numPr>
              <w:jc w:val="both"/>
            </w:pPr>
            <w:r>
              <w:rPr>
                <w:rFonts w:ascii="仿宋_GB2312" w:hAnsi="仿宋_GB2312" w:cs="仿宋_GB2312" w:eastAsia="仿宋_GB2312"/>
                <w:sz w:val="24"/>
                <w:color w:val="000000"/>
              </w:rPr>
              <w:t>施工要求：符合施工规范及验收标准。</w:t>
            </w:r>
          </w:p>
          <w:p>
            <w:pPr>
              <w:pStyle w:val="null3"/>
              <w:numPr>
                <w:ilvl w:val="0"/>
                <w:numId w:val="1"/>
              </w:numPr>
              <w:jc w:val="both"/>
            </w:pPr>
            <w:r>
              <w:rPr>
                <w:rFonts w:ascii="仿宋_GB2312" w:hAnsi="仿宋_GB2312" w:cs="仿宋_GB2312" w:eastAsia="仿宋_GB2312"/>
                <w:sz w:val="24"/>
                <w:color w:val="000000"/>
              </w:rPr>
              <w:t>安全文明施工要求：满足国家及地方省市有关安全文明施工的要求。</w:t>
            </w:r>
          </w:p>
          <w:p>
            <w:pPr>
              <w:pStyle w:val="null3"/>
              <w:numPr>
                <w:ilvl w:val="0"/>
                <w:numId w:val="1"/>
              </w:numPr>
              <w:jc w:val="both"/>
            </w:pPr>
            <w:r>
              <w:rPr>
                <w:rFonts w:ascii="仿宋_GB2312" w:hAnsi="仿宋_GB2312" w:cs="仿宋_GB2312" w:eastAsia="仿宋_GB2312"/>
                <w:sz w:val="24"/>
                <w:color w:val="000000"/>
              </w:rPr>
              <w:t>其他：成交供应商在施工期间应严格遵守国家、省、市有关防火、安全以及文明施工、深夜施工、环卫城管等规定，建立规章制度和防护措施。否则，由此造成的经济和法律责任，均由成交供应商负责。</w:t>
            </w:r>
          </w:p>
          <w:p>
            <w:pPr>
              <w:pStyle w:val="null3"/>
              <w:numPr>
                <w:ilvl w:val="0"/>
                <w:numId w:val="1"/>
              </w:numPr>
              <w:jc w:val="both"/>
            </w:pPr>
            <w:r>
              <w:rPr>
                <w:rFonts w:ascii="仿宋_GB2312" w:hAnsi="仿宋_GB2312" w:cs="仿宋_GB2312" w:eastAsia="仿宋_GB2312"/>
                <w:sz w:val="24"/>
                <w:color w:val="000000"/>
              </w:rPr>
              <w:t>供应商在施工前，应对施工人员及与本项目相关的人员进行专业的安全培训及交底，保证施工器具、施工设备、施工材料及施工环境都处于安全状态下，在工程实施过程中应保证按照相关行业规范及安全条例下进行操作和施工，并做好一切防护措施，对施工过程中出现的他人或自身造成伤害的安全事故承担全部责任，并接受采购人的监督。</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580"/>
              <w:jc w:val="both"/>
            </w:pPr>
            <w:r>
              <w:rPr>
                <w:rFonts w:ascii="仿宋_GB2312" w:hAnsi="仿宋_GB2312" w:cs="仿宋_GB2312" w:eastAsia="仿宋_GB2312"/>
                <w:sz w:val="24"/>
                <w:color w:val="000000"/>
              </w:rPr>
              <w:t>1 供应商应做好工程安全防护工作，否则由此引起的安全责任（含事故）与采购人无关，由供应商自行承担。供应商在进场后须严格按照相关规范要求进行施工，并无条件遵从采购人提出的科学、规范、合理意见。</w:t>
            </w:r>
          </w:p>
          <w:p>
            <w:pPr>
              <w:pStyle w:val="null3"/>
              <w:ind w:firstLine="580"/>
              <w:jc w:val="both"/>
            </w:pPr>
            <w:r>
              <w:rPr>
                <w:rFonts w:ascii="仿宋_GB2312" w:hAnsi="仿宋_GB2312" w:cs="仿宋_GB2312" w:eastAsia="仿宋_GB2312"/>
                <w:sz w:val="24"/>
                <w:color w:val="000000"/>
              </w:rPr>
              <w:t>2 供应商在工程所含施工现场进行危险作业时（本工程可能涉及的所有类型危险作业），应安排具有相关操作（执业）资格（或资质）的现场施工人员进行实际操作，并确保所有现场人员均已严格遵守相关作业安全规范。</w:t>
            </w:r>
          </w:p>
          <w:p>
            <w:pPr>
              <w:pStyle w:val="null3"/>
              <w:ind w:firstLine="580"/>
              <w:jc w:val="both"/>
            </w:pPr>
            <w:r>
              <w:rPr>
                <w:rFonts w:ascii="仿宋_GB2312" w:hAnsi="仿宋_GB2312" w:cs="仿宋_GB2312" w:eastAsia="仿宋_GB2312"/>
                <w:sz w:val="24"/>
                <w:color w:val="000000"/>
              </w:rPr>
              <w:t>3 供应商（施工单位）在施工过程中无条件接受采购人的监督、检查、审核和技术指导，施工单位作为总承包有义务无条件完成采购人提出的与施工相关的增加项目（费用以造价清单或审核依据为准）。</w:t>
            </w:r>
          </w:p>
          <w:p>
            <w:pPr>
              <w:pStyle w:val="null3"/>
              <w:ind w:firstLine="580"/>
              <w:jc w:val="both"/>
            </w:pPr>
            <w:r>
              <w:rPr>
                <w:rFonts w:ascii="仿宋_GB2312" w:hAnsi="仿宋_GB2312" w:cs="仿宋_GB2312" w:eastAsia="仿宋_GB2312"/>
                <w:sz w:val="24"/>
                <w:color w:val="000000"/>
              </w:rPr>
              <w:t>4 施工要求：根据工程量清单、工程量清单编制说明进行施工。工程施工应满足当地建设行政主管部门对工程建设的有关规定，并按经批准的施工组织设计实施，并要符合施工规范及验收标准的相关要求。</w:t>
            </w:r>
          </w:p>
          <w:p>
            <w:pPr>
              <w:pStyle w:val="null3"/>
              <w:ind w:firstLine="580"/>
              <w:jc w:val="both"/>
            </w:pPr>
            <w:r>
              <w:rPr>
                <w:rFonts w:ascii="仿宋_GB2312" w:hAnsi="仿宋_GB2312" w:cs="仿宋_GB2312" w:eastAsia="仿宋_GB2312"/>
                <w:sz w:val="24"/>
                <w:color w:val="000000"/>
              </w:rPr>
              <w:t>5 本项目施工实施过程中，供应商严格按照项目施工方案及规范施工并做好安全防护措施，在施工过程中，对施工范围周边区域原有设施设备采取适当措施进行保护，如因供应商原因造成施工场地周边原有设备设施损坏的，供应商有责任进行恢复（费用包含在报价中）。在施工过程中所发生的所有安全事故和生产事故、劳动纠纷（含施工人员工资）均由供应商承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580"/>
              <w:jc w:val="both"/>
            </w:pPr>
            <w:r>
              <w:rPr>
                <w:rFonts w:ascii="仿宋_GB2312" w:hAnsi="仿宋_GB2312" w:cs="仿宋_GB2312" w:eastAsia="仿宋_GB2312"/>
                <w:sz w:val="24"/>
                <w:color w:val="000000"/>
              </w:rPr>
              <w:t>1 质保期：按照《建设工程质量管理条例》及有关规定执行。</w:t>
            </w:r>
          </w:p>
          <w:p>
            <w:pPr>
              <w:pStyle w:val="null3"/>
              <w:ind w:firstLine="580"/>
              <w:jc w:val="both"/>
            </w:pPr>
            <w:r>
              <w:rPr>
                <w:rFonts w:ascii="仿宋_GB2312" w:hAnsi="仿宋_GB2312" w:cs="仿宋_GB2312" w:eastAsia="仿宋_GB2312"/>
                <w:sz w:val="24"/>
                <w:color w:val="000000"/>
              </w:rPr>
              <w:t>2 属于保修范围、内容的项目，供应商应当在接到保修通知之日起1天内派人保修。供应商不在约定期限内派人保修的，采购人可以委托第三方修理，同时将供应商不履约行为上报上级主管部门，修理费用由供应商在修理完成后的十个工作日内直接支付给第三方。</w:t>
            </w:r>
          </w:p>
          <w:p>
            <w:pPr>
              <w:pStyle w:val="null3"/>
              <w:ind w:firstLine="580"/>
              <w:jc w:val="both"/>
            </w:pPr>
            <w:r>
              <w:rPr>
                <w:rFonts w:ascii="仿宋_GB2312" w:hAnsi="仿宋_GB2312" w:cs="仿宋_GB2312" w:eastAsia="仿宋_GB2312"/>
                <w:sz w:val="24"/>
                <w:color w:val="000000"/>
              </w:rPr>
              <w:t>3 发生紧急事故需抢修的，供应商在接到事故通知后，应当4小时内到达事故现场抢修。</w:t>
            </w:r>
          </w:p>
          <w:p>
            <w:pPr>
              <w:pStyle w:val="null3"/>
              <w:ind w:firstLine="580"/>
              <w:jc w:val="both"/>
            </w:pPr>
            <w:r>
              <w:rPr>
                <w:rFonts w:ascii="仿宋_GB2312" w:hAnsi="仿宋_GB2312" w:cs="仿宋_GB2312" w:eastAsia="仿宋_GB2312"/>
                <w:sz w:val="24"/>
                <w:color w:val="000000"/>
              </w:rPr>
              <w:t>4 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sz w:val="24"/>
              </w:rPr>
              <w:t>供应商确认参与随机抽取截止时间前，项目负责人无在建项目。</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80"/>
              <w:jc w:val="both"/>
            </w:pPr>
            <w:r>
              <w:rPr>
                <w:rFonts w:ascii="仿宋_GB2312" w:hAnsi="仿宋_GB2312" w:cs="仿宋_GB2312" w:eastAsia="仿宋_GB2312"/>
                <w:sz w:val="24"/>
                <w:color w:val="000000"/>
              </w:rPr>
              <w:t>1</w:t>
            </w:r>
            <w:r>
              <w:rPr>
                <w:rFonts w:ascii="仿宋_GB2312" w:hAnsi="仿宋_GB2312" w:cs="仿宋_GB2312" w:eastAsia="仿宋_GB2312"/>
                <w:sz w:val="32"/>
              </w:rPr>
              <w:t xml:space="preserve"> </w:t>
            </w:r>
            <w:r>
              <w:rPr>
                <w:rFonts w:ascii="仿宋_GB2312" w:hAnsi="仿宋_GB2312" w:cs="仿宋_GB2312" w:eastAsia="仿宋_GB2312"/>
                <w:sz w:val="24"/>
              </w:rPr>
              <w:t>本项目提供的所有产品、辅材中属于《国家强制性产品认证目录》范围内产品，需通过国家强制性产品认证并取得认证证书或经过强制性认证产品符合性自我声明（供应商注意国家认证认可监督管理委员会网站中国家强制性产品更新情况）。【供应商投标时提供认证证书或自我声明，并加盖公章】</w:t>
            </w:r>
            <w:r>
              <w:rPr>
                <w:rFonts w:ascii="仿宋_GB2312" w:hAnsi="仿宋_GB2312" w:cs="仿宋_GB2312" w:eastAsia="仿宋_GB2312"/>
                <w:sz w:val="24"/>
              </w:rPr>
              <w:t>。</w:t>
            </w:r>
          </w:p>
          <w:p>
            <w:pPr>
              <w:pStyle w:val="null3"/>
              <w:ind w:firstLine="580"/>
              <w:jc w:val="both"/>
            </w:pPr>
            <w:r>
              <w:rPr>
                <w:rFonts w:ascii="仿宋_GB2312" w:hAnsi="仿宋_GB2312" w:cs="仿宋_GB2312" w:eastAsia="仿宋_GB2312"/>
                <w:sz w:val="24"/>
                <w:color w:val="000000"/>
              </w:rPr>
              <w:t>2</w:t>
            </w:r>
            <w:r>
              <w:rPr>
                <w:rFonts w:ascii="仿宋_GB2312" w:hAnsi="仿宋_GB2312" w:cs="仿宋_GB2312" w:eastAsia="仿宋_GB2312"/>
                <w:sz w:val="32"/>
              </w:rPr>
              <w:t xml:space="preserve">  </w:t>
            </w:r>
            <w:r>
              <w:rPr>
                <w:rFonts w:ascii="仿宋_GB2312" w:hAnsi="仿宋_GB2312" w:cs="仿宋_GB2312" w:eastAsia="仿宋_GB2312"/>
                <w:sz w:val="24"/>
                <w:color w:val="000000"/>
              </w:rPr>
              <w:t>供应商为本项目提供的所有产品、辅材等符合现行的强制性国家相关标准、行业标准。（说明</w:t>
            </w:r>
            <w:r>
              <w:rPr>
                <w:rFonts w:ascii="仿宋_GB2312" w:hAnsi="仿宋_GB2312" w:cs="仿宋_GB2312" w:eastAsia="仿宋_GB2312"/>
                <w:sz w:val="24"/>
                <w:color w:val="000000"/>
              </w:rPr>
              <w:t>:供应商在响应文件中承诺。）</w:t>
            </w:r>
          </w:p>
          <w:p>
            <w:pPr>
              <w:pStyle w:val="null3"/>
              <w:ind w:firstLine="580"/>
              <w:jc w:val="both"/>
            </w:pPr>
            <w:r>
              <w:rPr>
                <w:rFonts w:ascii="仿宋_GB2312" w:hAnsi="仿宋_GB2312" w:cs="仿宋_GB2312" w:eastAsia="仿宋_GB2312"/>
                <w:sz w:val="24"/>
                <w:color w:val="000000"/>
              </w:rPr>
              <w:t>3</w:t>
            </w:r>
            <w:r>
              <w:rPr>
                <w:rFonts w:ascii="仿宋_GB2312" w:hAnsi="仿宋_GB2312" w:cs="仿宋_GB2312" w:eastAsia="仿宋_GB2312"/>
                <w:sz w:val="32"/>
              </w:rPr>
              <w:t xml:space="preserve">  </w:t>
            </w:r>
            <w:r>
              <w:rPr>
                <w:rFonts w:ascii="仿宋_GB2312" w:hAnsi="仿宋_GB2312" w:cs="仿宋_GB2312" w:eastAsia="仿宋_GB2312"/>
                <w:sz w:val="24"/>
                <w:color w:val="000000"/>
              </w:rPr>
              <w:t>供应商为本项目提供的所有产品中属于节能产品政府采购品目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清单中的政府强制采购产品的，均具有国家确定的认证机构出具的有效期内的节能产品认证证书。（说明</w:t>
            </w:r>
            <w:r>
              <w:rPr>
                <w:rFonts w:ascii="仿宋_GB2312" w:hAnsi="仿宋_GB2312" w:cs="仿宋_GB2312" w:eastAsia="仿宋_GB2312"/>
                <w:sz w:val="24"/>
                <w:color w:val="000000"/>
              </w:rPr>
              <w:t>:供应商在响应文件中承诺。）</w:t>
            </w:r>
          </w:p>
          <w:p>
            <w:pPr>
              <w:pStyle w:val="null3"/>
              <w:ind w:firstLine="580"/>
              <w:jc w:val="both"/>
            </w:pPr>
            <w:r>
              <w:rPr>
                <w:rFonts w:ascii="仿宋_GB2312" w:hAnsi="仿宋_GB2312" w:cs="仿宋_GB2312" w:eastAsia="仿宋_GB2312"/>
                <w:sz w:val="24"/>
                <w:color w:val="000000"/>
              </w:rPr>
              <w:t>4</w:t>
            </w:r>
            <w:r>
              <w:rPr>
                <w:rFonts w:ascii="仿宋_GB2312" w:hAnsi="仿宋_GB2312" w:cs="仿宋_GB2312" w:eastAsia="仿宋_GB2312"/>
                <w:sz w:val="32"/>
              </w:rPr>
              <w:t xml:space="preserve">  </w:t>
            </w:r>
            <w:r>
              <w:rPr>
                <w:rFonts w:ascii="仿宋_GB2312" w:hAnsi="仿宋_GB2312" w:cs="仿宋_GB2312" w:eastAsia="仿宋_GB2312"/>
                <w:sz w:val="24"/>
                <w:color w:val="000000"/>
              </w:rPr>
              <w:t>供应商为本工程项目实施涉及的商品包装和快递包装，均符合财政部等三部门联合印发商品包装和快递包装政府采购需求标准（试行）（财办库</w:t>
            </w:r>
            <w:r>
              <w:rPr>
                <w:rFonts w:ascii="仿宋_GB2312" w:hAnsi="仿宋_GB2312" w:cs="仿宋_GB2312" w:eastAsia="仿宋_GB2312"/>
                <w:sz w:val="24"/>
                <w:color w:val="000000"/>
              </w:rPr>
              <w:t>[2020]123号）的要求。（说明:供应商在响应文件中承诺。）</w:t>
            </w:r>
          </w:p>
          <w:p>
            <w:pPr>
              <w:pStyle w:val="null3"/>
              <w:ind w:firstLine="580"/>
              <w:jc w:val="both"/>
            </w:pPr>
            <w:r>
              <w:rPr>
                <w:rFonts w:ascii="仿宋_GB2312" w:hAnsi="仿宋_GB2312" w:cs="仿宋_GB2312" w:eastAsia="仿宋_GB2312"/>
                <w:sz w:val="24"/>
                <w:color w:val="000000"/>
              </w:rPr>
              <w:t>5</w:t>
            </w:r>
            <w:r>
              <w:rPr>
                <w:rFonts w:ascii="仿宋_GB2312" w:hAnsi="仿宋_GB2312" w:cs="仿宋_GB2312" w:eastAsia="仿宋_GB2312"/>
                <w:sz w:val="32"/>
              </w:rPr>
              <w:t xml:space="preserve">  </w:t>
            </w:r>
            <w:r>
              <w:rPr>
                <w:rFonts w:ascii="仿宋_GB2312" w:hAnsi="仿宋_GB2312" w:cs="仿宋_GB2312" w:eastAsia="仿宋_GB2312"/>
                <w:sz w:val="24"/>
                <w:color w:val="000000"/>
              </w:rPr>
              <w:t>供应商为本项目提供的工程、货物及服务均为本国工程、货物及服务。（说明</w:t>
            </w:r>
            <w:r>
              <w:rPr>
                <w:rFonts w:ascii="仿宋_GB2312" w:hAnsi="仿宋_GB2312" w:cs="仿宋_GB2312" w:eastAsia="仿宋_GB2312"/>
                <w:sz w:val="24"/>
                <w:color w:val="000000"/>
              </w:rPr>
              <w:t>:供应商在响应文件中承诺。）</w:t>
            </w:r>
          </w:p>
          <w:p>
            <w:pPr>
              <w:pStyle w:val="null3"/>
              <w:ind w:firstLine="580"/>
              <w:jc w:val="both"/>
            </w:pP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施工要求：根据工程量清单、工程量清单编制说明进行施工（但不仅限于工程量清单和工程量清单编制说明中的内容）。工程施工应满足当地建设行政主管部门对工程建设的有关规定，并按经批准的施工组织设计实施，并要符合施工规范及验收标准的相关要求。</w:t>
            </w:r>
            <w:r>
              <w:rPr>
                <w:rFonts w:ascii="仿宋_GB2312" w:hAnsi="仿宋_GB2312" w:cs="仿宋_GB2312" w:eastAsia="仿宋_GB2312"/>
                <w:sz w:val="24"/>
                <w:color w:val="000000"/>
              </w:rPr>
              <w:t>停电施工时间控制在北京时间</w:t>
            </w:r>
            <w:r>
              <w:rPr>
                <w:rFonts w:ascii="仿宋_GB2312" w:hAnsi="仿宋_GB2312" w:cs="仿宋_GB2312" w:eastAsia="仿宋_GB2312"/>
                <w:sz w:val="24"/>
                <w:color w:val="000000"/>
              </w:rPr>
              <w:t>7:00-20:00。</w:t>
            </w:r>
            <w:r>
              <w:rPr>
                <w:rFonts w:ascii="仿宋_GB2312" w:hAnsi="仿宋_GB2312" w:cs="仿宋_GB2312" w:eastAsia="仿宋_GB2312"/>
                <w:sz w:val="24"/>
                <w:color w:val="000000"/>
              </w:rPr>
              <w:t>（说明</w:t>
            </w:r>
            <w:r>
              <w:rPr>
                <w:rFonts w:ascii="仿宋_GB2312" w:hAnsi="仿宋_GB2312" w:cs="仿宋_GB2312" w:eastAsia="仿宋_GB2312"/>
                <w:sz w:val="24"/>
                <w:color w:val="000000"/>
              </w:rPr>
              <w:t>:供应商在响应文件中承诺。）</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rPr>
              <w:t>1）合同类型：建筑工程合同</w:t>
            </w:r>
          </w:p>
          <w:p>
            <w:pPr>
              <w:pStyle w:val="null3"/>
              <w:jc w:val="left"/>
            </w:pPr>
            <w:r>
              <w:rPr>
                <w:rFonts w:ascii="仿宋_GB2312" w:hAnsi="仿宋_GB2312" w:cs="仿宋_GB2312" w:eastAsia="仿宋_GB2312"/>
              </w:rPr>
              <w:t>2）合同定价方式：固定单价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180天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成都市龙泉驿区洪安镇红光村4组25号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1、进度款，签订合同，成交供应商主材、机具及施工人员正式入场，达到付款条件起10日内，支付合同总金额的30.00%</w:t>
            </w:r>
          </w:p>
          <w:p>
            <w:pPr>
              <w:pStyle w:val="null3"/>
              <w:jc w:val="left"/>
            </w:pPr>
            <w:r>
              <w:rPr>
                <w:rFonts w:ascii="仿宋_GB2312" w:hAnsi="仿宋_GB2312" w:cs="仿宋_GB2312" w:eastAsia="仿宋_GB2312"/>
              </w:rPr>
              <w:t>2、进度款，施工完毕，通电运行后并经供电部门专业检测验收合格，成交供应商出具正式发票，达到付款条件起10日内，支付合同总金额的50.00%</w:t>
            </w:r>
          </w:p>
          <w:p>
            <w:pPr>
              <w:pStyle w:val="null3"/>
              <w:jc w:val="left"/>
            </w:pPr>
            <w:r>
              <w:rPr>
                <w:rFonts w:ascii="仿宋_GB2312" w:hAnsi="仿宋_GB2312" w:cs="仿宋_GB2312" w:eastAsia="仿宋_GB2312"/>
              </w:rPr>
              <w:t>3、尾款，工程审计结束后，供应商开具审定金额3%的一年期限的质量保证金保函后，按审核结果支付全部尾款，达到付款条件起10日内，支付合同总金额的20.00%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成交供应商应按合同要求提供经市、省检验通过的成果记录，验收记录必须准确、详细的记载和反应采购项目重要事项的履约情况。成交供应商应配合各级部门进行绩效评价、验收工作； 验收标准：成交供应商与采购人应严格按照《财政部关于进一步加强政府采购需求和履约验收管理的指导意见》(财库〔2016〕205号)以及国家、省、市主管部门的相关文件要求和标准进行验收。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1、甲乙双方必须遵守本合同并执行合同中的各项规定，保证本合同的正常履行。如有未尽事宜，由双方依法订立补充合同。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解决合同纠纷的方式： 1、在执行本合同中发生的或与本合同有关的争端，双方应通过友好协商解决，经协商在30天内不能达成协议时，应提交采购人所在地人民法院裁决。 2、诉讼费、律师费等应由败诉方负担。 3、在诉讼期间，除正在进行诉讼部分外，合同其他部分继续执行。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工程变更（含漏项、漏量） 施工过程中，发现工程量清单存在漏项工程的，该漏项工程作为本项目采购需求的组成部分，暂列金额不足以解决的，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2023年或2024年或2025年）任一年度经审计的财务报告（包含审计报告和审计报告中所涉及的财务报表和报表附注）。（2）可提供（2023年或2024年或2025年）任一年度供应商财务报表（至少包括资产负债表、利润表、现金流量表）。（3）可提供截至投标文件提交截止日一年内银行出具的资信证明。（4）供应商注册时间截至投标文件提交截止日不足一年的，也可提供在工商管理部门备案的公司章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机电工程二级注册建造师及以上建造师注册证书原件扫描件；供应商应当提供项目负责人的行业主管部门颁发的且在有效期内的房屋建筑和市政基础设施工程安全生产考核合格证书（B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电力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供应商注册地不在四川省行政区域内需提供的相关证明材料</w:t>
            </w:r>
          </w:p>
        </w:tc>
        <w:tc>
          <w:tcPr>
            <w:tcW w:type="dxa" w:w="3322"/>
          </w:tcPr>
          <w:p>
            <w:pPr>
              <w:pStyle w:val="null3"/>
              <w:jc w:val="left"/>
            </w:pPr>
            <w:r>
              <w:rPr>
                <w:rFonts w:ascii="仿宋_GB2312" w:hAnsi="仿宋_GB2312" w:cs="仿宋_GB2312" w:eastAsia="仿宋_GB2312"/>
              </w:rPr>
              <w:t>“供应商注册地不在四川省行政区域内的，应当在响应文件中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供应商资质</w:t>
            </w:r>
          </w:p>
        </w:tc>
        <w:tc>
          <w:tcPr>
            <w:tcW w:type="dxa" w:w="3322"/>
          </w:tcPr>
          <w:p>
            <w:pPr>
              <w:pStyle w:val="null3"/>
              <w:jc w:val="left"/>
            </w:pPr>
            <w:r>
              <w:rPr>
                <w:rFonts w:ascii="仿宋_GB2312" w:hAnsi="仿宋_GB2312" w:cs="仿宋_GB2312" w:eastAsia="仿宋_GB2312"/>
              </w:rPr>
              <w:t>供应商须具有有效期内的承装（修、试）电力设施许可证三级及以上资质证书</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661"/>
          </w:tcPr>
          <w:p>
            <w:pPr>
              <w:pStyle w:val="null3"/>
              <w:jc w:val="left"/>
            </w:pPr>
            <w:r>
              <w:rPr>
                <w:rFonts w:ascii="仿宋_GB2312" w:hAnsi="仿宋_GB2312" w:cs="仿宋_GB2312" w:eastAsia="仿宋_GB2312"/>
              </w:rPr>
              <w:t>强制、优先采购产品承诺函,供应商应提交的相关证明材料,技术、服务及商务要求应答表.docx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详见附件：技术、服务及商务要求应答表.docx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