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55C0A">
      <w:pPr>
        <w:spacing w:line="1295" w:lineRule="exact"/>
        <w:ind w:firstLine="207"/>
        <w:jc w:val="center"/>
      </w:pPr>
      <w:r>
        <w:rPr>
          <w:position w:val="-25"/>
        </w:rPr>
        <w:drawing>
          <wp:inline distT="0" distB="0" distL="0" distR="0">
            <wp:extent cx="827405" cy="822325"/>
            <wp:effectExtent l="0" t="0" r="10795" b="1587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9"/>
                    <a:stretch>
                      <a:fillRect/>
                    </a:stretch>
                  </pic:blipFill>
                  <pic:spPr>
                    <a:xfrm>
                      <a:off x="0" y="0"/>
                      <a:ext cx="827405" cy="822573"/>
                    </a:xfrm>
                    <a:prstGeom prst="rect">
                      <a:avLst/>
                    </a:prstGeom>
                  </pic:spPr>
                </pic:pic>
              </a:graphicData>
            </a:graphic>
          </wp:inline>
        </w:drawing>
      </w:r>
    </w:p>
    <w:p w14:paraId="25CE8FD7">
      <w:pPr>
        <w:spacing w:line="258" w:lineRule="auto"/>
        <w:rPr>
          <w:rFonts w:ascii="Arial"/>
          <w:sz w:val="21"/>
        </w:rPr>
      </w:pPr>
    </w:p>
    <w:p w14:paraId="4C440890">
      <w:pPr>
        <w:spacing w:line="258" w:lineRule="auto"/>
        <w:rPr>
          <w:rFonts w:ascii="Arial"/>
          <w:sz w:val="21"/>
        </w:rPr>
      </w:pPr>
    </w:p>
    <w:p w14:paraId="71F536A1">
      <w:pPr>
        <w:spacing w:line="258" w:lineRule="auto"/>
        <w:rPr>
          <w:rFonts w:ascii="Arial"/>
          <w:sz w:val="21"/>
        </w:rPr>
      </w:pPr>
    </w:p>
    <w:p w14:paraId="73A423DF">
      <w:pPr>
        <w:pStyle w:val="7"/>
        <w:spacing w:before="153" w:line="226" w:lineRule="auto"/>
        <w:jc w:val="center"/>
        <w:rPr>
          <w:b/>
          <w:bCs/>
          <w:sz w:val="60"/>
          <w:szCs w:val="60"/>
        </w:rPr>
      </w:pPr>
      <w:r>
        <w:rPr>
          <w:b/>
          <w:bCs/>
          <w:spacing w:val="-21"/>
          <w:sz w:val="60"/>
          <w:szCs w:val="60"/>
        </w:rPr>
        <w:t>招</w:t>
      </w:r>
      <w:r>
        <w:rPr>
          <w:b/>
          <w:bCs/>
          <w:spacing w:val="38"/>
          <w:sz w:val="60"/>
          <w:szCs w:val="60"/>
        </w:rPr>
        <w:t xml:space="preserve"> </w:t>
      </w:r>
      <w:r>
        <w:rPr>
          <w:b/>
          <w:bCs/>
          <w:spacing w:val="-21"/>
          <w:sz w:val="60"/>
          <w:szCs w:val="60"/>
        </w:rPr>
        <w:t>标</w:t>
      </w:r>
      <w:r>
        <w:rPr>
          <w:b/>
          <w:bCs/>
          <w:spacing w:val="39"/>
          <w:sz w:val="60"/>
          <w:szCs w:val="60"/>
        </w:rPr>
        <w:t xml:space="preserve"> </w:t>
      </w:r>
      <w:r>
        <w:rPr>
          <w:b/>
          <w:bCs/>
          <w:spacing w:val="-21"/>
          <w:sz w:val="60"/>
          <w:szCs w:val="60"/>
        </w:rPr>
        <w:t>文</w:t>
      </w:r>
      <w:r>
        <w:rPr>
          <w:b/>
          <w:bCs/>
          <w:spacing w:val="42"/>
          <w:sz w:val="60"/>
          <w:szCs w:val="60"/>
        </w:rPr>
        <w:t xml:space="preserve"> </w:t>
      </w:r>
      <w:r>
        <w:rPr>
          <w:b/>
          <w:bCs/>
          <w:spacing w:val="-21"/>
          <w:sz w:val="60"/>
          <w:szCs w:val="60"/>
        </w:rPr>
        <w:t>件</w:t>
      </w:r>
    </w:p>
    <w:p w14:paraId="1AD8FF0B">
      <w:pPr>
        <w:spacing w:line="284" w:lineRule="auto"/>
        <w:rPr>
          <w:rFonts w:ascii="Arial"/>
          <w:sz w:val="21"/>
        </w:rPr>
      </w:pPr>
    </w:p>
    <w:p w14:paraId="452E82E0">
      <w:pPr>
        <w:spacing w:line="284" w:lineRule="auto"/>
        <w:rPr>
          <w:rFonts w:ascii="Arial"/>
          <w:sz w:val="21"/>
        </w:rPr>
      </w:pPr>
    </w:p>
    <w:p w14:paraId="2B103CFB">
      <w:pPr>
        <w:spacing w:line="285" w:lineRule="auto"/>
        <w:rPr>
          <w:rFonts w:ascii="Arial"/>
          <w:sz w:val="21"/>
        </w:rPr>
      </w:pPr>
    </w:p>
    <w:p w14:paraId="549289B3">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pacing w:val="-4"/>
          <w:sz w:val="28"/>
          <w:szCs w:val="28"/>
        </w:rPr>
        <w:t>项目名称：</w:t>
      </w:r>
      <w:r>
        <w:rPr>
          <w:rFonts w:hint="eastAsia" w:ascii="仿宋" w:hAnsi="仿宋" w:eastAsia="仿宋" w:cs="仿宋"/>
          <w:b/>
          <w:bCs/>
          <w:color w:val="auto"/>
          <w:spacing w:val="-4"/>
          <w:sz w:val="28"/>
          <w:szCs w:val="28"/>
          <w:u w:val="single"/>
        </w:rPr>
        <w:t>乌鲁木齐市第十二中学（乌鲁木齐市外国语学校）理化生实验室实验用仪器设备项目</w:t>
      </w:r>
    </w:p>
    <w:p w14:paraId="6E1D07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项目编号：</w:t>
      </w:r>
      <w:r>
        <w:rPr>
          <w:rFonts w:hint="eastAsia" w:ascii="仿宋" w:hAnsi="仿宋" w:eastAsia="仿宋" w:cs="仿宋"/>
          <w:b/>
          <w:bCs/>
          <w:sz w:val="28"/>
          <w:szCs w:val="28"/>
          <w:u w:val="single"/>
          <w:lang w:val="en-US" w:eastAsia="zh-CN"/>
        </w:rPr>
        <w:t>XJCY2026-HWCG005</w:t>
      </w:r>
    </w:p>
    <w:p w14:paraId="4A03F025">
      <w:pPr>
        <w:pStyle w:val="7"/>
        <w:spacing w:before="91" w:line="222" w:lineRule="auto"/>
        <w:outlineLvl w:val="9"/>
        <w:rPr>
          <w:b/>
          <w:bCs/>
          <w:spacing w:val="-4"/>
        </w:rPr>
      </w:pPr>
    </w:p>
    <w:p w14:paraId="4356F8A9">
      <w:pPr>
        <w:pStyle w:val="7"/>
        <w:spacing w:before="91" w:line="222" w:lineRule="auto"/>
        <w:outlineLvl w:val="9"/>
      </w:pPr>
      <w:r>
        <w:rPr>
          <w:b/>
          <w:bCs/>
          <w:spacing w:val="-4"/>
        </w:rPr>
        <w:t>采购人(盖章)：</w:t>
      </w:r>
      <w:r>
        <w:rPr>
          <w:rFonts w:hint="eastAsia" w:ascii="仿宋" w:hAnsi="仿宋" w:eastAsia="仿宋" w:cs="仿宋"/>
          <w:b/>
          <w:bCs/>
          <w:color w:val="auto"/>
          <w:spacing w:val="-4"/>
          <w:sz w:val="28"/>
          <w:szCs w:val="28"/>
          <w:u w:val="single"/>
        </w:rPr>
        <w:t>乌鲁木齐市第十二中学（乌鲁木齐市外国语学校）</w:t>
      </w:r>
    </w:p>
    <w:p w14:paraId="536E71BD">
      <w:pPr>
        <w:spacing w:line="295" w:lineRule="auto"/>
        <w:rPr>
          <w:rFonts w:ascii="Arial"/>
          <w:sz w:val="21"/>
        </w:rPr>
      </w:pPr>
    </w:p>
    <w:p w14:paraId="5DBDA938">
      <w:pPr>
        <w:pStyle w:val="7"/>
        <w:spacing w:before="91" w:line="224" w:lineRule="auto"/>
        <w:rPr>
          <w:rFonts w:hint="eastAsia" w:eastAsia="仿宋"/>
          <w:highlight w:val="yellow"/>
          <w:lang w:val="en-US" w:eastAsia="zh-CN"/>
        </w:rPr>
      </w:pPr>
      <w:r>
        <w:rPr>
          <w:b/>
          <w:bCs/>
          <w:spacing w:val="-13"/>
          <w:highlight w:val="none"/>
        </w:rPr>
        <w:t>联</w:t>
      </w:r>
      <w:r>
        <w:rPr>
          <w:spacing w:val="30"/>
          <w:highlight w:val="none"/>
        </w:rPr>
        <w:t xml:space="preserve"> </w:t>
      </w:r>
      <w:r>
        <w:rPr>
          <w:b/>
          <w:bCs/>
          <w:spacing w:val="-13"/>
          <w:highlight w:val="none"/>
        </w:rPr>
        <w:t>系</w:t>
      </w:r>
      <w:r>
        <w:rPr>
          <w:spacing w:val="22"/>
          <w:highlight w:val="none"/>
        </w:rPr>
        <w:t xml:space="preserve"> </w:t>
      </w:r>
      <w:r>
        <w:rPr>
          <w:b/>
          <w:bCs/>
          <w:spacing w:val="-13"/>
          <w:highlight w:val="none"/>
        </w:rPr>
        <w:t>人：</w:t>
      </w:r>
      <w:r>
        <w:rPr>
          <w:rFonts w:hint="eastAsia" w:ascii="宋体" w:hAnsi="宋体"/>
          <w:b/>
          <w:bCs w:val="0"/>
          <w:color w:val="auto"/>
          <w:sz w:val="28"/>
          <w:szCs w:val="28"/>
          <w:u w:val="single"/>
          <w:lang w:val="en-US" w:eastAsia="zh-CN"/>
        </w:rPr>
        <w:t>时老师</w:t>
      </w:r>
    </w:p>
    <w:p w14:paraId="42F45355">
      <w:pPr>
        <w:spacing w:line="292" w:lineRule="auto"/>
        <w:rPr>
          <w:rFonts w:ascii="Arial"/>
          <w:sz w:val="21"/>
          <w:highlight w:val="none"/>
        </w:rPr>
      </w:pPr>
    </w:p>
    <w:p w14:paraId="06ECEEB0">
      <w:pPr>
        <w:pStyle w:val="7"/>
        <w:spacing w:before="91" w:line="224" w:lineRule="auto"/>
        <w:rPr>
          <w:rFonts w:hint="default" w:eastAsia="仿宋"/>
          <w:highlight w:val="none"/>
          <w:lang w:val="en-US" w:eastAsia="zh-CN"/>
        </w:rPr>
      </w:pPr>
      <w:r>
        <w:rPr>
          <w:b/>
          <w:bCs/>
          <w:spacing w:val="-7"/>
          <w:highlight w:val="none"/>
        </w:rPr>
        <w:t>电</w:t>
      </w:r>
      <w:r>
        <w:rPr>
          <w:spacing w:val="8"/>
          <w:highlight w:val="none"/>
        </w:rPr>
        <w:t xml:space="preserve">    </w:t>
      </w:r>
      <w:r>
        <w:rPr>
          <w:b/>
          <w:bCs/>
          <w:spacing w:val="-7"/>
          <w:highlight w:val="none"/>
        </w:rPr>
        <w:t>话：</w:t>
      </w:r>
      <w:r>
        <w:rPr>
          <w:rFonts w:hint="eastAsia" w:ascii="仿宋" w:hAnsi="仿宋" w:eastAsia="仿宋" w:cs="仿宋"/>
          <w:b/>
          <w:bCs w:val="0"/>
          <w:color w:val="auto"/>
          <w:sz w:val="28"/>
          <w:szCs w:val="28"/>
          <w:lang w:val="en-US" w:eastAsia="zh-CN"/>
        </w:rPr>
        <w:t>13899961899</w:t>
      </w:r>
    </w:p>
    <w:p w14:paraId="2A855977">
      <w:pPr>
        <w:spacing w:line="249" w:lineRule="auto"/>
        <w:rPr>
          <w:rFonts w:ascii="Arial"/>
          <w:sz w:val="21"/>
        </w:rPr>
      </w:pPr>
    </w:p>
    <w:p w14:paraId="613D2FE3">
      <w:pPr>
        <w:spacing w:line="249" w:lineRule="auto"/>
        <w:rPr>
          <w:rFonts w:ascii="Arial"/>
          <w:sz w:val="21"/>
        </w:rPr>
      </w:pPr>
    </w:p>
    <w:p w14:paraId="5C5387E3">
      <w:pPr>
        <w:spacing w:line="250" w:lineRule="auto"/>
        <w:rPr>
          <w:rFonts w:ascii="Arial"/>
          <w:sz w:val="21"/>
        </w:rPr>
      </w:pPr>
      <w:r>
        <w:drawing>
          <wp:anchor distT="0" distB="0" distL="0" distR="0" simplePos="0" relativeHeight="251660288" behindDoc="0" locked="0" layoutInCell="1" allowOverlap="1">
            <wp:simplePos x="0" y="0"/>
            <wp:positionH relativeFrom="column">
              <wp:posOffset>0</wp:posOffset>
            </wp:positionH>
            <wp:positionV relativeFrom="paragraph">
              <wp:posOffset>76200</wp:posOffset>
            </wp:positionV>
            <wp:extent cx="5861685" cy="76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0"/>
                    <a:stretch>
                      <a:fillRect/>
                    </a:stretch>
                  </pic:blipFill>
                  <pic:spPr>
                    <a:xfrm>
                      <a:off x="0" y="0"/>
                      <a:ext cx="5861892" cy="7851"/>
                    </a:xfrm>
                    <a:prstGeom prst="rect">
                      <a:avLst/>
                    </a:prstGeom>
                  </pic:spPr>
                </pic:pic>
              </a:graphicData>
            </a:graphic>
          </wp:anchor>
        </w:drawing>
      </w:r>
    </w:p>
    <w:p w14:paraId="7DEA8074">
      <w:pPr>
        <w:spacing w:line="250" w:lineRule="auto"/>
        <w:rPr>
          <w:rFonts w:ascii="Arial"/>
          <w:sz w:val="21"/>
        </w:rPr>
      </w:pPr>
    </w:p>
    <w:p w14:paraId="7EDF62AE">
      <w:pPr>
        <w:spacing w:line="250" w:lineRule="auto"/>
        <w:rPr>
          <w:rFonts w:ascii="Arial"/>
          <w:sz w:val="21"/>
        </w:rPr>
      </w:pPr>
    </w:p>
    <w:p w14:paraId="46989A1A">
      <w:pPr>
        <w:pStyle w:val="7"/>
        <w:keepNext w:val="0"/>
        <w:keepLines w:val="0"/>
        <w:pageBreakBefore w:val="0"/>
        <w:widowControl/>
        <w:kinsoku w:val="0"/>
        <w:wordWrap/>
        <w:overflowPunct/>
        <w:topLinePunct w:val="0"/>
        <w:autoSpaceDE w:val="0"/>
        <w:autoSpaceDN w:val="0"/>
        <w:bidi w:val="0"/>
        <w:adjustRightInd w:val="0"/>
        <w:snapToGrid w:val="0"/>
        <w:spacing w:before="92" w:line="480" w:lineRule="auto"/>
        <w:ind w:right="0"/>
        <w:textAlignment w:val="baseline"/>
        <w:rPr>
          <w:b/>
          <w:bCs/>
          <w:spacing w:val="-3"/>
        </w:rPr>
      </w:pPr>
      <w:r>
        <w:rPr>
          <w:b/>
          <w:bCs/>
          <w:spacing w:val="-3"/>
        </w:rPr>
        <w:t>采购代理机构(盖章)：</w:t>
      </w:r>
      <w:r>
        <w:rPr>
          <w:b/>
          <w:bCs/>
          <w:spacing w:val="-3"/>
          <w:u w:val="single"/>
        </w:rPr>
        <w:t>新疆创越咨询管理有限公司</w:t>
      </w:r>
    </w:p>
    <w:p w14:paraId="7997D4F4">
      <w:pPr>
        <w:pStyle w:val="7"/>
        <w:spacing w:before="1" w:line="223" w:lineRule="auto"/>
        <w:rPr>
          <w:rFonts w:hint="default" w:eastAsia="仿宋"/>
          <w:lang w:val="en-US" w:eastAsia="zh-CN"/>
        </w:rPr>
      </w:pPr>
      <w:r>
        <w:rPr>
          <w:b/>
          <w:bCs/>
          <w:spacing w:val="-12"/>
        </w:rPr>
        <w:t>联</w:t>
      </w:r>
      <w:r>
        <w:rPr>
          <w:spacing w:val="33"/>
        </w:rPr>
        <w:t xml:space="preserve"> </w:t>
      </w:r>
      <w:r>
        <w:rPr>
          <w:b/>
          <w:bCs/>
          <w:spacing w:val="-12"/>
        </w:rPr>
        <w:t>系</w:t>
      </w:r>
      <w:r>
        <w:rPr>
          <w:spacing w:val="22"/>
        </w:rPr>
        <w:t xml:space="preserve"> </w:t>
      </w:r>
      <w:r>
        <w:rPr>
          <w:b/>
          <w:bCs/>
          <w:spacing w:val="-12"/>
        </w:rPr>
        <w:t>人：</w:t>
      </w:r>
      <w:r>
        <w:rPr>
          <w:rFonts w:hint="eastAsia"/>
          <w:b/>
          <w:bCs/>
          <w:spacing w:val="-12"/>
          <w:u w:val="single"/>
          <w:lang w:val="en-US" w:eastAsia="zh-CN"/>
        </w:rPr>
        <w:t>王配然</w:t>
      </w:r>
    </w:p>
    <w:p w14:paraId="11009467">
      <w:pPr>
        <w:spacing w:line="294" w:lineRule="auto"/>
        <w:rPr>
          <w:rFonts w:ascii="Arial"/>
          <w:sz w:val="21"/>
        </w:rPr>
      </w:pPr>
    </w:p>
    <w:p w14:paraId="40820D15">
      <w:pPr>
        <w:pStyle w:val="7"/>
        <w:spacing w:before="91" w:line="224" w:lineRule="auto"/>
        <w:rPr>
          <w:rFonts w:hint="default" w:eastAsia="仿宋"/>
          <w:lang w:val="en-US" w:eastAsia="zh-CN"/>
        </w:rPr>
      </w:pPr>
      <w:r>
        <w:rPr>
          <w:b/>
          <w:bCs/>
          <w:spacing w:val="-7"/>
        </w:rPr>
        <w:t>电</w:t>
      </w:r>
      <w:r>
        <w:rPr>
          <w:spacing w:val="6"/>
        </w:rPr>
        <w:t xml:space="preserve">    </w:t>
      </w:r>
      <w:r>
        <w:rPr>
          <w:b/>
          <w:bCs/>
          <w:spacing w:val="-7"/>
        </w:rPr>
        <w:t>话：</w:t>
      </w:r>
      <w:r>
        <w:rPr>
          <w:rFonts w:hint="eastAsia"/>
          <w:b/>
          <w:bCs/>
          <w:spacing w:val="-7"/>
          <w:u w:val="single"/>
          <w:lang w:val="en-US" w:eastAsia="zh-CN"/>
        </w:rPr>
        <w:t>18129219272</w:t>
      </w:r>
    </w:p>
    <w:p w14:paraId="57D6E13D">
      <w:pPr>
        <w:spacing w:line="291" w:lineRule="auto"/>
        <w:rPr>
          <w:rFonts w:ascii="Arial"/>
          <w:sz w:val="21"/>
        </w:rPr>
      </w:pPr>
    </w:p>
    <w:p w14:paraId="696DF259">
      <w:pPr>
        <w:spacing w:line="279" w:lineRule="auto"/>
        <w:rPr>
          <w:rFonts w:ascii="Arial"/>
          <w:sz w:val="21"/>
        </w:rPr>
      </w:pPr>
    </w:p>
    <w:p w14:paraId="5824D35F">
      <w:pPr>
        <w:spacing w:line="280" w:lineRule="auto"/>
        <w:rPr>
          <w:rFonts w:ascii="Arial"/>
          <w:sz w:val="21"/>
        </w:rPr>
      </w:pPr>
    </w:p>
    <w:p w14:paraId="1C50F57B">
      <w:pPr>
        <w:pStyle w:val="7"/>
        <w:spacing w:before="92" w:line="223" w:lineRule="auto"/>
      </w:pPr>
      <w:r>
        <w:rPr>
          <w:b/>
          <w:bCs/>
          <w:spacing w:val="-14"/>
        </w:rPr>
        <w:t>日</w:t>
      </w:r>
      <w:r>
        <w:rPr>
          <w:spacing w:val="4"/>
        </w:rPr>
        <w:t xml:space="preserve">    </w:t>
      </w:r>
      <w:r>
        <w:rPr>
          <w:b/>
          <w:bCs/>
          <w:spacing w:val="-14"/>
        </w:rPr>
        <w:t>期：</w:t>
      </w:r>
      <w:r>
        <w:rPr>
          <w:rFonts w:hint="eastAsia" w:ascii="仿宋" w:hAnsi="仿宋" w:eastAsia="仿宋" w:cs="仿宋"/>
          <w:b/>
          <w:bCs/>
          <w:spacing w:val="-14"/>
          <w:lang w:val="en-US" w:eastAsia="zh-CN"/>
        </w:rPr>
        <w:t>2026</w:t>
      </w:r>
      <w:r>
        <w:rPr>
          <w:rFonts w:hint="eastAsia" w:ascii="仿宋" w:hAnsi="仿宋" w:eastAsia="仿宋" w:cs="仿宋"/>
          <w:b/>
          <w:bCs/>
          <w:spacing w:val="-14"/>
        </w:rPr>
        <w:t>年</w:t>
      </w:r>
      <w:r>
        <w:rPr>
          <w:rFonts w:hint="eastAsia" w:cs="仿宋"/>
          <w:b/>
          <w:bCs/>
          <w:spacing w:val="-14"/>
          <w:lang w:val="en-US" w:eastAsia="zh-CN"/>
        </w:rPr>
        <w:t>4</w:t>
      </w:r>
      <w:r>
        <w:rPr>
          <w:rFonts w:hint="eastAsia" w:ascii="仿宋" w:hAnsi="仿宋" w:eastAsia="仿宋" w:cs="仿宋"/>
          <w:b/>
          <w:bCs/>
          <w:spacing w:val="-14"/>
        </w:rPr>
        <w:t>月</w:t>
      </w:r>
    </w:p>
    <w:p w14:paraId="4C3B9E80">
      <w:pPr>
        <w:spacing w:line="223" w:lineRule="auto"/>
        <w:sectPr>
          <w:pgSz w:w="11905" w:h="16838"/>
          <w:pgMar w:top="1440" w:right="1803" w:bottom="1440" w:left="1803" w:header="0" w:footer="975" w:gutter="0"/>
          <w:cols w:space="0" w:num="1"/>
          <w:rtlGutter w:val="0"/>
          <w:docGrid w:linePitch="0" w:charSpace="0"/>
        </w:sectPr>
      </w:pPr>
    </w:p>
    <w:sdt>
      <w:sdtPr>
        <w:rPr>
          <w:rFonts w:hint="eastAsia" w:ascii="仿宋" w:hAnsi="仿宋" w:eastAsia="仿宋" w:cs="仿宋"/>
          <w:snapToGrid w:val="0"/>
          <w:color w:val="000000"/>
          <w:kern w:val="0"/>
          <w:sz w:val="28"/>
          <w:szCs w:val="28"/>
          <w:lang w:val="en-US" w:eastAsia="en-US" w:bidi="ar-SA"/>
        </w:rPr>
        <w:id w:val="147451042"/>
        <w15:color w:val="DBDBDB"/>
        <w:docPartObj>
          <w:docPartGallery w:val="Table of Contents"/>
          <w:docPartUnique/>
        </w:docPartObj>
      </w:sdtPr>
      <w:sdtEndPr>
        <w:rPr>
          <w:rFonts w:hint="eastAsia" w:ascii="仿宋" w:hAnsi="仿宋" w:eastAsia="仿宋" w:cs="仿宋"/>
          <w:snapToGrid w:val="0"/>
          <w:color w:val="000000"/>
          <w:kern w:val="0"/>
          <w:sz w:val="28"/>
          <w:szCs w:val="28"/>
          <w:lang w:val="en-US" w:eastAsia="en-US" w:bidi="ar-SA"/>
        </w:rPr>
      </w:sdtEndPr>
      <w:sdtContent>
        <w:p w14:paraId="7AEBF46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36"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目录</w:t>
          </w:r>
        </w:p>
        <w:p w14:paraId="1FE4D65E">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_Toc15002 </w:instrText>
          </w:r>
          <w:r>
            <w:rPr>
              <w:rFonts w:hint="eastAsia" w:ascii="仿宋" w:hAnsi="仿宋" w:eastAsia="仿宋" w:cs="仿宋"/>
              <w:sz w:val="28"/>
              <w:szCs w:val="28"/>
            </w:rPr>
            <w:fldChar w:fldCharType="separate"/>
          </w:r>
          <w:r>
            <w:rPr>
              <w:rFonts w:hint="eastAsia" w:ascii="仿宋" w:hAnsi="仿宋" w:eastAsia="仿宋" w:cs="仿宋"/>
              <w:bCs/>
              <w:spacing w:val="-5"/>
              <w:sz w:val="28"/>
              <w:szCs w:val="28"/>
            </w:rPr>
            <w:t>第一章</w:t>
          </w:r>
          <w:r>
            <w:rPr>
              <w:rFonts w:hint="eastAsia" w:ascii="仿宋" w:hAnsi="仿宋" w:eastAsia="仿宋" w:cs="仿宋"/>
              <w:bCs/>
              <w:spacing w:val="-5"/>
              <w:sz w:val="28"/>
              <w:szCs w:val="28"/>
              <w:lang w:val="en-US" w:eastAsia="zh-CN"/>
            </w:rPr>
            <w:t xml:space="preserve"> </w:t>
          </w:r>
          <w:r>
            <w:rPr>
              <w:rFonts w:hint="eastAsia" w:ascii="仿宋" w:hAnsi="仿宋" w:eastAsia="仿宋" w:cs="仿宋"/>
              <w:bCs/>
              <w:spacing w:val="2"/>
              <w:sz w:val="28"/>
              <w:szCs w:val="28"/>
            </w:rPr>
            <w:t>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_Toc15002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3BD34F7">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_Toc30130 </w:instrText>
          </w:r>
          <w:r>
            <w:rPr>
              <w:rFonts w:hint="eastAsia" w:ascii="仿宋" w:hAnsi="仿宋" w:eastAsia="仿宋" w:cs="仿宋"/>
              <w:sz w:val="28"/>
              <w:szCs w:val="28"/>
            </w:rPr>
            <w:fldChar w:fldCharType="separate"/>
          </w:r>
          <w:r>
            <w:rPr>
              <w:rFonts w:hint="eastAsia" w:ascii="仿宋" w:hAnsi="仿宋" w:eastAsia="仿宋" w:cs="仿宋"/>
              <w:bCs/>
              <w:spacing w:val="4"/>
              <w:sz w:val="28"/>
              <w:szCs w:val="28"/>
            </w:rPr>
            <w:t>第二章</w:t>
          </w:r>
          <w:r>
            <w:rPr>
              <w:rFonts w:hint="eastAsia" w:ascii="仿宋" w:hAnsi="仿宋" w:eastAsia="仿宋" w:cs="仿宋"/>
              <w:spacing w:val="4"/>
              <w:sz w:val="28"/>
              <w:szCs w:val="28"/>
            </w:rPr>
            <w:t xml:space="preserve">  </w:t>
          </w:r>
          <w:r>
            <w:rPr>
              <w:rFonts w:hint="eastAsia" w:ascii="仿宋" w:hAnsi="仿宋" w:eastAsia="仿宋" w:cs="仿宋"/>
              <w:bCs/>
              <w:spacing w:val="4"/>
              <w:sz w:val="28"/>
              <w:szCs w:val="28"/>
            </w:rPr>
            <w:t>投标人须知前附表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_Toc30130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4426E1">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_Toc25759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第三章</w:t>
          </w:r>
          <w:r>
            <w:rPr>
              <w:rFonts w:hint="eastAsia" w:ascii="仿宋" w:hAnsi="仿宋" w:eastAsia="仿宋" w:cs="仿宋"/>
              <w:spacing w:val="18"/>
              <w:sz w:val="28"/>
              <w:szCs w:val="28"/>
            </w:rPr>
            <w:t xml:space="preserve">  </w:t>
          </w:r>
          <w:r>
            <w:rPr>
              <w:rFonts w:hint="eastAsia" w:ascii="仿宋" w:hAnsi="仿宋" w:eastAsia="仿宋" w:cs="仿宋"/>
              <w:bCs/>
              <w:sz w:val="28"/>
              <w:szCs w:val="28"/>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_Toc25759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7C6C51">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_Toc1195 </w:instrText>
          </w:r>
          <w:r>
            <w:rPr>
              <w:rFonts w:hint="eastAsia" w:ascii="仿宋" w:hAnsi="仿宋" w:eastAsia="仿宋" w:cs="仿宋"/>
              <w:sz w:val="28"/>
              <w:szCs w:val="28"/>
            </w:rPr>
            <w:fldChar w:fldCharType="separate"/>
          </w:r>
          <w:r>
            <w:rPr>
              <w:rFonts w:hint="eastAsia" w:ascii="仿宋" w:hAnsi="仿宋" w:eastAsia="仿宋" w:cs="仿宋"/>
              <w:bCs/>
              <w:spacing w:val="-8"/>
              <w:sz w:val="28"/>
              <w:szCs w:val="28"/>
              <w:highlight w:val="none"/>
            </w:rPr>
            <w:t>第四章</w:t>
          </w:r>
          <w:r>
            <w:rPr>
              <w:rFonts w:hint="eastAsia" w:ascii="仿宋" w:hAnsi="仿宋" w:eastAsia="仿宋" w:cs="仿宋"/>
              <w:spacing w:val="8"/>
              <w:sz w:val="28"/>
              <w:szCs w:val="28"/>
              <w:highlight w:val="none"/>
            </w:rPr>
            <w:t xml:space="preserve">  </w:t>
          </w:r>
          <w:r>
            <w:rPr>
              <w:rFonts w:hint="eastAsia" w:ascii="仿宋" w:hAnsi="仿宋" w:eastAsia="仿宋" w:cs="仿宋"/>
              <w:bCs/>
              <w:spacing w:val="-8"/>
              <w:sz w:val="28"/>
              <w:szCs w:val="28"/>
              <w:highlight w:val="none"/>
              <w:lang w:val="en-US" w:eastAsia="zh-CN"/>
            </w:rPr>
            <w:t>采购</w:t>
          </w:r>
          <w:r>
            <w:rPr>
              <w:rFonts w:hint="eastAsia" w:ascii="仿宋" w:hAnsi="仿宋" w:eastAsia="仿宋" w:cs="仿宋"/>
              <w:bCs/>
              <w:spacing w:val="-8"/>
              <w:sz w:val="28"/>
              <w:szCs w:val="28"/>
              <w:highlight w:val="none"/>
            </w:rPr>
            <w:t>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_Toc1195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579B513">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_Toc13761 </w:instrText>
          </w:r>
          <w:r>
            <w:rPr>
              <w:rFonts w:hint="eastAsia" w:ascii="仿宋" w:hAnsi="仿宋" w:eastAsia="仿宋" w:cs="仿宋"/>
              <w:sz w:val="28"/>
              <w:szCs w:val="28"/>
            </w:rPr>
            <w:fldChar w:fldCharType="separate"/>
          </w:r>
          <w:r>
            <w:rPr>
              <w:rFonts w:hint="eastAsia" w:ascii="仿宋" w:hAnsi="仿宋" w:eastAsia="仿宋" w:cs="仿宋"/>
              <w:bCs/>
              <w:spacing w:val="1"/>
              <w:sz w:val="28"/>
              <w:szCs w:val="28"/>
            </w:rPr>
            <w:t>第五章</w:t>
          </w:r>
          <w:r>
            <w:rPr>
              <w:rFonts w:hint="eastAsia" w:ascii="仿宋" w:hAnsi="仿宋" w:eastAsia="仿宋" w:cs="仿宋"/>
              <w:spacing w:val="22"/>
              <w:sz w:val="28"/>
              <w:szCs w:val="28"/>
            </w:rPr>
            <w:t xml:space="preserve">  </w:t>
          </w:r>
          <w:r>
            <w:rPr>
              <w:rFonts w:hint="eastAsia" w:ascii="仿宋" w:hAnsi="仿宋" w:eastAsia="仿宋" w:cs="仿宋"/>
              <w:bCs/>
              <w:spacing w:val="1"/>
              <w:sz w:val="28"/>
              <w:szCs w:val="28"/>
            </w:rPr>
            <w:t>评标原则及办法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_Toc13761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6B09A5">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_Toc10177 </w:instrText>
          </w:r>
          <w:r>
            <w:rPr>
              <w:rFonts w:hint="eastAsia" w:ascii="仿宋" w:hAnsi="仿宋" w:eastAsia="仿宋" w:cs="仿宋"/>
              <w:sz w:val="28"/>
              <w:szCs w:val="28"/>
            </w:rPr>
            <w:fldChar w:fldCharType="separate"/>
          </w:r>
          <w:r>
            <w:rPr>
              <w:rFonts w:hint="eastAsia" w:ascii="仿宋" w:hAnsi="仿宋" w:eastAsia="仿宋" w:cs="仿宋"/>
              <w:bCs/>
              <w:spacing w:val="1"/>
              <w:sz w:val="28"/>
              <w:szCs w:val="28"/>
            </w:rPr>
            <w:t>第六章</w:t>
          </w:r>
          <w:r>
            <w:rPr>
              <w:rFonts w:hint="eastAsia" w:ascii="仿宋" w:hAnsi="仿宋" w:eastAsia="仿宋" w:cs="仿宋"/>
              <w:spacing w:val="26"/>
              <w:sz w:val="28"/>
              <w:szCs w:val="28"/>
            </w:rPr>
            <w:t xml:space="preserve">  </w:t>
          </w:r>
          <w:r>
            <w:rPr>
              <w:rFonts w:hint="eastAsia" w:ascii="仿宋" w:hAnsi="仿宋" w:eastAsia="仿宋" w:cs="仿宋"/>
              <w:bCs/>
              <w:spacing w:val="1"/>
              <w:sz w:val="28"/>
              <w:szCs w:val="28"/>
            </w:rPr>
            <w:t>合同条款（仅供参考）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_Toc10177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3491F9D">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_Toc22310 </w:instrText>
          </w:r>
          <w:r>
            <w:rPr>
              <w:rFonts w:hint="eastAsia" w:ascii="仿宋" w:hAnsi="仿宋" w:eastAsia="仿宋" w:cs="仿宋"/>
              <w:sz w:val="28"/>
              <w:szCs w:val="28"/>
            </w:rPr>
            <w:fldChar w:fldCharType="separate"/>
          </w:r>
          <w:r>
            <w:rPr>
              <w:rFonts w:hint="eastAsia" w:ascii="仿宋" w:hAnsi="仿宋" w:eastAsia="仿宋" w:cs="仿宋"/>
              <w:bCs/>
              <w:spacing w:val="-7"/>
              <w:sz w:val="28"/>
              <w:szCs w:val="28"/>
            </w:rPr>
            <w:t>第七章</w:t>
          </w:r>
          <w:r>
            <w:rPr>
              <w:rFonts w:hint="eastAsia" w:ascii="仿宋" w:hAnsi="仿宋" w:eastAsia="仿宋" w:cs="仿宋"/>
              <w:spacing w:val="23"/>
              <w:sz w:val="28"/>
              <w:szCs w:val="28"/>
            </w:rPr>
            <w:t xml:space="preserve">  </w:t>
          </w:r>
          <w:r>
            <w:rPr>
              <w:rFonts w:hint="eastAsia" w:ascii="仿宋" w:hAnsi="仿宋" w:eastAsia="仿宋" w:cs="仿宋"/>
              <w:bCs/>
              <w:spacing w:val="-7"/>
              <w:sz w:val="28"/>
              <w:szCs w:val="28"/>
            </w:rPr>
            <w:t>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_Toc22310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C22BFB3">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_Toc14646 </w:instrText>
          </w:r>
          <w:r>
            <w:rPr>
              <w:rFonts w:hint="eastAsia" w:ascii="仿宋" w:hAnsi="仿宋" w:eastAsia="仿宋" w:cs="仿宋"/>
              <w:sz w:val="28"/>
              <w:szCs w:val="28"/>
            </w:rPr>
            <w:fldChar w:fldCharType="separate"/>
          </w:r>
          <w:r>
            <w:rPr>
              <w:rFonts w:hint="eastAsia" w:ascii="仿宋" w:hAnsi="仿宋" w:eastAsia="仿宋" w:cs="仿宋"/>
              <w:bCs/>
              <w:spacing w:val="-20"/>
              <w:sz w:val="28"/>
              <w:szCs w:val="28"/>
            </w:rPr>
            <w:t>附件</w:t>
          </w:r>
          <w:r>
            <w:rPr>
              <w:rFonts w:hint="eastAsia" w:ascii="仿宋" w:hAnsi="仿宋" w:eastAsia="仿宋" w:cs="仿宋"/>
              <w:spacing w:val="-40"/>
              <w:sz w:val="28"/>
              <w:szCs w:val="28"/>
            </w:rPr>
            <w:t xml:space="preserve"> </w:t>
          </w:r>
          <w:r>
            <w:rPr>
              <w:rFonts w:hint="eastAsia" w:ascii="仿宋" w:hAnsi="仿宋" w:eastAsia="仿宋" w:cs="仿宋"/>
              <w:bCs/>
              <w:spacing w:val="-20"/>
              <w:sz w:val="28"/>
              <w:szCs w:val="28"/>
            </w:rPr>
            <w:t>1：</w:t>
          </w:r>
          <w:r>
            <w:rPr>
              <w:rFonts w:hint="eastAsia" w:ascii="仿宋" w:hAnsi="仿宋" w:eastAsia="仿宋" w:cs="仿宋"/>
              <w:bCs/>
              <w:spacing w:val="-5"/>
              <w:sz w:val="28"/>
              <w:szCs w:val="28"/>
            </w:rPr>
            <w:t>投标文件封面格式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_Toc14646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D6380DF">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_Toc247 </w:instrText>
          </w:r>
          <w:r>
            <w:rPr>
              <w:rFonts w:hint="eastAsia" w:ascii="仿宋" w:hAnsi="仿宋" w:eastAsia="仿宋" w:cs="仿宋"/>
              <w:sz w:val="28"/>
              <w:szCs w:val="28"/>
            </w:rPr>
            <w:fldChar w:fldCharType="separate"/>
          </w:r>
          <w:r>
            <w:rPr>
              <w:rFonts w:hint="eastAsia" w:ascii="仿宋" w:hAnsi="仿宋" w:eastAsia="仿宋" w:cs="仿宋"/>
              <w:bCs/>
              <w:spacing w:val="-4"/>
              <w:sz w:val="28"/>
              <w:szCs w:val="28"/>
            </w:rPr>
            <w:t>附件</w:t>
          </w:r>
          <w:r>
            <w:rPr>
              <w:rFonts w:hint="eastAsia" w:ascii="仿宋" w:hAnsi="仿宋" w:eastAsia="仿宋" w:cs="仿宋"/>
              <w:spacing w:val="-60"/>
              <w:sz w:val="28"/>
              <w:szCs w:val="28"/>
            </w:rPr>
            <w:t xml:space="preserve"> </w:t>
          </w:r>
          <w:r>
            <w:rPr>
              <w:rFonts w:hint="eastAsia" w:ascii="仿宋" w:hAnsi="仿宋" w:eastAsia="仿宋" w:cs="仿宋"/>
              <w:bCs/>
              <w:spacing w:val="-4"/>
              <w:sz w:val="28"/>
              <w:szCs w:val="28"/>
            </w:rPr>
            <w:t>2:</w:t>
          </w:r>
          <w:r>
            <w:rPr>
              <w:rFonts w:hint="eastAsia" w:ascii="仿宋" w:hAnsi="仿宋" w:eastAsia="仿宋" w:cs="仿宋"/>
              <w:bCs/>
              <w:spacing w:val="-4"/>
              <w:sz w:val="28"/>
              <w:szCs w:val="28"/>
              <w:lang w:val="en-US" w:eastAsia="zh-CN"/>
            </w:rPr>
            <w:t xml:space="preserve">   </w:t>
          </w:r>
          <w:r>
            <w:rPr>
              <w:rFonts w:hint="eastAsia" w:ascii="仿宋" w:hAnsi="仿宋" w:eastAsia="仿宋" w:cs="仿宋"/>
              <w:bCs/>
              <w:spacing w:val="-16"/>
              <w:sz w:val="28"/>
              <w:szCs w:val="28"/>
            </w:rPr>
            <w:t>投</w:t>
          </w:r>
          <w:r>
            <w:rPr>
              <w:rFonts w:hint="eastAsia" w:ascii="仿宋" w:hAnsi="仿宋" w:eastAsia="仿宋" w:cs="仿宋"/>
              <w:spacing w:val="9"/>
              <w:sz w:val="28"/>
              <w:szCs w:val="28"/>
            </w:rPr>
            <w:t xml:space="preserve">  </w:t>
          </w:r>
          <w:r>
            <w:rPr>
              <w:rFonts w:hint="eastAsia" w:ascii="仿宋" w:hAnsi="仿宋" w:eastAsia="仿宋" w:cs="仿宋"/>
              <w:bCs/>
              <w:spacing w:val="-16"/>
              <w:sz w:val="28"/>
              <w:szCs w:val="28"/>
            </w:rPr>
            <w:t>标</w:t>
          </w:r>
          <w:r>
            <w:rPr>
              <w:rFonts w:hint="eastAsia" w:ascii="仿宋" w:hAnsi="仿宋" w:eastAsia="仿宋" w:cs="仿宋"/>
              <w:spacing w:val="24"/>
              <w:sz w:val="28"/>
              <w:szCs w:val="28"/>
            </w:rPr>
            <w:t xml:space="preserve">  </w:t>
          </w:r>
          <w:r>
            <w:rPr>
              <w:rFonts w:hint="eastAsia" w:ascii="仿宋" w:hAnsi="仿宋" w:eastAsia="仿宋" w:cs="仿宋"/>
              <w:bCs/>
              <w:spacing w:val="-16"/>
              <w:sz w:val="28"/>
              <w:szCs w:val="28"/>
            </w:rPr>
            <w:t>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_Toc247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B4906F">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_Toc25557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3：</w:t>
          </w:r>
          <w:r>
            <w:rPr>
              <w:rFonts w:hint="eastAsia" w:ascii="仿宋" w:hAnsi="仿宋" w:eastAsia="仿宋" w:cs="仿宋"/>
              <w:bCs/>
              <w:spacing w:val="-6"/>
              <w:sz w:val="28"/>
              <w:szCs w:val="28"/>
            </w:rPr>
            <w:t>法定代表人身份证明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_Toc25557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A538FFA">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_Toc16654 </w:instrText>
          </w:r>
          <w:r>
            <w:rPr>
              <w:rFonts w:hint="eastAsia" w:ascii="仿宋" w:hAnsi="仿宋" w:eastAsia="仿宋" w:cs="仿宋"/>
              <w:sz w:val="28"/>
              <w:szCs w:val="28"/>
            </w:rPr>
            <w:fldChar w:fldCharType="separate"/>
          </w:r>
          <w:r>
            <w:rPr>
              <w:rFonts w:hint="eastAsia" w:ascii="仿宋" w:hAnsi="仿宋" w:eastAsia="仿宋" w:cs="仿宋"/>
              <w:bCs/>
              <w:spacing w:val="-14"/>
              <w:sz w:val="28"/>
              <w:szCs w:val="28"/>
            </w:rPr>
            <w:t>附件</w:t>
          </w:r>
          <w:r>
            <w:rPr>
              <w:rFonts w:hint="eastAsia" w:ascii="仿宋" w:hAnsi="仿宋" w:eastAsia="仿宋" w:cs="仿宋"/>
              <w:spacing w:val="-64"/>
              <w:sz w:val="28"/>
              <w:szCs w:val="28"/>
            </w:rPr>
            <w:t xml:space="preserve"> </w:t>
          </w:r>
          <w:r>
            <w:rPr>
              <w:rFonts w:hint="eastAsia" w:ascii="仿宋" w:hAnsi="仿宋" w:eastAsia="仿宋" w:cs="仿宋"/>
              <w:bCs/>
              <w:spacing w:val="-14"/>
              <w:sz w:val="28"/>
              <w:szCs w:val="28"/>
            </w:rPr>
            <w:t>4：</w:t>
          </w:r>
          <w:r>
            <w:rPr>
              <w:rFonts w:hint="eastAsia" w:ascii="仿宋" w:hAnsi="仿宋" w:eastAsia="仿宋" w:cs="仿宋"/>
              <w:bCs/>
              <w:spacing w:val="-7"/>
              <w:sz w:val="28"/>
              <w:szCs w:val="28"/>
            </w:rPr>
            <w:t>授权委托书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_Toc16654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B1E18AB">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_Toc15196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5：</w:t>
          </w:r>
          <w:r>
            <w:rPr>
              <w:rFonts w:hint="eastAsia" w:ascii="仿宋" w:hAnsi="仿宋" w:eastAsia="仿宋" w:cs="仿宋"/>
              <w:bCs/>
              <w:spacing w:val="-5"/>
              <w:sz w:val="28"/>
              <w:szCs w:val="28"/>
            </w:rPr>
            <w:t>投标人资格证明材料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_Toc15196 \h </w:instrText>
          </w:r>
          <w:r>
            <w:rPr>
              <w:rFonts w:hint="eastAsia" w:ascii="仿宋" w:hAnsi="仿宋" w:eastAsia="仿宋" w:cs="仿宋"/>
              <w:sz w:val="28"/>
              <w:szCs w:val="28"/>
            </w:rPr>
            <w:fldChar w:fldCharType="separate"/>
          </w:r>
          <w:r>
            <w:rPr>
              <w:rFonts w:hint="eastAsia" w:ascii="仿宋" w:hAnsi="仿宋" w:eastAsia="仿宋" w:cs="仿宋"/>
              <w:sz w:val="28"/>
              <w:szCs w:val="28"/>
            </w:rPr>
            <w:t>40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23831A6">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_Toc27699 </w:instrText>
          </w:r>
          <w:r>
            <w:rPr>
              <w:rFonts w:hint="eastAsia" w:ascii="仿宋" w:hAnsi="仿宋" w:eastAsia="仿宋" w:cs="仿宋"/>
              <w:sz w:val="28"/>
              <w:szCs w:val="28"/>
            </w:rPr>
            <w:fldChar w:fldCharType="separate"/>
          </w:r>
          <w:r>
            <w:rPr>
              <w:rFonts w:hint="eastAsia" w:ascii="仿宋" w:hAnsi="仿宋" w:eastAsia="仿宋" w:cs="仿宋"/>
              <w:bCs/>
              <w:spacing w:val="-15"/>
              <w:sz w:val="28"/>
              <w:szCs w:val="28"/>
            </w:rPr>
            <w:t>附件</w:t>
          </w:r>
          <w:r>
            <w:rPr>
              <w:rFonts w:hint="eastAsia" w:ascii="仿宋" w:hAnsi="仿宋" w:eastAsia="仿宋" w:cs="仿宋"/>
              <w:spacing w:val="-60"/>
              <w:sz w:val="28"/>
              <w:szCs w:val="28"/>
            </w:rPr>
            <w:t xml:space="preserve"> </w:t>
          </w:r>
          <w:r>
            <w:rPr>
              <w:rFonts w:hint="eastAsia" w:ascii="仿宋" w:hAnsi="仿宋" w:eastAsia="仿宋" w:cs="仿宋"/>
              <w:bCs/>
              <w:spacing w:val="-15"/>
              <w:sz w:val="28"/>
              <w:szCs w:val="28"/>
            </w:rPr>
            <w:t>6：</w:t>
          </w:r>
          <w:r>
            <w:rPr>
              <w:rFonts w:hint="eastAsia" w:ascii="仿宋" w:hAnsi="仿宋" w:eastAsia="仿宋" w:cs="仿宋"/>
              <w:bCs/>
              <w:spacing w:val="-4"/>
              <w:sz w:val="28"/>
              <w:szCs w:val="28"/>
            </w:rPr>
            <w:t>投标报价表（开标一览表）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_Toc27699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718545">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_Toc14678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7：</w:t>
          </w:r>
          <w:r>
            <w:rPr>
              <w:rFonts w:hint="eastAsia" w:ascii="仿宋" w:hAnsi="仿宋" w:eastAsia="仿宋" w:cs="仿宋"/>
              <w:bCs/>
              <w:sz w:val="28"/>
              <w:szCs w:val="28"/>
              <w:highlight w:val="none"/>
              <w:lang w:val="en-US" w:eastAsia="zh-CN"/>
            </w:rPr>
            <w:t>采购</w:t>
          </w:r>
          <w:r>
            <w:rPr>
              <w:rFonts w:hint="eastAsia" w:ascii="仿宋" w:hAnsi="仿宋" w:eastAsia="仿宋" w:cs="仿宋"/>
              <w:bCs/>
              <w:sz w:val="28"/>
              <w:szCs w:val="28"/>
              <w:highlight w:val="none"/>
            </w:rPr>
            <w:t>需求偏离表格式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_Toc14678 \h </w:instrText>
          </w:r>
          <w:r>
            <w:rPr>
              <w:rFonts w:hint="eastAsia" w:ascii="仿宋" w:hAnsi="仿宋" w:eastAsia="仿宋" w:cs="仿宋"/>
              <w:sz w:val="28"/>
              <w:szCs w:val="28"/>
            </w:rPr>
            <w:fldChar w:fldCharType="separate"/>
          </w:r>
          <w:r>
            <w:rPr>
              <w:rFonts w:hint="eastAsia" w:ascii="仿宋" w:hAnsi="仿宋" w:eastAsia="仿宋" w:cs="仿宋"/>
              <w:sz w:val="28"/>
              <w:szCs w:val="28"/>
            </w:rPr>
            <w:t>43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0BBDF41">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_Toc13865 </w:instrText>
          </w:r>
          <w:r>
            <w:rPr>
              <w:rFonts w:hint="eastAsia" w:ascii="仿宋" w:hAnsi="仿宋" w:eastAsia="仿宋" w:cs="仿宋"/>
              <w:sz w:val="28"/>
              <w:szCs w:val="28"/>
            </w:rPr>
            <w:fldChar w:fldCharType="separate"/>
          </w:r>
          <w:r>
            <w:rPr>
              <w:rFonts w:hint="eastAsia" w:ascii="仿宋" w:hAnsi="仿宋" w:eastAsia="仿宋" w:cs="仿宋"/>
              <w:bCs/>
              <w:spacing w:val="-15"/>
              <w:sz w:val="28"/>
              <w:szCs w:val="28"/>
            </w:rPr>
            <w:t>附件</w:t>
          </w:r>
          <w:r>
            <w:rPr>
              <w:rFonts w:hint="eastAsia" w:ascii="仿宋" w:hAnsi="仿宋" w:eastAsia="仿宋" w:cs="仿宋"/>
              <w:bCs/>
              <w:spacing w:val="-60"/>
              <w:sz w:val="28"/>
              <w:szCs w:val="28"/>
            </w:rPr>
            <w:t xml:space="preserve"> </w:t>
          </w:r>
          <w:r>
            <w:rPr>
              <w:rFonts w:hint="eastAsia" w:ascii="仿宋" w:hAnsi="仿宋" w:eastAsia="仿宋" w:cs="仿宋"/>
              <w:bCs/>
              <w:spacing w:val="-60"/>
              <w:sz w:val="28"/>
              <w:szCs w:val="28"/>
              <w:lang w:val="en-US" w:eastAsia="zh-CN"/>
            </w:rPr>
            <w:t>8：</w:t>
          </w:r>
          <w:r>
            <w:rPr>
              <w:rFonts w:hint="eastAsia" w:ascii="仿宋" w:hAnsi="仿宋" w:eastAsia="仿宋" w:cs="仿宋"/>
              <w:bCs/>
              <w:spacing w:val="-6"/>
              <w:sz w:val="28"/>
              <w:szCs w:val="28"/>
            </w:rPr>
            <w:t>公司业绩一览表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_Toc13865 \h </w:instrText>
          </w:r>
          <w:r>
            <w:rPr>
              <w:rFonts w:hint="eastAsia" w:ascii="仿宋" w:hAnsi="仿宋" w:eastAsia="仿宋" w:cs="仿宋"/>
              <w:sz w:val="28"/>
              <w:szCs w:val="28"/>
            </w:rPr>
            <w:fldChar w:fldCharType="separate"/>
          </w:r>
          <w:r>
            <w:rPr>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2B7E99E">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_Toc18800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lang w:val="en-US" w:eastAsia="zh-CN"/>
            </w:rPr>
            <w:t>9</w:t>
          </w:r>
          <w:r>
            <w:rPr>
              <w:rFonts w:hint="eastAsia" w:ascii="仿宋" w:hAnsi="仿宋" w:eastAsia="仿宋" w:cs="仿宋"/>
              <w:bCs/>
              <w:spacing w:val="-16"/>
              <w:sz w:val="28"/>
              <w:szCs w:val="28"/>
            </w:rPr>
            <w:t>：</w:t>
          </w:r>
          <w:r>
            <w:rPr>
              <w:rFonts w:hint="eastAsia" w:ascii="仿宋" w:hAnsi="仿宋" w:eastAsia="仿宋" w:cs="仿宋"/>
              <w:bCs/>
              <w:spacing w:val="-16"/>
              <w:sz w:val="28"/>
              <w:szCs w:val="28"/>
              <w:lang w:val="zh-CN" w:eastAsia="zh-CN"/>
            </w:rPr>
            <w:t>项目人员配备情况表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_Toc18800 \h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C43A6F">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_Toc3852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10：</w:t>
          </w:r>
          <w:r>
            <w:rPr>
              <w:rFonts w:hint="eastAsia" w:ascii="仿宋" w:hAnsi="仿宋" w:eastAsia="仿宋" w:cs="仿宋"/>
              <w:bCs/>
              <w:smallCaps w:val="0"/>
              <w:spacing w:val="0"/>
              <w:position w:val="0"/>
              <w:sz w:val="28"/>
              <w:szCs w:val="28"/>
              <w:highlight w:val="none"/>
              <w:lang w:val="zh-CN" w:eastAsia="zh-CN" w:bidi="zh-CN"/>
            </w:rPr>
            <w:t>其他商务技术文件材料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_Toc3852 \h </w:instrText>
          </w:r>
          <w:r>
            <w:rPr>
              <w:rFonts w:hint="eastAsia" w:ascii="仿宋" w:hAnsi="仿宋" w:eastAsia="仿宋" w:cs="仿宋"/>
              <w:sz w:val="28"/>
              <w:szCs w:val="28"/>
            </w:rPr>
            <w:fldChar w:fldCharType="separate"/>
          </w:r>
          <w:r>
            <w:rPr>
              <w:rFonts w:hint="eastAsia" w:ascii="仿宋" w:hAnsi="仿宋" w:eastAsia="仿宋" w:cs="仿宋"/>
              <w:sz w:val="28"/>
              <w:szCs w:val="28"/>
            </w:rPr>
            <w:t>46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9534F63">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_Toc10707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1</w:t>
          </w:r>
          <w:r>
            <w:rPr>
              <w:rFonts w:hint="eastAsia" w:ascii="仿宋" w:hAnsi="仿宋" w:eastAsia="仿宋" w:cs="仿宋"/>
              <w:bCs/>
              <w:spacing w:val="-16"/>
              <w:sz w:val="28"/>
              <w:szCs w:val="28"/>
            </w:rPr>
            <w:t>：</w:t>
          </w:r>
          <w:r>
            <w:rPr>
              <w:rFonts w:hint="eastAsia" w:ascii="仿宋" w:hAnsi="仿宋" w:eastAsia="仿宋" w:cs="仿宋"/>
              <w:bCs/>
              <w:spacing w:val="2"/>
              <w:sz w:val="28"/>
              <w:szCs w:val="28"/>
            </w:rPr>
            <w:t>中小企业声明函（服务）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_Toc10707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E057AB9">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_Toc6364 </w:instrText>
          </w:r>
          <w:r>
            <w:rPr>
              <w:rFonts w:hint="eastAsia" w:ascii="仿宋" w:hAnsi="仿宋" w:eastAsia="仿宋" w:cs="仿宋"/>
              <w:sz w:val="28"/>
              <w:szCs w:val="28"/>
            </w:rPr>
            <w:fldChar w:fldCharType="separate"/>
          </w:r>
          <w:r>
            <w:rPr>
              <w:rFonts w:hint="eastAsia" w:ascii="仿宋" w:hAnsi="仿宋" w:eastAsia="仿宋" w:cs="仿宋"/>
              <w:bCs/>
              <w:spacing w:val="-11"/>
              <w:sz w:val="28"/>
              <w:szCs w:val="28"/>
            </w:rPr>
            <w:t>附件</w:t>
          </w:r>
          <w:r>
            <w:rPr>
              <w:rFonts w:hint="eastAsia" w:ascii="仿宋" w:hAnsi="仿宋" w:eastAsia="仿宋" w:cs="仿宋"/>
              <w:spacing w:val="-40"/>
              <w:sz w:val="28"/>
              <w:szCs w:val="28"/>
            </w:rPr>
            <w:t xml:space="preserve"> </w:t>
          </w:r>
          <w:r>
            <w:rPr>
              <w:rFonts w:hint="eastAsia" w:ascii="仿宋" w:hAnsi="仿宋" w:eastAsia="仿宋" w:cs="仿宋"/>
              <w:bCs/>
              <w:spacing w:val="-11"/>
              <w:sz w:val="28"/>
              <w:szCs w:val="28"/>
            </w:rPr>
            <w:t>1</w:t>
          </w:r>
          <w:r>
            <w:rPr>
              <w:rFonts w:hint="eastAsia" w:ascii="仿宋" w:hAnsi="仿宋" w:eastAsia="仿宋" w:cs="仿宋"/>
              <w:bCs/>
              <w:spacing w:val="-11"/>
              <w:sz w:val="28"/>
              <w:szCs w:val="28"/>
              <w:lang w:val="en-US" w:eastAsia="zh-CN"/>
            </w:rPr>
            <w:t>2</w:t>
          </w:r>
          <w:r>
            <w:rPr>
              <w:rFonts w:hint="eastAsia" w:ascii="仿宋" w:hAnsi="仿宋" w:eastAsia="仿宋" w:cs="仿宋"/>
              <w:bCs/>
              <w:spacing w:val="-11"/>
              <w:sz w:val="28"/>
              <w:szCs w:val="28"/>
            </w:rPr>
            <w:t>：</w:t>
          </w:r>
          <w:r>
            <w:rPr>
              <w:rFonts w:hint="eastAsia" w:ascii="仿宋" w:hAnsi="仿宋" w:eastAsia="仿宋" w:cs="仿宋"/>
              <w:bCs/>
              <w:spacing w:val="6"/>
              <w:sz w:val="28"/>
              <w:szCs w:val="28"/>
            </w:rPr>
            <w:t>残疾人福利性单位声明函</w:t>
          </w:r>
          <w:r>
            <w:rPr>
              <w:rFonts w:hint="eastAsia" w:ascii="仿宋" w:hAnsi="仿宋" w:eastAsia="仿宋" w:cs="仿宋"/>
              <w:bCs/>
              <w:spacing w:val="-9"/>
              <w:sz w:val="28"/>
              <w:szCs w:val="28"/>
            </w:rPr>
            <w:t>（如有）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_Toc6364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865EB1D">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_Toc18196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3</w:t>
          </w:r>
          <w:r>
            <w:rPr>
              <w:rFonts w:hint="eastAsia" w:ascii="仿宋" w:hAnsi="仿宋" w:eastAsia="仿宋" w:cs="仿宋"/>
              <w:bCs/>
              <w:spacing w:val="-16"/>
              <w:sz w:val="28"/>
              <w:szCs w:val="28"/>
            </w:rPr>
            <w:t>：</w:t>
          </w:r>
          <w:r>
            <w:rPr>
              <w:rFonts w:hint="eastAsia" w:ascii="仿宋" w:hAnsi="仿宋" w:eastAsia="仿宋" w:cs="仿宋"/>
              <w:bCs/>
              <w:spacing w:val="-7"/>
              <w:sz w:val="28"/>
              <w:szCs w:val="28"/>
            </w:rPr>
            <w:t>监狱企业声明函</w:t>
          </w:r>
          <w:r>
            <w:rPr>
              <w:rFonts w:hint="eastAsia" w:ascii="仿宋" w:hAnsi="仿宋" w:eastAsia="仿宋" w:cs="仿宋"/>
              <w:spacing w:val="-3"/>
              <w:sz w:val="28"/>
              <w:szCs w:val="28"/>
            </w:rPr>
            <w:t>（监狱企业适用）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_Toc18196 \h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0761493">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_Toc24104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4</w:t>
          </w:r>
          <w:r>
            <w:rPr>
              <w:rFonts w:hint="eastAsia" w:ascii="仿宋" w:hAnsi="仿宋" w:eastAsia="仿宋" w:cs="仿宋"/>
              <w:bCs/>
              <w:spacing w:val="-16"/>
              <w:sz w:val="28"/>
              <w:szCs w:val="28"/>
            </w:rPr>
            <w:t>：</w:t>
          </w:r>
          <w:r>
            <w:rPr>
              <w:rFonts w:hint="eastAsia" w:ascii="仿宋" w:hAnsi="仿宋" w:eastAsia="仿宋" w:cs="仿宋"/>
              <w:bCs/>
              <w:spacing w:val="-4"/>
              <w:sz w:val="28"/>
              <w:szCs w:val="28"/>
            </w:rPr>
            <w:t>投标保证金汇款凭证</w:t>
          </w:r>
          <w:r>
            <w:rPr>
              <w:rFonts w:hint="eastAsia" w:ascii="仿宋" w:hAnsi="仿宋" w:eastAsia="仿宋" w:cs="仿宋"/>
              <w:bCs/>
              <w:spacing w:val="-4"/>
              <w:sz w:val="28"/>
              <w:szCs w:val="28"/>
              <w:lang w:val="en-US" w:eastAsia="zh-CN"/>
            </w:rPr>
            <w:t>和退还保证金说明函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_Toc24104 \h </w:instrText>
          </w:r>
          <w:r>
            <w:rPr>
              <w:rFonts w:hint="eastAsia" w:ascii="仿宋" w:hAnsi="仿宋" w:eastAsia="仿宋" w:cs="仿宋"/>
              <w:sz w:val="28"/>
              <w:szCs w:val="28"/>
            </w:rPr>
            <w:fldChar w:fldCharType="separate"/>
          </w:r>
          <w:r>
            <w:rPr>
              <w:rFonts w:hint="eastAsia" w:ascii="仿宋" w:hAnsi="仿宋" w:eastAsia="仿宋" w:cs="仿宋"/>
              <w:sz w:val="28"/>
              <w:szCs w:val="28"/>
            </w:rPr>
            <w:t>50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E9956B7">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_Toc14501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5</w:t>
          </w:r>
          <w:r>
            <w:rPr>
              <w:rFonts w:hint="eastAsia" w:ascii="仿宋" w:hAnsi="仿宋" w:eastAsia="仿宋" w:cs="仿宋"/>
              <w:bCs/>
              <w:spacing w:val="-16"/>
              <w:sz w:val="28"/>
              <w:szCs w:val="28"/>
            </w:rPr>
            <w:t>：</w:t>
          </w:r>
          <w:r>
            <w:rPr>
              <w:rFonts w:hint="eastAsia" w:ascii="仿宋" w:hAnsi="仿宋" w:eastAsia="仿宋" w:cs="仿宋"/>
              <w:bCs/>
              <w:spacing w:val="-16"/>
              <w:sz w:val="28"/>
              <w:szCs w:val="28"/>
              <w:lang w:val="zh-CN" w:eastAsia="zh-CN"/>
            </w:rPr>
            <w:t>代理服务费承诺函格式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_Toc14501 \h </w:instrText>
          </w:r>
          <w:r>
            <w:rPr>
              <w:rFonts w:hint="eastAsia" w:ascii="仿宋" w:hAnsi="仿宋" w:eastAsia="仿宋" w:cs="仿宋"/>
              <w:sz w:val="28"/>
              <w:szCs w:val="28"/>
            </w:rPr>
            <w:fldChar w:fldCharType="separate"/>
          </w:r>
          <w:r>
            <w:rPr>
              <w:rFonts w:hint="eastAsia" w:ascii="仿宋" w:hAnsi="仿宋" w:eastAsia="仿宋" w:cs="仿宋"/>
              <w:sz w:val="28"/>
              <w:szCs w:val="28"/>
            </w:rPr>
            <w:t>52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8B76B0D">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_Toc31536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 xml:space="preserve">6 </w:t>
          </w:r>
          <w:r>
            <w:rPr>
              <w:rFonts w:hint="eastAsia" w:ascii="仿宋" w:hAnsi="仿宋" w:eastAsia="仿宋" w:cs="仿宋"/>
              <w:i w:val="0"/>
              <w:iCs w:val="0"/>
              <w:spacing w:val="0"/>
              <w:sz w:val="28"/>
              <w:szCs w:val="28"/>
            </w:rPr>
            <w:t>同意</w:t>
          </w:r>
          <w:r>
            <w:rPr>
              <w:rFonts w:hint="eastAsia" w:ascii="仿宋" w:hAnsi="仿宋" w:eastAsia="仿宋" w:cs="仿宋"/>
              <w:i w:val="0"/>
              <w:iCs w:val="0"/>
              <w:spacing w:val="0"/>
              <w:sz w:val="28"/>
              <w:szCs w:val="28"/>
              <w:lang w:eastAsia="zh-CN"/>
            </w:rPr>
            <w:t>招标文件</w:t>
          </w:r>
          <w:r>
            <w:rPr>
              <w:rFonts w:hint="eastAsia" w:ascii="仿宋" w:hAnsi="仿宋" w:eastAsia="仿宋" w:cs="仿宋"/>
              <w:i w:val="0"/>
              <w:iCs w:val="0"/>
              <w:spacing w:val="0"/>
              <w:sz w:val="28"/>
              <w:szCs w:val="28"/>
            </w:rPr>
            <w:t>条款声明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_Toc31536 \h </w:instrText>
          </w:r>
          <w:r>
            <w:rPr>
              <w:rFonts w:hint="eastAsia" w:ascii="仿宋" w:hAnsi="仿宋" w:eastAsia="仿宋" w:cs="仿宋"/>
              <w:sz w:val="28"/>
              <w:szCs w:val="28"/>
            </w:rPr>
            <w:fldChar w:fldCharType="separate"/>
          </w:r>
          <w:r>
            <w:rPr>
              <w:rFonts w:hint="eastAsia" w:ascii="仿宋" w:hAnsi="仿宋" w:eastAsia="仿宋" w:cs="仿宋"/>
              <w:sz w:val="28"/>
              <w:szCs w:val="28"/>
            </w:rPr>
            <w:t>54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FF9DC6">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_Toc27133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 xml:space="preserve">7 </w:t>
          </w:r>
          <w:r>
            <w:rPr>
              <w:rFonts w:hint="eastAsia" w:ascii="仿宋" w:hAnsi="仿宋" w:eastAsia="仿宋" w:cs="仿宋"/>
              <w:i w:val="0"/>
              <w:iCs w:val="0"/>
              <w:spacing w:val="0"/>
              <w:sz w:val="28"/>
              <w:szCs w:val="28"/>
            </w:rPr>
            <w:t>虚假应标承担责任声明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_Toc27133 \h </w:instrText>
          </w:r>
          <w:r>
            <w:rPr>
              <w:rFonts w:hint="eastAsia" w:ascii="仿宋" w:hAnsi="仿宋" w:eastAsia="仿宋" w:cs="仿宋"/>
              <w:sz w:val="28"/>
              <w:szCs w:val="28"/>
            </w:rPr>
            <w:fldChar w:fldCharType="separate"/>
          </w:r>
          <w:r>
            <w:rPr>
              <w:rFonts w:hint="eastAsia" w:ascii="仿宋" w:hAnsi="仿宋" w:eastAsia="仿宋" w:cs="仿宋"/>
              <w:sz w:val="28"/>
              <w:szCs w:val="28"/>
            </w:rPr>
            <w:t>55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080F62">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_Toc13560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8</w:t>
          </w:r>
          <w:r>
            <w:rPr>
              <w:rFonts w:hint="eastAsia" w:ascii="仿宋" w:hAnsi="仿宋" w:eastAsia="仿宋" w:cs="仿宋"/>
              <w:bCs/>
              <w:spacing w:val="-16"/>
              <w:sz w:val="28"/>
              <w:szCs w:val="28"/>
            </w:rPr>
            <w:t>：</w:t>
          </w:r>
          <w:r>
            <w:rPr>
              <w:rFonts w:hint="eastAsia" w:ascii="仿宋" w:hAnsi="仿宋" w:eastAsia="仿宋" w:cs="仿宋"/>
              <w:bCs/>
              <w:spacing w:val="-4"/>
              <w:sz w:val="28"/>
              <w:szCs w:val="28"/>
            </w:rPr>
            <w:t>投标人认为有必要提交的其他相关证明材料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_Toc13560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DC5F03A">
          <w:pPr>
            <w:keepNext w:val="0"/>
            <w:keepLines w:val="0"/>
            <w:pageBreakBefore w:val="0"/>
            <w:widowControl/>
            <w:kinsoku w:val="0"/>
            <w:wordWrap/>
            <w:overflowPunct/>
            <w:topLinePunct w:val="0"/>
            <w:autoSpaceDE w:val="0"/>
            <w:autoSpaceDN w:val="0"/>
            <w:bidi w:val="0"/>
            <w:adjustRightInd w:val="0"/>
            <w:snapToGrid w:val="0"/>
            <w:spacing w:line="336" w:lineRule="auto"/>
            <w:textAlignment w:val="baseline"/>
          </w:pPr>
          <w:r>
            <w:rPr>
              <w:rFonts w:hint="eastAsia" w:ascii="仿宋" w:hAnsi="仿宋" w:eastAsia="仿宋" w:cs="仿宋"/>
              <w:sz w:val="28"/>
              <w:szCs w:val="28"/>
            </w:rPr>
            <w:fldChar w:fldCharType="end"/>
          </w:r>
        </w:p>
      </w:sdtContent>
    </w:sdt>
    <w:p w14:paraId="16C1F594">
      <w:pPr>
        <w:pStyle w:val="7"/>
        <w:spacing w:before="238" w:line="228" w:lineRule="auto"/>
        <w:jc w:val="center"/>
        <w:outlineLvl w:val="0"/>
        <w:rPr>
          <w:b/>
          <w:bCs/>
          <w:spacing w:val="-5"/>
          <w:sz w:val="32"/>
          <w:szCs w:val="32"/>
        </w:rPr>
        <w:sectPr>
          <w:footerReference r:id="rId5" w:type="default"/>
          <w:pgSz w:w="11905" w:h="16838"/>
          <w:pgMar w:top="1440" w:right="1482" w:bottom="1440" w:left="1603" w:header="0" w:footer="975" w:gutter="0"/>
          <w:cols w:space="0" w:num="1"/>
          <w:rtlGutter w:val="0"/>
          <w:docGrid w:linePitch="0" w:charSpace="0"/>
        </w:sectPr>
      </w:pPr>
    </w:p>
    <w:p w14:paraId="7EAE4082">
      <w:pPr>
        <w:pStyle w:val="7"/>
        <w:spacing w:before="238" w:line="228" w:lineRule="auto"/>
        <w:jc w:val="center"/>
        <w:outlineLvl w:val="0"/>
        <w:rPr>
          <w:rFonts w:hint="eastAsia" w:eastAsia="仿宋"/>
          <w:sz w:val="32"/>
          <w:szCs w:val="32"/>
          <w:lang w:val="en-US" w:eastAsia="zh-CN"/>
        </w:rPr>
      </w:pPr>
      <w:bookmarkStart w:id="0" w:name="_Toc15002"/>
      <w:r>
        <w:rPr>
          <w:b/>
          <w:bCs/>
          <w:spacing w:val="-5"/>
          <w:sz w:val="32"/>
          <w:szCs w:val="32"/>
        </w:rPr>
        <w:t>第一章</w:t>
      </w:r>
      <w:r>
        <w:rPr>
          <w:rFonts w:hint="eastAsia"/>
          <w:b/>
          <w:bCs/>
          <w:spacing w:val="-5"/>
          <w:sz w:val="32"/>
          <w:szCs w:val="32"/>
          <w:lang w:val="en-US" w:eastAsia="zh-CN"/>
        </w:rPr>
        <w:t xml:space="preserve"> </w:t>
      </w:r>
      <w:r>
        <w:rPr>
          <w:b/>
          <w:bCs/>
          <w:spacing w:val="2"/>
          <w:sz w:val="32"/>
          <w:szCs w:val="32"/>
        </w:rPr>
        <w:t>招标公告</w:t>
      </w:r>
      <w:bookmarkEnd w:id="0"/>
    </w:p>
    <w:p w14:paraId="38A70BC8">
      <w:pPr>
        <w:pStyle w:val="7"/>
        <w:spacing w:before="241" w:line="228" w:lineRule="auto"/>
        <w:jc w:val="center"/>
        <w:rPr>
          <w:sz w:val="30"/>
          <w:szCs w:val="30"/>
        </w:rPr>
      </w:pPr>
      <w:bookmarkStart w:id="1" w:name="bookmark14"/>
      <w:bookmarkEnd w:id="1"/>
      <w:r>
        <w:rPr>
          <w:rFonts w:hint="eastAsia"/>
          <w:b/>
          <w:bCs/>
          <w:spacing w:val="2"/>
          <w:sz w:val="30"/>
          <w:szCs w:val="30"/>
          <w:lang w:val="en-US" w:eastAsia="zh-CN"/>
        </w:rPr>
        <w:t>乌鲁木齐市第十二中学（乌鲁木齐市外国语学校）理化生实验室实验用仪器设备项目公开</w:t>
      </w:r>
      <w:r>
        <w:rPr>
          <w:b/>
          <w:bCs/>
          <w:spacing w:val="2"/>
          <w:sz w:val="30"/>
          <w:szCs w:val="30"/>
        </w:rPr>
        <w:t>招标公告</w:t>
      </w:r>
    </w:p>
    <w:p w14:paraId="7BFCC366">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Arial"/>
          <w:sz w:val="24"/>
          <w:szCs w:val="24"/>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201295</wp:posOffset>
                </wp:positionV>
                <wp:extent cx="1828800" cy="1828800"/>
                <wp:effectExtent l="4445" t="4445" r="14605" b="14605"/>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18B8BA">
                            <w:pPr>
                              <w:pStyle w:val="7"/>
                              <w:keepNext w:val="0"/>
                              <w:keepLines w:val="0"/>
                              <w:pageBreakBefore w:val="0"/>
                              <w:widowControl/>
                              <w:kinsoku w:val="0"/>
                              <w:wordWrap/>
                              <w:overflowPunct/>
                              <w:topLinePunct w:val="0"/>
                              <w:bidi w:val="0"/>
                              <w:adjustRightInd w:val="0"/>
                              <w:snapToGrid w:val="0"/>
                              <w:spacing w:line="360" w:lineRule="auto"/>
                              <w:ind w:left="0"/>
                              <w:textAlignment w:val="baseline"/>
                              <w:rPr>
                                <w:sz w:val="24"/>
                                <w:szCs w:val="24"/>
                              </w:rPr>
                            </w:pPr>
                            <w:r>
                              <w:rPr>
                                <w:spacing w:val="-5"/>
                                <w:sz w:val="24"/>
                                <w:szCs w:val="24"/>
                              </w:rPr>
                              <w:t>项目概况</w:t>
                            </w:r>
                          </w:p>
                          <w:p w14:paraId="2A1CD602">
                            <w:pPr>
                              <w:pStyle w:val="7"/>
                              <w:keepNext w:val="0"/>
                              <w:keepLines w:val="0"/>
                              <w:pageBreakBefore w:val="0"/>
                              <w:widowControl/>
                              <w:kinsoku w:val="0"/>
                              <w:wordWrap/>
                              <w:overflowPunct/>
                              <w:topLinePunct w:val="0"/>
                              <w:bidi w:val="0"/>
                              <w:adjustRightInd w:val="0"/>
                              <w:snapToGrid w:val="0"/>
                              <w:spacing w:line="312" w:lineRule="auto"/>
                              <w:ind w:left="0" w:firstLine="476" w:firstLineChars="200"/>
                              <w:jc w:val="both"/>
                              <w:textAlignment w:val="baseline"/>
                              <w:rPr>
                                <w:sz w:val="24"/>
                                <w:szCs w:val="24"/>
                              </w:rPr>
                            </w:pPr>
                            <w:r>
                              <w:rPr>
                                <w:rFonts w:hint="eastAsia"/>
                                <w:spacing w:val="-1"/>
                                <w:sz w:val="24"/>
                                <w:szCs w:val="24"/>
                                <w:lang w:eastAsia="zh-CN"/>
                              </w:rPr>
                              <w:t>乌鲁木齐市第十二中学（乌鲁木齐市外国语学校）理化生实验室实验用仪器设备项目</w:t>
                            </w:r>
                            <w:r>
                              <w:rPr>
                                <w:spacing w:val="-1"/>
                                <w:sz w:val="24"/>
                                <w:szCs w:val="24"/>
                              </w:rPr>
                              <w:t>的潜在投标人应</w:t>
                            </w:r>
                            <w:r>
                              <w:rPr>
                                <w:rFonts w:hint="eastAsia"/>
                                <w:spacing w:val="-1"/>
                                <w:sz w:val="24"/>
                                <w:szCs w:val="24"/>
                                <w:lang w:eastAsia="zh-CN"/>
                              </w:rPr>
                              <w:t>在</w:t>
                            </w:r>
                            <w:r>
                              <w:rPr>
                                <w:spacing w:val="-1"/>
                                <w:sz w:val="24"/>
                                <w:szCs w:val="24"/>
                              </w:rPr>
                              <w:t>新疆政府采购网政采云平台（www.zcygov.cn）</w:t>
                            </w:r>
                            <w:r>
                              <w:rPr>
                                <w:rFonts w:hint="eastAsia"/>
                                <w:spacing w:val="-1"/>
                                <w:sz w:val="24"/>
                                <w:szCs w:val="24"/>
                              </w:rPr>
                              <w:t>获取招标文件</w:t>
                            </w:r>
                            <w:r>
                              <w:rPr>
                                <w:spacing w:val="-4"/>
                                <w:sz w:val="24"/>
                                <w:szCs w:val="24"/>
                              </w:rPr>
                              <w:t>，</w:t>
                            </w:r>
                            <w:r>
                              <w:rPr>
                                <w:color w:val="FF0000"/>
                                <w:spacing w:val="-4"/>
                                <w:sz w:val="24"/>
                                <w:szCs w:val="24"/>
                                <w:highlight w:val="none"/>
                              </w:rPr>
                              <w:t>并于</w:t>
                            </w:r>
                            <w:r>
                              <w:rPr>
                                <w:color w:val="FF0000"/>
                                <w:spacing w:val="-49"/>
                                <w:sz w:val="24"/>
                                <w:szCs w:val="24"/>
                                <w:highlight w:val="none"/>
                              </w:rPr>
                              <w:t xml:space="preserve"> </w:t>
                            </w:r>
                            <w:r>
                              <w:rPr>
                                <w:color w:val="FF0000"/>
                                <w:spacing w:val="-4"/>
                                <w:sz w:val="24"/>
                                <w:szCs w:val="24"/>
                                <w:highlight w:val="none"/>
                              </w:rPr>
                              <w:t>202</w:t>
                            </w:r>
                            <w:r>
                              <w:rPr>
                                <w:rFonts w:hint="eastAsia"/>
                                <w:color w:val="FF0000"/>
                                <w:spacing w:val="-4"/>
                                <w:sz w:val="24"/>
                                <w:szCs w:val="24"/>
                                <w:highlight w:val="none"/>
                                <w:lang w:val="en-US" w:eastAsia="zh-CN"/>
                              </w:rPr>
                              <w:t>6</w:t>
                            </w:r>
                            <w:r>
                              <w:rPr>
                                <w:color w:val="FF0000"/>
                                <w:spacing w:val="-4"/>
                                <w:sz w:val="24"/>
                                <w:szCs w:val="24"/>
                                <w:highlight w:val="none"/>
                              </w:rPr>
                              <w:t>年</w:t>
                            </w:r>
                            <w:r>
                              <w:rPr>
                                <w:rFonts w:hint="eastAsia"/>
                                <w:color w:val="FF0000"/>
                                <w:spacing w:val="-4"/>
                                <w:sz w:val="24"/>
                                <w:szCs w:val="24"/>
                                <w:highlight w:val="none"/>
                                <w:lang w:val="en-US" w:eastAsia="zh-CN"/>
                              </w:rPr>
                              <w:t>05</w:t>
                            </w:r>
                            <w:r>
                              <w:rPr>
                                <w:color w:val="FF0000"/>
                                <w:spacing w:val="-4"/>
                                <w:sz w:val="24"/>
                                <w:szCs w:val="24"/>
                                <w:highlight w:val="none"/>
                              </w:rPr>
                              <w:t>月</w:t>
                            </w:r>
                            <w:r>
                              <w:rPr>
                                <w:rFonts w:hint="eastAsia"/>
                                <w:color w:val="FF0000"/>
                                <w:spacing w:val="-4"/>
                                <w:sz w:val="24"/>
                                <w:szCs w:val="24"/>
                                <w:highlight w:val="none"/>
                                <w:lang w:val="en-US" w:eastAsia="zh-CN"/>
                              </w:rPr>
                              <w:t>12</w:t>
                            </w:r>
                            <w:r>
                              <w:rPr>
                                <w:color w:val="FF0000"/>
                                <w:spacing w:val="-4"/>
                                <w:sz w:val="24"/>
                                <w:szCs w:val="24"/>
                                <w:highlight w:val="none"/>
                              </w:rPr>
                              <w:t>日</w:t>
                            </w:r>
                            <w:r>
                              <w:rPr>
                                <w:color w:val="FF0000"/>
                                <w:spacing w:val="-34"/>
                                <w:sz w:val="24"/>
                                <w:szCs w:val="24"/>
                                <w:highlight w:val="none"/>
                              </w:rPr>
                              <w:t xml:space="preserve"> </w:t>
                            </w:r>
                            <w:r>
                              <w:rPr>
                                <w:color w:val="FF0000"/>
                                <w:spacing w:val="-4"/>
                                <w:sz w:val="24"/>
                                <w:szCs w:val="24"/>
                                <w:highlight w:val="none"/>
                              </w:rPr>
                              <w:t>1</w:t>
                            </w:r>
                            <w:r>
                              <w:rPr>
                                <w:color w:val="FF0000"/>
                                <w:spacing w:val="-5"/>
                                <w:sz w:val="24"/>
                                <w:szCs w:val="24"/>
                                <w:highlight w:val="none"/>
                              </w:rPr>
                              <w:t>1:00</w:t>
                            </w:r>
                            <w:r>
                              <w:rPr>
                                <w:color w:val="FF0000"/>
                                <w:spacing w:val="-5"/>
                                <w:sz w:val="24"/>
                                <w:szCs w:val="24"/>
                              </w:rPr>
                              <w:t>（北京时间）</w:t>
                            </w:r>
                            <w:r>
                              <w:rPr>
                                <w:spacing w:val="-5"/>
                                <w:sz w:val="24"/>
                                <w:szCs w:val="24"/>
                              </w:rPr>
                              <w:t>前递交</w:t>
                            </w:r>
                            <w:r>
                              <w:rPr>
                                <w:spacing w:val="-4"/>
                                <w:sz w:val="24"/>
                                <w:szCs w:val="24"/>
                              </w:rPr>
                              <w:t>投标文件。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pt;margin-top:15.85pt;height:144pt;width:144pt;mso-wrap-distance-bottom:0pt;mso-wrap-distance-left:9pt;mso-wrap-distance-right:9pt;mso-wrap-distance-top:0pt;mso-wrap-style:none;z-index:251661312;mso-width-relative:page;mso-height-relative:page;" fillcolor="#FFFFFF [3201]" filled="t" stroked="t" coordsize="21600,21600" o:gfxdata="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DBP8DXAAAACQEAAA8A&#10;AAAAAAAAAQAgAAAAIgAAAGRycy9kb3ducmV2LnhtbFBLAQIUABQAAAAIAIdO4kB+X5PQUQIAALYE&#10;AAAOAAAAAAAAAAEAIAAAACYBAABkcnMvZTJvRG9jLnhtbFBLBQYAAAAABgAGAFkBAADpBQAAAAA=&#10;">
                <v:fill on="t" focussize="0,0"/>
                <v:stroke weight="0.5pt" color="#000000 [3204]" joinstyle="round"/>
                <v:imagedata o:title=""/>
                <o:lock v:ext="edit" aspectratio="f"/>
                <v:textbox style="mso-fit-shape-to-text:t;">
                  <w:txbxContent>
                    <w:p w14:paraId="4E18B8BA">
                      <w:pPr>
                        <w:pStyle w:val="7"/>
                        <w:keepNext w:val="0"/>
                        <w:keepLines w:val="0"/>
                        <w:pageBreakBefore w:val="0"/>
                        <w:widowControl/>
                        <w:kinsoku w:val="0"/>
                        <w:wordWrap/>
                        <w:overflowPunct/>
                        <w:topLinePunct w:val="0"/>
                        <w:bidi w:val="0"/>
                        <w:adjustRightInd w:val="0"/>
                        <w:snapToGrid w:val="0"/>
                        <w:spacing w:line="360" w:lineRule="auto"/>
                        <w:ind w:left="0"/>
                        <w:textAlignment w:val="baseline"/>
                        <w:rPr>
                          <w:sz w:val="24"/>
                          <w:szCs w:val="24"/>
                        </w:rPr>
                      </w:pPr>
                      <w:r>
                        <w:rPr>
                          <w:spacing w:val="-5"/>
                          <w:sz w:val="24"/>
                          <w:szCs w:val="24"/>
                        </w:rPr>
                        <w:t>项目概况</w:t>
                      </w:r>
                    </w:p>
                    <w:p w14:paraId="2A1CD602">
                      <w:pPr>
                        <w:pStyle w:val="7"/>
                        <w:keepNext w:val="0"/>
                        <w:keepLines w:val="0"/>
                        <w:pageBreakBefore w:val="0"/>
                        <w:widowControl/>
                        <w:kinsoku w:val="0"/>
                        <w:wordWrap/>
                        <w:overflowPunct/>
                        <w:topLinePunct w:val="0"/>
                        <w:bidi w:val="0"/>
                        <w:adjustRightInd w:val="0"/>
                        <w:snapToGrid w:val="0"/>
                        <w:spacing w:line="312" w:lineRule="auto"/>
                        <w:ind w:left="0" w:firstLine="476" w:firstLineChars="200"/>
                        <w:jc w:val="both"/>
                        <w:textAlignment w:val="baseline"/>
                        <w:rPr>
                          <w:sz w:val="24"/>
                          <w:szCs w:val="24"/>
                        </w:rPr>
                      </w:pPr>
                      <w:r>
                        <w:rPr>
                          <w:rFonts w:hint="eastAsia"/>
                          <w:spacing w:val="-1"/>
                          <w:sz w:val="24"/>
                          <w:szCs w:val="24"/>
                          <w:lang w:eastAsia="zh-CN"/>
                        </w:rPr>
                        <w:t>乌鲁木齐市第十二中学（乌鲁木齐市外国语学校）理化生实验室实验用仪器设备项目</w:t>
                      </w:r>
                      <w:r>
                        <w:rPr>
                          <w:spacing w:val="-1"/>
                          <w:sz w:val="24"/>
                          <w:szCs w:val="24"/>
                        </w:rPr>
                        <w:t>的潜在投标人应</w:t>
                      </w:r>
                      <w:r>
                        <w:rPr>
                          <w:rFonts w:hint="eastAsia"/>
                          <w:spacing w:val="-1"/>
                          <w:sz w:val="24"/>
                          <w:szCs w:val="24"/>
                          <w:lang w:eastAsia="zh-CN"/>
                        </w:rPr>
                        <w:t>在</w:t>
                      </w:r>
                      <w:r>
                        <w:rPr>
                          <w:spacing w:val="-1"/>
                          <w:sz w:val="24"/>
                          <w:szCs w:val="24"/>
                        </w:rPr>
                        <w:t>新疆政府采购网政采云平台（www.zcygov.cn）</w:t>
                      </w:r>
                      <w:r>
                        <w:rPr>
                          <w:rFonts w:hint="eastAsia"/>
                          <w:spacing w:val="-1"/>
                          <w:sz w:val="24"/>
                          <w:szCs w:val="24"/>
                        </w:rPr>
                        <w:t>获取招标文件</w:t>
                      </w:r>
                      <w:r>
                        <w:rPr>
                          <w:spacing w:val="-4"/>
                          <w:sz w:val="24"/>
                          <w:szCs w:val="24"/>
                        </w:rPr>
                        <w:t>，</w:t>
                      </w:r>
                      <w:r>
                        <w:rPr>
                          <w:color w:val="FF0000"/>
                          <w:spacing w:val="-4"/>
                          <w:sz w:val="24"/>
                          <w:szCs w:val="24"/>
                          <w:highlight w:val="none"/>
                        </w:rPr>
                        <w:t>并于</w:t>
                      </w:r>
                      <w:r>
                        <w:rPr>
                          <w:color w:val="FF0000"/>
                          <w:spacing w:val="-49"/>
                          <w:sz w:val="24"/>
                          <w:szCs w:val="24"/>
                          <w:highlight w:val="none"/>
                        </w:rPr>
                        <w:t xml:space="preserve"> </w:t>
                      </w:r>
                      <w:r>
                        <w:rPr>
                          <w:color w:val="FF0000"/>
                          <w:spacing w:val="-4"/>
                          <w:sz w:val="24"/>
                          <w:szCs w:val="24"/>
                          <w:highlight w:val="none"/>
                        </w:rPr>
                        <w:t>202</w:t>
                      </w:r>
                      <w:r>
                        <w:rPr>
                          <w:rFonts w:hint="eastAsia"/>
                          <w:color w:val="FF0000"/>
                          <w:spacing w:val="-4"/>
                          <w:sz w:val="24"/>
                          <w:szCs w:val="24"/>
                          <w:highlight w:val="none"/>
                          <w:lang w:val="en-US" w:eastAsia="zh-CN"/>
                        </w:rPr>
                        <w:t>6</w:t>
                      </w:r>
                      <w:r>
                        <w:rPr>
                          <w:color w:val="FF0000"/>
                          <w:spacing w:val="-4"/>
                          <w:sz w:val="24"/>
                          <w:szCs w:val="24"/>
                          <w:highlight w:val="none"/>
                        </w:rPr>
                        <w:t>年</w:t>
                      </w:r>
                      <w:r>
                        <w:rPr>
                          <w:rFonts w:hint="eastAsia"/>
                          <w:color w:val="FF0000"/>
                          <w:spacing w:val="-4"/>
                          <w:sz w:val="24"/>
                          <w:szCs w:val="24"/>
                          <w:highlight w:val="none"/>
                          <w:lang w:val="en-US" w:eastAsia="zh-CN"/>
                        </w:rPr>
                        <w:t>05</w:t>
                      </w:r>
                      <w:r>
                        <w:rPr>
                          <w:color w:val="FF0000"/>
                          <w:spacing w:val="-4"/>
                          <w:sz w:val="24"/>
                          <w:szCs w:val="24"/>
                          <w:highlight w:val="none"/>
                        </w:rPr>
                        <w:t>月</w:t>
                      </w:r>
                      <w:r>
                        <w:rPr>
                          <w:rFonts w:hint="eastAsia"/>
                          <w:color w:val="FF0000"/>
                          <w:spacing w:val="-4"/>
                          <w:sz w:val="24"/>
                          <w:szCs w:val="24"/>
                          <w:highlight w:val="none"/>
                          <w:lang w:val="en-US" w:eastAsia="zh-CN"/>
                        </w:rPr>
                        <w:t>12</w:t>
                      </w:r>
                      <w:r>
                        <w:rPr>
                          <w:color w:val="FF0000"/>
                          <w:spacing w:val="-4"/>
                          <w:sz w:val="24"/>
                          <w:szCs w:val="24"/>
                          <w:highlight w:val="none"/>
                        </w:rPr>
                        <w:t>日</w:t>
                      </w:r>
                      <w:r>
                        <w:rPr>
                          <w:color w:val="FF0000"/>
                          <w:spacing w:val="-34"/>
                          <w:sz w:val="24"/>
                          <w:szCs w:val="24"/>
                          <w:highlight w:val="none"/>
                        </w:rPr>
                        <w:t xml:space="preserve"> </w:t>
                      </w:r>
                      <w:r>
                        <w:rPr>
                          <w:color w:val="FF0000"/>
                          <w:spacing w:val="-4"/>
                          <w:sz w:val="24"/>
                          <w:szCs w:val="24"/>
                          <w:highlight w:val="none"/>
                        </w:rPr>
                        <w:t>1</w:t>
                      </w:r>
                      <w:r>
                        <w:rPr>
                          <w:color w:val="FF0000"/>
                          <w:spacing w:val="-5"/>
                          <w:sz w:val="24"/>
                          <w:szCs w:val="24"/>
                          <w:highlight w:val="none"/>
                        </w:rPr>
                        <w:t>1:00</w:t>
                      </w:r>
                      <w:r>
                        <w:rPr>
                          <w:color w:val="FF0000"/>
                          <w:spacing w:val="-5"/>
                          <w:sz w:val="24"/>
                          <w:szCs w:val="24"/>
                        </w:rPr>
                        <w:t>（北京时间）</w:t>
                      </w:r>
                      <w:r>
                        <w:rPr>
                          <w:spacing w:val="-5"/>
                          <w:sz w:val="24"/>
                          <w:szCs w:val="24"/>
                        </w:rPr>
                        <w:t>前递交</w:t>
                      </w:r>
                      <w:r>
                        <w:rPr>
                          <w:spacing w:val="-4"/>
                          <w:sz w:val="24"/>
                          <w:szCs w:val="24"/>
                        </w:rPr>
                        <w:t>投标文件。</w:t>
                      </w:r>
                    </w:p>
                  </w:txbxContent>
                </v:textbox>
                <w10:wrap type="square"/>
              </v:shape>
            </w:pict>
          </mc:Fallback>
        </mc:AlternateContent>
      </w:r>
      <w:r>
        <w:rPr>
          <w:b/>
          <w:bCs/>
          <w:spacing w:val="-5"/>
          <w:sz w:val="24"/>
          <w:szCs w:val="24"/>
        </w:rPr>
        <w:t>一、项目基本情况</w:t>
      </w:r>
    </w:p>
    <w:p w14:paraId="4ADFC133">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sz w:val="24"/>
          <w:szCs w:val="24"/>
          <w:lang w:eastAsia="zh-CN"/>
        </w:rPr>
      </w:pPr>
      <w:r>
        <w:rPr>
          <w:spacing w:val="-1"/>
          <w:sz w:val="24"/>
          <w:szCs w:val="24"/>
        </w:rPr>
        <w:t>项目编号：</w:t>
      </w:r>
      <w:r>
        <w:rPr>
          <w:rFonts w:hint="eastAsia"/>
          <w:spacing w:val="-1"/>
          <w:sz w:val="24"/>
          <w:szCs w:val="24"/>
          <w:lang w:eastAsia="zh-CN"/>
        </w:rPr>
        <w:t>XJCY2026-HWCG005</w:t>
      </w:r>
    </w:p>
    <w:p w14:paraId="547B4D68">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sz w:val="24"/>
          <w:szCs w:val="24"/>
          <w:lang w:eastAsia="zh-CN"/>
        </w:rPr>
      </w:pPr>
      <w:r>
        <w:rPr>
          <w:spacing w:val="-2"/>
          <w:sz w:val="24"/>
          <w:szCs w:val="24"/>
        </w:rPr>
        <w:t>项目名称：</w:t>
      </w:r>
      <w:r>
        <w:rPr>
          <w:rFonts w:hint="eastAsia"/>
          <w:color w:val="auto"/>
          <w:spacing w:val="-1"/>
          <w:sz w:val="24"/>
          <w:szCs w:val="24"/>
          <w:highlight w:val="none"/>
          <w:lang w:eastAsia="zh-CN"/>
        </w:rPr>
        <w:t>乌鲁木齐市第十二中学（乌鲁木齐市外国语学校）理化生实验室实验用仪器设备项目</w:t>
      </w:r>
    </w:p>
    <w:p w14:paraId="4AE963E3">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采购方式：公开招标</w:t>
      </w:r>
    </w:p>
    <w:p w14:paraId="3A370CBC">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3"/>
          <w:sz w:val="24"/>
          <w:szCs w:val="24"/>
        </w:rPr>
        <w:t>预算金额（元</w:t>
      </w:r>
      <w:r>
        <w:rPr>
          <w:spacing w:val="14"/>
          <w:sz w:val="24"/>
          <w:szCs w:val="24"/>
        </w:rPr>
        <w:t>）：</w:t>
      </w:r>
      <w:r>
        <w:rPr>
          <w:rFonts w:hint="eastAsia"/>
          <w:spacing w:val="-3"/>
          <w:sz w:val="24"/>
          <w:szCs w:val="24"/>
          <w:lang w:val="en-US" w:eastAsia="zh-CN"/>
        </w:rPr>
        <w:t>179124.1</w:t>
      </w:r>
    </w:p>
    <w:p w14:paraId="5107AD55">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highlight w:val="none"/>
        </w:rPr>
      </w:pPr>
      <w:r>
        <w:rPr>
          <w:spacing w:val="-4"/>
          <w:sz w:val="24"/>
          <w:szCs w:val="24"/>
          <w:highlight w:val="none"/>
        </w:rPr>
        <w:t>最高限价（元</w:t>
      </w:r>
      <w:r>
        <w:rPr>
          <w:spacing w:val="20"/>
          <w:sz w:val="24"/>
          <w:szCs w:val="24"/>
          <w:highlight w:val="none"/>
        </w:rPr>
        <w:t>）：</w:t>
      </w:r>
      <w:r>
        <w:rPr>
          <w:rFonts w:hint="eastAsia"/>
          <w:spacing w:val="-3"/>
          <w:sz w:val="24"/>
          <w:szCs w:val="24"/>
          <w:lang w:val="en-US" w:eastAsia="zh-CN"/>
        </w:rPr>
        <w:t>179124.1</w:t>
      </w:r>
    </w:p>
    <w:p w14:paraId="79053258">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sz w:val="24"/>
          <w:szCs w:val="24"/>
          <w:lang w:eastAsia="zh-CN"/>
        </w:rPr>
      </w:pPr>
      <w:r>
        <w:rPr>
          <w:spacing w:val="-4"/>
          <w:sz w:val="24"/>
          <w:szCs w:val="24"/>
        </w:rPr>
        <w:t>采购需求：</w:t>
      </w:r>
    </w:p>
    <w:p w14:paraId="491B5797">
      <w:pPr>
        <w:pStyle w:val="7"/>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sz w:val="24"/>
          <w:szCs w:val="24"/>
        </w:rPr>
      </w:pPr>
      <w:r>
        <w:rPr>
          <w:spacing w:val="4"/>
          <w:sz w:val="24"/>
          <w:szCs w:val="24"/>
        </w:rPr>
        <w:t>标项一:</w:t>
      </w:r>
    </w:p>
    <w:p w14:paraId="2A3ADD36">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sz w:val="24"/>
          <w:szCs w:val="24"/>
          <w:lang w:eastAsia="zh-CN"/>
        </w:rPr>
      </w:pPr>
      <w:r>
        <w:rPr>
          <w:spacing w:val="-2"/>
          <w:sz w:val="24"/>
          <w:szCs w:val="24"/>
        </w:rPr>
        <w:t>标项名称:</w:t>
      </w:r>
      <w:r>
        <w:rPr>
          <w:rFonts w:hint="eastAsia"/>
          <w:spacing w:val="-2"/>
          <w:sz w:val="24"/>
          <w:szCs w:val="24"/>
          <w:lang w:eastAsia="zh-CN"/>
        </w:rPr>
        <w:t>乌鲁木齐市第十二中学（乌鲁木齐市外国语学校）理化生实验室实验用仪器设备项目</w:t>
      </w:r>
    </w:p>
    <w:p w14:paraId="5B30E629">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4"/>
          <w:sz w:val="24"/>
          <w:szCs w:val="24"/>
        </w:rPr>
        <w:t>数量:</w:t>
      </w:r>
      <w:r>
        <w:rPr>
          <w:spacing w:val="26"/>
          <w:sz w:val="24"/>
          <w:szCs w:val="24"/>
        </w:rPr>
        <w:t xml:space="preserve"> </w:t>
      </w:r>
      <w:r>
        <w:rPr>
          <w:spacing w:val="-4"/>
          <w:sz w:val="24"/>
          <w:szCs w:val="24"/>
        </w:rPr>
        <w:t>1</w:t>
      </w:r>
    </w:p>
    <w:p w14:paraId="271ECE15">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eastAsia="仿宋"/>
          <w:spacing w:val="-1"/>
          <w:sz w:val="24"/>
          <w:szCs w:val="24"/>
          <w:highlight w:val="none"/>
          <w:lang w:val="en-US" w:eastAsia="zh-CN"/>
        </w:rPr>
      </w:pPr>
      <w:r>
        <w:rPr>
          <w:rFonts w:hint="eastAsia"/>
          <w:spacing w:val="-1"/>
          <w:sz w:val="24"/>
          <w:szCs w:val="24"/>
          <w:highlight w:val="none"/>
          <w:lang w:val="en-US" w:eastAsia="zh-CN"/>
        </w:rPr>
        <w:t>单位：批</w:t>
      </w:r>
    </w:p>
    <w:p w14:paraId="1033E9DB">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8"/>
        <w:jc w:val="both"/>
        <w:textAlignment w:val="baseline"/>
        <w:rPr>
          <w:rFonts w:hint="default"/>
          <w:color w:val="auto"/>
          <w:sz w:val="24"/>
          <w:szCs w:val="24"/>
          <w:lang w:val="en-US"/>
        </w:rPr>
      </w:pPr>
      <w:r>
        <w:rPr>
          <w:b/>
          <w:bCs/>
          <w:spacing w:val="-2"/>
          <w:sz w:val="24"/>
          <w:szCs w:val="24"/>
        </w:rPr>
        <w:t>简要规格描述或项目基本概况介绍：</w:t>
      </w:r>
      <w:r>
        <w:rPr>
          <w:rFonts w:hint="eastAsia"/>
          <w:b w:val="0"/>
          <w:bCs w:val="0"/>
          <w:spacing w:val="-2"/>
          <w:sz w:val="24"/>
          <w:szCs w:val="24"/>
          <w:lang w:eastAsia="zh-CN"/>
        </w:rPr>
        <w:t>乌鲁木齐市第十二中学</w:t>
      </w:r>
      <w:r>
        <w:rPr>
          <w:rFonts w:hint="eastAsia"/>
          <w:b w:val="0"/>
          <w:bCs w:val="0"/>
          <w:spacing w:val="-2"/>
          <w:sz w:val="24"/>
          <w:szCs w:val="24"/>
          <w:lang w:val="en-US" w:eastAsia="zh-CN"/>
        </w:rPr>
        <w:t>采购一批</w:t>
      </w:r>
      <w:r>
        <w:rPr>
          <w:rFonts w:hint="eastAsia"/>
          <w:spacing w:val="-2"/>
          <w:sz w:val="24"/>
          <w:szCs w:val="24"/>
          <w:lang w:eastAsia="zh-CN"/>
        </w:rPr>
        <w:t>理化</w:t>
      </w:r>
      <w:r>
        <w:rPr>
          <w:rFonts w:hint="eastAsia"/>
          <w:b w:val="0"/>
          <w:bCs w:val="0"/>
          <w:spacing w:val="-2"/>
          <w:sz w:val="24"/>
          <w:szCs w:val="24"/>
          <w:lang w:eastAsia="zh-CN"/>
        </w:rPr>
        <w:t>实验室仪器设备，</w:t>
      </w:r>
      <w:r>
        <w:rPr>
          <w:rFonts w:hint="eastAsia"/>
          <w:spacing w:val="-2"/>
          <w:sz w:val="24"/>
          <w:szCs w:val="24"/>
          <w:lang w:val="en-US" w:eastAsia="zh-CN"/>
        </w:rPr>
        <w:t>具体要求详见招标文件。</w:t>
      </w:r>
    </w:p>
    <w:p w14:paraId="63428F37">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color w:val="auto"/>
          <w:spacing w:val="-4"/>
          <w:sz w:val="24"/>
          <w:szCs w:val="24"/>
          <w:highlight w:val="none"/>
          <w:lang w:val="en-US" w:eastAsia="zh-CN"/>
        </w:rPr>
      </w:pPr>
      <w:r>
        <w:rPr>
          <w:color w:val="auto"/>
          <w:spacing w:val="-4"/>
          <w:sz w:val="24"/>
          <w:szCs w:val="24"/>
          <w:highlight w:val="none"/>
        </w:rPr>
        <w:t>合同履约期限：</w:t>
      </w:r>
      <w:r>
        <w:rPr>
          <w:rFonts w:hint="eastAsia" w:ascii="仿宋" w:hAnsi="仿宋" w:eastAsia="仿宋" w:cs="仿宋"/>
          <w:snapToGrid w:val="0"/>
          <w:color w:val="auto"/>
          <w:kern w:val="0"/>
          <w:sz w:val="24"/>
          <w:szCs w:val="24"/>
          <w:lang w:val="en-US" w:eastAsia="zh-CN" w:bidi="ar-SA"/>
        </w:rPr>
        <w:t>自合同签订之日起</w:t>
      </w:r>
      <w:r>
        <w:rPr>
          <w:rFonts w:hint="eastAsia" w:cs="仿宋"/>
          <w:snapToGrid w:val="0"/>
          <w:color w:val="auto"/>
          <w:kern w:val="0"/>
          <w:sz w:val="24"/>
          <w:szCs w:val="24"/>
          <w:lang w:val="en-US" w:eastAsia="zh-CN" w:bidi="ar-SA"/>
        </w:rPr>
        <w:t>20日内</w:t>
      </w:r>
      <w:r>
        <w:rPr>
          <w:rFonts w:hint="eastAsia"/>
          <w:color w:val="auto"/>
          <w:spacing w:val="-4"/>
          <w:sz w:val="24"/>
          <w:szCs w:val="24"/>
          <w:highlight w:val="none"/>
          <w:lang w:val="en-US" w:eastAsia="zh-CN"/>
        </w:rPr>
        <w:t>到货</w:t>
      </w:r>
    </w:p>
    <w:p w14:paraId="61246522">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b w:val="0"/>
          <w:bCs w:val="0"/>
          <w:color w:val="auto"/>
          <w:spacing w:val="-9"/>
          <w:sz w:val="24"/>
          <w:szCs w:val="24"/>
        </w:rPr>
      </w:pPr>
      <w:r>
        <w:rPr>
          <w:rFonts w:hint="eastAsia"/>
          <w:b w:val="0"/>
          <w:bCs w:val="0"/>
          <w:color w:val="auto"/>
          <w:spacing w:val="-9"/>
          <w:sz w:val="24"/>
          <w:szCs w:val="24"/>
          <w:lang w:val="en-US" w:eastAsia="zh-CN"/>
        </w:rPr>
        <w:t xml:space="preserve">本项目是否接受联合体投标：□是 </w:t>
      </w:r>
      <w:r>
        <w:rPr>
          <w:b w:val="0"/>
          <w:bCs w:val="0"/>
          <w:color w:val="auto"/>
          <w:spacing w:val="-9"/>
          <w:sz w:val="24"/>
          <w:szCs w:val="24"/>
          <w:lang w:val="en-US" w:eastAsia="zh-CN"/>
        </w:rPr>
        <w:t>☑</w:t>
      </w:r>
      <w:r>
        <w:rPr>
          <w:rFonts w:hint="eastAsia"/>
          <w:b w:val="0"/>
          <w:bCs w:val="0"/>
          <w:color w:val="auto"/>
          <w:spacing w:val="-9"/>
          <w:sz w:val="24"/>
          <w:szCs w:val="24"/>
          <w:lang w:val="en-US" w:eastAsia="zh-CN"/>
        </w:rPr>
        <w:t>否</w:t>
      </w:r>
    </w:p>
    <w:p w14:paraId="0116CD15">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b/>
          <w:bCs/>
          <w:spacing w:val="-9"/>
          <w:sz w:val="24"/>
          <w:szCs w:val="24"/>
        </w:rPr>
        <w:t>二、</w:t>
      </w:r>
      <w:r>
        <w:rPr>
          <w:spacing w:val="-64"/>
          <w:sz w:val="24"/>
          <w:szCs w:val="24"/>
        </w:rPr>
        <w:t xml:space="preserve"> </w:t>
      </w:r>
      <w:r>
        <w:rPr>
          <w:b/>
          <w:bCs/>
          <w:spacing w:val="-9"/>
          <w:sz w:val="24"/>
          <w:szCs w:val="24"/>
        </w:rPr>
        <w:t>申请人的资格要求：</w:t>
      </w:r>
    </w:p>
    <w:p w14:paraId="79730309">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1"/>
          <w:sz w:val="24"/>
          <w:szCs w:val="24"/>
        </w:rPr>
        <w:t>1.满足《中华人民共和国政府采购法》第二十二条规</w:t>
      </w:r>
      <w:r>
        <w:rPr>
          <w:spacing w:val="-2"/>
          <w:sz w:val="24"/>
          <w:szCs w:val="24"/>
        </w:rPr>
        <w:t>定。</w:t>
      </w:r>
    </w:p>
    <w:p w14:paraId="6D4C0844">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b/>
          <w:bCs/>
          <w:color w:val="auto"/>
          <w:sz w:val="24"/>
          <w:szCs w:val="24"/>
          <w:highlight w:val="yellow"/>
          <w:lang w:eastAsia="zh-CN"/>
        </w:rPr>
      </w:pPr>
      <w:r>
        <w:rPr>
          <w:sz w:val="24"/>
          <w:szCs w:val="24"/>
        </w:rPr>
        <w:t>2.落实政府采购政策需满足的资格要求：</w:t>
      </w:r>
      <w:r>
        <w:rPr>
          <w:rFonts w:hint="eastAsia"/>
          <w:b/>
          <w:bCs/>
          <w:color w:val="auto"/>
          <w:sz w:val="24"/>
          <w:szCs w:val="24"/>
          <w:highlight w:val="none"/>
        </w:rPr>
        <w:t>本项目专门面向中小企业，所投产品货物的制造商须为符合采购标的对应行业(工业(制造业))划分标准的中型、小型或微型企业，需提供《中小企业声明函》，投标单位需逐条对所有货物制造商进行填写，遗漏或未填写视为不符合资格条件</w:t>
      </w:r>
      <w:r>
        <w:rPr>
          <w:rFonts w:hint="eastAsia"/>
          <w:b/>
          <w:bCs/>
          <w:color w:val="auto"/>
          <w:sz w:val="24"/>
          <w:szCs w:val="24"/>
          <w:highlight w:val="none"/>
          <w:lang w:eastAsia="zh-CN"/>
        </w:rPr>
        <w:t>。</w:t>
      </w:r>
    </w:p>
    <w:p w14:paraId="6CADBBFA">
      <w:pPr>
        <w:pStyle w:val="7"/>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rFonts w:ascii="Arial"/>
          <w:color w:val="auto"/>
          <w:sz w:val="24"/>
          <w:szCs w:val="24"/>
        </w:rPr>
      </w:pPr>
      <w:r>
        <w:rPr>
          <w:color w:val="auto"/>
          <w:spacing w:val="-1"/>
          <w:sz w:val="24"/>
          <w:szCs w:val="24"/>
        </w:rPr>
        <w:t>3.本项目的特定资格要求:</w:t>
      </w:r>
      <w:r>
        <w:rPr>
          <w:rFonts w:hint="eastAsia"/>
          <w:b/>
          <w:bCs/>
          <w:color w:val="auto"/>
          <w:spacing w:val="-1"/>
          <w:sz w:val="24"/>
          <w:szCs w:val="24"/>
          <w:lang w:val="en-US" w:eastAsia="zh-CN"/>
        </w:rPr>
        <w:t>无</w:t>
      </w:r>
    </w:p>
    <w:p w14:paraId="237F3229">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Arial"/>
          <w:sz w:val="24"/>
          <w:szCs w:val="24"/>
        </w:rPr>
      </w:pPr>
      <w:r>
        <w:rPr>
          <w:b/>
          <w:bCs/>
          <w:spacing w:val="-5"/>
          <w:sz w:val="24"/>
          <w:szCs w:val="24"/>
        </w:rPr>
        <w:t>三、获取招标文件</w:t>
      </w:r>
    </w:p>
    <w:p w14:paraId="26A043E9">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color w:val="auto"/>
          <w:spacing w:val="-13"/>
          <w:sz w:val="24"/>
          <w:szCs w:val="24"/>
        </w:rPr>
      </w:pPr>
      <w:r>
        <w:rPr>
          <w:color w:val="auto"/>
          <w:spacing w:val="-12"/>
          <w:sz w:val="24"/>
          <w:szCs w:val="24"/>
        </w:rPr>
        <w:t>时间</w:t>
      </w:r>
      <w:r>
        <w:rPr>
          <w:color w:val="auto"/>
          <w:spacing w:val="-12"/>
          <w:sz w:val="24"/>
          <w:szCs w:val="24"/>
          <w:highlight w:val="none"/>
        </w:rPr>
        <w:t>：202</w:t>
      </w:r>
      <w:r>
        <w:rPr>
          <w:rFonts w:hint="eastAsia"/>
          <w:color w:val="auto"/>
          <w:spacing w:val="-12"/>
          <w:sz w:val="24"/>
          <w:szCs w:val="24"/>
          <w:highlight w:val="none"/>
          <w:lang w:val="en-US" w:eastAsia="zh-CN"/>
        </w:rPr>
        <w:t xml:space="preserve">6 </w:t>
      </w:r>
      <w:r>
        <w:rPr>
          <w:color w:val="auto"/>
          <w:spacing w:val="-12"/>
          <w:sz w:val="24"/>
          <w:szCs w:val="24"/>
          <w:highlight w:val="none"/>
        </w:rPr>
        <w:t>年</w:t>
      </w:r>
      <w:r>
        <w:rPr>
          <w:rFonts w:hint="eastAsia"/>
          <w:color w:val="auto"/>
          <w:spacing w:val="-12"/>
          <w:sz w:val="24"/>
          <w:szCs w:val="24"/>
          <w:highlight w:val="none"/>
          <w:lang w:val="en-US" w:eastAsia="zh-CN"/>
        </w:rPr>
        <w:t xml:space="preserve"> 0</w:t>
      </w:r>
      <w:r>
        <w:rPr>
          <w:rFonts w:hint="eastAsia"/>
          <w:color w:val="auto"/>
          <w:spacing w:val="-50"/>
          <w:sz w:val="24"/>
          <w:szCs w:val="24"/>
          <w:highlight w:val="none"/>
          <w:lang w:val="en-US" w:eastAsia="zh-CN"/>
        </w:rPr>
        <w:t xml:space="preserve">4   </w:t>
      </w:r>
      <w:r>
        <w:rPr>
          <w:color w:val="auto"/>
          <w:spacing w:val="-12"/>
          <w:sz w:val="24"/>
          <w:szCs w:val="24"/>
          <w:highlight w:val="none"/>
        </w:rPr>
        <w:t>月</w:t>
      </w:r>
      <w:r>
        <w:rPr>
          <w:rFonts w:hint="eastAsia"/>
          <w:color w:val="auto"/>
          <w:spacing w:val="-12"/>
          <w:sz w:val="24"/>
          <w:szCs w:val="24"/>
          <w:highlight w:val="none"/>
          <w:lang w:val="en-US" w:eastAsia="zh-CN"/>
        </w:rPr>
        <w:t>21</w:t>
      </w:r>
      <w:r>
        <w:rPr>
          <w:color w:val="auto"/>
          <w:spacing w:val="-12"/>
          <w:sz w:val="24"/>
          <w:szCs w:val="24"/>
          <w:highlight w:val="none"/>
        </w:rPr>
        <w:t>日至</w:t>
      </w:r>
      <w:r>
        <w:rPr>
          <w:color w:val="auto"/>
          <w:spacing w:val="-48"/>
          <w:sz w:val="24"/>
          <w:szCs w:val="24"/>
          <w:highlight w:val="none"/>
        </w:rPr>
        <w:t xml:space="preserve"> </w:t>
      </w:r>
      <w:r>
        <w:rPr>
          <w:color w:val="auto"/>
          <w:spacing w:val="-12"/>
          <w:sz w:val="24"/>
          <w:szCs w:val="24"/>
          <w:highlight w:val="none"/>
        </w:rPr>
        <w:t>202</w:t>
      </w:r>
      <w:r>
        <w:rPr>
          <w:rFonts w:hint="eastAsia"/>
          <w:color w:val="auto"/>
          <w:spacing w:val="-12"/>
          <w:sz w:val="24"/>
          <w:szCs w:val="24"/>
          <w:highlight w:val="none"/>
          <w:lang w:val="en-US" w:eastAsia="zh-CN"/>
        </w:rPr>
        <w:t>6</w:t>
      </w:r>
      <w:r>
        <w:rPr>
          <w:color w:val="auto"/>
          <w:spacing w:val="-40"/>
          <w:sz w:val="24"/>
          <w:szCs w:val="24"/>
          <w:highlight w:val="none"/>
        </w:rPr>
        <w:t xml:space="preserve"> </w:t>
      </w:r>
      <w:r>
        <w:rPr>
          <w:color w:val="auto"/>
          <w:spacing w:val="-12"/>
          <w:sz w:val="24"/>
          <w:szCs w:val="24"/>
          <w:highlight w:val="none"/>
        </w:rPr>
        <w:t>年</w:t>
      </w:r>
      <w:r>
        <w:rPr>
          <w:rFonts w:hint="eastAsia"/>
          <w:color w:val="auto"/>
          <w:spacing w:val="-12"/>
          <w:sz w:val="24"/>
          <w:szCs w:val="24"/>
          <w:highlight w:val="none"/>
          <w:lang w:val="en-US" w:eastAsia="zh-CN"/>
        </w:rPr>
        <w:t xml:space="preserve"> 0</w:t>
      </w:r>
      <w:r>
        <w:rPr>
          <w:rFonts w:hint="eastAsia"/>
          <w:color w:val="auto"/>
          <w:spacing w:val="-49"/>
          <w:sz w:val="24"/>
          <w:szCs w:val="24"/>
          <w:highlight w:val="none"/>
          <w:lang w:val="en-US" w:eastAsia="zh-CN"/>
        </w:rPr>
        <w:t>4</w:t>
      </w:r>
      <w:r>
        <w:rPr>
          <w:color w:val="auto"/>
          <w:spacing w:val="-13"/>
          <w:sz w:val="24"/>
          <w:szCs w:val="24"/>
          <w:highlight w:val="none"/>
        </w:rPr>
        <w:t>月</w:t>
      </w:r>
      <w:r>
        <w:rPr>
          <w:rFonts w:hint="eastAsia"/>
          <w:color w:val="auto"/>
          <w:spacing w:val="-13"/>
          <w:sz w:val="24"/>
          <w:szCs w:val="24"/>
          <w:highlight w:val="none"/>
          <w:lang w:val="en-US" w:eastAsia="zh-CN"/>
        </w:rPr>
        <w:t xml:space="preserve"> 28 </w:t>
      </w:r>
      <w:r>
        <w:rPr>
          <w:color w:val="auto"/>
          <w:spacing w:val="-13"/>
          <w:sz w:val="24"/>
          <w:szCs w:val="24"/>
          <w:highlight w:val="none"/>
        </w:rPr>
        <w:t>日，</w:t>
      </w:r>
      <w:r>
        <w:rPr>
          <w:color w:val="auto"/>
          <w:spacing w:val="-13"/>
          <w:sz w:val="24"/>
          <w:szCs w:val="24"/>
        </w:rPr>
        <w:t>每天上午00:00至14:00</w:t>
      </w:r>
      <w:r>
        <w:rPr>
          <w:rFonts w:hint="eastAsia"/>
          <w:color w:val="auto"/>
          <w:spacing w:val="-13"/>
          <w:sz w:val="24"/>
          <w:szCs w:val="24"/>
        </w:rPr>
        <w:t>，下午14:00至23:59（北京时间，法定节假日除外）</w:t>
      </w:r>
    </w:p>
    <w:p w14:paraId="18BE3249">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地点：新疆政府采购网政采云平台（www.zcygov.cn）</w:t>
      </w:r>
    </w:p>
    <w:p w14:paraId="45E06BCD">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pacing w:val="-1"/>
          <w:sz w:val="24"/>
          <w:szCs w:val="24"/>
        </w:rPr>
      </w:pPr>
      <w:r>
        <w:rPr>
          <w:spacing w:val="-1"/>
          <w:sz w:val="24"/>
          <w:szCs w:val="24"/>
        </w:rPr>
        <w:t>方式：</w:t>
      </w:r>
      <w:r>
        <w:rPr>
          <w:rFonts w:hint="eastAsia"/>
          <w:spacing w:val="-1"/>
          <w:sz w:val="24"/>
          <w:szCs w:val="24"/>
          <w:lang w:val="en-US" w:eastAsia="zh-CN"/>
        </w:rPr>
        <w:t>投标人</w:t>
      </w:r>
      <w:r>
        <w:rPr>
          <w:spacing w:val="-1"/>
          <w:sz w:val="24"/>
          <w:szCs w:val="24"/>
        </w:rPr>
        <w:t>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68BAE16">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Arial"/>
          <w:sz w:val="24"/>
          <w:szCs w:val="24"/>
        </w:rPr>
      </w:pPr>
      <w:r>
        <w:rPr>
          <w:spacing w:val="-6"/>
          <w:sz w:val="24"/>
          <w:szCs w:val="24"/>
        </w:rPr>
        <w:t>售价（元</w:t>
      </w:r>
      <w:r>
        <w:rPr>
          <w:spacing w:val="5"/>
          <w:sz w:val="24"/>
          <w:szCs w:val="24"/>
        </w:rPr>
        <w:t>）：</w:t>
      </w:r>
      <w:r>
        <w:rPr>
          <w:spacing w:val="-6"/>
          <w:sz w:val="24"/>
          <w:szCs w:val="24"/>
        </w:rPr>
        <w:t>0</w:t>
      </w:r>
    </w:p>
    <w:p w14:paraId="26886406">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Arial"/>
          <w:sz w:val="24"/>
          <w:szCs w:val="24"/>
        </w:rPr>
      </w:pPr>
      <w:r>
        <w:rPr>
          <w:b/>
          <w:bCs/>
          <w:spacing w:val="-4"/>
          <w:sz w:val="24"/>
          <w:szCs w:val="24"/>
        </w:rPr>
        <w:t>四、提交投标文件截止时间、开标时间和地点</w:t>
      </w:r>
    </w:p>
    <w:p w14:paraId="46ED8CE7">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color w:val="auto"/>
          <w:sz w:val="24"/>
          <w:szCs w:val="24"/>
        </w:rPr>
      </w:pPr>
      <w:r>
        <w:rPr>
          <w:color w:val="auto"/>
          <w:spacing w:val="-5"/>
          <w:sz w:val="24"/>
          <w:szCs w:val="24"/>
        </w:rPr>
        <w:t>提交投标文件截止时间：</w:t>
      </w:r>
      <w:r>
        <w:rPr>
          <w:color w:val="auto"/>
          <w:spacing w:val="-5"/>
          <w:sz w:val="24"/>
          <w:szCs w:val="24"/>
          <w:highlight w:val="none"/>
        </w:rPr>
        <w:t>202</w:t>
      </w:r>
      <w:r>
        <w:rPr>
          <w:rFonts w:hint="eastAsia"/>
          <w:color w:val="auto"/>
          <w:spacing w:val="-5"/>
          <w:sz w:val="24"/>
          <w:szCs w:val="24"/>
          <w:highlight w:val="none"/>
          <w:lang w:val="en-US" w:eastAsia="zh-CN"/>
        </w:rPr>
        <w:t>6</w:t>
      </w:r>
      <w:r>
        <w:rPr>
          <w:color w:val="auto"/>
          <w:spacing w:val="-39"/>
          <w:sz w:val="24"/>
          <w:szCs w:val="24"/>
          <w:highlight w:val="none"/>
        </w:rPr>
        <w:t xml:space="preserve"> </w:t>
      </w:r>
      <w:r>
        <w:rPr>
          <w:color w:val="auto"/>
          <w:spacing w:val="-5"/>
          <w:sz w:val="24"/>
          <w:szCs w:val="24"/>
          <w:highlight w:val="none"/>
        </w:rPr>
        <w:t>年</w:t>
      </w:r>
      <w:r>
        <w:rPr>
          <w:rFonts w:hint="eastAsia"/>
          <w:color w:val="auto"/>
          <w:spacing w:val="-5"/>
          <w:sz w:val="24"/>
          <w:szCs w:val="24"/>
          <w:highlight w:val="none"/>
          <w:lang w:val="en-US" w:eastAsia="zh-CN"/>
        </w:rPr>
        <w:t xml:space="preserve"> 05 </w:t>
      </w:r>
      <w:r>
        <w:rPr>
          <w:color w:val="auto"/>
          <w:spacing w:val="-5"/>
          <w:sz w:val="24"/>
          <w:szCs w:val="24"/>
          <w:highlight w:val="none"/>
        </w:rPr>
        <w:t>月</w:t>
      </w:r>
      <w:r>
        <w:rPr>
          <w:rFonts w:hint="eastAsia"/>
          <w:color w:val="auto"/>
          <w:spacing w:val="-34"/>
          <w:sz w:val="24"/>
          <w:szCs w:val="24"/>
          <w:lang w:val="en-US" w:eastAsia="zh-CN"/>
        </w:rPr>
        <w:t xml:space="preserve">12 日 </w:t>
      </w:r>
      <w:r>
        <w:rPr>
          <w:color w:val="auto"/>
          <w:spacing w:val="-5"/>
          <w:sz w:val="24"/>
          <w:szCs w:val="24"/>
        </w:rPr>
        <w:t>11:00（</w:t>
      </w:r>
      <w:r>
        <w:rPr>
          <w:color w:val="auto"/>
          <w:spacing w:val="-6"/>
          <w:sz w:val="24"/>
          <w:szCs w:val="24"/>
        </w:rPr>
        <w:t>北京时间）</w:t>
      </w:r>
    </w:p>
    <w:p w14:paraId="38932C63">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color w:val="auto"/>
          <w:sz w:val="24"/>
          <w:szCs w:val="24"/>
        </w:rPr>
      </w:pPr>
      <w:r>
        <w:rPr>
          <w:color w:val="auto"/>
          <w:spacing w:val="-1"/>
          <w:sz w:val="24"/>
          <w:szCs w:val="24"/>
        </w:rPr>
        <w:t>投标地点：新疆政府采购网政采云平台（www.zcygov.cn）</w:t>
      </w:r>
    </w:p>
    <w:p w14:paraId="3A7E42B8">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color w:val="auto"/>
          <w:sz w:val="24"/>
          <w:szCs w:val="24"/>
        </w:rPr>
      </w:pPr>
      <w:r>
        <w:rPr>
          <w:color w:val="auto"/>
          <w:spacing w:val="-6"/>
          <w:sz w:val="24"/>
          <w:szCs w:val="24"/>
        </w:rPr>
        <w:t>开标时间：</w:t>
      </w:r>
      <w:r>
        <w:rPr>
          <w:color w:val="auto"/>
          <w:spacing w:val="-5"/>
          <w:sz w:val="24"/>
          <w:szCs w:val="24"/>
          <w:highlight w:val="none"/>
        </w:rPr>
        <w:t>202</w:t>
      </w:r>
      <w:r>
        <w:rPr>
          <w:rFonts w:hint="eastAsia"/>
          <w:color w:val="auto"/>
          <w:spacing w:val="-5"/>
          <w:sz w:val="24"/>
          <w:szCs w:val="24"/>
          <w:highlight w:val="none"/>
          <w:lang w:val="en-US" w:eastAsia="zh-CN"/>
        </w:rPr>
        <w:t>6</w:t>
      </w:r>
      <w:r>
        <w:rPr>
          <w:color w:val="auto"/>
          <w:spacing w:val="-39"/>
          <w:sz w:val="24"/>
          <w:szCs w:val="24"/>
          <w:highlight w:val="none"/>
        </w:rPr>
        <w:t xml:space="preserve"> </w:t>
      </w:r>
      <w:r>
        <w:rPr>
          <w:color w:val="auto"/>
          <w:spacing w:val="-5"/>
          <w:sz w:val="24"/>
          <w:szCs w:val="24"/>
          <w:highlight w:val="none"/>
        </w:rPr>
        <w:t>年</w:t>
      </w:r>
      <w:r>
        <w:rPr>
          <w:color w:val="auto"/>
          <w:spacing w:val="-50"/>
          <w:sz w:val="24"/>
          <w:szCs w:val="24"/>
          <w:highlight w:val="none"/>
        </w:rPr>
        <w:t xml:space="preserve"> </w:t>
      </w:r>
      <w:r>
        <w:rPr>
          <w:rFonts w:hint="eastAsia"/>
          <w:color w:val="auto"/>
          <w:spacing w:val="-50"/>
          <w:sz w:val="24"/>
          <w:szCs w:val="24"/>
          <w:highlight w:val="none"/>
          <w:lang w:val="en-US" w:eastAsia="zh-CN"/>
        </w:rPr>
        <w:t xml:space="preserve">  05    </w:t>
      </w:r>
      <w:r>
        <w:rPr>
          <w:color w:val="auto"/>
          <w:spacing w:val="-5"/>
          <w:sz w:val="24"/>
          <w:szCs w:val="24"/>
          <w:highlight w:val="none"/>
        </w:rPr>
        <w:t>月</w:t>
      </w:r>
      <w:r>
        <w:rPr>
          <w:rFonts w:hint="eastAsia"/>
          <w:color w:val="auto"/>
          <w:spacing w:val="-5"/>
          <w:sz w:val="24"/>
          <w:szCs w:val="24"/>
          <w:highlight w:val="none"/>
          <w:lang w:val="en-US" w:eastAsia="zh-CN"/>
        </w:rPr>
        <w:t xml:space="preserve"> 12 </w:t>
      </w:r>
      <w:r>
        <w:rPr>
          <w:color w:val="auto"/>
          <w:spacing w:val="-5"/>
          <w:sz w:val="24"/>
          <w:szCs w:val="24"/>
          <w:highlight w:val="none"/>
        </w:rPr>
        <w:t>日</w:t>
      </w:r>
      <w:r>
        <w:rPr>
          <w:color w:val="auto"/>
          <w:spacing w:val="-33"/>
          <w:sz w:val="24"/>
          <w:szCs w:val="24"/>
        </w:rPr>
        <w:t xml:space="preserve"> </w:t>
      </w:r>
      <w:r>
        <w:rPr>
          <w:color w:val="auto"/>
          <w:spacing w:val="-6"/>
          <w:sz w:val="24"/>
          <w:szCs w:val="24"/>
        </w:rPr>
        <w:t>11：00（</w:t>
      </w:r>
      <w:r>
        <w:rPr>
          <w:color w:val="auto"/>
          <w:spacing w:val="-7"/>
          <w:sz w:val="24"/>
          <w:szCs w:val="24"/>
        </w:rPr>
        <w:t>北京时间）</w:t>
      </w:r>
    </w:p>
    <w:p w14:paraId="4AF19398">
      <w:pPr>
        <w:pStyle w:val="7"/>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sz w:val="24"/>
          <w:szCs w:val="24"/>
        </w:rPr>
      </w:pPr>
      <w:r>
        <w:rPr>
          <w:sz w:val="24"/>
          <w:szCs w:val="24"/>
        </w:rPr>
        <w:t>开标地点：投标人登录政采云平台</w:t>
      </w:r>
      <w:r>
        <w:rPr>
          <w:spacing w:val="-54"/>
          <w:sz w:val="24"/>
          <w:szCs w:val="24"/>
        </w:rPr>
        <w:t xml:space="preserve"> </w:t>
      </w:r>
      <w:r>
        <w:rPr>
          <w:sz w:val="24"/>
          <w:szCs w:val="24"/>
        </w:rPr>
        <w:fldChar w:fldCharType="begin"/>
      </w:r>
      <w:r>
        <w:rPr>
          <w:sz w:val="24"/>
          <w:szCs w:val="24"/>
        </w:rPr>
        <w:instrText xml:space="preserve"> HYPERLINK "https://www.zcygov.cn/" </w:instrText>
      </w:r>
      <w:r>
        <w:rPr>
          <w:sz w:val="24"/>
          <w:szCs w:val="24"/>
        </w:rPr>
        <w:fldChar w:fldCharType="separate"/>
      </w:r>
      <w:r>
        <w:rPr>
          <w:sz w:val="24"/>
          <w:szCs w:val="24"/>
        </w:rPr>
        <w:t>https://ww</w:t>
      </w:r>
      <w:r>
        <w:rPr>
          <w:spacing w:val="-1"/>
          <w:sz w:val="24"/>
          <w:szCs w:val="24"/>
        </w:rPr>
        <w:t>w.zcygov.cn/</w:t>
      </w:r>
      <w:r>
        <w:rPr>
          <w:spacing w:val="-1"/>
          <w:sz w:val="24"/>
          <w:szCs w:val="24"/>
        </w:rPr>
        <w:fldChar w:fldCharType="end"/>
      </w:r>
      <w:r>
        <w:rPr>
          <w:spacing w:val="-1"/>
          <w:sz w:val="24"/>
          <w:szCs w:val="24"/>
        </w:rPr>
        <w:t>，进入“项目采购-开标</w:t>
      </w:r>
      <w:r>
        <w:rPr>
          <w:spacing w:val="-2"/>
          <w:sz w:val="24"/>
          <w:szCs w:val="24"/>
        </w:rPr>
        <w:t>评标-右边选择对应项目点击“进入项目</w:t>
      </w:r>
      <w:r>
        <w:rPr>
          <w:spacing w:val="-86"/>
          <w:sz w:val="24"/>
          <w:szCs w:val="24"/>
        </w:rPr>
        <w:t xml:space="preserve"> </w:t>
      </w:r>
      <w:r>
        <w:rPr>
          <w:spacing w:val="-2"/>
          <w:sz w:val="24"/>
          <w:szCs w:val="24"/>
        </w:rPr>
        <w:t>”进入开标大厅。</w:t>
      </w:r>
    </w:p>
    <w:p w14:paraId="784072D4">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b/>
          <w:bCs/>
          <w:spacing w:val="-6"/>
          <w:sz w:val="24"/>
          <w:szCs w:val="24"/>
        </w:rPr>
        <w:t>五、公告期限</w:t>
      </w:r>
    </w:p>
    <w:p w14:paraId="221AFE2A">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1" w:leftChars="-95" w:right="0" w:hanging="198" w:hangingChars="84"/>
        <w:textAlignment w:val="baseline"/>
        <w:rPr>
          <w:sz w:val="24"/>
          <w:szCs w:val="24"/>
        </w:rPr>
      </w:pPr>
      <w:r>
        <w:rPr>
          <w:spacing w:val="-2"/>
          <w:sz w:val="24"/>
          <w:szCs w:val="24"/>
        </w:rPr>
        <w:t>自本公告发布之日起5</w:t>
      </w:r>
      <w:r>
        <w:rPr>
          <w:spacing w:val="-32"/>
          <w:sz w:val="24"/>
          <w:szCs w:val="24"/>
        </w:rPr>
        <w:t xml:space="preserve"> </w:t>
      </w:r>
      <w:r>
        <w:rPr>
          <w:spacing w:val="-2"/>
          <w:sz w:val="24"/>
          <w:szCs w:val="24"/>
        </w:rPr>
        <w:t>个工作日。</w:t>
      </w:r>
    </w:p>
    <w:p w14:paraId="5E8110F3">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b/>
          <w:bCs/>
          <w:spacing w:val="-4"/>
          <w:sz w:val="24"/>
          <w:szCs w:val="24"/>
        </w:rPr>
        <w:t>六、其他补充事宜</w:t>
      </w:r>
    </w:p>
    <w:p w14:paraId="70BDA82B">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spacing w:val="-4"/>
          <w:sz w:val="24"/>
          <w:szCs w:val="24"/>
        </w:rPr>
      </w:pPr>
      <w:r>
        <w:rPr>
          <w:spacing w:val="-4"/>
          <w:sz w:val="24"/>
          <w:szCs w:val="24"/>
        </w:rPr>
        <w:t>1、本项目实行网上投标，采用电子投标文件。</w:t>
      </w:r>
    </w:p>
    <w:p w14:paraId="18CDBC8C">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spacing w:val="-4"/>
          <w:sz w:val="24"/>
          <w:szCs w:val="24"/>
        </w:rPr>
      </w:pPr>
      <w:r>
        <w:rPr>
          <w:rFonts w:hint="eastAsia"/>
          <w:spacing w:val="-4"/>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1AE6A59">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spacing w:val="-4"/>
          <w:sz w:val="24"/>
          <w:szCs w:val="24"/>
        </w:rPr>
      </w:pPr>
      <w:r>
        <w:rPr>
          <w:rFonts w:hint="eastAsia"/>
          <w:spacing w:val="-4"/>
          <w:sz w:val="24"/>
          <w:szCs w:val="24"/>
        </w:rPr>
        <w:t>3、供应商将政采云电子交易客户端下载、安装完成后，可通过账号密码或CA登录客户端进行投标文件的制作。在使用政采云投标客户端时，建议使用WIN7及以上操作系统。</w:t>
      </w:r>
    </w:p>
    <w:p w14:paraId="4E487958">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spacing w:val="-4"/>
          <w:sz w:val="24"/>
          <w:szCs w:val="24"/>
        </w:rPr>
      </w:pPr>
      <w:r>
        <w:rPr>
          <w:rFonts w:hint="eastAsia"/>
          <w:spacing w:val="-4"/>
          <w:sz w:val="24"/>
          <w:szCs w:val="24"/>
        </w:rPr>
        <w:t>4、其他事项：</w:t>
      </w:r>
    </w:p>
    <w:p w14:paraId="2F031BE9">
      <w:pPr>
        <w:pStyle w:val="7"/>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spacing w:val="-4"/>
          <w:sz w:val="24"/>
          <w:szCs w:val="24"/>
        </w:rPr>
      </w:pPr>
      <w:r>
        <w:rPr>
          <w:rFonts w:hint="eastAsia"/>
          <w:spacing w:val="-4"/>
          <w:sz w:val="24"/>
          <w:szCs w:val="24"/>
        </w:rPr>
        <w:t>(1)本项目实行全流程电子交易方式，采用电子加密投标文件上传方式；</w:t>
      </w:r>
      <w:r>
        <w:rPr>
          <w:rFonts w:hint="eastAsia"/>
          <w:spacing w:val="-4"/>
          <w:sz w:val="24"/>
          <w:szCs w:val="24"/>
        </w:rPr>
        <w:br w:type="textWrapping"/>
      </w:r>
      <w:r>
        <w:rPr>
          <w:rFonts w:hint="eastAsia"/>
          <w:spacing w:val="-4"/>
          <w:sz w:val="24"/>
          <w:szCs w:val="24"/>
        </w:rPr>
        <w:t>(2)各投标人在投标前应确保成为新疆政府采购网正式注册入库投标人，并完成CA数字证书（符合国密标准）申领。因未注册入库、未办理CA数字证书等原因造成无法上传或投标失败等后果由投标人自行承担。有意向参与的投标人，可访问新疆数字证书认证中心官方网站（https://www.xjca.com.cn/）或下载“新疆政务通”APP自行申领。如需咨询，请联系新疆CA服务热线0991-2819290；</w:t>
      </w:r>
      <w:r>
        <w:rPr>
          <w:rFonts w:hint="eastAsia"/>
          <w:spacing w:val="-4"/>
          <w:sz w:val="24"/>
          <w:szCs w:val="24"/>
        </w:rPr>
        <w:br w:type="textWrapping"/>
      </w:r>
      <w:r>
        <w:rPr>
          <w:rFonts w:hint="eastAsia"/>
          <w:spacing w:val="-4"/>
          <w:sz w:val="24"/>
          <w:szCs w:val="24"/>
        </w:rPr>
        <w:t>(3)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r>
        <w:rPr>
          <w:rFonts w:hint="eastAsia"/>
          <w:spacing w:val="-4"/>
          <w:sz w:val="24"/>
          <w:szCs w:val="24"/>
        </w:rPr>
        <w:br w:type="textWrapping"/>
      </w:r>
      <w:r>
        <w:rPr>
          <w:rFonts w:hint="eastAsia"/>
          <w:spacing w:val="-4"/>
          <w:sz w:val="24"/>
          <w:szCs w:val="24"/>
        </w:rPr>
        <w:t>(4)投标人应当在投标截止时间前，将生成的“电子加密投标文件”上传至“政府采购云平台”，投标截止时间以后上传的投标文件将被“政府采购云平台”拒收；</w:t>
      </w:r>
      <w:r>
        <w:rPr>
          <w:rFonts w:hint="eastAsia"/>
          <w:spacing w:val="-4"/>
          <w:sz w:val="24"/>
          <w:szCs w:val="24"/>
        </w:rPr>
        <w:br w:type="textWrapping"/>
      </w:r>
      <w:r>
        <w:rPr>
          <w:rFonts w:hint="eastAsia"/>
          <w:spacing w:val="-4"/>
          <w:sz w:val="24"/>
          <w:szCs w:val="24"/>
        </w:rPr>
        <w:t>(5)投标人在投标前须提前配置好电脑浏览器（建议使用360浏览器或谷歌浏览器），开标时登录政采云平台，在“项目采购－开标评审”功能中，使用制作加密投标文件电子标书的CA锁进行解密及报价确认。本项目投标文件的解密时间定为30分钟内，若投标人在规定时间内因自身原因导致无法正常解密，后果由投标人自行承担；</w:t>
      </w:r>
      <w:r>
        <w:rPr>
          <w:rFonts w:hint="eastAsia"/>
          <w:spacing w:val="-4"/>
          <w:sz w:val="24"/>
          <w:szCs w:val="24"/>
        </w:rPr>
        <w:br w:type="textWrapping"/>
      </w:r>
      <w:r>
        <w:rPr>
          <w:rFonts w:hint="eastAsia"/>
          <w:spacing w:val="-4"/>
          <w:sz w:val="24"/>
          <w:szCs w:val="24"/>
        </w:rPr>
        <w:t>(6)投标人登录政采云平台，在开标时间后30分钟内用“项目采购－开标评审”功能进行解密投标文件，若投标人在规定时间内未按时解密的，视为响应无效。解密与加密投标文件须使用同一个CA。</w:t>
      </w:r>
    </w:p>
    <w:p w14:paraId="0C152A5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b/>
          <w:bCs/>
          <w:sz w:val="24"/>
          <w:szCs w:val="24"/>
        </w:rPr>
      </w:pPr>
      <w:r>
        <w:rPr>
          <w:b/>
          <w:bCs/>
          <w:spacing w:val="-4"/>
          <w:sz w:val="24"/>
          <w:szCs w:val="24"/>
        </w:rPr>
        <w:t>特别提示：</w:t>
      </w:r>
    </w:p>
    <w:p w14:paraId="358B24B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1"/>
        <w:textAlignment w:val="baseline"/>
        <w:rPr>
          <w:b/>
          <w:bCs/>
          <w:sz w:val="24"/>
          <w:szCs w:val="24"/>
        </w:rPr>
      </w:pPr>
      <w:r>
        <w:rPr>
          <w:b/>
          <w:bCs/>
          <w:spacing w:val="-1"/>
          <w:sz w:val="24"/>
          <w:szCs w:val="24"/>
        </w:rPr>
        <w:t>1、采购限额标准以上，200</w:t>
      </w:r>
      <w:r>
        <w:rPr>
          <w:b/>
          <w:bCs/>
          <w:spacing w:val="-42"/>
          <w:sz w:val="24"/>
          <w:szCs w:val="24"/>
        </w:rPr>
        <w:t xml:space="preserve"> </w:t>
      </w:r>
      <w:r>
        <w:rPr>
          <w:b/>
          <w:bCs/>
          <w:spacing w:val="-1"/>
          <w:sz w:val="24"/>
          <w:szCs w:val="24"/>
        </w:rPr>
        <w:t>万元以下的货物</w:t>
      </w:r>
      <w:r>
        <w:rPr>
          <w:b/>
          <w:bCs/>
          <w:spacing w:val="-2"/>
          <w:sz w:val="24"/>
          <w:szCs w:val="24"/>
        </w:rPr>
        <w:t>和服务采购项目、400</w:t>
      </w:r>
      <w:r>
        <w:rPr>
          <w:b/>
          <w:bCs/>
          <w:spacing w:val="-43"/>
          <w:sz w:val="24"/>
          <w:szCs w:val="24"/>
        </w:rPr>
        <w:t xml:space="preserve"> </w:t>
      </w:r>
      <w:r>
        <w:rPr>
          <w:b/>
          <w:bCs/>
          <w:spacing w:val="-2"/>
          <w:sz w:val="24"/>
          <w:szCs w:val="24"/>
        </w:rPr>
        <w:t>万元以下的工程采购项目，适宜由中小企业提供的，采购人应当专门面向中小企业采</w:t>
      </w:r>
      <w:r>
        <w:rPr>
          <w:b/>
          <w:bCs/>
          <w:spacing w:val="-3"/>
          <w:sz w:val="24"/>
          <w:szCs w:val="24"/>
        </w:rPr>
        <w:t>购。</w:t>
      </w:r>
    </w:p>
    <w:p w14:paraId="31E4D80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
        <w:textAlignment w:val="baseline"/>
        <w:rPr>
          <w:b/>
          <w:bCs/>
          <w:sz w:val="24"/>
          <w:szCs w:val="24"/>
        </w:rPr>
      </w:pPr>
      <w:r>
        <w:rPr>
          <w:b/>
          <w:bCs/>
          <w:sz w:val="24"/>
          <w:szCs w:val="24"/>
        </w:rPr>
        <w:t>2、超过200</w:t>
      </w:r>
      <w:r>
        <w:rPr>
          <w:b/>
          <w:bCs/>
          <w:spacing w:val="-40"/>
          <w:sz w:val="24"/>
          <w:szCs w:val="24"/>
        </w:rPr>
        <w:t xml:space="preserve"> </w:t>
      </w:r>
      <w:r>
        <w:rPr>
          <w:b/>
          <w:bCs/>
          <w:sz w:val="24"/>
          <w:szCs w:val="24"/>
        </w:rPr>
        <w:t>万元的货物和服务采购项目、超过400</w:t>
      </w:r>
      <w:r>
        <w:rPr>
          <w:b/>
          <w:bCs/>
          <w:spacing w:val="-42"/>
          <w:sz w:val="24"/>
          <w:szCs w:val="24"/>
        </w:rPr>
        <w:t xml:space="preserve"> </w:t>
      </w:r>
      <w:r>
        <w:rPr>
          <w:b/>
          <w:bCs/>
          <w:sz w:val="24"/>
          <w:szCs w:val="24"/>
        </w:rPr>
        <w:t>万元的工程采购项目中适宜由中小企业</w:t>
      </w:r>
      <w:r>
        <w:rPr>
          <w:b/>
          <w:bCs/>
          <w:spacing w:val="1"/>
          <w:sz w:val="24"/>
          <w:szCs w:val="24"/>
        </w:rPr>
        <w:t>提供的，预留该部分采购项目预算总额的30%以上专门面向中小企业采购，其中预留给小</w:t>
      </w:r>
      <w:r>
        <w:rPr>
          <w:b/>
          <w:bCs/>
          <w:spacing w:val="3"/>
          <w:sz w:val="24"/>
          <w:szCs w:val="24"/>
        </w:rPr>
        <w:t>微企业的比例不低于60%。</w:t>
      </w:r>
    </w:p>
    <w:p w14:paraId="4C922C3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textAlignment w:val="baseline"/>
        <w:rPr>
          <w:b/>
          <w:bCs/>
          <w:sz w:val="24"/>
          <w:szCs w:val="24"/>
        </w:rPr>
      </w:pPr>
      <w:r>
        <w:rPr>
          <w:b/>
          <w:bCs/>
          <w:spacing w:val="-2"/>
          <w:sz w:val="24"/>
          <w:szCs w:val="24"/>
        </w:rPr>
        <w:t>3、对于未预留份额专门面向中小企业的采购项目，以及预留份额项目中的非预留</w:t>
      </w:r>
      <w:r>
        <w:rPr>
          <w:b/>
          <w:bCs/>
          <w:spacing w:val="-3"/>
          <w:sz w:val="24"/>
          <w:szCs w:val="24"/>
        </w:rPr>
        <w:t>部分采购</w:t>
      </w:r>
      <w:r>
        <w:rPr>
          <w:b/>
          <w:bCs/>
          <w:spacing w:val="-8"/>
          <w:sz w:val="24"/>
          <w:szCs w:val="24"/>
        </w:rPr>
        <w:t>包，采购人、采购代理机构应当对符合规定的小微企业报价给予</w:t>
      </w:r>
      <w:r>
        <w:rPr>
          <w:b/>
          <w:bCs/>
          <w:spacing w:val="-34"/>
          <w:sz w:val="24"/>
          <w:szCs w:val="24"/>
        </w:rPr>
        <w:t xml:space="preserve"> </w:t>
      </w:r>
      <w:r>
        <w:rPr>
          <w:b/>
          <w:bCs/>
          <w:spacing w:val="-8"/>
          <w:sz w:val="24"/>
          <w:szCs w:val="24"/>
        </w:rPr>
        <w:t>10%~20%（工</w:t>
      </w:r>
      <w:r>
        <w:rPr>
          <w:b/>
          <w:bCs/>
          <w:spacing w:val="-9"/>
          <w:sz w:val="24"/>
          <w:szCs w:val="24"/>
        </w:rPr>
        <w:t>程项目为</w:t>
      </w:r>
      <w:r>
        <w:rPr>
          <w:b/>
          <w:bCs/>
          <w:spacing w:val="-47"/>
          <w:sz w:val="24"/>
          <w:szCs w:val="24"/>
        </w:rPr>
        <w:t xml:space="preserve"> </w:t>
      </w:r>
      <w:r>
        <w:rPr>
          <w:b/>
          <w:bCs/>
          <w:spacing w:val="-9"/>
          <w:sz w:val="24"/>
          <w:szCs w:val="24"/>
        </w:rPr>
        <w:t>3%~5%）</w:t>
      </w:r>
      <w:r>
        <w:rPr>
          <w:b/>
          <w:bCs/>
          <w:sz w:val="24"/>
          <w:szCs w:val="24"/>
        </w:rPr>
        <w:t>的扣除，用扣除后的价格参加评审。适用招标投标</w:t>
      </w:r>
      <w:r>
        <w:rPr>
          <w:b/>
          <w:bCs/>
          <w:spacing w:val="-1"/>
          <w:sz w:val="24"/>
          <w:szCs w:val="24"/>
        </w:rPr>
        <w:t>法的政府采购工程建设项目，采用综合</w:t>
      </w:r>
      <w:r>
        <w:rPr>
          <w:b/>
          <w:bCs/>
          <w:sz w:val="24"/>
          <w:szCs w:val="24"/>
        </w:rPr>
        <w:t xml:space="preserve"> 评估法但未采用低价优先法计算价格分的，评标时</w:t>
      </w:r>
      <w:r>
        <w:rPr>
          <w:b/>
          <w:bCs/>
          <w:spacing w:val="-1"/>
          <w:sz w:val="24"/>
          <w:szCs w:val="24"/>
        </w:rPr>
        <w:t>应当在采用原报价进行评分的基础上增</w:t>
      </w:r>
      <w:r>
        <w:rPr>
          <w:b/>
          <w:bCs/>
          <w:sz w:val="24"/>
          <w:szCs w:val="24"/>
        </w:rPr>
        <w:t xml:space="preserve"> </w:t>
      </w:r>
      <w:r>
        <w:rPr>
          <w:b/>
          <w:bCs/>
          <w:spacing w:val="2"/>
          <w:sz w:val="24"/>
          <w:szCs w:val="24"/>
        </w:rPr>
        <w:t>加其价格得分的3%~5%作为其价格分。</w:t>
      </w:r>
    </w:p>
    <w:p w14:paraId="260622E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textAlignment w:val="baseline"/>
        <w:rPr>
          <w:b/>
          <w:bCs/>
          <w:sz w:val="24"/>
          <w:szCs w:val="24"/>
        </w:rPr>
      </w:pPr>
      <w:r>
        <w:rPr>
          <w:b/>
          <w:bCs/>
          <w:spacing w:val="-2"/>
          <w:sz w:val="24"/>
          <w:szCs w:val="24"/>
        </w:rPr>
        <w:t>4、接受大中型企业与小微企业组成联合体或者允许大中型企业向一家或者多家小微企业分</w:t>
      </w:r>
      <w:r>
        <w:rPr>
          <w:b/>
          <w:bCs/>
          <w:sz w:val="24"/>
          <w:szCs w:val="24"/>
        </w:rPr>
        <w:t>包的采购项目，对于联合协议或者分包意向协议约定小</w:t>
      </w:r>
      <w:r>
        <w:rPr>
          <w:b/>
          <w:bCs/>
          <w:spacing w:val="-1"/>
          <w:sz w:val="24"/>
          <w:szCs w:val="24"/>
        </w:rPr>
        <w:t>微企业的合同份额占到合同总金额</w:t>
      </w:r>
      <w:r>
        <w:rPr>
          <w:b/>
          <w:bCs/>
          <w:spacing w:val="1"/>
          <w:sz w:val="24"/>
          <w:szCs w:val="24"/>
        </w:rPr>
        <w:t>30%以上的，采购人、采购代理机构应当对联合体或者大中型企业的报价给予4</w:t>
      </w:r>
      <w:r>
        <w:rPr>
          <w:b/>
          <w:bCs/>
          <w:sz w:val="24"/>
          <w:szCs w:val="24"/>
        </w:rPr>
        <w:t>%~6%（工程</w:t>
      </w:r>
      <w:r>
        <w:rPr>
          <w:b/>
          <w:bCs/>
          <w:spacing w:val="-1"/>
          <w:sz w:val="24"/>
          <w:szCs w:val="24"/>
        </w:rPr>
        <w:t>项目为</w:t>
      </w:r>
      <w:r>
        <w:rPr>
          <w:b/>
          <w:bCs/>
          <w:spacing w:val="-34"/>
          <w:sz w:val="24"/>
          <w:szCs w:val="24"/>
        </w:rPr>
        <w:t xml:space="preserve"> </w:t>
      </w:r>
      <w:r>
        <w:rPr>
          <w:b/>
          <w:bCs/>
          <w:spacing w:val="-1"/>
          <w:sz w:val="24"/>
          <w:szCs w:val="24"/>
        </w:rPr>
        <w:t>1%~2%）的扣除，用扣除后的价格参加评审。适用招标投标法的政府采购工程建设</w:t>
      </w:r>
      <w:r>
        <w:rPr>
          <w:b/>
          <w:bCs/>
          <w:sz w:val="24"/>
          <w:szCs w:val="24"/>
        </w:rPr>
        <w:t>项目，采用综合评估法但未采用低价优先法计算</w:t>
      </w:r>
      <w:r>
        <w:rPr>
          <w:b/>
          <w:bCs/>
          <w:spacing w:val="-1"/>
          <w:sz w:val="24"/>
          <w:szCs w:val="24"/>
        </w:rPr>
        <w:t>价格分的，评标时应当在采用原报价进行</w:t>
      </w:r>
      <w:r>
        <w:rPr>
          <w:b/>
          <w:bCs/>
          <w:spacing w:val="-2"/>
          <w:sz w:val="24"/>
          <w:szCs w:val="24"/>
        </w:rPr>
        <w:t>评分的基础上增加其价格得分的</w:t>
      </w:r>
      <w:r>
        <w:rPr>
          <w:b/>
          <w:bCs/>
          <w:spacing w:val="-26"/>
          <w:sz w:val="24"/>
          <w:szCs w:val="24"/>
        </w:rPr>
        <w:t xml:space="preserve"> </w:t>
      </w:r>
      <w:r>
        <w:rPr>
          <w:b/>
          <w:bCs/>
          <w:spacing w:val="-2"/>
          <w:sz w:val="24"/>
          <w:szCs w:val="24"/>
        </w:rPr>
        <w:t>1%~2%作为其价格分。</w:t>
      </w:r>
    </w:p>
    <w:p w14:paraId="479FBDB7">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b/>
          <w:bCs/>
          <w:spacing w:val="-3"/>
          <w:sz w:val="24"/>
          <w:szCs w:val="24"/>
        </w:rPr>
        <w:t>七、对本次采购提出询问，请按以下方式联系</w:t>
      </w:r>
    </w:p>
    <w:p w14:paraId="2C9EF78E">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4"/>
          <w:sz w:val="24"/>
          <w:szCs w:val="24"/>
        </w:rPr>
        <w:t>1.采购人信息</w:t>
      </w:r>
    </w:p>
    <w:p w14:paraId="182E27FE">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名 称：</w:t>
      </w:r>
      <w:r>
        <w:rPr>
          <w:rFonts w:hint="eastAsia"/>
          <w:spacing w:val="-2"/>
          <w:sz w:val="24"/>
          <w:szCs w:val="24"/>
          <w:lang w:val="en-US" w:eastAsia="zh-CN"/>
        </w:rPr>
        <w:t>乌鲁木齐市第十二中学（乌鲁木齐市外国语学校）</w:t>
      </w:r>
    </w:p>
    <w:p w14:paraId="001EE127">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spacing w:val="2"/>
          <w:sz w:val="24"/>
          <w:szCs w:val="24"/>
          <w:lang w:val="en-US" w:eastAsia="zh-CN"/>
        </w:rPr>
      </w:pPr>
      <w:r>
        <w:rPr>
          <w:spacing w:val="2"/>
          <w:sz w:val="24"/>
          <w:szCs w:val="24"/>
        </w:rPr>
        <w:t>地 址：</w:t>
      </w:r>
      <w:r>
        <w:rPr>
          <w:rFonts w:hint="eastAsia"/>
          <w:spacing w:val="2"/>
          <w:sz w:val="24"/>
          <w:szCs w:val="24"/>
          <w:lang w:val="en-US" w:eastAsia="zh-CN"/>
        </w:rPr>
        <w:t>乌鲁木齐市仓房沟中路97号</w:t>
      </w:r>
    </w:p>
    <w:p w14:paraId="1982AE9E">
      <w:pPr>
        <w:pStyle w:val="18"/>
        <w:ind w:left="0" w:leftChars="0" w:firstLine="0" w:firstLineChars="0"/>
        <w:rPr>
          <w:rFonts w:hint="eastAsia"/>
          <w:color w:val="auto"/>
          <w:spacing w:val="2"/>
          <w:sz w:val="24"/>
          <w:szCs w:val="24"/>
          <w:lang w:val="en-US" w:eastAsia="zh-CN"/>
        </w:rPr>
      </w:pPr>
      <w:r>
        <w:rPr>
          <w:rFonts w:hint="eastAsia"/>
          <w:color w:val="auto"/>
          <w:spacing w:val="2"/>
          <w:sz w:val="24"/>
          <w:szCs w:val="24"/>
          <w:lang w:val="en-US" w:eastAsia="zh-CN"/>
        </w:rPr>
        <w:t>联系人：时老师</w:t>
      </w:r>
    </w:p>
    <w:p w14:paraId="73B9A864">
      <w:pPr>
        <w:pStyle w:val="18"/>
        <w:ind w:left="0" w:leftChars="0" w:firstLine="0" w:firstLineChars="0"/>
        <w:rPr>
          <w:rFonts w:hint="default"/>
          <w:color w:val="auto"/>
          <w:spacing w:val="2"/>
          <w:sz w:val="24"/>
          <w:szCs w:val="24"/>
          <w:lang w:val="en-US" w:eastAsia="zh-CN"/>
        </w:rPr>
      </w:pPr>
      <w:r>
        <w:rPr>
          <w:rFonts w:hint="eastAsia"/>
          <w:color w:val="auto"/>
          <w:spacing w:val="2"/>
          <w:sz w:val="24"/>
          <w:szCs w:val="24"/>
          <w:lang w:val="en-US" w:eastAsia="zh-CN"/>
        </w:rPr>
        <w:t>联系电话：13899961899</w:t>
      </w:r>
    </w:p>
    <w:p w14:paraId="3777FA16">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2.采购代理机构信息</w:t>
      </w:r>
    </w:p>
    <w:p w14:paraId="14D5813A">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名 称：新疆创越咨询管理有限公司</w:t>
      </w:r>
    </w:p>
    <w:p w14:paraId="02061EC4">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pacing w:val="1"/>
          <w:sz w:val="24"/>
          <w:szCs w:val="24"/>
        </w:rPr>
      </w:pPr>
      <w:r>
        <w:rPr>
          <w:spacing w:val="1"/>
          <w:sz w:val="24"/>
          <w:szCs w:val="24"/>
        </w:rPr>
        <w:t>地 址：</w:t>
      </w:r>
      <w:r>
        <w:rPr>
          <w:rFonts w:hint="eastAsia"/>
          <w:spacing w:val="1"/>
          <w:sz w:val="24"/>
          <w:szCs w:val="24"/>
          <w:lang w:val="en-US" w:eastAsia="zh-CN"/>
        </w:rPr>
        <w:t>新疆</w:t>
      </w:r>
      <w:r>
        <w:rPr>
          <w:spacing w:val="1"/>
          <w:sz w:val="24"/>
          <w:szCs w:val="24"/>
        </w:rPr>
        <w:t>乌鲁木齐市</w:t>
      </w:r>
    </w:p>
    <w:p w14:paraId="2D0FCB04">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eastAsia="仿宋"/>
          <w:sz w:val="24"/>
          <w:szCs w:val="24"/>
          <w:lang w:val="en-US" w:eastAsia="zh-CN"/>
        </w:rPr>
      </w:pPr>
      <w:r>
        <w:rPr>
          <w:spacing w:val="-1"/>
          <w:sz w:val="24"/>
          <w:szCs w:val="24"/>
        </w:rPr>
        <w:t>联系方式：</w:t>
      </w:r>
      <w:r>
        <w:rPr>
          <w:rFonts w:hint="eastAsia"/>
          <w:spacing w:val="-1"/>
          <w:sz w:val="24"/>
          <w:szCs w:val="24"/>
          <w:lang w:val="en-US" w:eastAsia="zh-CN"/>
        </w:rPr>
        <w:t>18129219272</w:t>
      </w:r>
    </w:p>
    <w:p w14:paraId="66721181">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3.项目联系方式</w:t>
      </w:r>
    </w:p>
    <w:p w14:paraId="21A3A992">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sz w:val="24"/>
          <w:szCs w:val="24"/>
          <w:lang w:eastAsia="zh-CN"/>
        </w:rPr>
      </w:pPr>
      <w:r>
        <w:rPr>
          <w:spacing w:val="-2"/>
          <w:sz w:val="24"/>
          <w:szCs w:val="24"/>
        </w:rPr>
        <w:t>项目联系人：</w:t>
      </w:r>
      <w:r>
        <w:rPr>
          <w:rFonts w:hint="eastAsia"/>
          <w:spacing w:val="-2"/>
          <w:sz w:val="24"/>
          <w:szCs w:val="24"/>
          <w:lang w:val="en-US" w:eastAsia="zh-CN"/>
        </w:rPr>
        <w:t>王配然</w:t>
      </w:r>
    </w:p>
    <w:p w14:paraId="7A16CC4B">
      <w:pPr>
        <w:pStyle w:val="7"/>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3"/>
          <w:sz w:val="24"/>
          <w:szCs w:val="24"/>
        </w:rPr>
        <w:t>电 话：</w:t>
      </w:r>
      <w:r>
        <w:rPr>
          <w:rFonts w:hint="eastAsia"/>
          <w:spacing w:val="-1"/>
          <w:sz w:val="24"/>
          <w:szCs w:val="24"/>
          <w:lang w:val="en-US" w:eastAsia="zh-CN"/>
        </w:rPr>
        <w:t>18129219272</w:t>
      </w:r>
    </w:p>
    <w:p w14:paraId="59FF44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z w:val="24"/>
          <w:szCs w:val="24"/>
        </w:rPr>
        <w:sectPr>
          <w:footerReference r:id="rId6" w:type="default"/>
          <w:pgSz w:w="11905" w:h="16838"/>
          <w:pgMar w:top="1440" w:right="1482" w:bottom="1440" w:left="1603" w:header="0" w:footer="975" w:gutter="0"/>
          <w:pgNumType w:fmt="decimal" w:start="1"/>
          <w:cols w:space="0" w:num="1"/>
          <w:rtlGutter w:val="0"/>
          <w:docGrid w:linePitch="0" w:charSpace="0"/>
        </w:sectPr>
      </w:pPr>
    </w:p>
    <w:p w14:paraId="3B3D785C">
      <w:pPr>
        <w:pStyle w:val="7"/>
        <w:spacing w:before="65" w:line="227" w:lineRule="auto"/>
        <w:jc w:val="center"/>
        <w:outlineLvl w:val="0"/>
        <w:rPr>
          <w:color w:val="auto"/>
          <w:sz w:val="31"/>
          <w:szCs w:val="31"/>
        </w:rPr>
      </w:pPr>
      <w:bookmarkStart w:id="2" w:name="_Toc30130"/>
      <w:r>
        <w:rPr>
          <w:b/>
          <w:bCs/>
          <w:color w:val="auto"/>
          <w:spacing w:val="4"/>
          <w:sz w:val="31"/>
          <w:szCs w:val="31"/>
        </w:rPr>
        <w:t>第二章</w:t>
      </w:r>
      <w:r>
        <w:rPr>
          <w:color w:val="auto"/>
          <w:spacing w:val="4"/>
          <w:sz w:val="31"/>
          <w:szCs w:val="31"/>
        </w:rPr>
        <w:t xml:space="preserve">  </w:t>
      </w:r>
      <w:r>
        <w:rPr>
          <w:b/>
          <w:bCs/>
          <w:color w:val="auto"/>
          <w:spacing w:val="4"/>
          <w:sz w:val="31"/>
          <w:szCs w:val="31"/>
        </w:rPr>
        <w:t>投标人须知前附表</w:t>
      </w:r>
      <w:bookmarkEnd w:id="2"/>
    </w:p>
    <w:tbl>
      <w:tblPr>
        <w:tblStyle w:val="24"/>
        <w:tblpPr w:leftFromText="180" w:rightFromText="180" w:vertAnchor="text" w:horzAnchor="page" w:tblpX="1641" w:tblpY="169"/>
        <w:tblOverlap w:val="never"/>
        <w:tblW w:w="91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82"/>
        <w:gridCol w:w="7282"/>
      </w:tblGrid>
      <w:tr w14:paraId="41D7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top w:val="single" w:color="000000" w:sz="4" w:space="0"/>
              <w:left w:val="single" w:color="000000" w:sz="4" w:space="0"/>
            </w:tcBorders>
            <w:vAlign w:val="top"/>
          </w:tcPr>
          <w:p w14:paraId="19FD7D47">
            <w:pPr>
              <w:pStyle w:val="25"/>
              <w:spacing w:before="73" w:line="223" w:lineRule="auto"/>
              <w:jc w:val="center"/>
              <w:rPr>
                <w:rFonts w:hint="eastAsia" w:eastAsia="仿宋"/>
                <w:color w:val="auto"/>
                <w:lang w:eastAsia="zh-CN"/>
              </w:rPr>
            </w:pPr>
            <w:r>
              <w:rPr>
                <w:rFonts w:hint="eastAsia"/>
                <w:b/>
                <w:bCs/>
                <w:color w:val="auto"/>
                <w:spacing w:val="-8"/>
                <w:lang w:val="en-US" w:eastAsia="zh-CN"/>
              </w:rPr>
              <w:t>序号</w:t>
            </w:r>
          </w:p>
        </w:tc>
        <w:tc>
          <w:tcPr>
            <w:tcW w:w="1282" w:type="dxa"/>
            <w:tcBorders>
              <w:top w:val="single" w:color="000000" w:sz="4" w:space="0"/>
            </w:tcBorders>
            <w:vAlign w:val="top"/>
          </w:tcPr>
          <w:p w14:paraId="0B09623E">
            <w:pPr>
              <w:pStyle w:val="25"/>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b/>
                <w:bCs/>
                <w:color w:val="auto"/>
                <w:spacing w:val="-7"/>
              </w:rPr>
            </w:pPr>
            <w:r>
              <w:rPr>
                <w:b/>
                <w:bCs/>
                <w:color w:val="auto"/>
                <w:spacing w:val="-7"/>
              </w:rPr>
              <w:t>条款</w:t>
            </w:r>
          </w:p>
          <w:p w14:paraId="5A6449D2">
            <w:pPr>
              <w:pStyle w:val="25"/>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color w:val="auto"/>
              </w:rPr>
            </w:pPr>
            <w:r>
              <w:rPr>
                <w:b/>
                <w:bCs/>
                <w:color w:val="auto"/>
                <w:spacing w:val="-7"/>
              </w:rPr>
              <w:t>名称</w:t>
            </w:r>
          </w:p>
        </w:tc>
        <w:tc>
          <w:tcPr>
            <w:tcW w:w="7282" w:type="dxa"/>
            <w:tcBorders>
              <w:top w:val="single" w:color="000000" w:sz="4" w:space="0"/>
              <w:right w:val="single" w:color="000000" w:sz="4" w:space="0"/>
            </w:tcBorders>
            <w:vAlign w:val="top"/>
          </w:tcPr>
          <w:p w14:paraId="7F45993A">
            <w:pPr>
              <w:pStyle w:val="25"/>
              <w:spacing w:before="73" w:line="222" w:lineRule="auto"/>
              <w:ind w:left="3206"/>
              <w:rPr>
                <w:color w:val="auto"/>
              </w:rPr>
            </w:pPr>
            <w:r>
              <w:rPr>
                <w:b/>
                <w:bCs/>
                <w:color w:val="auto"/>
                <w:spacing w:val="-14"/>
              </w:rPr>
              <w:t>内容</w:t>
            </w:r>
          </w:p>
        </w:tc>
      </w:tr>
      <w:tr w14:paraId="3D526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568" w:type="dxa"/>
            <w:tcBorders>
              <w:left w:val="single" w:color="000000" w:sz="4" w:space="0"/>
            </w:tcBorders>
            <w:vAlign w:val="center"/>
          </w:tcPr>
          <w:p w14:paraId="2E8A8D40">
            <w:pPr>
              <w:pStyle w:val="25"/>
              <w:spacing w:before="78"/>
              <w:jc w:val="center"/>
              <w:rPr>
                <w:color w:val="auto"/>
              </w:rPr>
            </w:pPr>
            <w:r>
              <w:rPr>
                <w:color w:val="auto"/>
                <w:spacing w:val="-4"/>
              </w:rPr>
              <w:t>1</w:t>
            </w:r>
          </w:p>
        </w:tc>
        <w:tc>
          <w:tcPr>
            <w:tcW w:w="1282" w:type="dxa"/>
            <w:vAlign w:val="center"/>
          </w:tcPr>
          <w:p w14:paraId="5E5D32B0">
            <w:pPr>
              <w:pStyle w:val="25"/>
              <w:spacing w:before="78" w:line="224" w:lineRule="auto"/>
              <w:jc w:val="center"/>
              <w:rPr>
                <w:color w:val="auto"/>
              </w:rPr>
            </w:pPr>
            <w:r>
              <w:rPr>
                <w:rFonts w:hint="eastAsia"/>
                <w:color w:val="auto"/>
                <w:spacing w:val="-5"/>
                <w:lang w:val="en-US" w:eastAsia="zh-CN"/>
              </w:rPr>
              <w:t>项目</w:t>
            </w:r>
            <w:r>
              <w:rPr>
                <w:color w:val="auto"/>
                <w:spacing w:val="-5"/>
              </w:rPr>
              <w:t>说明</w:t>
            </w:r>
          </w:p>
        </w:tc>
        <w:tc>
          <w:tcPr>
            <w:tcW w:w="7282" w:type="dxa"/>
            <w:tcBorders>
              <w:right w:val="single" w:color="000000" w:sz="4" w:space="0"/>
            </w:tcBorders>
            <w:vAlign w:val="top"/>
          </w:tcPr>
          <w:p w14:paraId="70DB1CB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40" w:leftChars="50" w:right="0" w:hanging="35"/>
              <w:jc w:val="both"/>
              <w:textAlignment w:val="baseline"/>
              <w:rPr>
                <w:rFonts w:hint="eastAsia" w:eastAsia="仿宋"/>
                <w:color w:val="auto"/>
                <w:sz w:val="24"/>
                <w:szCs w:val="24"/>
                <w:lang w:eastAsia="zh-CN"/>
              </w:rPr>
            </w:pPr>
            <w:r>
              <w:rPr>
                <w:color w:val="auto"/>
                <w:sz w:val="24"/>
                <w:szCs w:val="24"/>
              </w:rPr>
              <w:t>1、项目名称：</w:t>
            </w:r>
            <w:r>
              <w:rPr>
                <w:rFonts w:hint="eastAsia"/>
                <w:color w:val="auto"/>
                <w:sz w:val="24"/>
                <w:szCs w:val="24"/>
                <w:lang w:eastAsia="zh-CN"/>
              </w:rPr>
              <w:t>乌鲁木齐市第十二中学（乌鲁木齐市外国语学校）理化生实验室实验用仪器设备项目</w:t>
            </w:r>
          </w:p>
          <w:p w14:paraId="7AFD6EB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51" w:leftChars="50" w:right="0" w:hanging="46"/>
              <w:jc w:val="both"/>
              <w:textAlignment w:val="baseline"/>
              <w:rPr>
                <w:rFonts w:hint="eastAsia" w:eastAsia="仿宋"/>
                <w:color w:val="auto"/>
                <w:sz w:val="24"/>
                <w:szCs w:val="24"/>
                <w:lang w:eastAsia="zh-CN"/>
              </w:rPr>
            </w:pPr>
            <w:r>
              <w:rPr>
                <w:color w:val="auto"/>
                <w:spacing w:val="-2"/>
                <w:sz w:val="24"/>
                <w:szCs w:val="24"/>
              </w:rPr>
              <w:t>2、</w:t>
            </w:r>
            <w:r>
              <w:rPr>
                <w:color w:val="auto"/>
                <w:spacing w:val="-2"/>
                <w:sz w:val="24"/>
                <w:szCs w:val="24"/>
                <w:highlight w:val="none"/>
              </w:rPr>
              <w:t>标项名称：</w:t>
            </w:r>
            <w:r>
              <w:rPr>
                <w:rFonts w:hint="eastAsia"/>
                <w:color w:val="auto"/>
                <w:sz w:val="24"/>
                <w:szCs w:val="24"/>
                <w:lang w:eastAsia="zh-CN"/>
              </w:rPr>
              <w:t>乌鲁木齐市第十二中学（乌鲁木齐市外国语学校）理化生实验室实验用仪器设备项目</w:t>
            </w:r>
          </w:p>
          <w:p w14:paraId="75B9256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eastAsia="仿宋"/>
                <w:color w:val="auto"/>
                <w:lang w:eastAsia="zh-CN"/>
              </w:rPr>
            </w:pPr>
            <w:r>
              <w:rPr>
                <w:color w:val="auto"/>
                <w:spacing w:val="-1"/>
                <w:sz w:val="24"/>
                <w:szCs w:val="24"/>
              </w:rPr>
              <w:t>3、</w:t>
            </w:r>
            <w:r>
              <w:rPr>
                <w:rFonts w:hint="eastAsia"/>
                <w:color w:val="auto"/>
                <w:spacing w:val="-1"/>
                <w:sz w:val="24"/>
                <w:szCs w:val="24"/>
                <w:lang w:val="en-US" w:eastAsia="zh-CN"/>
              </w:rPr>
              <w:t>项目</w:t>
            </w:r>
            <w:r>
              <w:rPr>
                <w:color w:val="auto"/>
                <w:spacing w:val="-1"/>
                <w:sz w:val="24"/>
                <w:szCs w:val="24"/>
              </w:rPr>
              <w:t>编</w:t>
            </w:r>
            <w:r>
              <w:rPr>
                <w:rFonts w:hint="eastAsia"/>
                <w:color w:val="auto"/>
                <w:spacing w:val="-1"/>
                <w:sz w:val="24"/>
                <w:szCs w:val="24"/>
                <w:lang w:val="en-US" w:eastAsia="zh-CN"/>
              </w:rPr>
              <w:t>码</w:t>
            </w:r>
            <w:r>
              <w:rPr>
                <w:color w:val="auto"/>
                <w:spacing w:val="-1"/>
                <w:sz w:val="24"/>
                <w:szCs w:val="24"/>
              </w:rPr>
              <w:t>：</w:t>
            </w:r>
            <w:r>
              <w:rPr>
                <w:rFonts w:hint="eastAsia"/>
                <w:color w:val="auto"/>
                <w:spacing w:val="-1"/>
                <w:sz w:val="24"/>
                <w:szCs w:val="24"/>
                <w:lang w:eastAsia="zh-CN"/>
              </w:rPr>
              <w:t>XJCY2026-HWCG005</w:t>
            </w:r>
          </w:p>
        </w:tc>
      </w:tr>
      <w:tr w14:paraId="55A2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8" w:type="dxa"/>
            <w:tcBorders>
              <w:left w:val="single" w:color="000000" w:sz="4" w:space="0"/>
            </w:tcBorders>
            <w:vAlign w:val="top"/>
          </w:tcPr>
          <w:p w14:paraId="275365C4">
            <w:pPr>
              <w:pStyle w:val="25"/>
              <w:spacing w:before="232"/>
              <w:jc w:val="center"/>
              <w:rPr>
                <w:color w:val="auto"/>
              </w:rPr>
            </w:pPr>
            <w:r>
              <w:rPr>
                <w:color w:val="auto"/>
                <w:spacing w:val="-4"/>
              </w:rPr>
              <w:t>2</w:t>
            </w:r>
          </w:p>
        </w:tc>
        <w:tc>
          <w:tcPr>
            <w:tcW w:w="1282" w:type="dxa"/>
            <w:vAlign w:val="center"/>
          </w:tcPr>
          <w:p w14:paraId="7A7BE93A">
            <w:pPr>
              <w:pStyle w:val="25"/>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color w:val="auto"/>
              </w:rPr>
            </w:pPr>
            <w:r>
              <w:rPr>
                <w:color w:val="auto"/>
                <w:spacing w:val="-6"/>
              </w:rPr>
              <w:t>采购人</w:t>
            </w:r>
          </w:p>
        </w:tc>
        <w:tc>
          <w:tcPr>
            <w:tcW w:w="7282" w:type="dxa"/>
            <w:tcBorders>
              <w:right w:val="single" w:color="000000" w:sz="4" w:space="0"/>
            </w:tcBorders>
            <w:vAlign w:val="center"/>
          </w:tcPr>
          <w:p w14:paraId="48DA5AF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0" w:rightChars="0"/>
              <w:textAlignment w:val="baseline"/>
              <w:rPr>
                <w:rFonts w:hint="eastAsia"/>
                <w:color w:val="auto"/>
                <w:spacing w:val="-2"/>
                <w:sz w:val="24"/>
                <w:szCs w:val="24"/>
                <w:lang w:eastAsia="zh-CN"/>
              </w:rPr>
            </w:pPr>
            <w:r>
              <w:rPr>
                <w:rFonts w:hint="eastAsia" w:ascii="仿宋" w:hAnsi="仿宋" w:eastAsia="仿宋" w:cs="仿宋"/>
                <w:snapToGrid w:val="0"/>
                <w:color w:val="auto"/>
                <w:spacing w:val="-2"/>
                <w:kern w:val="0"/>
                <w:sz w:val="24"/>
                <w:szCs w:val="24"/>
                <w:lang w:val="en-US" w:eastAsia="zh-CN" w:bidi="ar-SA"/>
              </w:rPr>
              <w:t>1、</w:t>
            </w:r>
            <w:r>
              <w:rPr>
                <w:color w:val="auto"/>
                <w:spacing w:val="-2"/>
                <w:sz w:val="24"/>
                <w:szCs w:val="24"/>
              </w:rPr>
              <w:t>名 称：</w:t>
            </w:r>
            <w:r>
              <w:rPr>
                <w:rFonts w:hint="eastAsia"/>
                <w:color w:val="auto"/>
                <w:spacing w:val="-2"/>
                <w:sz w:val="24"/>
                <w:szCs w:val="24"/>
                <w:lang w:val="en-US" w:eastAsia="zh-CN"/>
              </w:rPr>
              <w:t>乌鲁木齐市第十二中学（乌鲁木齐市外国语学校）</w:t>
            </w:r>
          </w:p>
          <w:p w14:paraId="315F596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0" w:rightChars="0"/>
              <w:textAlignment w:val="baseline"/>
              <w:rPr>
                <w:rFonts w:hint="default" w:eastAsia="仿宋"/>
                <w:color w:val="auto"/>
                <w:sz w:val="24"/>
                <w:szCs w:val="24"/>
                <w:lang w:val="en-US" w:eastAsia="zh-CN"/>
              </w:rPr>
            </w:pPr>
            <w:r>
              <w:rPr>
                <w:rFonts w:hint="eastAsia"/>
                <w:color w:val="auto"/>
                <w:spacing w:val="-2"/>
                <w:sz w:val="24"/>
                <w:szCs w:val="24"/>
                <w:lang w:val="en-US" w:eastAsia="zh-CN"/>
              </w:rPr>
              <w:t>2、</w:t>
            </w:r>
            <w:r>
              <w:rPr>
                <w:color w:val="auto"/>
                <w:spacing w:val="2"/>
                <w:sz w:val="24"/>
                <w:szCs w:val="24"/>
              </w:rPr>
              <w:t>地 址：</w:t>
            </w:r>
            <w:r>
              <w:rPr>
                <w:rFonts w:hint="eastAsia"/>
                <w:color w:val="auto"/>
                <w:spacing w:val="2"/>
                <w:sz w:val="24"/>
                <w:szCs w:val="24"/>
                <w:lang w:val="en-US" w:eastAsia="zh-CN"/>
              </w:rPr>
              <w:t>乌鲁木齐市仓房沟中路97号</w:t>
            </w:r>
          </w:p>
          <w:p w14:paraId="35437E3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color w:val="auto"/>
                <w:lang w:val="en-US" w:eastAsia="zh-CN"/>
              </w:rPr>
            </w:pPr>
            <w:r>
              <w:rPr>
                <w:rFonts w:hint="eastAsia"/>
                <w:color w:val="auto"/>
                <w:lang w:val="en-US" w:eastAsia="zh-CN"/>
              </w:rPr>
              <w:t>3、</w:t>
            </w:r>
            <w:r>
              <w:rPr>
                <w:rFonts w:hint="default"/>
                <w:color w:val="auto"/>
                <w:lang w:val="en-US" w:eastAsia="zh-CN"/>
              </w:rPr>
              <w:t>联系人：时老师</w:t>
            </w:r>
          </w:p>
          <w:p w14:paraId="3B0EF46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color w:val="auto"/>
                <w:lang w:val="en-US" w:eastAsia="zh-CN"/>
              </w:rPr>
            </w:pPr>
            <w:r>
              <w:rPr>
                <w:rFonts w:hint="eastAsia"/>
                <w:color w:val="auto"/>
                <w:lang w:val="en-US" w:eastAsia="zh-CN"/>
              </w:rPr>
              <w:t>4、</w:t>
            </w:r>
            <w:r>
              <w:rPr>
                <w:rFonts w:hint="default"/>
                <w:color w:val="auto"/>
                <w:lang w:val="en-US" w:eastAsia="zh-CN"/>
              </w:rPr>
              <w:t>联系电话：13899961899</w:t>
            </w:r>
          </w:p>
        </w:tc>
      </w:tr>
      <w:tr w14:paraId="766EB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67FE2C1E">
            <w:pPr>
              <w:pStyle w:val="25"/>
              <w:spacing w:before="78"/>
              <w:jc w:val="center"/>
              <w:rPr>
                <w:color w:val="auto"/>
              </w:rPr>
            </w:pPr>
            <w:r>
              <w:rPr>
                <w:color w:val="auto"/>
                <w:spacing w:val="-4"/>
              </w:rPr>
              <w:t>3</w:t>
            </w:r>
          </w:p>
        </w:tc>
        <w:tc>
          <w:tcPr>
            <w:tcW w:w="1282" w:type="dxa"/>
            <w:vAlign w:val="center"/>
          </w:tcPr>
          <w:p w14:paraId="3E228449">
            <w:pPr>
              <w:pStyle w:val="25"/>
              <w:spacing w:before="78" w:line="222" w:lineRule="auto"/>
              <w:jc w:val="center"/>
              <w:rPr>
                <w:color w:val="auto"/>
              </w:rPr>
            </w:pPr>
            <w:r>
              <w:rPr>
                <w:color w:val="auto"/>
                <w:spacing w:val="-6"/>
              </w:rPr>
              <w:t>代理机构</w:t>
            </w:r>
          </w:p>
        </w:tc>
        <w:tc>
          <w:tcPr>
            <w:tcW w:w="7282" w:type="dxa"/>
            <w:tcBorders>
              <w:right w:val="single" w:color="000000" w:sz="4" w:space="0"/>
            </w:tcBorders>
            <w:vAlign w:val="top"/>
          </w:tcPr>
          <w:p w14:paraId="053C1EA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color w:val="auto"/>
              </w:rPr>
            </w:pPr>
            <w:r>
              <w:rPr>
                <w:color w:val="auto"/>
                <w:spacing w:val="-2"/>
              </w:rPr>
              <w:t>1、单位名称：新疆创越咨询管理有限公司</w:t>
            </w:r>
          </w:p>
          <w:p w14:paraId="42B86F9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color w:val="auto"/>
              </w:rPr>
            </w:pPr>
            <w:r>
              <w:rPr>
                <w:color w:val="auto"/>
                <w:spacing w:val="1"/>
              </w:rPr>
              <w:t>2、地    址：</w:t>
            </w:r>
            <w:r>
              <w:rPr>
                <w:rFonts w:hint="eastAsia"/>
                <w:color w:val="auto"/>
                <w:spacing w:val="1"/>
                <w:lang w:val="en-US" w:eastAsia="zh-CN"/>
              </w:rPr>
              <w:t>新疆</w:t>
            </w:r>
            <w:r>
              <w:rPr>
                <w:color w:val="auto"/>
                <w:spacing w:val="1"/>
              </w:rPr>
              <w:t>乌鲁木齐市</w:t>
            </w:r>
          </w:p>
          <w:p w14:paraId="586BBAC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default" w:eastAsia="仿宋"/>
                <w:color w:val="auto"/>
                <w:lang w:val="en-US" w:eastAsia="zh-CN"/>
              </w:rPr>
            </w:pPr>
            <w:r>
              <w:rPr>
                <w:color w:val="auto"/>
                <w:spacing w:val="-7"/>
              </w:rPr>
              <w:t>3、联</w:t>
            </w:r>
            <w:r>
              <w:rPr>
                <w:color w:val="auto"/>
                <w:spacing w:val="29"/>
              </w:rPr>
              <w:t xml:space="preserve"> </w:t>
            </w:r>
            <w:r>
              <w:rPr>
                <w:color w:val="auto"/>
                <w:spacing w:val="-7"/>
              </w:rPr>
              <w:t>系</w:t>
            </w:r>
            <w:r>
              <w:rPr>
                <w:color w:val="auto"/>
                <w:spacing w:val="19"/>
              </w:rPr>
              <w:t xml:space="preserve"> </w:t>
            </w:r>
            <w:r>
              <w:rPr>
                <w:color w:val="auto"/>
                <w:spacing w:val="-7"/>
              </w:rPr>
              <w:t>人：</w:t>
            </w:r>
            <w:r>
              <w:rPr>
                <w:rFonts w:hint="eastAsia"/>
                <w:color w:val="auto"/>
                <w:spacing w:val="-7"/>
                <w:lang w:val="en-US" w:eastAsia="zh-CN"/>
              </w:rPr>
              <w:t>王配然</w:t>
            </w:r>
          </w:p>
          <w:p w14:paraId="1A0BFAA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default" w:eastAsia="仿宋"/>
                <w:color w:val="auto"/>
                <w:lang w:val="en-US" w:eastAsia="zh-CN"/>
              </w:rPr>
            </w:pPr>
            <w:r>
              <w:rPr>
                <w:color w:val="auto"/>
                <w:spacing w:val="-1"/>
              </w:rPr>
              <w:t>4、联系电话：</w:t>
            </w:r>
            <w:r>
              <w:rPr>
                <w:rFonts w:hint="eastAsia"/>
                <w:color w:val="auto"/>
                <w:spacing w:val="-1"/>
                <w:lang w:val="en-US" w:eastAsia="zh-CN"/>
              </w:rPr>
              <w:t>18129219272</w:t>
            </w:r>
          </w:p>
        </w:tc>
      </w:tr>
      <w:tr w14:paraId="109C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8" w:type="dxa"/>
            <w:tcBorders>
              <w:left w:val="single" w:color="000000" w:sz="4" w:space="0"/>
            </w:tcBorders>
            <w:vAlign w:val="center"/>
          </w:tcPr>
          <w:p w14:paraId="56580C8F">
            <w:pPr>
              <w:pStyle w:val="25"/>
              <w:spacing w:before="78"/>
              <w:jc w:val="center"/>
              <w:rPr>
                <w:rFonts w:hint="eastAsia" w:eastAsia="仿宋"/>
                <w:color w:val="auto"/>
                <w:spacing w:val="-4"/>
                <w:lang w:val="en-US" w:eastAsia="zh-CN"/>
              </w:rPr>
            </w:pPr>
            <w:r>
              <w:rPr>
                <w:rFonts w:hint="eastAsia"/>
                <w:color w:val="auto"/>
                <w:spacing w:val="-4"/>
                <w:lang w:val="en-US" w:eastAsia="zh-CN"/>
              </w:rPr>
              <w:t>4</w:t>
            </w:r>
          </w:p>
        </w:tc>
        <w:tc>
          <w:tcPr>
            <w:tcW w:w="1282" w:type="dxa"/>
            <w:vAlign w:val="center"/>
          </w:tcPr>
          <w:p w14:paraId="71266507">
            <w:pPr>
              <w:pStyle w:val="25"/>
              <w:spacing w:before="78" w:line="222" w:lineRule="auto"/>
              <w:jc w:val="center"/>
              <w:rPr>
                <w:color w:val="auto"/>
                <w:spacing w:val="-6"/>
              </w:rPr>
            </w:pPr>
            <w:r>
              <w:rPr>
                <w:rFonts w:hint="eastAsia"/>
                <w:color w:val="auto"/>
                <w:spacing w:val="-6"/>
                <w:lang w:val="en-US" w:eastAsia="zh-CN"/>
              </w:rPr>
              <w:t>采购项目预算</w:t>
            </w:r>
          </w:p>
        </w:tc>
        <w:tc>
          <w:tcPr>
            <w:tcW w:w="7282" w:type="dxa"/>
            <w:tcBorders>
              <w:right w:val="single" w:color="000000" w:sz="4" w:space="0"/>
            </w:tcBorders>
            <w:vAlign w:val="center"/>
          </w:tcPr>
          <w:p w14:paraId="3F1FCE5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default" w:eastAsia="仿宋"/>
                <w:color w:val="auto"/>
                <w:spacing w:val="-1"/>
                <w:lang w:val="en-US" w:eastAsia="zh-CN"/>
              </w:rPr>
            </w:pPr>
            <w:r>
              <w:rPr>
                <w:rFonts w:hint="eastAsia"/>
                <w:color w:val="auto"/>
                <w:spacing w:val="-1"/>
                <w:lang w:val="en-US" w:eastAsia="zh-CN"/>
              </w:rPr>
              <w:t>17.91241万元，</w:t>
            </w:r>
            <w:r>
              <w:rPr>
                <w:rFonts w:hint="eastAsia" w:ascii="仿宋" w:hAnsi="仿宋" w:eastAsia="仿宋" w:cs="仿宋"/>
                <w:color w:val="auto"/>
                <w:spacing w:val="-1"/>
                <w:lang w:val="en-US" w:eastAsia="zh-CN"/>
              </w:rPr>
              <w:t>投标人投标报价超过预算，投标无效</w:t>
            </w:r>
          </w:p>
        </w:tc>
      </w:tr>
      <w:tr w14:paraId="4F9A2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68" w:type="dxa"/>
            <w:tcBorders>
              <w:left w:val="single" w:color="000000" w:sz="4" w:space="0"/>
            </w:tcBorders>
            <w:vAlign w:val="center"/>
          </w:tcPr>
          <w:p w14:paraId="1BCD5785">
            <w:pPr>
              <w:pStyle w:val="25"/>
              <w:spacing w:before="78"/>
              <w:jc w:val="center"/>
              <w:rPr>
                <w:rFonts w:hint="eastAsia" w:eastAsia="仿宋"/>
                <w:color w:val="auto"/>
                <w:spacing w:val="-4"/>
                <w:lang w:val="en-US" w:eastAsia="zh-CN"/>
              </w:rPr>
            </w:pPr>
            <w:r>
              <w:rPr>
                <w:rFonts w:hint="eastAsia"/>
                <w:color w:val="auto"/>
                <w:spacing w:val="-4"/>
                <w:lang w:val="en-US" w:eastAsia="zh-CN"/>
              </w:rPr>
              <w:t>5</w:t>
            </w:r>
          </w:p>
        </w:tc>
        <w:tc>
          <w:tcPr>
            <w:tcW w:w="1282" w:type="dxa"/>
            <w:vAlign w:val="center"/>
          </w:tcPr>
          <w:p w14:paraId="0FA07AF8">
            <w:pPr>
              <w:pStyle w:val="25"/>
              <w:spacing w:before="78" w:line="222" w:lineRule="auto"/>
              <w:jc w:val="center"/>
              <w:rPr>
                <w:color w:val="auto"/>
                <w:spacing w:val="-6"/>
              </w:rPr>
            </w:pPr>
            <w:r>
              <w:rPr>
                <w:rFonts w:hint="eastAsia"/>
                <w:color w:val="auto"/>
                <w:spacing w:val="-6"/>
                <w:lang w:val="en-US" w:eastAsia="zh-CN"/>
              </w:rPr>
              <w:t>最高限价</w:t>
            </w:r>
          </w:p>
        </w:tc>
        <w:tc>
          <w:tcPr>
            <w:tcW w:w="7282" w:type="dxa"/>
            <w:tcBorders>
              <w:right w:val="single" w:color="000000" w:sz="4" w:space="0"/>
            </w:tcBorders>
            <w:vAlign w:val="center"/>
          </w:tcPr>
          <w:p w14:paraId="15BB029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color w:val="auto"/>
                <w:spacing w:val="-1"/>
                <w:lang w:val="en-US"/>
              </w:rPr>
            </w:pPr>
            <w:r>
              <w:rPr>
                <w:rFonts w:hint="eastAsia"/>
                <w:color w:val="auto"/>
                <w:spacing w:val="-1"/>
                <w:lang w:val="en-US" w:eastAsia="zh-CN"/>
              </w:rPr>
              <w:t>17.91241万元，</w:t>
            </w:r>
            <w:r>
              <w:rPr>
                <w:rFonts w:hint="eastAsia" w:ascii="仿宋" w:hAnsi="仿宋" w:eastAsia="仿宋" w:cs="仿宋"/>
                <w:color w:val="auto"/>
                <w:spacing w:val="-1"/>
                <w:lang w:val="en-US" w:eastAsia="zh-CN"/>
              </w:rPr>
              <w:t>投标人投标报价超过最高限价，投标无效</w:t>
            </w:r>
          </w:p>
        </w:tc>
      </w:tr>
      <w:tr w14:paraId="5570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68" w:type="dxa"/>
            <w:tcBorders>
              <w:left w:val="single" w:color="000000" w:sz="4" w:space="0"/>
            </w:tcBorders>
            <w:vAlign w:val="center"/>
          </w:tcPr>
          <w:p w14:paraId="6C2211D9">
            <w:pPr>
              <w:pStyle w:val="25"/>
              <w:spacing w:before="78"/>
              <w:jc w:val="center"/>
              <w:rPr>
                <w:rFonts w:hint="default"/>
                <w:color w:val="auto"/>
                <w:spacing w:val="-4"/>
                <w:lang w:val="en-US" w:eastAsia="zh-CN"/>
              </w:rPr>
            </w:pPr>
            <w:r>
              <w:rPr>
                <w:rFonts w:hint="eastAsia"/>
                <w:color w:val="auto"/>
                <w:spacing w:val="-4"/>
                <w:lang w:val="en-US" w:eastAsia="zh-CN"/>
              </w:rPr>
              <w:t>6</w:t>
            </w:r>
          </w:p>
        </w:tc>
        <w:tc>
          <w:tcPr>
            <w:tcW w:w="1282" w:type="dxa"/>
            <w:vAlign w:val="center"/>
          </w:tcPr>
          <w:p w14:paraId="541547FE">
            <w:pPr>
              <w:pStyle w:val="25"/>
              <w:spacing w:before="78" w:line="222" w:lineRule="auto"/>
              <w:jc w:val="center"/>
              <w:rPr>
                <w:rFonts w:hint="eastAsia"/>
                <w:color w:val="auto"/>
                <w:spacing w:val="-6"/>
                <w:lang w:val="en-US" w:eastAsia="zh-CN"/>
              </w:rPr>
            </w:pPr>
            <w:r>
              <w:rPr>
                <w:rFonts w:hint="eastAsia"/>
                <w:color w:val="auto"/>
                <w:spacing w:val="-6"/>
                <w:lang w:val="en-US" w:eastAsia="zh-CN"/>
              </w:rPr>
              <w:t>资金来源</w:t>
            </w:r>
          </w:p>
        </w:tc>
        <w:tc>
          <w:tcPr>
            <w:tcW w:w="7282" w:type="dxa"/>
            <w:tcBorders>
              <w:right w:val="single" w:color="000000" w:sz="4" w:space="0"/>
            </w:tcBorders>
            <w:vAlign w:val="center"/>
          </w:tcPr>
          <w:p w14:paraId="37D38B3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color w:val="auto"/>
                <w:spacing w:val="-1"/>
                <w:lang w:val="en-US" w:eastAsia="zh-CN"/>
              </w:rPr>
            </w:pPr>
            <w:r>
              <w:rPr>
                <w:rFonts w:hint="eastAsia"/>
                <w:color w:val="auto"/>
                <w:spacing w:val="-1"/>
                <w:lang w:val="en-US" w:eastAsia="zh-CN"/>
              </w:rPr>
              <w:t>财政资金，已落实</w:t>
            </w:r>
          </w:p>
        </w:tc>
      </w:tr>
      <w:tr w14:paraId="4AC6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68" w:type="dxa"/>
            <w:tcBorders>
              <w:left w:val="single" w:color="000000" w:sz="4" w:space="0"/>
            </w:tcBorders>
            <w:vAlign w:val="center"/>
          </w:tcPr>
          <w:p w14:paraId="5106B498">
            <w:pPr>
              <w:pStyle w:val="25"/>
              <w:spacing w:before="78"/>
              <w:jc w:val="center"/>
              <w:rPr>
                <w:rFonts w:hint="eastAsia" w:eastAsia="仿宋"/>
                <w:color w:val="auto"/>
                <w:spacing w:val="-4"/>
                <w:lang w:val="en-US" w:eastAsia="zh-CN"/>
              </w:rPr>
            </w:pPr>
            <w:r>
              <w:rPr>
                <w:rFonts w:hint="eastAsia"/>
                <w:color w:val="auto"/>
                <w:spacing w:val="-4"/>
                <w:lang w:val="en-US" w:eastAsia="zh-CN"/>
              </w:rPr>
              <w:t>7</w:t>
            </w:r>
          </w:p>
        </w:tc>
        <w:tc>
          <w:tcPr>
            <w:tcW w:w="1282" w:type="dxa"/>
            <w:vAlign w:val="center"/>
          </w:tcPr>
          <w:p w14:paraId="741F7A86">
            <w:pPr>
              <w:pStyle w:val="25"/>
              <w:spacing w:before="78" w:line="222" w:lineRule="auto"/>
              <w:jc w:val="center"/>
              <w:rPr>
                <w:rFonts w:hint="default"/>
                <w:color w:val="auto"/>
                <w:spacing w:val="-6"/>
                <w:lang w:val="en-US" w:eastAsia="zh-CN"/>
              </w:rPr>
            </w:pPr>
            <w:r>
              <w:rPr>
                <w:rFonts w:hint="eastAsia"/>
                <w:color w:val="auto"/>
                <w:spacing w:val="-6"/>
                <w:lang w:val="en-US" w:eastAsia="zh-CN"/>
              </w:rPr>
              <w:t>采购内容</w:t>
            </w:r>
          </w:p>
        </w:tc>
        <w:tc>
          <w:tcPr>
            <w:tcW w:w="7282" w:type="dxa"/>
            <w:tcBorders>
              <w:right w:val="single" w:color="000000" w:sz="4" w:space="0"/>
            </w:tcBorders>
            <w:vAlign w:val="top"/>
          </w:tcPr>
          <w:p w14:paraId="33B89D5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default"/>
                <w:color w:val="auto"/>
                <w:spacing w:val="-1"/>
                <w:lang w:val="en-US" w:eastAsia="zh-CN"/>
              </w:rPr>
            </w:pPr>
            <w:r>
              <w:rPr>
                <w:rFonts w:hint="default"/>
                <w:color w:val="auto"/>
                <w:spacing w:val="-1"/>
                <w:lang w:val="en-US" w:eastAsia="zh-CN"/>
              </w:rPr>
              <w:t>乌鲁木齐市第十二中学采购一批理化实验室仪器设备，具体要求详见招标文件。</w:t>
            </w:r>
          </w:p>
        </w:tc>
      </w:tr>
      <w:tr w14:paraId="5FCB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3AB40997">
            <w:pPr>
              <w:pStyle w:val="25"/>
              <w:spacing w:before="78"/>
              <w:jc w:val="center"/>
              <w:rPr>
                <w:rFonts w:hint="eastAsia" w:eastAsia="仿宋"/>
                <w:color w:val="auto"/>
                <w:spacing w:val="-4"/>
                <w:lang w:val="en-US" w:eastAsia="zh-CN"/>
              </w:rPr>
            </w:pPr>
            <w:r>
              <w:rPr>
                <w:rFonts w:hint="eastAsia"/>
                <w:color w:val="auto"/>
                <w:spacing w:val="-4"/>
                <w:lang w:val="en-US" w:eastAsia="zh-CN"/>
              </w:rPr>
              <w:t>8</w:t>
            </w:r>
          </w:p>
        </w:tc>
        <w:tc>
          <w:tcPr>
            <w:tcW w:w="1282" w:type="dxa"/>
            <w:shd w:val="clear" w:color="auto" w:fill="auto"/>
            <w:vAlign w:val="center"/>
          </w:tcPr>
          <w:p w14:paraId="5A17015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仿宋" w:hAnsi="仿宋" w:eastAsia="仿宋" w:cs="仿宋"/>
                <w:snapToGrid w:val="0"/>
                <w:color w:val="auto"/>
                <w:kern w:val="0"/>
                <w:sz w:val="24"/>
                <w:szCs w:val="24"/>
                <w:lang w:val="en-US" w:eastAsia="zh-CN" w:bidi="ar-SA"/>
              </w:rPr>
            </w:pPr>
            <w:r>
              <w:rPr>
                <w:rFonts w:hint="eastAsia"/>
                <w:color w:val="auto"/>
                <w:spacing w:val="-5"/>
                <w:lang w:val="en-US" w:eastAsia="zh-CN"/>
              </w:rPr>
              <w:t>供货</w:t>
            </w:r>
            <w:r>
              <w:rPr>
                <w:color w:val="auto"/>
                <w:spacing w:val="-5"/>
              </w:rPr>
              <w:t>期</w:t>
            </w:r>
            <w:r>
              <w:rPr>
                <w:color w:val="auto"/>
              </w:rPr>
              <w:t>限</w:t>
            </w:r>
          </w:p>
        </w:tc>
        <w:tc>
          <w:tcPr>
            <w:tcW w:w="7282" w:type="dxa"/>
            <w:tcBorders>
              <w:right w:val="single" w:color="000000" w:sz="4" w:space="0"/>
            </w:tcBorders>
            <w:shd w:val="clear" w:color="auto" w:fill="auto"/>
            <w:vAlign w:val="center"/>
          </w:tcPr>
          <w:p w14:paraId="75F9D920">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自合同签订之日起</w:t>
            </w:r>
            <w:r>
              <w:rPr>
                <w:rFonts w:hint="eastAsia" w:cs="仿宋"/>
                <w:snapToGrid w:val="0"/>
                <w:color w:val="auto"/>
                <w:kern w:val="0"/>
                <w:sz w:val="24"/>
                <w:szCs w:val="24"/>
                <w:lang w:val="en-US" w:eastAsia="zh-CN" w:bidi="ar-SA"/>
              </w:rPr>
              <w:t>20日内</w:t>
            </w:r>
            <w:r>
              <w:rPr>
                <w:rFonts w:hint="eastAsia"/>
                <w:color w:val="auto"/>
                <w:spacing w:val="-4"/>
                <w:sz w:val="24"/>
                <w:szCs w:val="24"/>
                <w:highlight w:val="none"/>
                <w:lang w:val="en-US" w:eastAsia="zh-CN"/>
              </w:rPr>
              <w:t>到货</w:t>
            </w:r>
          </w:p>
        </w:tc>
      </w:tr>
      <w:tr w14:paraId="071A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5C5AD60A">
            <w:pPr>
              <w:pStyle w:val="25"/>
              <w:spacing w:before="78"/>
              <w:jc w:val="center"/>
              <w:rPr>
                <w:rFonts w:hint="eastAsia" w:eastAsia="仿宋"/>
                <w:color w:val="auto"/>
                <w:spacing w:val="-4"/>
                <w:lang w:val="en-US" w:eastAsia="zh-CN"/>
              </w:rPr>
            </w:pPr>
            <w:r>
              <w:rPr>
                <w:rFonts w:hint="eastAsia"/>
                <w:color w:val="auto"/>
                <w:spacing w:val="-4"/>
                <w:lang w:val="en-US" w:eastAsia="zh-CN"/>
              </w:rPr>
              <w:t>9</w:t>
            </w:r>
          </w:p>
        </w:tc>
        <w:tc>
          <w:tcPr>
            <w:tcW w:w="1282" w:type="dxa"/>
            <w:shd w:val="clear" w:color="auto" w:fill="auto"/>
            <w:vAlign w:val="center"/>
          </w:tcPr>
          <w:p w14:paraId="11416AC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color w:val="auto"/>
                <w:spacing w:val="-5"/>
              </w:rPr>
            </w:pPr>
            <w:r>
              <w:rPr>
                <w:rFonts w:hint="eastAsia"/>
                <w:color w:val="auto"/>
                <w:spacing w:val="-5"/>
                <w:lang w:val="en-US" w:eastAsia="zh-CN"/>
              </w:rPr>
              <w:t>交付或实施</w:t>
            </w:r>
            <w:r>
              <w:rPr>
                <w:rFonts w:hint="eastAsia"/>
                <w:color w:val="auto"/>
                <w:spacing w:val="-5"/>
              </w:rPr>
              <w:t>地点</w:t>
            </w:r>
          </w:p>
        </w:tc>
        <w:tc>
          <w:tcPr>
            <w:tcW w:w="7282" w:type="dxa"/>
            <w:tcBorders>
              <w:right w:val="single" w:color="000000" w:sz="4" w:space="0"/>
            </w:tcBorders>
            <w:shd w:val="clear" w:color="auto" w:fill="auto"/>
            <w:vAlign w:val="center"/>
          </w:tcPr>
          <w:p w14:paraId="09142A5D">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color w:val="auto"/>
                <w:spacing w:val="-4"/>
                <w:sz w:val="24"/>
                <w:szCs w:val="24"/>
                <w:highlight w:val="none"/>
                <w:lang w:val="en-US" w:eastAsia="zh-CN"/>
              </w:rPr>
            </w:pPr>
            <w:r>
              <w:rPr>
                <w:rFonts w:hint="eastAsia"/>
                <w:color w:val="auto"/>
                <w:spacing w:val="-4"/>
                <w:sz w:val="24"/>
                <w:szCs w:val="24"/>
                <w:highlight w:val="none"/>
                <w:lang w:val="en-US" w:eastAsia="zh-CN"/>
              </w:rPr>
              <w:t>采购人指定地点</w:t>
            </w:r>
          </w:p>
        </w:tc>
      </w:tr>
      <w:tr w14:paraId="7D6B6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1C44D7E5">
            <w:pPr>
              <w:pStyle w:val="25"/>
              <w:spacing w:before="78"/>
              <w:jc w:val="center"/>
              <w:rPr>
                <w:rFonts w:hint="default"/>
                <w:color w:val="auto"/>
                <w:spacing w:val="-4"/>
                <w:lang w:val="en-US" w:eastAsia="zh-CN"/>
              </w:rPr>
            </w:pPr>
            <w:r>
              <w:rPr>
                <w:rFonts w:hint="eastAsia"/>
                <w:color w:val="auto"/>
                <w:spacing w:val="-4"/>
                <w:lang w:val="en-US" w:eastAsia="zh-CN"/>
              </w:rPr>
              <w:t>10</w:t>
            </w:r>
          </w:p>
        </w:tc>
        <w:tc>
          <w:tcPr>
            <w:tcW w:w="1282" w:type="dxa"/>
            <w:shd w:val="clear" w:color="auto" w:fill="auto"/>
            <w:vAlign w:val="center"/>
          </w:tcPr>
          <w:p w14:paraId="54450F3F">
            <w:pPr>
              <w:pStyle w:val="9"/>
              <w:spacing w:line="340" w:lineRule="exact"/>
              <w:jc w:val="center"/>
              <w:outlineLvl w:val="9"/>
              <w:rPr>
                <w:rFonts w:hint="eastAsia" w:ascii="仿宋" w:hAnsi="仿宋" w:eastAsia="仿宋" w:cs="仿宋"/>
                <w:b w:val="0"/>
                <w:bCs/>
                <w:snapToGrid w:val="0"/>
                <w:color w:val="auto"/>
                <w:kern w:val="0"/>
                <w:position w:val="-2"/>
                <w:sz w:val="24"/>
                <w:szCs w:val="24"/>
                <w:lang w:val="en-US" w:eastAsia="zh-CN" w:bidi="zh-CN"/>
              </w:rPr>
            </w:pPr>
            <w:r>
              <w:rPr>
                <w:rFonts w:hint="eastAsia" w:ascii="仿宋" w:hAnsi="仿宋" w:eastAsia="仿宋" w:cs="仿宋"/>
                <w:smallCaps w:val="0"/>
                <w:color w:val="auto"/>
                <w:spacing w:val="0"/>
                <w:w w:val="100"/>
                <w:kern w:val="0"/>
                <w:position w:val="0"/>
                <w:sz w:val="24"/>
                <w:szCs w:val="24"/>
                <w:highlight w:val="none"/>
                <w:lang w:val="en-US" w:eastAsia="zh-CN"/>
              </w:rPr>
              <w:t>质保期</w:t>
            </w:r>
          </w:p>
        </w:tc>
        <w:tc>
          <w:tcPr>
            <w:tcW w:w="7282" w:type="dxa"/>
            <w:tcBorders>
              <w:right w:val="single" w:color="000000" w:sz="4" w:space="0"/>
            </w:tcBorders>
            <w:shd w:val="clear" w:color="auto" w:fill="auto"/>
            <w:vAlign w:val="center"/>
          </w:tcPr>
          <w:p w14:paraId="7F9AC3C6">
            <w:pPr>
              <w:adjustRightInd w:val="0"/>
              <w:snapToGrid w:val="0"/>
              <w:spacing w:line="340" w:lineRule="exact"/>
              <w:jc w:val="left"/>
              <w:outlineLvl w:val="9"/>
              <w:rPr>
                <w:rFonts w:hint="eastAsia" w:ascii="仿宋" w:hAnsi="仿宋" w:eastAsia="仿宋" w:cs="仿宋"/>
                <w:b w:val="0"/>
                <w:bCs/>
                <w:snapToGrid w:val="0"/>
                <w:color w:val="auto"/>
                <w:kern w:val="0"/>
                <w:sz w:val="24"/>
                <w:szCs w:val="24"/>
                <w:lang w:val="en-US" w:eastAsia="zh-CN" w:bidi="zh-CN"/>
              </w:rPr>
            </w:pPr>
            <w:r>
              <w:rPr>
                <w:rFonts w:hint="eastAsia" w:ascii="仿宋" w:hAnsi="仿宋" w:eastAsia="仿宋" w:cs="仿宋"/>
                <w:b w:val="0"/>
                <w:bCs/>
                <w:color w:val="auto"/>
                <w:sz w:val="24"/>
                <w:szCs w:val="24"/>
                <w:lang w:val="en-US" w:eastAsia="zh-CN" w:bidi="zh-CN"/>
              </w:rPr>
              <w:t>自验收合格正常使用</w:t>
            </w:r>
            <w:r>
              <w:rPr>
                <w:rFonts w:hint="eastAsia" w:ascii="仿宋" w:hAnsi="仿宋" w:eastAsia="仿宋" w:cs="仿宋"/>
                <w:b w:val="0"/>
                <w:bCs/>
                <w:color w:val="auto"/>
                <w:sz w:val="24"/>
                <w:szCs w:val="24"/>
                <w:highlight w:val="none"/>
                <w:lang w:val="en-US" w:eastAsia="zh-CN" w:bidi="zh-CN"/>
              </w:rPr>
              <w:t>之日起质保3年</w:t>
            </w:r>
          </w:p>
        </w:tc>
      </w:tr>
      <w:tr w14:paraId="43B5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035D3E03">
            <w:pPr>
              <w:pStyle w:val="25"/>
              <w:spacing w:before="132"/>
              <w:jc w:val="center"/>
              <w:rPr>
                <w:rFonts w:hint="default" w:eastAsia="仿宋"/>
                <w:color w:val="auto"/>
                <w:lang w:val="en-US" w:eastAsia="zh-CN"/>
              </w:rPr>
            </w:pPr>
            <w:r>
              <w:rPr>
                <w:rFonts w:hint="eastAsia"/>
                <w:color w:val="auto"/>
                <w:spacing w:val="-4"/>
                <w:lang w:val="en-US" w:eastAsia="zh-CN"/>
              </w:rPr>
              <w:t>11</w:t>
            </w:r>
          </w:p>
        </w:tc>
        <w:tc>
          <w:tcPr>
            <w:tcW w:w="1282" w:type="dxa"/>
            <w:vAlign w:val="center"/>
          </w:tcPr>
          <w:p w14:paraId="4866788D">
            <w:pPr>
              <w:pStyle w:val="25"/>
              <w:spacing w:before="131" w:line="240" w:lineRule="auto"/>
              <w:jc w:val="center"/>
              <w:rPr>
                <w:color w:val="auto"/>
              </w:rPr>
            </w:pPr>
            <w:r>
              <w:rPr>
                <w:color w:val="auto"/>
                <w:spacing w:val="-4"/>
              </w:rPr>
              <w:t>付款方式</w:t>
            </w:r>
          </w:p>
        </w:tc>
        <w:tc>
          <w:tcPr>
            <w:tcW w:w="7282" w:type="dxa"/>
            <w:tcBorders>
              <w:right w:val="single" w:color="000000" w:sz="4" w:space="0"/>
            </w:tcBorders>
            <w:vAlign w:val="top"/>
          </w:tcPr>
          <w:p w14:paraId="06B900D2">
            <w:pPr>
              <w:pStyle w:val="25"/>
              <w:spacing w:before="132" w:line="240" w:lineRule="auto"/>
              <w:ind w:left="119"/>
              <w:rPr>
                <w:rFonts w:hint="eastAsia" w:eastAsia="仿宋"/>
                <w:color w:val="auto"/>
                <w:lang w:val="en-US" w:eastAsia="zh-CN"/>
              </w:rPr>
            </w:pPr>
            <w:r>
              <w:rPr>
                <w:rFonts w:hint="eastAsia" w:eastAsia="仿宋"/>
                <w:color w:val="auto"/>
                <w:lang w:val="en-US" w:eastAsia="zh-CN"/>
              </w:rPr>
              <w:t>具体以实际签订合同为准</w:t>
            </w:r>
          </w:p>
        </w:tc>
      </w:tr>
      <w:tr w14:paraId="6958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68" w:type="dxa"/>
            <w:tcBorders>
              <w:left w:val="single" w:color="000000" w:sz="4" w:space="0"/>
            </w:tcBorders>
            <w:vAlign w:val="center"/>
          </w:tcPr>
          <w:p w14:paraId="2A136917">
            <w:pPr>
              <w:pStyle w:val="25"/>
              <w:spacing w:before="132"/>
              <w:jc w:val="center"/>
              <w:rPr>
                <w:rFonts w:hint="default"/>
                <w:color w:val="auto"/>
                <w:spacing w:val="-4"/>
                <w:lang w:val="en-US" w:eastAsia="zh-CN"/>
              </w:rPr>
            </w:pPr>
            <w:r>
              <w:rPr>
                <w:rFonts w:hint="eastAsia"/>
                <w:color w:val="auto"/>
                <w:spacing w:val="-4"/>
                <w:lang w:val="en-US" w:eastAsia="zh-CN"/>
              </w:rPr>
              <w:t>12</w:t>
            </w:r>
          </w:p>
        </w:tc>
        <w:tc>
          <w:tcPr>
            <w:tcW w:w="1282" w:type="dxa"/>
            <w:vAlign w:val="center"/>
          </w:tcPr>
          <w:p w14:paraId="39AA4FEC">
            <w:pPr>
              <w:pStyle w:val="25"/>
              <w:keepNext w:val="0"/>
              <w:keepLines w:val="0"/>
              <w:pageBreakBefore w:val="0"/>
              <w:widowControl/>
              <w:wordWrap/>
              <w:overflowPunct/>
              <w:topLinePunct w:val="0"/>
              <w:autoSpaceDE w:val="0"/>
              <w:autoSpaceDN w:val="0"/>
              <w:bidi w:val="0"/>
              <w:adjustRightInd w:val="0"/>
              <w:snapToGrid w:val="0"/>
              <w:spacing w:line="240" w:lineRule="auto"/>
              <w:jc w:val="center"/>
              <w:rPr>
                <w:color w:val="auto"/>
                <w:spacing w:val="-4"/>
              </w:rPr>
            </w:pPr>
            <w:r>
              <w:rPr>
                <w:rFonts w:hint="eastAsia"/>
                <w:color w:val="auto"/>
                <w:spacing w:val="-4"/>
                <w:lang w:val="en-US" w:eastAsia="zh-CN"/>
              </w:rPr>
              <w:t>采购项目的属性</w:t>
            </w:r>
          </w:p>
        </w:tc>
        <w:tc>
          <w:tcPr>
            <w:tcW w:w="7282" w:type="dxa"/>
            <w:tcBorders>
              <w:right w:val="single" w:color="000000" w:sz="4" w:space="0"/>
            </w:tcBorders>
            <w:vAlign w:val="center"/>
          </w:tcPr>
          <w:p w14:paraId="2445400F">
            <w:pPr>
              <w:pStyle w:val="25"/>
              <w:spacing w:before="132" w:line="240" w:lineRule="auto"/>
              <w:ind w:left="119"/>
              <w:jc w:val="both"/>
              <w:rPr>
                <w:rFonts w:hint="eastAsia"/>
                <w:color w:val="auto"/>
                <w:spacing w:val="-3"/>
                <w:lang w:val="en-US" w:eastAsia="zh-CN"/>
              </w:rPr>
            </w:pPr>
            <w:r>
              <w:rPr>
                <w:rFonts w:hint="eastAsia"/>
                <w:color w:val="auto"/>
                <w:spacing w:val="-3"/>
                <w:lang w:val="en-US" w:eastAsia="zh-CN"/>
              </w:rPr>
              <w:t>货物类</w:t>
            </w:r>
          </w:p>
        </w:tc>
      </w:tr>
      <w:tr w14:paraId="7C94B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1D15E44B">
            <w:pPr>
              <w:pStyle w:val="25"/>
              <w:spacing w:before="132"/>
              <w:jc w:val="center"/>
              <w:rPr>
                <w:rFonts w:hint="default"/>
                <w:color w:val="auto"/>
                <w:spacing w:val="-4"/>
                <w:lang w:val="en-US" w:eastAsia="zh-CN"/>
              </w:rPr>
            </w:pPr>
            <w:r>
              <w:rPr>
                <w:rFonts w:hint="eastAsia"/>
                <w:color w:val="auto"/>
                <w:spacing w:val="-4"/>
                <w:lang w:val="en-US" w:eastAsia="zh-CN"/>
              </w:rPr>
              <w:t>13</w:t>
            </w:r>
          </w:p>
        </w:tc>
        <w:tc>
          <w:tcPr>
            <w:tcW w:w="1282" w:type="dxa"/>
            <w:shd w:val="clear" w:color="auto" w:fill="auto"/>
            <w:vAlign w:val="center"/>
          </w:tcPr>
          <w:p w14:paraId="39D86F44">
            <w:pPr>
              <w:pStyle w:val="25"/>
              <w:keepNext w:val="0"/>
              <w:keepLines w:val="0"/>
              <w:pageBreakBefore w:val="0"/>
              <w:widowControl/>
              <w:wordWrap/>
              <w:overflowPunct/>
              <w:topLinePunct w:val="0"/>
              <w:autoSpaceDE w:val="0"/>
              <w:autoSpaceDN w:val="0"/>
              <w:bidi w:val="0"/>
              <w:adjustRightInd w:val="0"/>
              <w:snapToGrid w:val="0"/>
              <w:spacing w:line="240" w:lineRule="auto"/>
              <w:jc w:val="both"/>
              <w:rPr>
                <w:rFonts w:hint="eastAsia" w:ascii="仿宋" w:hAnsi="仿宋" w:eastAsia="仿宋" w:cs="仿宋"/>
                <w:snapToGrid w:val="0"/>
                <w:color w:val="auto"/>
                <w:spacing w:val="-4"/>
                <w:kern w:val="0"/>
                <w:sz w:val="24"/>
                <w:szCs w:val="24"/>
                <w:lang w:val="en-US" w:eastAsia="zh-CN" w:bidi="ar-SA"/>
              </w:rPr>
            </w:pPr>
            <w:r>
              <w:rPr>
                <w:rFonts w:hint="eastAsia"/>
                <w:color w:val="auto"/>
                <w:spacing w:val="-4"/>
                <w:lang w:val="en-US" w:eastAsia="zh-CN"/>
              </w:rPr>
              <w:t>采购方式</w:t>
            </w:r>
          </w:p>
        </w:tc>
        <w:tc>
          <w:tcPr>
            <w:tcW w:w="7282" w:type="dxa"/>
            <w:tcBorders>
              <w:right w:val="single" w:color="000000" w:sz="4" w:space="0"/>
            </w:tcBorders>
            <w:shd w:val="clear" w:color="auto" w:fill="auto"/>
            <w:vAlign w:val="center"/>
          </w:tcPr>
          <w:p w14:paraId="4C5C87A8">
            <w:pPr>
              <w:pStyle w:val="25"/>
              <w:spacing w:before="132" w:line="240" w:lineRule="auto"/>
              <w:ind w:left="119" w:leftChars="0"/>
              <w:jc w:val="both"/>
              <w:rPr>
                <w:rFonts w:hint="eastAsia" w:ascii="仿宋" w:hAnsi="仿宋" w:eastAsia="仿宋" w:cs="仿宋"/>
                <w:snapToGrid w:val="0"/>
                <w:color w:val="auto"/>
                <w:spacing w:val="-3"/>
                <w:kern w:val="0"/>
                <w:sz w:val="24"/>
                <w:szCs w:val="24"/>
                <w:lang w:val="en-US" w:eastAsia="zh-CN" w:bidi="ar-SA"/>
              </w:rPr>
            </w:pPr>
            <w:r>
              <w:rPr>
                <w:rFonts w:hint="eastAsia"/>
                <w:color w:val="auto"/>
                <w:spacing w:val="-3"/>
                <w:lang w:val="en-US" w:eastAsia="zh-CN"/>
              </w:rPr>
              <w:t>公开招标</w:t>
            </w:r>
          </w:p>
        </w:tc>
      </w:tr>
      <w:tr w14:paraId="6E855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68" w:type="dxa"/>
            <w:tcBorders>
              <w:left w:val="single" w:color="000000" w:sz="4" w:space="0"/>
            </w:tcBorders>
            <w:vAlign w:val="center"/>
          </w:tcPr>
          <w:p w14:paraId="06C97A16">
            <w:pPr>
              <w:pStyle w:val="25"/>
              <w:spacing w:before="132"/>
              <w:jc w:val="center"/>
              <w:rPr>
                <w:rFonts w:hint="default"/>
                <w:color w:val="auto"/>
                <w:spacing w:val="-4"/>
                <w:lang w:val="en-US" w:eastAsia="zh-CN"/>
              </w:rPr>
            </w:pPr>
            <w:r>
              <w:rPr>
                <w:rFonts w:hint="eastAsia"/>
                <w:color w:val="auto"/>
                <w:spacing w:val="-4"/>
                <w:lang w:val="en-US" w:eastAsia="zh-CN"/>
              </w:rPr>
              <w:t>14</w:t>
            </w:r>
          </w:p>
        </w:tc>
        <w:tc>
          <w:tcPr>
            <w:tcW w:w="1282" w:type="dxa"/>
            <w:shd w:val="clear" w:color="auto" w:fill="auto"/>
            <w:vAlign w:val="center"/>
          </w:tcPr>
          <w:p w14:paraId="7FF9DBE5">
            <w:pPr>
              <w:pStyle w:val="25"/>
              <w:keepNext w:val="0"/>
              <w:keepLines w:val="0"/>
              <w:pageBreakBefore w:val="0"/>
              <w:widowControl/>
              <w:wordWrap/>
              <w:overflowPunct/>
              <w:topLinePunct w:val="0"/>
              <w:autoSpaceDE w:val="0"/>
              <w:autoSpaceDN w:val="0"/>
              <w:bidi w:val="0"/>
              <w:adjustRightInd w:val="0"/>
              <w:snapToGrid w:val="0"/>
              <w:spacing w:line="240" w:lineRule="auto"/>
              <w:jc w:val="center"/>
              <w:rPr>
                <w:rFonts w:hint="eastAsia" w:ascii="仿宋" w:hAnsi="仿宋" w:eastAsia="仿宋" w:cs="仿宋"/>
                <w:snapToGrid w:val="0"/>
                <w:color w:val="000000"/>
                <w:kern w:val="0"/>
                <w:sz w:val="24"/>
                <w:szCs w:val="24"/>
                <w:lang w:val="en-US" w:eastAsia="zh-CN" w:bidi="ar-SA"/>
              </w:rPr>
            </w:pPr>
            <w:r>
              <w:rPr>
                <w:rFonts w:hint="eastAsia"/>
                <w:lang w:val="en-US" w:eastAsia="zh-CN"/>
              </w:rPr>
              <w:t>是否接受联合体</w:t>
            </w:r>
          </w:p>
        </w:tc>
        <w:tc>
          <w:tcPr>
            <w:tcW w:w="7282" w:type="dxa"/>
            <w:tcBorders>
              <w:right w:val="single" w:color="000000" w:sz="4" w:space="0"/>
            </w:tcBorders>
            <w:shd w:val="clear" w:color="auto" w:fill="auto"/>
            <w:vAlign w:val="center"/>
          </w:tcPr>
          <w:p w14:paraId="1E958B19">
            <w:pPr>
              <w:pStyle w:val="25"/>
              <w:spacing w:before="69" w:line="240" w:lineRule="auto"/>
              <w:ind w:left="130" w:leftChars="0"/>
              <w:jc w:val="left"/>
              <w:rPr>
                <w:rFonts w:hint="eastAsia" w:ascii="仿宋" w:hAnsi="仿宋" w:eastAsia="仿宋" w:cs="仿宋"/>
                <w:snapToGrid w:val="0"/>
                <w:color w:val="000000"/>
                <w:kern w:val="0"/>
                <w:sz w:val="24"/>
                <w:szCs w:val="24"/>
                <w:lang w:val="en-US" w:eastAsia="zh-CN" w:bidi="ar-SA"/>
              </w:rPr>
            </w:pPr>
            <w:r>
              <w:rPr>
                <w:rFonts w:hint="eastAsia"/>
                <w:lang w:val="en-US" w:eastAsia="zh-CN"/>
              </w:rPr>
              <w:t>不接受</w:t>
            </w:r>
          </w:p>
        </w:tc>
      </w:tr>
      <w:tr w14:paraId="5EC2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013E02B1">
            <w:pPr>
              <w:pStyle w:val="25"/>
              <w:spacing w:before="132"/>
              <w:jc w:val="center"/>
              <w:rPr>
                <w:rFonts w:hint="default"/>
                <w:color w:val="auto"/>
                <w:spacing w:val="-4"/>
                <w:lang w:val="en-US" w:eastAsia="zh-CN"/>
              </w:rPr>
            </w:pPr>
            <w:r>
              <w:rPr>
                <w:rFonts w:hint="eastAsia"/>
                <w:color w:val="auto"/>
                <w:spacing w:val="-4"/>
                <w:lang w:val="en-US" w:eastAsia="zh-CN"/>
              </w:rPr>
              <w:t>15</w:t>
            </w:r>
          </w:p>
        </w:tc>
        <w:tc>
          <w:tcPr>
            <w:tcW w:w="1282" w:type="dxa"/>
            <w:shd w:val="clear" w:color="auto" w:fill="auto"/>
            <w:vAlign w:val="center"/>
          </w:tcPr>
          <w:p w14:paraId="6A8D60D7">
            <w:pPr>
              <w:pStyle w:val="25"/>
              <w:keepNext w:val="0"/>
              <w:keepLines w:val="0"/>
              <w:pageBreakBefore w:val="0"/>
              <w:widowControl/>
              <w:wordWrap/>
              <w:overflowPunct/>
              <w:topLinePunct w:val="0"/>
              <w:autoSpaceDE w:val="0"/>
              <w:autoSpaceDN w:val="0"/>
              <w:bidi w:val="0"/>
              <w:adjustRightInd w:val="0"/>
              <w:snapToGrid w:val="0"/>
              <w:spacing w:line="240" w:lineRule="auto"/>
              <w:jc w:val="center"/>
              <w:rPr>
                <w:rFonts w:hint="eastAsia" w:ascii="仿宋" w:hAnsi="仿宋" w:eastAsia="仿宋" w:cs="仿宋"/>
                <w:snapToGrid w:val="0"/>
                <w:color w:val="000000"/>
                <w:spacing w:val="-5"/>
                <w:kern w:val="0"/>
                <w:sz w:val="24"/>
                <w:szCs w:val="24"/>
                <w:lang w:val="en-US" w:eastAsia="zh-CN" w:bidi="ar-SA"/>
              </w:rPr>
            </w:pPr>
            <w:r>
              <w:rPr>
                <w:rFonts w:hint="eastAsia"/>
                <w:spacing w:val="-5"/>
                <w:lang w:val="en-US" w:eastAsia="zh-CN"/>
              </w:rPr>
              <w:t>分包转包</w:t>
            </w:r>
          </w:p>
        </w:tc>
        <w:tc>
          <w:tcPr>
            <w:tcW w:w="7282" w:type="dxa"/>
            <w:tcBorders>
              <w:right w:val="single" w:color="000000" w:sz="4" w:space="0"/>
            </w:tcBorders>
            <w:shd w:val="clear" w:color="auto" w:fill="auto"/>
            <w:vAlign w:val="center"/>
          </w:tcPr>
          <w:p w14:paraId="5F85C836">
            <w:pPr>
              <w:pStyle w:val="25"/>
              <w:spacing w:before="124" w:line="240" w:lineRule="auto"/>
              <w:ind w:firstLine="230" w:firstLineChars="100"/>
              <w:jc w:val="both"/>
              <w:rPr>
                <w:rFonts w:hint="eastAsia" w:ascii="仿宋" w:hAnsi="仿宋" w:eastAsia="仿宋" w:cs="仿宋"/>
                <w:snapToGrid w:val="0"/>
                <w:color w:val="000000"/>
                <w:kern w:val="0"/>
                <w:sz w:val="24"/>
                <w:szCs w:val="24"/>
                <w:lang w:val="en-US" w:eastAsia="zh-CN" w:bidi="ar-SA"/>
              </w:rPr>
            </w:pPr>
            <w:r>
              <w:rPr>
                <w:rFonts w:hint="eastAsia"/>
                <w:spacing w:val="-5"/>
                <w:lang w:val="en-US" w:eastAsia="zh-CN"/>
              </w:rPr>
              <w:t>不允许</w:t>
            </w:r>
          </w:p>
        </w:tc>
      </w:tr>
      <w:tr w14:paraId="4CF8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6FE8158F">
            <w:pPr>
              <w:pStyle w:val="25"/>
              <w:spacing w:before="132"/>
              <w:jc w:val="center"/>
              <w:rPr>
                <w:rFonts w:hint="default"/>
                <w:color w:val="auto"/>
                <w:spacing w:val="-4"/>
                <w:lang w:val="en-US" w:eastAsia="zh-CN"/>
              </w:rPr>
            </w:pPr>
            <w:r>
              <w:rPr>
                <w:rFonts w:hint="eastAsia"/>
                <w:color w:val="auto"/>
                <w:spacing w:val="-4"/>
                <w:lang w:val="en-US" w:eastAsia="zh-CN"/>
              </w:rPr>
              <w:t>16</w:t>
            </w:r>
          </w:p>
        </w:tc>
        <w:tc>
          <w:tcPr>
            <w:tcW w:w="1282" w:type="dxa"/>
            <w:shd w:val="clear" w:color="auto" w:fill="auto"/>
            <w:vAlign w:val="center"/>
          </w:tcPr>
          <w:p w14:paraId="21674A70">
            <w:pPr>
              <w:keepNext w:val="0"/>
              <w:keepLines w:val="0"/>
              <w:pageBreakBefore w:val="0"/>
              <w:widowControl/>
              <w:shd w:val="clear" w:color="auto" w:fill="auto"/>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仿宋" w:hAnsi="仿宋" w:eastAsia="仿宋" w:cs="仿宋"/>
                <w:snapToGrid w:val="0"/>
                <w:color w:val="auto"/>
                <w:spacing w:val="0"/>
                <w:w w:val="100"/>
                <w:kern w:val="0"/>
                <w:position w:val="0"/>
                <w:sz w:val="24"/>
                <w:szCs w:val="24"/>
                <w:highlight w:val="none"/>
                <w:lang w:val="en-US" w:eastAsia="zh-CN" w:bidi="zh-CN"/>
              </w:rPr>
            </w:pPr>
            <w:r>
              <w:rPr>
                <w:rFonts w:hint="eastAsia" w:ascii="仿宋" w:hAnsi="仿宋" w:eastAsia="仿宋" w:cs="仿宋"/>
                <w:color w:val="auto"/>
                <w:sz w:val="24"/>
                <w:szCs w:val="24"/>
                <w:highlight w:val="none"/>
                <w:lang w:val="en-US"/>
              </w:rPr>
              <w:t>是否允许采购进口产品</w:t>
            </w:r>
          </w:p>
        </w:tc>
        <w:tc>
          <w:tcPr>
            <w:tcW w:w="7282" w:type="dxa"/>
            <w:tcBorders>
              <w:right w:val="single" w:color="000000" w:sz="4" w:space="0"/>
            </w:tcBorders>
            <w:shd w:val="clear" w:color="auto" w:fill="auto"/>
            <w:vAlign w:val="center"/>
          </w:tcPr>
          <w:p w14:paraId="6650921D">
            <w:pPr>
              <w:keepNext w:val="0"/>
              <w:keepLines w:val="0"/>
              <w:pageBreakBefore w:val="0"/>
              <w:shd w:val="clear" w:color="auto" w:fill="auto"/>
              <w:kinsoku/>
              <w:wordWrap/>
              <w:overflowPunct/>
              <w:topLinePunct w:val="0"/>
              <w:autoSpaceDE w:val="0"/>
              <w:autoSpaceDN w:val="0"/>
              <w:bidi w:val="0"/>
              <w:adjustRightInd/>
              <w:snapToGrid/>
              <w:spacing w:line="240" w:lineRule="auto"/>
              <w:ind w:left="0" w:leftChars="0" w:firstLine="0" w:firstLineChars="0"/>
              <w:textAlignment w:val="auto"/>
              <w:rPr>
                <w:rFonts w:hint="eastAsia" w:ascii="仿宋" w:hAnsi="仿宋" w:eastAsia="仿宋" w:cs="仿宋"/>
                <w:snapToGrid w:val="0"/>
                <w:color w:val="auto"/>
                <w:spacing w:val="0"/>
                <w:w w:val="100"/>
                <w:kern w:val="0"/>
                <w:position w:val="0"/>
                <w:sz w:val="24"/>
                <w:szCs w:val="24"/>
                <w:highlight w:val="none"/>
                <w:lang w:val="en-US" w:eastAsia="zh-CN" w:bidi="zh-CN"/>
              </w:rPr>
            </w:pPr>
            <w:r>
              <w:rPr>
                <w:rFonts w:hint="eastAsia" w:ascii="仿宋" w:hAnsi="仿宋" w:eastAsia="仿宋" w:cs="仿宋"/>
                <w:color w:val="auto"/>
                <w:spacing w:val="0"/>
                <w:w w:val="100"/>
                <w:kern w:val="0"/>
                <w:position w:val="0"/>
                <w:sz w:val="24"/>
                <w:szCs w:val="24"/>
                <w:highlight w:val="none"/>
                <w:lang w:val="en-US" w:eastAsia="zh-CN"/>
              </w:rPr>
              <w:t>本项目</w:t>
            </w:r>
            <w:r>
              <w:rPr>
                <w:rFonts w:hint="eastAsia" w:ascii="仿宋" w:hAnsi="仿宋" w:eastAsia="仿宋" w:cs="仿宋"/>
                <w:b/>
                <w:bCs/>
                <w:color w:val="auto"/>
                <w:spacing w:val="0"/>
                <w:w w:val="100"/>
                <w:kern w:val="0"/>
                <w:position w:val="0"/>
                <w:sz w:val="24"/>
                <w:szCs w:val="24"/>
                <w:highlight w:val="none"/>
                <w:lang w:val="en-US" w:eastAsia="zh-CN"/>
              </w:rPr>
              <w:t>不允许</w:t>
            </w:r>
            <w:r>
              <w:rPr>
                <w:rFonts w:hint="eastAsia" w:ascii="仿宋" w:hAnsi="仿宋" w:eastAsia="仿宋" w:cs="仿宋"/>
                <w:color w:val="auto"/>
                <w:spacing w:val="0"/>
                <w:w w:val="100"/>
                <w:kern w:val="0"/>
                <w:position w:val="0"/>
                <w:sz w:val="24"/>
                <w:szCs w:val="24"/>
                <w:highlight w:val="none"/>
                <w:lang w:val="en-US" w:eastAsia="zh-CN"/>
              </w:rPr>
              <w:t>进口产品投标</w:t>
            </w:r>
          </w:p>
        </w:tc>
      </w:tr>
      <w:tr w14:paraId="114C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62164C6A">
            <w:pPr>
              <w:pStyle w:val="25"/>
              <w:spacing w:before="132"/>
              <w:jc w:val="center"/>
              <w:rPr>
                <w:rFonts w:hint="default"/>
                <w:color w:val="auto"/>
                <w:spacing w:val="-4"/>
                <w:lang w:val="en-US" w:eastAsia="zh-CN"/>
              </w:rPr>
            </w:pPr>
            <w:r>
              <w:rPr>
                <w:rFonts w:hint="eastAsia"/>
                <w:color w:val="auto"/>
                <w:spacing w:val="-4"/>
                <w:lang w:val="en-US" w:eastAsia="zh-CN"/>
              </w:rPr>
              <w:t>17</w:t>
            </w:r>
          </w:p>
        </w:tc>
        <w:tc>
          <w:tcPr>
            <w:tcW w:w="1282" w:type="dxa"/>
            <w:shd w:val="clear" w:color="auto" w:fill="auto"/>
            <w:vAlign w:val="center"/>
          </w:tcPr>
          <w:p w14:paraId="1AD54B69">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SA"/>
              </w:rPr>
            </w:pPr>
            <w:r>
              <w:rPr>
                <w:color w:val="auto"/>
                <w:spacing w:val="-5"/>
                <w:highlight w:val="none"/>
              </w:rPr>
              <w:t>踏勘现场</w:t>
            </w:r>
          </w:p>
        </w:tc>
        <w:tc>
          <w:tcPr>
            <w:tcW w:w="7282" w:type="dxa"/>
            <w:tcBorders>
              <w:right w:val="single" w:color="000000" w:sz="4" w:space="0"/>
            </w:tcBorders>
            <w:shd w:val="clear" w:color="auto" w:fill="auto"/>
            <w:vAlign w:val="center"/>
          </w:tcPr>
          <w:p w14:paraId="27F1C02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default" w:ascii="仿宋" w:hAnsi="仿宋" w:eastAsia="仿宋" w:cs="仿宋"/>
                <w:snapToGrid w:val="0"/>
                <w:color w:val="auto"/>
                <w:kern w:val="0"/>
                <w:sz w:val="24"/>
                <w:szCs w:val="24"/>
                <w:highlight w:val="none"/>
                <w:lang w:val="en-US" w:eastAsia="zh-CN" w:bidi="ar-SA"/>
              </w:rPr>
            </w:pPr>
            <w:r>
              <w:rPr>
                <w:rFonts w:hint="eastAsia"/>
                <w:color w:val="auto"/>
                <w:highlight w:val="none"/>
                <w:lang w:val="en-US" w:eastAsia="zh-CN"/>
              </w:rPr>
              <w:t>不组织</w:t>
            </w:r>
          </w:p>
        </w:tc>
      </w:tr>
      <w:tr w14:paraId="7C94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top w:val="single" w:color="auto" w:sz="4" w:space="0"/>
              <w:left w:val="single" w:color="auto" w:sz="4" w:space="0"/>
              <w:bottom w:val="single" w:color="auto" w:sz="4" w:space="0"/>
              <w:right w:val="single" w:color="auto" w:sz="4" w:space="0"/>
            </w:tcBorders>
            <w:vAlign w:val="center"/>
          </w:tcPr>
          <w:p w14:paraId="14F82433">
            <w:pPr>
              <w:pStyle w:val="25"/>
              <w:spacing w:before="78"/>
              <w:jc w:val="center"/>
              <w:rPr>
                <w:rFonts w:hint="default" w:eastAsia="仿宋"/>
                <w:color w:val="auto"/>
                <w:lang w:val="en-US" w:eastAsia="zh-CN"/>
              </w:rPr>
            </w:pPr>
            <w:r>
              <w:rPr>
                <w:rFonts w:hint="eastAsia"/>
                <w:color w:val="auto"/>
                <w:spacing w:val="-4"/>
                <w:lang w:val="en-US" w:eastAsia="zh-CN"/>
              </w:rPr>
              <w:t>18</w:t>
            </w:r>
          </w:p>
        </w:tc>
        <w:tc>
          <w:tcPr>
            <w:tcW w:w="1282" w:type="dxa"/>
            <w:tcBorders>
              <w:top w:val="single" w:color="auto" w:sz="4" w:space="0"/>
              <w:left w:val="single" w:color="auto" w:sz="4" w:space="0"/>
              <w:bottom w:val="single" w:color="auto" w:sz="4" w:space="0"/>
              <w:right w:val="single" w:color="auto" w:sz="4" w:space="0"/>
            </w:tcBorders>
            <w:vAlign w:val="center"/>
          </w:tcPr>
          <w:p w14:paraId="134FEF90">
            <w:pPr>
              <w:spacing w:line="269" w:lineRule="auto"/>
              <w:jc w:val="center"/>
              <w:rPr>
                <w:rFonts w:ascii="Arial"/>
                <w:color w:val="auto"/>
                <w:sz w:val="21"/>
              </w:rPr>
            </w:pPr>
          </w:p>
          <w:p w14:paraId="34A4B98C">
            <w:pPr>
              <w:pStyle w:val="25"/>
              <w:spacing w:before="78" w:line="360" w:lineRule="auto"/>
              <w:ind w:left="356" w:right="349"/>
              <w:jc w:val="center"/>
              <w:rPr>
                <w:rFonts w:hint="default" w:eastAsia="仿宋"/>
                <w:color w:val="auto"/>
                <w:lang w:val="en-US" w:eastAsia="zh-CN"/>
              </w:rPr>
            </w:pPr>
            <w:r>
              <w:rPr>
                <w:color w:val="auto"/>
                <w:spacing w:val="-6"/>
              </w:rPr>
              <w:t>投标人资</w:t>
            </w:r>
            <w:r>
              <w:rPr>
                <w:rFonts w:hint="eastAsia"/>
                <w:color w:val="auto"/>
                <w:spacing w:val="-6"/>
                <w:lang w:val="en-US" w:eastAsia="zh-CN"/>
              </w:rPr>
              <w:t>格证明文件要求</w:t>
            </w:r>
          </w:p>
        </w:tc>
        <w:tc>
          <w:tcPr>
            <w:tcW w:w="7282" w:type="dxa"/>
            <w:tcBorders>
              <w:top w:val="single" w:color="auto" w:sz="4" w:space="0"/>
              <w:left w:val="single" w:color="auto" w:sz="4" w:space="0"/>
              <w:bottom w:val="single" w:color="auto" w:sz="4" w:space="0"/>
              <w:right w:val="single" w:color="auto" w:sz="4" w:space="0"/>
            </w:tcBorders>
            <w:vAlign w:val="top"/>
          </w:tcPr>
          <w:p w14:paraId="7565C35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b/>
                <w:bCs/>
                <w:color w:val="auto"/>
              </w:rPr>
            </w:pPr>
            <w:r>
              <w:rPr>
                <w:rFonts w:hint="eastAsia"/>
                <w:b/>
                <w:bCs/>
                <w:color w:val="auto"/>
                <w:lang w:val="en-US" w:eastAsia="zh-CN"/>
              </w:rPr>
              <w:t>基本资格、资信证明文件：</w:t>
            </w:r>
          </w:p>
          <w:p w14:paraId="247B700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b/>
                <w:bCs/>
                <w:color w:val="auto"/>
                <w:lang w:val="en-US"/>
              </w:rPr>
            </w:pPr>
            <w:r>
              <w:rPr>
                <w:rFonts w:hint="eastAsia"/>
                <w:b/>
                <w:bCs/>
                <w:color w:val="auto"/>
                <w:lang w:val="en-US" w:eastAsia="zh-CN"/>
              </w:rPr>
              <w:t>1.具有独立承担民事责任的能力；</w:t>
            </w:r>
          </w:p>
          <w:p w14:paraId="7C8DD82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投标单位是企业（包括合伙企业）的，应提供其在工商部门注册的有效“营业执照”复印件；</w:t>
            </w:r>
          </w:p>
          <w:p w14:paraId="5FE5880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投标单位是事业单位的，应提供其有效的“事业单位法人证书”复印件；</w:t>
            </w:r>
          </w:p>
          <w:p w14:paraId="301166C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投标单位是非企业专业服务机构的，应提供其有效的“执业许可证”复印件；</w:t>
            </w:r>
          </w:p>
          <w:p w14:paraId="6DBFD14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投标单位是民办非企业单位的，应提供其有效的登记证书复印件；</w:t>
            </w:r>
          </w:p>
          <w:p w14:paraId="45BC9B0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投标单位是个体工商户的，应提供其有效的“营业执照”复印件；</w:t>
            </w:r>
          </w:p>
          <w:p w14:paraId="4FD713C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投标单位是自然人的，应提供其有效的自然人身份证明复印件；</w:t>
            </w:r>
          </w:p>
          <w:p w14:paraId="06CAADAA">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jc w:val="both"/>
              <w:textAlignment w:val="baseline"/>
              <w:rPr>
                <w:rFonts w:hint="eastAsia"/>
                <w:b/>
                <w:bCs/>
                <w:color w:val="auto"/>
                <w:lang w:val="en-US" w:eastAsia="zh-CN"/>
              </w:rPr>
            </w:pPr>
            <w:r>
              <w:rPr>
                <w:rFonts w:hint="eastAsia" w:ascii="仿宋" w:hAnsi="仿宋" w:eastAsia="仿宋" w:cs="仿宋"/>
                <w:b/>
                <w:bCs/>
                <w:snapToGrid w:val="0"/>
                <w:color w:val="auto"/>
                <w:kern w:val="0"/>
                <w:sz w:val="24"/>
                <w:szCs w:val="24"/>
                <w:lang w:val="en-US" w:eastAsia="zh-CN" w:bidi="ar-SA"/>
              </w:rPr>
              <w:t>2.</w:t>
            </w:r>
            <w:r>
              <w:rPr>
                <w:rFonts w:hint="eastAsia"/>
                <w:b/>
                <w:bCs/>
                <w:color w:val="auto"/>
                <w:lang w:val="en-US" w:eastAsia="zh-CN"/>
              </w:rPr>
              <w:t>具有良好的商业信誉和健全的财务会计制度；</w:t>
            </w:r>
          </w:p>
          <w:p w14:paraId="5280CC7B">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color w:val="auto"/>
                <w:lang w:val="en-US" w:eastAsia="zh-CN"/>
              </w:rPr>
            </w:pPr>
            <w:r>
              <w:rPr>
                <w:rFonts w:hint="eastAsia"/>
                <w:color w:val="auto"/>
                <w:lang w:val="en-US" w:eastAsia="zh-CN"/>
              </w:rPr>
              <w:t>（1）提供2024年度或2025年度由会计师事务所出具财务审计报告；</w:t>
            </w:r>
          </w:p>
          <w:p w14:paraId="47D5CDEE">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color w:val="auto"/>
                <w:lang w:val="en-US"/>
              </w:rPr>
            </w:pPr>
            <w:r>
              <w:rPr>
                <w:rFonts w:hint="eastAsia"/>
                <w:color w:val="auto"/>
                <w:lang w:val="en-US" w:eastAsia="zh-CN"/>
              </w:rPr>
              <w:t>（2）新成立公司提供银行出具的有效期内的资信证明；其他组织和自然人，没有经审计的财务报告，提供银行出具的资信证明；</w:t>
            </w:r>
          </w:p>
          <w:p w14:paraId="58B24F6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3.具有履行合同所必需的设备和专业技术能力</w:t>
            </w:r>
            <w:r>
              <w:rPr>
                <w:rFonts w:hint="eastAsia"/>
                <w:color w:val="auto"/>
                <w:lang w:val="en-US" w:eastAsia="zh-CN"/>
              </w:rPr>
              <w:t>；（投标人自行出具书面声明，格式自拟，加盖公章）</w:t>
            </w:r>
          </w:p>
          <w:p w14:paraId="5DA05D6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4.有依法缴纳税收和社会保障资金的良好记录</w:t>
            </w:r>
            <w:r>
              <w:rPr>
                <w:rFonts w:hint="eastAsia"/>
                <w:color w:val="auto"/>
                <w:lang w:val="en-US" w:eastAsia="zh-CN"/>
              </w:rPr>
              <w:t>；</w:t>
            </w:r>
          </w:p>
          <w:p w14:paraId="7ACC5E9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（1）依法缴纳税收的相关材料：</w:t>
            </w:r>
          </w:p>
          <w:p w14:paraId="1D7D951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color w:val="auto"/>
                <w:lang w:val="en-US" w:eastAsia="zh-CN"/>
              </w:rPr>
              <w:t>开标日前半年内任意三个月缴纳税收的凭证复印件；缴纳凭证复印件须清晰可辨，并能显示出税种种类，单位代扣代缴的个人所得税不能作为单位纳税的凭证；依法免税的投标人，应提供相应文件证明其依法免税；</w:t>
            </w:r>
          </w:p>
          <w:p w14:paraId="09DA601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（2）依法缴纳社会保障资金的相关材料：</w:t>
            </w:r>
          </w:p>
          <w:p w14:paraId="3344310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color w:val="auto"/>
                <w:lang w:val="en-US" w:eastAsia="zh-CN"/>
              </w:rPr>
              <w:t>开标日半年内任意三个月缴纳社会保险的凭据（专用收据或社会保险缴纳清单）；投标人为其他组织或自然人的，也需要按此项规定提供缴纳税收的凭据和缴纳社会保险的凭据；</w:t>
            </w:r>
          </w:p>
          <w:p w14:paraId="0563FF0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5.参加此采购活动前三年内，在经营活动中没有重大违法记录</w:t>
            </w:r>
            <w:r>
              <w:rPr>
                <w:rFonts w:hint="eastAsia"/>
                <w:color w:val="auto"/>
                <w:lang w:val="en-US" w:eastAsia="zh-CN"/>
              </w:rPr>
              <w:t>；（投标人自行出具书面声明，格式自拟，加盖公章）</w:t>
            </w:r>
          </w:p>
          <w:p w14:paraId="56BDE71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6.法律、行政法规规定的其他条件</w:t>
            </w:r>
            <w:r>
              <w:rPr>
                <w:rFonts w:hint="eastAsia"/>
                <w:color w:val="auto"/>
                <w:lang w:val="en-US" w:eastAsia="zh-CN"/>
              </w:rPr>
              <w:t>：</w:t>
            </w:r>
          </w:p>
          <w:p w14:paraId="772125A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b/>
                <w:bCs/>
                <w:color w:val="auto"/>
                <w:lang w:val="en-US" w:eastAsia="zh-CN"/>
              </w:rPr>
            </w:pPr>
            <w:r>
              <w:rPr>
                <w:rFonts w:hint="eastAsia"/>
                <w:b/>
                <w:bCs/>
                <w:color w:val="auto"/>
                <w:lang w:val="en-US" w:eastAsia="zh-CN"/>
              </w:rPr>
              <w:t>（1）信用查询：</w:t>
            </w:r>
          </w:p>
          <w:p w14:paraId="73D63D2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color w:val="auto"/>
                <w:spacing w:val="-8"/>
              </w:rPr>
            </w:pPr>
            <w:r>
              <w:rPr>
                <w:rFonts w:hint="eastAsia"/>
                <w:color w:val="auto"/>
                <w:lang w:val="en-US" w:eastAsia="zh-CN"/>
              </w:rPr>
              <w:t>投标人在“中国政府采购网（www.ccgp.gov.cn）”政府采购严重违法失信行为记录名单内无不良信息记录及“信用中国”网站（www.creditchina.gov.cn）信用公示查询栏查询的“失信被执行人、重大税收违法案件当事人、政府采购严重违法失信行为”未出现不良信用信息记录及其他国家行政机关列入限制行为的。（以本项目发出公告之后查询时间有效，信用信息截止时点为开标当日，如有争议代理机构可现场查询）。</w:t>
            </w:r>
            <w:r>
              <w:rPr>
                <w:color w:val="auto"/>
                <w:spacing w:val="-5"/>
              </w:rPr>
              <w:t>对列入失信被执行人、重大税收违法案件当事人名单、政府采购严重违法失信行为记录名单的投标人，其投标将被拒</w:t>
            </w:r>
            <w:r>
              <w:rPr>
                <w:color w:val="auto"/>
                <w:spacing w:val="-8"/>
              </w:rPr>
              <w:t>绝。</w:t>
            </w:r>
          </w:p>
          <w:p w14:paraId="0A28C99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color w:val="auto"/>
                <w:spacing w:val="-8"/>
                <w:lang w:eastAsia="zh-CN"/>
              </w:rPr>
              <w:t>（</w:t>
            </w:r>
            <w:r>
              <w:rPr>
                <w:rFonts w:hint="eastAsia"/>
                <w:b/>
                <w:bCs/>
                <w:color w:val="auto"/>
                <w:spacing w:val="-8"/>
                <w:lang w:val="en-US" w:eastAsia="zh-CN"/>
              </w:rPr>
              <w:t>2</w:t>
            </w:r>
            <w:r>
              <w:rPr>
                <w:rFonts w:hint="eastAsia"/>
                <w:b/>
                <w:bCs/>
                <w:color w:val="auto"/>
                <w:spacing w:val="-8"/>
                <w:lang w:eastAsia="zh-CN"/>
              </w:rPr>
              <w:t>）</w:t>
            </w:r>
            <w:r>
              <w:rPr>
                <w:rFonts w:hint="eastAsia"/>
                <w:b/>
                <w:bCs/>
                <w:color w:val="auto"/>
                <w:spacing w:val="-8"/>
                <w:lang w:val="en-US" w:eastAsia="zh-CN"/>
              </w:rPr>
              <w:t>单位负责人为同一人或者存在直接控股、管理关系的不同供应商，不得参加同一合同项下的政府采购活动；</w:t>
            </w:r>
            <w:r>
              <w:rPr>
                <w:rFonts w:hint="eastAsia"/>
                <w:color w:val="auto"/>
                <w:lang w:val="en-US" w:eastAsia="zh-CN"/>
              </w:rPr>
              <w:t>（投标人自行出具书面声明，格式自拟，加盖公章）</w:t>
            </w:r>
          </w:p>
          <w:p w14:paraId="64982E8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（3）本项目不接受联合体投标，不允许分包、转包</w:t>
            </w:r>
            <w:r>
              <w:rPr>
                <w:rFonts w:hint="eastAsia"/>
                <w:color w:val="auto"/>
                <w:lang w:val="en-US" w:eastAsia="zh-CN"/>
              </w:rPr>
              <w:t>（投标人自行出具书面声明，格式自拟，加盖公章）</w:t>
            </w:r>
          </w:p>
          <w:p w14:paraId="3A7434C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highlight w:val="none"/>
                <w:lang w:val="en-US" w:eastAsia="zh-CN"/>
              </w:rPr>
            </w:pPr>
            <w:r>
              <w:rPr>
                <w:rFonts w:hint="eastAsia"/>
                <w:b/>
                <w:bCs/>
                <w:color w:val="auto"/>
                <w:highlight w:val="none"/>
                <w:lang w:val="en-US" w:eastAsia="zh-CN"/>
              </w:rPr>
              <w:t>7.政府采购政策资格要求：</w:t>
            </w:r>
            <w:r>
              <w:rPr>
                <w:rFonts w:hint="eastAsia"/>
                <w:b/>
                <w:bCs/>
                <w:color w:val="auto"/>
                <w:highlight w:val="none"/>
                <w:u w:val="single"/>
                <w:lang w:val="en-US" w:eastAsia="zh-CN"/>
              </w:rPr>
              <w:t>本项目专门面向中小企业，所投产品货物的制造商须为符合采购标的对应行业</w:t>
            </w:r>
            <w:r>
              <w:rPr>
                <w:rFonts w:hint="eastAsia"/>
                <w:color w:val="auto"/>
                <w:highlight w:val="none"/>
                <w:lang w:val="en-US" w:eastAsia="zh-CN"/>
              </w:rPr>
              <w:t>(工业(制造业))划分标准的中型、小型或微型企业，需提供《中小企业声明函》，投标单位需逐条对所有货物制造商进行填写，遗漏或未填写视为不符合资格条件。</w:t>
            </w:r>
          </w:p>
          <w:p w14:paraId="3A6EFD7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eastAsia="仿宋"/>
                <w:color w:val="auto"/>
                <w:lang w:eastAsia="zh-CN"/>
              </w:rPr>
            </w:pPr>
            <w:r>
              <w:rPr>
                <w:rFonts w:hint="eastAsia"/>
                <w:b/>
                <w:bCs/>
                <w:color w:val="auto"/>
                <w:highlight w:val="none"/>
                <w:lang w:val="en-US" w:eastAsia="zh-CN"/>
              </w:rPr>
              <w:t>8.特定资格要求</w:t>
            </w:r>
            <w:r>
              <w:rPr>
                <w:rFonts w:hint="eastAsia"/>
                <w:color w:val="auto"/>
                <w:highlight w:val="none"/>
                <w:lang w:val="en-US" w:eastAsia="zh-CN"/>
              </w:rPr>
              <w:t>：</w:t>
            </w:r>
            <w:r>
              <w:rPr>
                <w:rFonts w:hint="eastAsia"/>
                <w:color w:val="auto"/>
                <w:sz w:val="24"/>
                <w:szCs w:val="24"/>
                <w:highlight w:val="none"/>
                <w:lang w:val="en-US" w:eastAsia="zh-CN"/>
              </w:rPr>
              <w:t>无</w:t>
            </w:r>
          </w:p>
        </w:tc>
      </w:tr>
    </w:tbl>
    <w:tbl>
      <w:tblPr>
        <w:tblStyle w:val="24"/>
        <w:tblW w:w="9133"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7"/>
        <w:gridCol w:w="1295"/>
        <w:gridCol w:w="7241"/>
      </w:tblGrid>
      <w:tr w14:paraId="0C32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97" w:type="dxa"/>
            <w:tcBorders>
              <w:top w:val="nil"/>
              <w:left w:val="single" w:color="auto" w:sz="4" w:space="0"/>
              <w:bottom w:val="single" w:color="auto" w:sz="4" w:space="0"/>
              <w:right w:val="single" w:color="auto" w:sz="4" w:space="0"/>
            </w:tcBorders>
            <w:vAlign w:val="center"/>
          </w:tcPr>
          <w:p w14:paraId="3C44DA90">
            <w:pPr>
              <w:pStyle w:val="25"/>
              <w:spacing w:before="56"/>
              <w:jc w:val="center"/>
              <w:rPr>
                <w:rFonts w:hint="default" w:eastAsia="仿宋"/>
                <w:color w:val="auto"/>
                <w:lang w:val="en-US" w:eastAsia="zh-CN"/>
              </w:rPr>
            </w:pPr>
            <w:r>
              <w:rPr>
                <w:rFonts w:hint="eastAsia"/>
                <w:color w:val="auto"/>
                <w:spacing w:val="-4"/>
                <w:lang w:val="en-US" w:eastAsia="zh-CN"/>
              </w:rPr>
              <w:t>19</w:t>
            </w:r>
          </w:p>
        </w:tc>
        <w:tc>
          <w:tcPr>
            <w:tcW w:w="1295" w:type="dxa"/>
            <w:tcBorders>
              <w:top w:val="nil"/>
              <w:left w:val="single" w:color="auto" w:sz="4" w:space="0"/>
              <w:bottom w:val="single" w:color="auto" w:sz="4" w:space="0"/>
              <w:right w:val="single" w:color="auto" w:sz="4" w:space="0"/>
            </w:tcBorders>
            <w:vAlign w:val="center"/>
          </w:tcPr>
          <w:p w14:paraId="3AB2306C">
            <w:pPr>
              <w:pStyle w:val="25"/>
              <w:spacing w:before="56" w:line="240" w:lineRule="auto"/>
              <w:ind w:left="116"/>
              <w:jc w:val="center"/>
              <w:rPr>
                <w:color w:val="auto"/>
                <w:spacing w:val="-4"/>
              </w:rPr>
            </w:pPr>
            <w:r>
              <w:rPr>
                <w:color w:val="auto"/>
                <w:spacing w:val="-4"/>
              </w:rPr>
              <w:t>投标</w:t>
            </w:r>
          </w:p>
          <w:p w14:paraId="06166A2A">
            <w:pPr>
              <w:pStyle w:val="25"/>
              <w:spacing w:before="56" w:line="240" w:lineRule="auto"/>
              <w:ind w:left="116"/>
              <w:jc w:val="center"/>
              <w:rPr>
                <w:color w:val="auto"/>
              </w:rPr>
            </w:pPr>
            <w:r>
              <w:rPr>
                <w:color w:val="auto"/>
                <w:spacing w:val="-4"/>
              </w:rPr>
              <w:t>有效期</w:t>
            </w:r>
          </w:p>
        </w:tc>
        <w:tc>
          <w:tcPr>
            <w:tcW w:w="7241" w:type="dxa"/>
            <w:tcBorders>
              <w:top w:val="nil"/>
              <w:left w:val="single" w:color="auto" w:sz="4" w:space="0"/>
              <w:bottom w:val="single" w:color="auto" w:sz="4" w:space="0"/>
              <w:right w:val="single" w:color="auto" w:sz="4" w:space="0"/>
            </w:tcBorders>
            <w:vAlign w:val="center"/>
          </w:tcPr>
          <w:p w14:paraId="1DE7CB45">
            <w:pPr>
              <w:pStyle w:val="25"/>
              <w:spacing w:before="55" w:line="240" w:lineRule="auto"/>
              <w:ind w:left="233"/>
              <w:jc w:val="left"/>
              <w:rPr>
                <w:color w:val="auto"/>
              </w:rPr>
            </w:pPr>
            <w:r>
              <w:rPr>
                <w:color w:val="auto"/>
                <w:spacing w:val="-5"/>
              </w:rPr>
              <w:t>90 日历天</w:t>
            </w:r>
            <w:r>
              <w:rPr>
                <w:rFonts w:hint="eastAsia"/>
                <w:color w:val="auto"/>
                <w:spacing w:val="-5"/>
                <w:lang w:val="en-US" w:eastAsia="zh-CN"/>
              </w:rPr>
              <w:t>（实质性要求，</w:t>
            </w:r>
            <w:r>
              <w:rPr>
                <w:color w:val="auto"/>
                <w:spacing w:val="-5"/>
              </w:rPr>
              <w:t>如不满足将导致废标）</w:t>
            </w:r>
          </w:p>
        </w:tc>
      </w:tr>
      <w:tr w14:paraId="214E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597" w:type="dxa"/>
            <w:tcBorders>
              <w:top w:val="single" w:color="auto" w:sz="4" w:space="0"/>
              <w:left w:val="single" w:color="auto" w:sz="4" w:space="0"/>
              <w:bottom w:val="single" w:color="auto" w:sz="4" w:space="0"/>
              <w:right w:val="single" w:color="auto" w:sz="4" w:space="0"/>
            </w:tcBorders>
            <w:vAlign w:val="center"/>
          </w:tcPr>
          <w:p w14:paraId="1E86AC18">
            <w:pPr>
              <w:pStyle w:val="25"/>
              <w:spacing w:before="78"/>
              <w:jc w:val="center"/>
              <w:rPr>
                <w:rFonts w:hint="default" w:eastAsia="仿宋"/>
                <w:lang w:val="en-US" w:eastAsia="zh-CN"/>
              </w:rPr>
            </w:pPr>
            <w:r>
              <w:rPr>
                <w:rFonts w:hint="eastAsia"/>
                <w:lang w:val="en-US" w:eastAsia="zh-CN"/>
              </w:rPr>
              <w:t>20</w:t>
            </w:r>
          </w:p>
        </w:tc>
        <w:tc>
          <w:tcPr>
            <w:tcW w:w="1295" w:type="dxa"/>
            <w:tcBorders>
              <w:top w:val="single" w:color="auto" w:sz="4" w:space="0"/>
              <w:left w:val="single" w:color="auto" w:sz="4" w:space="0"/>
              <w:bottom w:val="single" w:color="auto" w:sz="4" w:space="0"/>
              <w:right w:val="single" w:color="auto" w:sz="4" w:space="0"/>
            </w:tcBorders>
            <w:vAlign w:val="center"/>
          </w:tcPr>
          <w:p w14:paraId="52B68D96">
            <w:pPr>
              <w:pStyle w:val="25"/>
              <w:spacing w:before="78" w:line="240" w:lineRule="auto"/>
              <w:ind w:right="109"/>
              <w:jc w:val="center"/>
            </w:pPr>
            <w:r>
              <w:rPr>
                <w:spacing w:val="-4"/>
              </w:rPr>
              <w:t>政府采购政</w:t>
            </w:r>
            <w:r>
              <w:rPr>
                <w:spacing w:val="-7"/>
              </w:rPr>
              <w:t>策支持</w:t>
            </w:r>
          </w:p>
        </w:tc>
        <w:tc>
          <w:tcPr>
            <w:tcW w:w="7241" w:type="dxa"/>
            <w:tcBorders>
              <w:top w:val="single" w:color="auto" w:sz="4" w:space="0"/>
              <w:left w:val="single" w:color="auto" w:sz="4" w:space="0"/>
              <w:bottom w:val="single" w:color="auto" w:sz="4" w:space="0"/>
              <w:right w:val="single" w:color="auto" w:sz="4" w:space="0"/>
            </w:tcBorders>
            <w:vAlign w:val="top"/>
          </w:tcPr>
          <w:p w14:paraId="4FA9506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lang w:val="en-US" w:eastAsia="zh-CN"/>
              </w:rPr>
              <w:t>1.</w:t>
            </w:r>
            <w:r>
              <w:rPr>
                <w:rFonts w:hint="eastAsia" w:eastAsia="仿宋"/>
                <w:lang w:val="en-US" w:eastAsia="zh-CN"/>
              </w:rPr>
              <w:t xml:space="preserve">财政部、工业和信息化部《关于印发〈政府采购促进中 </w:t>
            </w:r>
          </w:p>
          <w:p w14:paraId="567A9F5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eastAsia="仿宋"/>
                <w:lang w:val="en-US" w:eastAsia="zh-CN"/>
              </w:rPr>
              <w:t xml:space="preserve">小企业发展管理办法〉的通知》（财库[2020]46 号文）； </w:t>
            </w:r>
          </w:p>
          <w:p w14:paraId="68122C5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lang w:val="en-US" w:eastAsia="zh-CN"/>
              </w:rPr>
              <w:t>2.</w:t>
            </w:r>
            <w:r>
              <w:rPr>
                <w:rFonts w:hint="eastAsia" w:eastAsia="仿宋"/>
                <w:lang w:val="en-US" w:eastAsia="zh-CN"/>
              </w:rPr>
              <w:t xml:space="preserve">财政部、司法部《关于政府采购支持监狱企业发展有关 </w:t>
            </w:r>
          </w:p>
          <w:p w14:paraId="4129F32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eastAsia="仿宋"/>
                <w:lang w:val="en-US" w:eastAsia="zh-CN"/>
              </w:rPr>
              <w:t xml:space="preserve">问题的通知》（财库[2014]68 号文）； </w:t>
            </w:r>
          </w:p>
          <w:p w14:paraId="0D750A5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lang w:val="en-US" w:eastAsia="zh-CN"/>
              </w:rPr>
              <w:t>3.</w:t>
            </w:r>
            <w:r>
              <w:rPr>
                <w:rFonts w:hint="eastAsia" w:eastAsia="仿宋"/>
                <w:lang w:val="en-US" w:eastAsia="zh-CN"/>
              </w:rPr>
              <w:t xml:space="preserve">财政部、民政部、中国残疾人联合会《关于促进残疾人 </w:t>
            </w:r>
          </w:p>
          <w:p w14:paraId="77FE04E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eastAsia="仿宋"/>
                <w:lang w:val="en-US" w:eastAsia="zh-CN"/>
              </w:rPr>
              <w:t>就业政府采购政策的通知》（财库[2026]141 号）；</w:t>
            </w:r>
          </w:p>
        </w:tc>
      </w:tr>
      <w:tr w14:paraId="49A0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7" w:type="dxa"/>
            <w:tcBorders>
              <w:top w:val="single" w:color="000000" w:sz="4" w:space="0"/>
              <w:left w:val="single" w:color="000000" w:sz="4" w:space="0"/>
            </w:tcBorders>
            <w:vAlign w:val="center"/>
          </w:tcPr>
          <w:p w14:paraId="2ADF9B4F">
            <w:pPr>
              <w:pStyle w:val="25"/>
              <w:spacing w:before="78"/>
              <w:jc w:val="center"/>
              <w:rPr>
                <w:rFonts w:hint="default" w:eastAsia="仿宋"/>
                <w:lang w:val="en-US" w:eastAsia="zh-CN"/>
              </w:rPr>
            </w:pPr>
            <w:r>
              <w:rPr>
                <w:rFonts w:hint="eastAsia"/>
                <w:spacing w:val="-3"/>
                <w:lang w:val="en-US" w:eastAsia="zh-CN"/>
              </w:rPr>
              <w:t>21</w:t>
            </w:r>
          </w:p>
        </w:tc>
        <w:tc>
          <w:tcPr>
            <w:tcW w:w="1295" w:type="dxa"/>
            <w:tcBorders>
              <w:top w:val="single" w:color="000000" w:sz="4" w:space="0"/>
            </w:tcBorders>
            <w:vAlign w:val="center"/>
          </w:tcPr>
          <w:p w14:paraId="7DB50333">
            <w:pPr>
              <w:spacing w:line="248" w:lineRule="auto"/>
              <w:jc w:val="center"/>
              <w:outlineLvl w:val="9"/>
              <w:rPr>
                <w:rFonts w:ascii="Arial"/>
                <w:sz w:val="21"/>
              </w:rPr>
            </w:pPr>
          </w:p>
          <w:p w14:paraId="4D7566E6">
            <w:pPr>
              <w:pStyle w:val="25"/>
              <w:spacing w:before="78" w:line="221" w:lineRule="auto"/>
              <w:ind w:left="116"/>
              <w:jc w:val="center"/>
              <w:outlineLvl w:val="9"/>
            </w:pPr>
            <w:r>
              <w:rPr>
                <w:spacing w:val="-4"/>
              </w:rPr>
              <w:t>投标保证金数额及交纳</w:t>
            </w:r>
            <w:r>
              <w:rPr>
                <w:spacing w:val="-11"/>
              </w:rPr>
              <w:t>方式</w:t>
            </w:r>
          </w:p>
        </w:tc>
        <w:tc>
          <w:tcPr>
            <w:tcW w:w="7241" w:type="dxa"/>
            <w:tcBorders>
              <w:top w:val="single" w:color="000000" w:sz="4" w:space="0"/>
              <w:right w:val="single" w:color="000000" w:sz="4" w:space="0"/>
            </w:tcBorders>
            <w:vAlign w:val="top"/>
          </w:tcPr>
          <w:p w14:paraId="41F9AD9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pPr>
            <w:r>
              <w:rPr>
                <w:b/>
                <w:bCs/>
                <w:spacing w:val="6"/>
              </w:rPr>
              <w:t>投标保证金金额</w:t>
            </w:r>
            <w:r>
              <w:rPr>
                <w:spacing w:val="6"/>
              </w:rPr>
              <w:t>：</w:t>
            </w:r>
            <w:r>
              <w:rPr>
                <w:rFonts w:hint="eastAsia"/>
                <w:b/>
                <w:bCs/>
                <w:spacing w:val="6"/>
                <w:u w:val="single"/>
                <w:lang w:val="en-US" w:eastAsia="zh-CN"/>
              </w:rPr>
              <w:t>3400</w:t>
            </w:r>
            <w:r>
              <w:rPr>
                <w:rFonts w:hint="eastAsia"/>
                <w:b/>
                <w:bCs/>
                <w:spacing w:val="6"/>
              </w:rPr>
              <w:t>元</w:t>
            </w:r>
            <w:r>
              <w:rPr>
                <w:rFonts w:hint="eastAsia"/>
                <w:b/>
                <w:bCs/>
                <w:spacing w:val="6"/>
                <w:lang w:eastAsia="zh-CN"/>
              </w:rPr>
              <w:t>（</w:t>
            </w:r>
            <w:r>
              <w:rPr>
                <w:rFonts w:hint="eastAsia"/>
                <w:b/>
                <w:bCs/>
                <w:spacing w:val="6"/>
                <w:lang w:val="en-US" w:eastAsia="zh-CN"/>
              </w:rPr>
              <w:t>叁仟肆佰元整</w:t>
            </w:r>
            <w:r>
              <w:rPr>
                <w:rFonts w:hint="eastAsia"/>
                <w:b/>
                <w:bCs/>
                <w:spacing w:val="6"/>
                <w:lang w:eastAsia="zh-CN"/>
              </w:rPr>
              <w:t>）</w:t>
            </w:r>
          </w:p>
          <w:p w14:paraId="66B45EE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6" w:leftChars="50" w:right="0" w:hanging="21"/>
              <w:textAlignment w:val="baseline"/>
              <w:outlineLvl w:val="9"/>
              <w:rPr>
                <w:rFonts w:hint="eastAsia"/>
                <w:spacing w:val="-8"/>
                <w:lang w:val="en-US" w:eastAsia="zh-CN"/>
              </w:rPr>
            </w:pPr>
            <w:r>
              <w:rPr>
                <w:rFonts w:hint="eastAsia"/>
                <w:b/>
                <w:bCs/>
                <w:spacing w:val="-8"/>
                <w:lang w:val="en-US" w:eastAsia="zh-CN"/>
              </w:rPr>
              <w:t>收款单位</w:t>
            </w:r>
            <w:r>
              <w:rPr>
                <w:rFonts w:hint="eastAsia"/>
                <w:spacing w:val="-8"/>
                <w:lang w:val="en-US" w:eastAsia="zh-CN"/>
              </w:rPr>
              <w:t>：新疆创越咨询管理有限公司</w:t>
            </w:r>
          </w:p>
          <w:p w14:paraId="680DC9B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6" w:leftChars="50" w:right="0" w:hanging="21"/>
              <w:textAlignment w:val="baseline"/>
              <w:outlineLvl w:val="9"/>
              <w:rPr>
                <w:rFonts w:hint="eastAsia"/>
                <w:spacing w:val="-8"/>
                <w:lang w:val="en-US" w:eastAsia="zh-CN"/>
              </w:rPr>
            </w:pPr>
            <w:r>
              <w:rPr>
                <w:rFonts w:hint="eastAsia"/>
                <w:b/>
                <w:bCs/>
                <w:spacing w:val="-8"/>
                <w:lang w:val="en-US" w:eastAsia="zh-CN"/>
              </w:rPr>
              <w:t>账号：</w:t>
            </w:r>
            <w:r>
              <w:rPr>
                <w:rFonts w:hint="eastAsia"/>
                <w:spacing w:val="-8"/>
                <w:lang w:val="en-US" w:eastAsia="zh-CN"/>
              </w:rPr>
              <w:t>991908743210000</w:t>
            </w:r>
          </w:p>
          <w:p w14:paraId="005A406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6" w:leftChars="50" w:right="0" w:hanging="21"/>
              <w:textAlignment w:val="baseline"/>
              <w:outlineLvl w:val="9"/>
              <w:rPr>
                <w:rFonts w:hint="eastAsia"/>
                <w:spacing w:val="-8"/>
                <w:lang w:val="en-US" w:eastAsia="zh-CN"/>
              </w:rPr>
            </w:pPr>
            <w:r>
              <w:rPr>
                <w:rFonts w:hint="eastAsia"/>
                <w:b/>
                <w:bCs/>
                <w:spacing w:val="-8"/>
                <w:lang w:val="en-US" w:eastAsia="zh-CN"/>
              </w:rPr>
              <w:t>开户银行：</w:t>
            </w:r>
            <w:r>
              <w:rPr>
                <w:rFonts w:hint="eastAsia"/>
                <w:spacing w:val="-8"/>
                <w:lang w:val="en-US" w:eastAsia="zh-CN"/>
              </w:rPr>
              <w:t>招商银行乌鲁木齐光明路支行</w:t>
            </w:r>
          </w:p>
          <w:p w14:paraId="17C2D2E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6" w:leftChars="50" w:right="0" w:hanging="21"/>
              <w:textAlignment w:val="baseline"/>
              <w:outlineLvl w:val="9"/>
              <w:rPr>
                <w:rFonts w:hint="eastAsia"/>
                <w:spacing w:val="-8"/>
                <w:lang w:val="en-US" w:eastAsia="zh-CN"/>
              </w:rPr>
            </w:pPr>
            <w:r>
              <w:rPr>
                <w:rFonts w:hint="eastAsia"/>
                <w:b/>
                <w:bCs/>
                <w:spacing w:val="-8"/>
                <w:lang w:val="en-US" w:eastAsia="zh-CN"/>
              </w:rPr>
              <w:t>行号：</w:t>
            </w:r>
            <w:r>
              <w:rPr>
                <w:rFonts w:hint="eastAsia"/>
                <w:spacing w:val="-8"/>
                <w:lang w:val="en-US" w:eastAsia="zh-CN"/>
              </w:rPr>
              <w:t xml:space="preserve">308881029042 </w:t>
            </w:r>
          </w:p>
          <w:p w14:paraId="68FE7F5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pPr>
            <w:r>
              <w:rPr>
                <w:b/>
                <w:bCs/>
                <w:spacing w:val="-5"/>
              </w:rPr>
              <w:t>保证金缴纳方式：</w:t>
            </w:r>
            <w:r>
              <w:rPr>
                <w:spacing w:val="-5"/>
              </w:rPr>
              <w:t>保证金形式：支票、汇票、本票、网上银行支付或者金融机构、担保机构出具的保函等政府采购法律法规中要求的非现</w:t>
            </w:r>
            <w:r>
              <w:rPr>
                <w:spacing w:val="-6"/>
              </w:rPr>
              <w:t>金形式</w:t>
            </w:r>
          </w:p>
          <w:p w14:paraId="0F7A71A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spacing w:val="-8"/>
                <w:lang w:val="en-US" w:eastAsia="zh-CN"/>
              </w:rPr>
            </w:pPr>
            <w:r>
              <w:rPr>
                <w:b/>
                <w:bCs/>
                <w:spacing w:val="-8"/>
              </w:rPr>
              <w:t>递交保证金截止时间：</w:t>
            </w:r>
            <w:r>
              <w:rPr>
                <w:rFonts w:hint="eastAsia"/>
                <w:spacing w:val="-8"/>
                <w:lang w:val="en-US" w:eastAsia="zh-CN"/>
              </w:rPr>
              <w:t>投标单位应在提交响应文件截止时间前按招标文件规定的金额、形式等，按标项将投标保证金交到保证金收款账户（采用电汇或网上银行支付的，须在提交首次响应文件截止时间前到账）</w:t>
            </w:r>
          </w:p>
          <w:p w14:paraId="0565524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b/>
                <w:bCs/>
                <w:spacing w:val="1"/>
              </w:rPr>
            </w:pPr>
            <w:r>
              <w:rPr>
                <w:rFonts w:hint="eastAsia"/>
                <w:b/>
                <w:bCs/>
                <w:spacing w:val="-8"/>
                <w:lang w:val="en-US" w:eastAsia="zh-CN"/>
              </w:rPr>
              <w:t>必须按要求注明：</w:t>
            </w:r>
            <w:r>
              <w:rPr>
                <w:rFonts w:hint="eastAsia"/>
                <w:b/>
                <w:bCs/>
                <w:spacing w:val="-8"/>
                <w:u w:val="single"/>
                <w:lang w:val="en-US" w:eastAsia="zh-CN"/>
              </w:rPr>
              <w:t>第十二中学实验室仪器设备采购保证金</w:t>
            </w:r>
          </w:p>
          <w:p w14:paraId="647FAE1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b/>
                <w:bCs/>
                <w:spacing w:val="1"/>
                <w:sz w:val="22"/>
                <w:szCs w:val="22"/>
              </w:rPr>
            </w:pPr>
          </w:p>
          <w:p w14:paraId="4C5D391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pPr>
            <w:r>
              <w:rPr>
                <w:b/>
                <w:bCs/>
                <w:spacing w:val="1"/>
                <w:sz w:val="22"/>
                <w:szCs w:val="22"/>
              </w:rPr>
              <w:t>注：投标保证金以支票或者金融机构、担保机构出具的</w:t>
            </w:r>
            <w:r>
              <w:rPr>
                <w:b/>
                <w:bCs/>
                <w:spacing w:val="1"/>
                <w:sz w:val="22"/>
                <w:szCs w:val="22"/>
                <w:u w:val="single"/>
              </w:rPr>
              <w:t>保</w:t>
            </w:r>
            <w:r>
              <w:rPr>
                <w:b/>
                <w:bCs/>
                <w:sz w:val="22"/>
                <w:szCs w:val="22"/>
                <w:u w:val="single"/>
              </w:rPr>
              <w:t>函</w:t>
            </w:r>
            <w:r>
              <w:rPr>
                <w:b/>
                <w:bCs/>
                <w:sz w:val="22"/>
                <w:szCs w:val="22"/>
              </w:rPr>
              <w:t>等非现</w:t>
            </w:r>
            <w:r>
              <w:rPr>
                <w:b/>
                <w:bCs/>
                <w:spacing w:val="1"/>
                <w:sz w:val="22"/>
                <w:szCs w:val="22"/>
              </w:rPr>
              <w:t>金形式递交的，</w:t>
            </w:r>
            <w:r>
              <w:rPr>
                <w:rFonts w:hint="eastAsia"/>
                <w:b/>
                <w:bCs/>
                <w:spacing w:val="1"/>
                <w:sz w:val="22"/>
                <w:szCs w:val="22"/>
                <w:lang w:val="en-US" w:eastAsia="zh-CN"/>
              </w:rPr>
              <w:t>需</w:t>
            </w:r>
            <w:r>
              <w:rPr>
                <w:b/>
                <w:bCs/>
                <w:spacing w:val="1"/>
                <w:sz w:val="22"/>
                <w:szCs w:val="22"/>
              </w:rPr>
              <w:t>在递交保证金截止时间前将原件</w:t>
            </w:r>
            <w:r>
              <w:rPr>
                <w:rFonts w:hint="eastAsia"/>
                <w:b/>
                <w:bCs/>
                <w:spacing w:val="1"/>
                <w:sz w:val="22"/>
                <w:szCs w:val="22"/>
                <w:lang w:val="en-US" w:eastAsia="zh-CN"/>
              </w:rPr>
              <w:t>扫描件发送</w:t>
            </w:r>
            <w:r>
              <w:rPr>
                <w:b/>
                <w:bCs/>
                <w:spacing w:val="1"/>
                <w:sz w:val="22"/>
                <w:szCs w:val="22"/>
              </w:rPr>
              <w:t>至采购</w:t>
            </w:r>
            <w:r>
              <w:rPr>
                <w:b/>
                <w:bCs/>
                <w:sz w:val="22"/>
                <w:szCs w:val="22"/>
              </w:rPr>
              <w:t>代理</w:t>
            </w:r>
            <w:r>
              <w:rPr>
                <w:b/>
                <w:bCs/>
                <w:spacing w:val="1"/>
                <w:sz w:val="22"/>
                <w:szCs w:val="22"/>
              </w:rPr>
              <w:t>机构</w:t>
            </w:r>
            <w:r>
              <w:rPr>
                <w:rFonts w:hint="eastAsia"/>
                <w:b/>
                <w:bCs/>
                <w:spacing w:val="1"/>
                <w:sz w:val="22"/>
                <w:szCs w:val="22"/>
                <w:lang w:val="en-US" w:eastAsia="zh-CN"/>
              </w:rPr>
              <w:t>指定邮箱：99258087@qq.com</w:t>
            </w:r>
            <w:r>
              <w:rPr>
                <w:b/>
                <w:bCs/>
                <w:spacing w:val="1"/>
                <w:sz w:val="22"/>
                <w:szCs w:val="22"/>
              </w:rPr>
              <w:t>，投标人以转账支票形式递交的须承担支票退票等情况带来的一切后果。未按上述要求缴纳投标保证金的，投标文件将被拒绝评</w:t>
            </w:r>
            <w:r>
              <w:rPr>
                <w:b/>
                <w:bCs/>
                <w:spacing w:val="-11"/>
                <w:sz w:val="22"/>
                <w:szCs w:val="22"/>
              </w:rPr>
              <w:t>审。</w:t>
            </w:r>
          </w:p>
        </w:tc>
      </w:tr>
      <w:tr w14:paraId="3418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97" w:type="dxa"/>
            <w:tcBorders>
              <w:top w:val="single" w:color="000000" w:sz="4" w:space="0"/>
              <w:left w:val="single" w:color="000000" w:sz="4" w:space="0"/>
            </w:tcBorders>
            <w:vAlign w:val="center"/>
          </w:tcPr>
          <w:p w14:paraId="7A853586">
            <w:pPr>
              <w:pStyle w:val="25"/>
              <w:spacing w:before="78"/>
              <w:jc w:val="center"/>
              <w:rPr>
                <w:rFonts w:hint="default" w:eastAsia="仿宋"/>
                <w:spacing w:val="-3"/>
                <w:lang w:val="en-US" w:eastAsia="zh-CN"/>
              </w:rPr>
            </w:pPr>
            <w:r>
              <w:rPr>
                <w:rFonts w:hint="eastAsia"/>
                <w:spacing w:val="-3"/>
                <w:lang w:val="en-US" w:eastAsia="zh-CN"/>
              </w:rPr>
              <w:t>22</w:t>
            </w:r>
          </w:p>
        </w:tc>
        <w:tc>
          <w:tcPr>
            <w:tcW w:w="1295" w:type="dxa"/>
            <w:tcBorders>
              <w:top w:val="single" w:color="000000" w:sz="4" w:space="0"/>
            </w:tcBorders>
            <w:vAlign w:val="center"/>
          </w:tcPr>
          <w:p w14:paraId="62DE5FC6">
            <w:pPr>
              <w:pStyle w:val="25"/>
              <w:spacing w:before="78" w:line="240" w:lineRule="auto"/>
              <w:jc w:val="center"/>
              <w:outlineLvl w:val="9"/>
              <w:rPr>
                <w:spacing w:val="-4"/>
              </w:rPr>
            </w:pPr>
            <w:r>
              <w:rPr>
                <w:rFonts w:hint="eastAsia"/>
                <w:spacing w:val="-4"/>
                <w:lang w:val="en-US" w:eastAsia="zh-CN"/>
              </w:rPr>
              <w:t>投标保证金的退还</w:t>
            </w:r>
          </w:p>
        </w:tc>
        <w:tc>
          <w:tcPr>
            <w:tcW w:w="7241" w:type="dxa"/>
            <w:tcBorders>
              <w:top w:val="single" w:color="000000" w:sz="4" w:space="0"/>
              <w:right w:val="single" w:color="000000" w:sz="4" w:space="0"/>
            </w:tcBorders>
            <w:vAlign w:val="center"/>
          </w:tcPr>
          <w:p w14:paraId="6F36288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b w:val="0"/>
                <w:bCs w:val="0"/>
                <w:spacing w:val="1"/>
              </w:rPr>
            </w:pPr>
            <w:r>
              <w:rPr>
                <w:rFonts w:hint="eastAsia"/>
                <w:b w:val="0"/>
                <w:bCs w:val="0"/>
                <w:spacing w:val="1"/>
                <w:lang w:val="en-US" w:eastAsia="zh-CN"/>
              </w:rPr>
              <w:t xml:space="preserve">1.未中标单位，自中标通知书发出之日起 5 个工作日内原账户退还； </w:t>
            </w:r>
          </w:p>
          <w:p w14:paraId="10333AC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b w:val="0"/>
                <w:bCs w:val="0"/>
                <w:spacing w:val="1"/>
              </w:rPr>
            </w:pPr>
            <w:r>
              <w:rPr>
                <w:rFonts w:hint="eastAsia"/>
                <w:b w:val="0"/>
                <w:bCs w:val="0"/>
                <w:spacing w:val="1"/>
                <w:lang w:val="en-US" w:eastAsia="zh-CN"/>
              </w:rPr>
              <w:t>2.成交单位在采购方确认中标单位后自合同签订之日起 5 个工作日内退还中标单位的投标保证金；</w:t>
            </w:r>
          </w:p>
          <w:p w14:paraId="2DFBF0D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b/>
                <w:bCs/>
                <w:spacing w:val="1"/>
              </w:rPr>
            </w:pPr>
            <w:r>
              <w:rPr>
                <w:rFonts w:hint="eastAsia"/>
                <w:b w:val="0"/>
                <w:bCs w:val="0"/>
                <w:spacing w:val="1"/>
                <w:lang w:val="en-US" w:eastAsia="zh-CN"/>
              </w:rPr>
              <w:t>3.因投标单位账户问题导致无法正常时间内退付的，采购人和采购代理机构不承担相应责任。</w:t>
            </w:r>
          </w:p>
        </w:tc>
      </w:tr>
      <w:tr w14:paraId="6EB40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97" w:type="dxa"/>
            <w:tcBorders>
              <w:left w:val="single" w:color="000000" w:sz="4" w:space="0"/>
            </w:tcBorders>
            <w:vAlign w:val="center"/>
          </w:tcPr>
          <w:p w14:paraId="18BE1A1B">
            <w:pPr>
              <w:pStyle w:val="25"/>
              <w:spacing w:before="197"/>
              <w:jc w:val="center"/>
              <w:rPr>
                <w:rFonts w:hint="default" w:eastAsia="仿宋"/>
                <w:lang w:val="en-US" w:eastAsia="zh-CN"/>
              </w:rPr>
            </w:pPr>
            <w:r>
              <w:rPr>
                <w:rFonts w:hint="eastAsia"/>
                <w:spacing w:val="-3"/>
                <w:lang w:val="en-US" w:eastAsia="zh-CN"/>
              </w:rPr>
              <w:t>23</w:t>
            </w:r>
          </w:p>
        </w:tc>
        <w:tc>
          <w:tcPr>
            <w:tcW w:w="1295" w:type="dxa"/>
            <w:vAlign w:val="top"/>
          </w:tcPr>
          <w:p w14:paraId="1894AE3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pacing w:val="-5"/>
              </w:rPr>
            </w:pPr>
            <w:r>
              <w:rPr>
                <w:spacing w:val="-5"/>
              </w:rPr>
              <w:t>评标</w:t>
            </w:r>
          </w:p>
          <w:p w14:paraId="17E132B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5"/>
              </w:rPr>
              <w:t>方法</w:t>
            </w:r>
          </w:p>
        </w:tc>
        <w:tc>
          <w:tcPr>
            <w:tcW w:w="7241" w:type="dxa"/>
            <w:tcBorders>
              <w:right w:val="single" w:color="000000" w:sz="4" w:space="0"/>
            </w:tcBorders>
            <w:vAlign w:val="top"/>
          </w:tcPr>
          <w:p w14:paraId="25903CA1">
            <w:pPr>
              <w:pStyle w:val="25"/>
              <w:spacing w:before="197" w:line="240" w:lineRule="auto"/>
              <w:ind w:left="122"/>
            </w:pPr>
            <w:r>
              <w:rPr>
                <w:b/>
                <w:bCs/>
                <w:spacing w:val="-4"/>
              </w:rPr>
              <w:t>综合评分法</w:t>
            </w:r>
          </w:p>
        </w:tc>
      </w:tr>
      <w:tr w14:paraId="3A56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97" w:type="dxa"/>
            <w:tcBorders>
              <w:left w:val="single" w:color="000000" w:sz="4" w:space="0"/>
            </w:tcBorders>
            <w:vAlign w:val="center"/>
          </w:tcPr>
          <w:p w14:paraId="476FB329">
            <w:pPr>
              <w:pStyle w:val="25"/>
              <w:spacing w:before="197"/>
              <w:jc w:val="center"/>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w:t>
            </w:r>
            <w:r>
              <w:rPr>
                <w:rFonts w:hint="eastAsia" w:cs="仿宋"/>
                <w:spacing w:val="-3"/>
                <w:sz w:val="24"/>
                <w:szCs w:val="24"/>
                <w:lang w:val="en-US" w:eastAsia="zh-CN"/>
              </w:rPr>
              <w:t>4</w:t>
            </w:r>
          </w:p>
        </w:tc>
        <w:tc>
          <w:tcPr>
            <w:tcW w:w="1295" w:type="dxa"/>
            <w:shd w:val="clear" w:color="auto" w:fill="auto"/>
            <w:vAlign w:val="center"/>
          </w:tcPr>
          <w:p w14:paraId="759DA06C">
            <w:pPr>
              <w:pStyle w:val="26"/>
              <w:widowControl/>
              <w:spacing w:line="240" w:lineRule="auto"/>
              <w:jc w:val="center"/>
              <w:rPr>
                <w:rFonts w:hint="eastAsia" w:ascii="仿宋" w:hAnsi="仿宋" w:eastAsia="仿宋" w:cs="仿宋"/>
                <w:color w:val="auto"/>
                <w:kern w:val="2"/>
                <w:sz w:val="24"/>
                <w:szCs w:val="24"/>
                <w:u w:val="none" w:color="000000"/>
                <w:lang w:val="en-US" w:eastAsia="zh-CN" w:bidi="ar-SA"/>
              </w:rPr>
            </w:pPr>
            <w:r>
              <w:rPr>
                <w:rFonts w:hint="eastAsia" w:ascii="仿宋" w:hAnsi="仿宋" w:eastAsia="仿宋" w:cs="仿宋"/>
                <w:b w:val="0"/>
                <w:bCs w:val="0"/>
                <w:color w:val="auto"/>
                <w:sz w:val="24"/>
                <w:szCs w:val="24"/>
              </w:rPr>
              <w:t>评标委员会</w:t>
            </w:r>
          </w:p>
        </w:tc>
        <w:tc>
          <w:tcPr>
            <w:tcW w:w="7241" w:type="dxa"/>
            <w:tcBorders>
              <w:right w:val="single" w:color="000000" w:sz="4" w:space="0"/>
            </w:tcBorders>
            <w:shd w:val="clear" w:color="auto" w:fill="auto"/>
            <w:vAlign w:val="center"/>
          </w:tcPr>
          <w:p w14:paraId="77B11B1E">
            <w:pPr>
              <w:pStyle w:val="26"/>
              <w:widowControl/>
              <w:spacing w:line="240" w:lineRule="auto"/>
              <w:jc w:val="left"/>
              <w:rPr>
                <w:rFonts w:hint="eastAsia" w:ascii="仿宋" w:hAnsi="仿宋" w:eastAsia="仿宋" w:cs="仿宋"/>
                <w:color w:val="auto"/>
                <w:kern w:val="2"/>
                <w:sz w:val="24"/>
                <w:szCs w:val="24"/>
                <w:u w:val="none" w:color="000000"/>
                <w:lang w:val="en-US" w:eastAsia="zh-CN" w:bidi="ar-SA"/>
              </w:rPr>
            </w:pPr>
            <w:r>
              <w:rPr>
                <w:rFonts w:hint="eastAsia" w:ascii="仿宋" w:hAnsi="仿宋" w:eastAsia="仿宋" w:cs="仿宋"/>
                <w:color w:val="auto"/>
                <w:sz w:val="24"/>
                <w:szCs w:val="24"/>
                <w:u w:val="none" w:color="000000"/>
              </w:rPr>
              <w:t>评标委员会构成：</w:t>
            </w:r>
            <w:r>
              <w:rPr>
                <w:rFonts w:hint="eastAsia" w:ascii="仿宋" w:hAnsi="仿宋" w:eastAsia="仿宋" w:cs="仿宋"/>
                <w:color w:val="auto"/>
                <w:sz w:val="24"/>
                <w:szCs w:val="24"/>
                <w:u w:val="none" w:color="000000"/>
                <w:lang w:val="en-US" w:eastAsia="zh-CN"/>
              </w:rPr>
              <w:t>5</w:t>
            </w:r>
            <w:r>
              <w:rPr>
                <w:rFonts w:hint="eastAsia" w:ascii="仿宋" w:hAnsi="仿宋" w:eastAsia="仿宋" w:cs="仿宋"/>
                <w:color w:val="auto"/>
                <w:sz w:val="24"/>
                <w:szCs w:val="24"/>
                <w:u w:val="none" w:color="000000"/>
              </w:rPr>
              <w:t>人及 5 人以上单数，由技术、经济等方面的专家共同组成</w:t>
            </w:r>
            <w:r>
              <w:rPr>
                <w:rFonts w:hint="eastAsia" w:ascii="仿宋" w:hAnsi="仿宋" w:eastAsia="仿宋" w:cs="仿宋"/>
                <w:color w:val="auto"/>
                <w:sz w:val="24"/>
                <w:szCs w:val="24"/>
                <w:u w:val="none" w:color="000000"/>
                <w:lang w:eastAsia="zh-CN"/>
              </w:rPr>
              <w:t>。</w:t>
            </w:r>
          </w:p>
        </w:tc>
      </w:tr>
      <w:tr w14:paraId="6933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97" w:type="dxa"/>
            <w:tcBorders>
              <w:left w:val="single" w:color="000000" w:sz="4" w:space="0"/>
            </w:tcBorders>
            <w:vAlign w:val="center"/>
          </w:tcPr>
          <w:p w14:paraId="37495A63">
            <w:pPr>
              <w:pStyle w:val="25"/>
              <w:spacing w:before="197"/>
              <w:jc w:val="center"/>
              <w:rPr>
                <w:rFonts w:hint="default" w:ascii="仿宋" w:hAnsi="仿宋" w:eastAsia="仿宋" w:cs="仿宋"/>
                <w:color w:val="auto"/>
                <w:spacing w:val="-3"/>
                <w:sz w:val="24"/>
                <w:szCs w:val="24"/>
                <w:lang w:val="en-US" w:eastAsia="zh-CN"/>
              </w:rPr>
            </w:pPr>
            <w:r>
              <w:rPr>
                <w:rFonts w:hint="eastAsia" w:cs="仿宋"/>
                <w:color w:val="auto"/>
                <w:spacing w:val="-3"/>
                <w:sz w:val="24"/>
                <w:szCs w:val="24"/>
                <w:lang w:val="en-US" w:eastAsia="zh-CN"/>
              </w:rPr>
              <w:t>25</w:t>
            </w:r>
          </w:p>
        </w:tc>
        <w:tc>
          <w:tcPr>
            <w:tcW w:w="1295" w:type="dxa"/>
            <w:shd w:val="clear" w:color="auto" w:fill="auto"/>
            <w:vAlign w:val="center"/>
          </w:tcPr>
          <w:p w14:paraId="67D829CD">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kern w:val="0"/>
                <w:sz w:val="24"/>
                <w:szCs w:val="24"/>
                <w:highlight w:val="none"/>
                <w:lang w:val="en-US" w:eastAsia="en-US" w:bidi="ar"/>
              </w:rPr>
            </w:pPr>
            <w:r>
              <w:rPr>
                <w:rFonts w:hint="eastAsia" w:ascii="仿宋" w:hAnsi="仿宋" w:eastAsia="仿宋" w:cs="仿宋"/>
                <w:color w:val="auto"/>
                <w:sz w:val="24"/>
                <w:szCs w:val="24"/>
                <w:highlight w:val="none"/>
                <w:lang w:val="en-US" w:bidi="ar"/>
              </w:rPr>
              <w:t>核心产品</w:t>
            </w:r>
          </w:p>
        </w:tc>
        <w:tc>
          <w:tcPr>
            <w:tcW w:w="7241" w:type="dxa"/>
            <w:tcBorders>
              <w:right w:val="single" w:color="000000" w:sz="4" w:space="0"/>
            </w:tcBorders>
            <w:shd w:val="clear" w:color="auto" w:fill="auto"/>
            <w:vAlign w:val="center"/>
          </w:tcPr>
          <w:p w14:paraId="44849261">
            <w:pPr>
              <w:widowControl/>
              <w:jc w:val="both"/>
              <w:rPr>
                <w:rFonts w:hint="eastAsia" w:ascii="仿宋" w:hAnsi="仿宋" w:eastAsia="仿宋" w:cs="仿宋"/>
                <w:b/>
                <w:bCs/>
                <w:snapToGrid w:val="0"/>
                <w:color w:val="auto"/>
                <w:spacing w:val="0"/>
                <w:w w:val="100"/>
                <w:kern w:val="2"/>
                <w:position w:val="0"/>
                <w:sz w:val="24"/>
                <w:szCs w:val="24"/>
                <w:highlight w:val="none"/>
                <w:vertAlign w:val="baseline"/>
                <w:lang w:val="en-US" w:eastAsia="zh-CN" w:bidi="ar-SA"/>
              </w:rPr>
            </w:pPr>
            <w:r>
              <w:rPr>
                <w:rFonts w:hint="eastAsia" w:ascii="仿宋" w:hAnsi="仿宋" w:eastAsia="仿宋" w:cs="仿宋"/>
                <w:b w:val="0"/>
                <w:bCs w:val="0"/>
                <w:snapToGrid w:val="0"/>
                <w:color w:val="auto"/>
                <w:spacing w:val="0"/>
                <w:w w:val="100"/>
                <w:kern w:val="2"/>
                <w:position w:val="0"/>
                <w:sz w:val="24"/>
                <w:szCs w:val="24"/>
                <w:highlight w:val="none"/>
                <w:vertAlign w:val="baseline"/>
                <w:lang w:val="en-US" w:eastAsia="zh-CN" w:bidi="ar-SA"/>
              </w:rPr>
              <w:t>●智能数字实验盘</w:t>
            </w:r>
          </w:p>
        </w:tc>
      </w:tr>
      <w:tr w14:paraId="1A69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1" w:hRule="atLeast"/>
        </w:trPr>
        <w:tc>
          <w:tcPr>
            <w:tcW w:w="597" w:type="dxa"/>
            <w:tcBorders>
              <w:left w:val="single" w:color="000000" w:sz="4" w:space="0"/>
            </w:tcBorders>
            <w:vAlign w:val="center"/>
          </w:tcPr>
          <w:p w14:paraId="4517A7F3">
            <w:pPr>
              <w:pStyle w:val="25"/>
              <w:spacing w:before="197"/>
              <w:jc w:val="center"/>
              <w:rPr>
                <w:rFonts w:hint="default" w:ascii="仿宋" w:hAnsi="仿宋" w:eastAsia="仿宋" w:cs="仿宋"/>
                <w:spacing w:val="-3"/>
                <w:sz w:val="24"/>
                <w:szCs w:val="24"/>
                <w:lang w:val="en-US" w:eastAsia="zh-CN"/>
              </w:rPr>
            </w:pPr>
            <w:r>
              <w:rPr>
                <w:rFonts w:hint="eastAsia" w:cs="仿宋"/>
                <w:spacing w:val="-3"/>
                <w:sz w:val="24"/>
                <w:szCs w:val="24"/>
                <w:lang w:val="en-US" w:eastAsia="zh-CN"/>
              </w:rPr>
              <w:t>26</w:t>
            </w:r>
          </w:p>
        </w:tc>
        <w:tc>
          <w:tcPr>
            <w:tcW w:w="1295" w:type="dxa"/>
            <w:shd w:val="clear" w:color="auto" w:fill="auto"/>
            <w:vAlign w:val="center"/>
          </w:tcPr>
          <w:p w14:paraId="7F7AEDE5">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同品牌同制造商问题</w:t>
            </w:r>
          </w:p>
        </w:tc>
        <w:tc>
          <w:tcPr>
            <w:tcW w:w="7241" w:type="dxa"/>
            <w:tcBorders>
              <w:right w:val="single" w:color="000000" w:sz="4" w:space="0"/>
            </w:tcBorders>
            <w:shd w:val="clear" w:color="auto" w:fill="auto"/>
            <w:vAlign w:val="center"/>
          </w:tcPr>
          <w:p w14:paraId="5FC07D65">
            <w:pPr>
              <w:widowControl/>
              <w:jc w:val="both"/>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不同供应商提供同一品牌产品，或者在非单一产品采购项目中提供的核心产品品牌相同时的处理规则：本项目采用综合评分法，提供相同品牌产品（或核心产品）且通过资格审查、符合性审查的不同供应商参加同一合同项下投标的，按一家供应商计算，评审后得分最高的同品牌供应商获得中标供应商推荐资格，评审得分相同的，按照采取随机抽取方式确定，其他同品牌供应商不作为中标候选供应商。</w:t>
            </w:r>
          </w:p>
        </w:tc>
      </w:tr>
      <w:tr w14:paraId="03D5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597" w:type="dxa"/>
            <w:tcBorders>
              <w:left w:val="single" w:color="000000" w:sz="4" w:space="0"/>
              <w:bottom w:val="single" w:color="000000" w:sz="4" w:space="0"/>
            </w:tcBorders>
            <w:vAlign w:val="center"/>
          </w:tcPr>
          <w:p w14:paraId="65F4D7A4">
            <w:pPr>
              <w:pStyle w:val="25"/>
              <w:spacing w:before="78"/>
              <w:jc w:val="center"/>
              <w:rPr>
                <w:rFonts w:hint="default" w:eastAsia="仿宋"/>
                <w:lang w:val="en-US" w:eastAsia="zh-CN"/>
              </w:rPr>
            </w:pPr>
            <w:r>
              <w:rPr>
                <w:rFonts w:hint="eastAsia"/>
                <w:spacing w:val="-3"/>
                <w:lang w:val="en-US" w:eastAsia="zh-CN"/>
              </w:rPr>
              <w:t>27</w:t>
            </w:r>
          </w:p>
        </w:tc>
        <w:tc>
          <w:tcPr>
            <w:tcW w:w="1295" w:type="dxa"/>
            <w:tcBorders>
              <w:bottom w:val="single" w:color="000000" w:sz="4" w:space="0"/>
            </w:tcBorders>
            <w:vAlign w:val="center"/>
          </w:tcPr>
          <w:p w14:paraId="3B8C091A">
            <w:pPr>
              <w:pStyle w:val="25"/>
              <w:spacing w:before="78" w:line="240" w:lineRule="auto"/>
              <w:ind w:right="109"/>
              <w:jc w:val="center"/>
            </w:pPr>
            <w:r>
              <w:rPr>
                <w:spacing w:val="-4"/>
              </w:rPr>
              <w:t>投标文件要</w:t>
            </w:r>
            <w:r>
              <w:t>求</w:t>
            </w:r>
          </w:p>
        </w:tc>
        <w:tc>
          <w:tcPr>
            <w:tcW w:w="7241" w:type="dxa"/>
            <w:tcBorders>
              <w:bottom w:val="single" w:color="000000" w:sz="4" w:space="0"/>
              <w:right w:val="single" w:color="000000" w:sz="4" w:space="0"/>
            </w:tcBorders>
            <w:vAlign w:val="top"/>
          </w:tcPr>
          <w:p w14:paraId="38837BC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1"/>
              <w:jc w:val="both"/>
              <w:textAlignment w:val="baseline"/>
            </w:pPr>
            <w:r>
              <w:rPr>
                <w:spacing w:val="-5"/>
              </w:rPr>
              <w:t>1.本项目采用不见面开标，投标人需要递交加密的电子投标文件，在</w:t>
            </w:r>
            <w:r>
              <w:rPr>
                <w:spacing w:val="52"/>
              </w:rPr>
              <w:t>投标截止时间前通过新疆政采云平台上传到指定位置。</w:t>
            </w:r>
          </w:p>
          <w:p w14:paraId="1833225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5"/>
              <w:jc w:val="both"/>
              <w:textAlignment w:val="baseline"/>
            </w:pPr>
            <w:r>
              <w:rPr>
                <w:spacing w:val="-4"/>
              </w:rPr>
              <w:t>2.本项目采用远程不见面交易的模式。开标当日</w:t>
            </w:r>
            <w:r>
              <w:rPr>
                <w:spacing w:val="-5"/>
              </w:rPr>
              <w:t>，投标人无需到达开</w:t>
            </w:r>
            <w:r>
              <w:rPr>
                <w:spacing w:val="-16"/>
              </w:rPr>
              <w:t>标现场，仅需登录“政采云”平台</w:t>
            </w:r>
            <w:r>
              <w:rPr>
                <w:spacing w:val="-3"/>
              </w:rPr>
              <w:t>(</w:t>
            </w:r>
            <w:r>
              <w:fldChar w:fldCharType="begin"/>
            </w:r>
            <w:r>
              <w:instrText xml:space="preserve"> HYPERLINK "https://www.zcygov.cn/" </w:instrText>
            </w:r>
            <w:r>
              <w:fldChar w:fldCharType="separate"/>
            </w:r>
            <w:r>
              <w:rPr>
                <w:spacing w:val="-3"/>
              </w:rPr>
              <w:t>https://www.zcygov.cn/</w:t>
            </w:r>
            <w:r>
              <w:rPr>
                <w:spacing w:val="-3"/>
              </w:rPr>
              <w:fldChar w:fldCharType="end"/>
            </w:r>
            <w:r>
              <w:rPr>
                <w:spacing w:val="-3"/>
              </w:rPr>
              <w:t>)开标大厅完成远程解密、提疑澄清、开标</w:t>
            </w:r>
            <w:r>
              <w:rPr>
                <w:spacing w:val="-4"/>
              </w:rPr>
              <w:t>唱标、结果公布等交互环节。投标人必须使用能正确解密投标文件的</w:t>
            </w:r>
            <w:r>
              <w:rPr>
                <w:spacing w:val="-5"/>
              </w:rPr>
              <w:t>“新疆政采云数字证书”在规定的时间内完成远程解密，因投标人原</w:t>
            </w:r>
            <w:r>
              <w:t>因未能解密、解密失败或解密超时，视为投标人撤销其投标文件，系统内投标文件将被退回；因采购人原因或网上招投标平台发生故</w:t>
            </w:r>
            <w:r>
              <w:rPr>
                <w:spacing w:val="-4"/>
              </w:rPr>
              <w:t>障，导致无法按时完成投标文件解密或开、评标工作无法进行的，可</w:t>
            </w:r>
            <w:r>
              <w:t>根据实际情况相应延迟解密时间或调整开、评标时间。</w:t>
            </w:r>
          </w:p>
          <w:p w14:paraId="3922727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5"/>
              <w:jc w:val="both"/>
              <w:textAlignment w:val="baseline"/>
              <w:rPr>
                <w:rFonts w:hint="default" w:eastAsia="仿宋"/>
                <w:lang w:val="en-US" w:eastAsia="zh-CN"/>
              </w:rPr>
            </w:pPr>
            <w:r>
              <w:rPr>
                <w:rFonts w:hint="eastAsia"/>
                <w:lang w:val="en-US" w:eastAsia="zh-CN"/>
              </w:rPr>
              <w:t>3.中标单位根据采购人要求中标后提供纸质版投标文件标书，具体要求以通知为准。</w:t>
            </w:r>
          </w:p>
        </w:tc>
      </w:tr>
      <w:tr w14:paraId="4F23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97" w:type="dxa"/>
            <w:tcBorders>
              <w:top w:val="single" w:color="000000" w:sz="4" w:space="0"/>
              <w:left w:val="single" w:color="000000" w:sz="4" w:space="0"/>
            </w:tcBorders>
            <w:vAlign w:val="center"/>
          </w:tcPr>
          <w:p w14:paraId="6ACF0922">
            <w:pPr>
              <w:pStyle w:val="25"/>
              <w:spacing w:before="78"/>
              <w:jc w:val="center"/>
              <w:rPr>
                <w:rFonts w:hint="default" w:eastAsia="仿宋"/>
                <w:lang w:val="en-US" w:eastAsia="zh-CN"/>
              </w:rPr>
            </w:pPr>
            <w:r>
              <w:rPr>
                <w:rFonts w:hint="eastAsia"/>
                <w:spacing w:val="-3"/>
                <w:lang w:val="en-US" w:eastAsia="zh-CN"/>
              </w:rPr>
              <w:t>28</w:t>
            </w:r>
          </w:p>
        </w:tc>
        <w:tc>
          <w:tcPr>
            <w:tcW w:w="1295" w:type="dxa"/>
            <w:tcBorders>
              <w:top w:val="single" w:color="000000" w:sz="4" w:space="0"/>
            </w:tcBorders>
            <w:vAlign w:val="center"/>
          </w:tcPr>
          <w:p w14:paraId="0F84701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rPr>
            </w:pPr>
            <w:r>
              <w:rPr>
                <w:color w:val="auto"/>
                <w:spacing w:val="-4"/>
              </w:rPr>
              <w:t>投标文件递</w:t>
            </w:r>
            <w:r>
              <w:rPr>
                <w:color w:val="auto"/>
                <w:spacing w:val="-6"/>
              </w:rPr>
              <w:t>交截止时间、地点</w:t>
            </w:r>
          </w:p>
        </w:tc>
        <w:tc>
          <w:tcPr>
            <w:tcW w:w="7241" w:type="dxa"/>
            <w:tcBorders>
              <w:top w:val="single" w:color="000000" w:sz="4" w:space="0"/>
              <w:right w:val="single" w:color="000000" w:sz="4" w:space="0"/>
            </w:tcBorders>
            <w:vAlign w:val="top"/>
          </w:tcPr>
          <w:p w14:paraId="0F1988D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color w:val="auto"/>
              </w:rPr>
            </w:pPr>
            <w:r>
              <w:rPr>
                <w:color w:val="auto"/>
                <w:spacing w:val="-6"/>
              </w:rPr>
              <w:t>递交截止时间：202</w:t>
            </w:r>
            <w:r>
              <w:rPr>
                <w:rFonts w:hint="eastAsia"/>
                <w:color w:val="auto"/>
                <w:spacing w:val="-6"/>
                <w:lang w:val="en-US" w:eastAsia="zh-CN"/>
              </w:rPr>
              <w:t>6</w:t>
            </w:r>
            <w:r>
              <w:rPr>
                <w:color w:val="auto"/>
                <w:spacing w:val="-35"/>
              </w:rPr>
              <w:t xml:space="preserve"> </w:t>
            </w:r>
            <w:r>
              <w:rPr>
                <w:color w:val="auto"/>
                <w:spacing w:val="-6"/>
              </w:rPr>
              <w:t>年</w:t>
            </w:r>
            <w:r>
              <w:rPr>
                <w:rFonts w:hint="eastAsia"/>
                <w:color w:val="auto"/>
                <w:spacing w:val="-6"/>
                <w:lang w:val="en-US" w:eastAsia="zh-CN"/>
              </w:rPr>
              <w:t xml:space="preserve"> 05 </w:t>
            </w:r>
            <w:r>
              <w:rPr>
                <w:color w:val="auto"/>
                <w:spacing w:val="-6"/>
              </w:rPr>
              <w:t>月</w:t>
            </w:r>
            <w:r>
              <w:rPr>
                <w:rFonts w:hint="eastAsia"/>
                <w:color w:val="auto"/>
                <w:spacing w:val="-6"/>
                <w:lang w:val="en-US" w:eastAsia="zh-CN"/>
              </w:rPr>
              <w:t xml:space="preserve"> 12 </w:t>
            </w:r>
            <w:r>
              <w:rPr>
                <w:color w:val="auto"/>
                <w:spacing w:val="-6"/>
              </w:rPr>
              <w:t>日</w:t>
            </w:r>
            <w:r>
              <w:rPr>
                <w:color w:val="auto"/>
                <w:spacing w:val="-34"/>
              </w:rPr>
              <w:t xml:space="preserve"> </w:t>
            </w:r>
            <w:r>
              <w:rPr>
                <w:color w:val="auto"/>
                <w:spacing w:val="-6"/>
              </w:rPr>
              <w:t>11:00（北京时间）</w:t>
            </w:r>
          </w:p>
          <w:p w14:paraId="7A6211F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eastAsia="仿宋"/>
                <w:color w:val="auto"/>
                <w:lang w:eastAsia="zh-CN"/>
              </w:rPr>
            </w:pPr>
            <w:r>
              <w:rPr>
                <w:color w:val="auto"/>
                <w:spacing w:val="-1"/>
              </w:rPr>
              <w:t>电子形式递交至：</w:t>
            </w:r>
            <w:r>
              <w:rPr>
                <w:rFonts w:hint="eastAsia"/>
                <w:color w:val="auto"/>
                <w:spacing w:val="-1"/>
                <w:lang w:val="en-US" w:eastAsia="zh-CN"/>
              </w:rPr>
              <w:t>新疆</w:t>
            </w:r>
            <w:r>
              <w:rPr>
                <w:color w:val="auto"/>
                <w:spacing w:val="-1"/>
              </w:rPr>
              <w:t>政采云平台</w:t>
            </w:r>
            <w:r>
              <w:rPr>
                <w:rFonts w:hint="eastAsia"/>
                <w:color w:val="auto"/>
                <w:spacing w:val="-1"/>
                <w:lang w:eastAsia="zh-CN"/>
              </w:rPr>
              <w:t>（</w:t>
            </w:r>
            <w:r>
              <w:rPr>
                <w:color w:val="auto"/>
              </w:rPr>
              <w:fldChar w:fldCharType="begin"/>
            </w:r>
            <w:r>
              <w:rPr>
                <w:color w:val="auto"/>
              </w:rPr>
              <w:instrText xml:space="preserve"> HYPERLINK "https://www.zcygov.cn/" </w:instrText>
            </w:r>
            <w:r>
              <w:rPr>
                <w:color w:val="auto"/>
              </w:rPr>
              <w:fldChar w:fldCharType="separate"/>
            </w:r>
            <w:r>
              <w:rPr>
                <w:color w:val="auto"/>
                <w:spacing w:val="-1"/>
              </w:rPr>
              <w:t>https://www.zcygov</w:t>
            </w:r>
            <w:r>
              <w:rPr>
                <w:color w:val="auto"/>
                <w:spacing w:val="-2"/>
              </w:rPr>
              <w:t>.cn/</w:t>
            </w:r>
            <w:r>
              <w:rPr>
                <w:color w:val="auto"/>
                <w:spacing w:val="-2"/>
              </w:rPr>
              <w:fldChar w:fldCharType="end"/>
            </w:r>
            <w:r>
              <w:rPr>
                <w:rFonts w:hint="eastAsia"/>
                <w:color w:val="auto"/>
                <w:spacing w:val="-2"/>
                <w:lang w:eastAsia="zh-CN"/>
              </w:rPr>
              <w:t>）</w:t>
            </w:r>
          </w:p>
          <w:p w14:paraId="1D313DB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6" w:leftChars="50" w:right="120" w:hanging="1"/>
              <w:textAlignment w:val="baseline"/>
              <w:rPr>
                <w:color w:val="auto"/>
                <w:spacing w:val="1"/>
              </w:rPr>
            </w:pPr>
            <w:r>
              <w:rPr>
                <w:color w:val="auto"/>
                <w:spacing w:val="1"/>
              </w:rPr>
              <w:t>解密时长：30</w:t>
            </w:r>
            <w:r>
              <w:rPr>
                <w:color w:val="auto"/>
                <w:spacing w:val="-39"/>
              </w:rPr>
              <w:t xml:space="preserve"> </w:t>
            </w:r>
            <w:r>
              <w:rPr>
                <w:color w:val="auto"/>
                <w:spacing w:val="1"/>
              </w:rPr>
              <w:t>分钟。</w:t>
            </w:r>
          </w:p>
          <w:p w14:paraId="03B2771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6" w:leftChars="50" w:right="120" w:hanging="1"/>
              <w:textAlignment w:val="baseline"/>
              <w:rPr>
                <w:color w:val="auto"/>
              </w:rPr>
            </w:pPr>
            <w:r>
              <w:rPr>
                <w:color w:val="auto"/>
                <w:spacing w:val="1"/>
              </w:rPr>
              <w:t>如因投标人自身原因导</w:t>
            </w:r>
            <w:r>
              <w:rPr>
                <w:color w:val="auto"/>
              </w:rPr>
              <w:t>致在规定时间内无法正</w:t>
            </w:r>
            <w:r>
              <w:rPr>
                <w:color w:val="auto"/>
                <w:spacing w:val="1"/>
              </w:rPr>
              <w:t>常解密的（如：浏览器故障、未安装相关驱动、网络故障、加密</w:t>
            </w:r>
            <w:r>
              <w:rPr>
                <w:color w:val="auto"/>
              </w:rPr>
              <w:t>CA</w:t>
            </w:r>
            <w:r>
              <w:rPr>
                <w:color w:val="auto"/>
                <w:spacing w:val="-2"/>
              </w:rPr>
              <w:t>与解密CA不一致等</w:t>
            </w:r>
            <w:r>
              <w:rPr>
                <w:color w:val="auto"/>
                <w:spacing w:val="-23"/>
              </w:rPr>
              <w:t>），</w:t>
            </w:r>
            <w:r>
              <w:rPr>
                <w:color w:val="auto"/>
                <w:spacing w:val="-2"/>
              </w:rPr>
              <w:t>采购中心/代理机构不予异常处理，视为投标</w:t>
            </w:r>
            <w:r>
              <w:rPr>
                <w:color w:val="auto"/>
                <w:spacing w:val="-4"/>
              </w:rPr>
              <w:t>人自动弃标。</w:t>
            </w:r>
          </w:p>
        </w:tc>
      </w:tr>
      <w:tr w14:paraId="6377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97" w:type="dxa"/>
            <w:tcBorders>
              <w:left w:val="single" w:color="000000" w:sz="4" w:space="0"/>
            </w:tcBorders>
            <w:vAlign w:val="center"/>
          </w:tcPr>
          <w:p w14:paraId="01A98F16">
            <w:pPr>
              <w:pStyle w:val="25"/>
              <w:spacing w:before="84"/>
              <w:jc w:val="center"/>
              <w:rPr>
                <w:rFonts w:hint="default" w:eastAsia="仿宋"/>
                <w:lang w:val="en-US" w:eastAsia="zh-CN"/>
              </w:rPr>
            </w:pPr>
            <w:r>
              <w:rPr>
                <w:rFonts w:hint="eastAsia"/>
                <w:spacing w:val="-3"/>
                <w:lang w:val="en-US" w:eastAsia="zh-CN"/>
              </w:rPr>
              <w:t>29</w:t>
            </w:r>
          </w:p>
        </w:tc>
        <w:tc>
          <w:tcPr>
            <w:tcW w:w="1295" w:type="dxa"/>
            <w:vAlign w:val="top"/>
          </w:tcPr>
          <w:p w14:paraId="5183F75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pacing w:val="-4"/>
                <w:highlight w:val="none"/>
              </w:rPr>
            </w:pPr>
            <w:r>
              <w:rPr>
                <w:spacing w:val="-4"/>
                <w:highlight w:val="none"/>
              </w:rPr>
              <w:t>开标</w:t>
            </w:r>
          </w:p>
          <w:p w14:paraId="4A76BEE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时间</w:t>
            </w:r>
          </w:p>
        </w:tc>
        <w:tc>
          <w:tcPr>
            <w:tcW w:w="7241" w:type="dxa"/>
            <w:tcBorders>
              <w:right w:val="single" w:color="000000" w:sz="4" w:space="0"/>
            </w:tcBorders>
            <w:vAlign w:val="center"/>
          </w:tcPr>
          <w:p w14:paraId="66495998">
            <w:pPr>
              <w:pStyle w:val="25"/>
              <w:spacing w:before="84" w:line="222" w:lineRule="auto"/>
              <w:ind w:left="115"/>
              <w:jc w:val="both"/>
              <w:rPr>
                <w:highlight w:val="none"/>
              </w:rPr>
            </w:pPr>
            <w:r>
              <w:rPr>
                <w:b w:val="0"/>
                <w:bCs w:val="0"/>
                <w:spacing w:val="-9"/>
                <w:highlight w:val="none"/>
              </w:rPr>
              <w:t>202</w:t>
            </w:r>
            <w:r>
              <w:rPr>
                <w:rFonts w:hint="eastAsia"/>
                <w:b w:val="0"/>
                <w:bCs w:val="0"/>
                <w:spacing w:val="-9"/>
                <w:highlight w:val="none"/>
                <w:lang w:val="en-US" w:eastAsia="zh-CN"/>
              </w:rPr>
              <w:t>6</w:t>
            </w:r>
            <w:r>
              <w:rPr>
                <w:b w:val="0"/>
                <w:bCs w:val="0"/>
                <w:spacing w:val="-9"/>
                <w:highlight w:val="none"/>
              </w:rPr>
              <w:t>年</w:t>
            </w:r>
            <w:r>
              <w:rPr>
                <w:rFonts w:hint="eastAsia"/>
                <w:b w:val="0"/>
                <w:bCs w:val="0"/>
                <w:spacing w:val="-9"/>
                <w:highlight w:val="none"/>
                <w:lang w:val="en-US" w:eastAsia="zh-CN"/>
              </w:rPr>
              <w:t xml:space="preserve"> 05 </w:t>
            </w:r>
            <w:r>
              <w:rPr>
                <w:b w:val="0"/>
                <w:bCs w:val="0"/>
                <w:spacing w:val="-9"/>
                <w:highlight w:val="none"/>
              </w:rPr>
              <w:t>月</w:t>
            </w:r>
            <w:r>
              <w:rPr>
                <w:rFonts w:hint="eastAsia"/>
                <w:b w:val="0"/>
                <w:bCs w:val="0"/>
                <w:spacing w:val="-9"/>
                <w:highlight w:val="none"/>
                <w:lang w:val="en-US" w:eastAsia="zh-CN"/>
              </w:rPr>
              <w:t xml:space="preserve">12 </w:t>
            </w:r>
            <w:r>
              <w:rPr>
                <w:b w:val="0"/>
                <w:bCs w:val="0"/>
                <w:spacing w:val="-9"/>
                <w:highlight w:val="none"/>
              </w:rPr>
              <w:t>日</w:t>
            </w:r>
            <w:r>
              <w:rPr>
                <w:b w:val="0"/>
                <w:bCs w:val="0"/>
                <w:spacing w:val="-31"/>
                <w:highlight w:val="none"/>
              </w:rPr>
              <w:t xml:space="preserve"> </w:t>
            </w:r>
            <w:r>
              <w:rPr>
                <w:b w:val="0"/>
                <w:bCs w:val="0"/>
                <w:spacing w:val="-9"/>
                <w:highlight w:val="none"/>
              </w:rPr>
              <w:t>11:00（北京时间）</w:t>
            </w:r>
          </w:p>
        </w:tc>
      </w:tr>
      <w:tr w14:paraId="587A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97" w:type="dxa"/>
            <w:tcBorders>
              <w:left w:val="single" w:color="000000" w:sz="4" w:space="0"/>
            </w:tcBorders>
            <w:vAlign w:val="center"/>
          </w:tcPr>
          <w:p w14:paraId="5F87FBB3">
            <w:pPr>
              <w:pStyle w:val="25"/>
              <w:spacing w:before="98"/>
              <w:jc w:val="center"/>
              <w:rPr>
                <w:rFonts w:hint="default" w:eastAsia="仿宋"/>
                <w:lang w:val="en-US" w:eastAsia="zh-CN"/>
              </w:rPr>
            </w:pPr>
            <w:r>
              <w:rPr>
                <w:rFonts w:hint="eastAsia"/>
                <w:spacing w:val="-3"/>
                <w:lang w:val="en-US" w:eastAsia="zh-CN"/>
              </w:rPr>
              <w:t>30</w:t>
            </w:r>
          </w:p>
        </w:tc>
        <w:tc>
          <w:tcPr>
            <w:tcW w:w="1295" w:type="dxa"/>
            <w:vAlign w:val="top"/>
          </w:tcPr>
          <w:p w14:paraId="30CF4C6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pacing w:val="-4"/>
              </w:rPr>
            </w:pPr>
            <w:r>
              <w:rPr>
                <w:spacing w:val="-4"/>
              </w:rPr>
              <w:t>开标</w:t>
            </w:r>
          </w:p>
          <w:p w14:paraId="755C187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4"/>
              </w:rPr>
              <w:t>地点</w:t>
            </w:r>
          </w:p>
        </w:tc>
        <w:tc>
          <w:tcPr>
            <w:tcW w:w="7241" w:type="dxa"/>
            <w:tcBorders>
              <w:right w:val="single" w:color="000000" w:sz="4" w:space="0"/>
            </w:tcBorders>
            <w:vAlign w:val="center"/>
          </w:tcPr>
          <w:p w14:paraId="66F0ECB9">
            <w:pPr>
              <w:pStyle w:val="25"/>
              <w:spacing w:before="97" w:line="215" w:lineRule="auto"/>
              <w:ind w:left="99"/>
              <w:jc w:val="both"/>
            </w:pPr>
            <w:r>
              <w:rPr>
                <w:b w:val="0"/>
                <w:bCs w:val="0"/>
                <w:spacing w:val="-2"/>
              </w:rPr>
              <w:t>“政采云”平台（</w:t>
            </w:r>
            <w:r>
              <w:rPr>
                <w:b w:val="0"/>
                <w:bCs w:val="0"/>
              </w:rPr>
              <w:fldChar w:fldCharType="begin"/>
            </w:r>
            <w:r>
              <w:rPr>
                <w:b w:val="0"/>
                <w:bCs w:val="0"/>
              </w:rPr>
              <w:instrText xml:space="preserve"> HYPERLINK "https://www.zcygov.cn/" </w:instrText>
            </w:r>
            <w:r>
              <w:rPr>
                <w:b w:val="0"/>
                <w:bCs w:val="0"/>
              </w:rPr>
              <w:fldChar w:fldCharType="separate"/>
            </w:r>
            <w:r>
              <w:rPr>
                <w:b w:val="0"/>
                <w:bCs w:val="0"/>
                <w:spacing w:val="-2"/>
              </w:rPr>
              <w:t>https://www.zcygov.cn/</w:t>
            </w:r>
            <w:r>
              <w:rPr>
                <w:b w:val="0"/>
                <w:bCs w:val="0"/>
                <w:spacing w:val="-2"/>
              </w:rPr>
              <w:fldChar w:fldCharType="end"/>
            </w:r>
            <w:r>
              <w:rPr>
                <w:b w:val="0"/>
                <w:bCs w:val="0"/>
                <w:spacing w:val="-2"/>
              </w:rPr>
              <w:t>）</w:t>
            </w:r>
          </w:p>
        </w:tc>
      </w:tr>
      <w:tr w14:paraId="30F5F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97" w:type="dxa"/>
            <w:tcBorders>
              <w:left w:val="single" w:color="000000" w:sz="4" w:space="0"/>
            </w:tcBorders>
            <w:vAlign w:val="center"/>
          </w:tcPr>
          <w:p w14:paraId="6CAA9F79">
            <w:pPr>
              <w:pStyle w:val="25"/>
              <w:spacing w:before="132"/>
              <w:jc w:val="center"/>
              <w:rPr>
                <w:rFonts w:hint="default" w:eastAsia="仿宋"/>
                <w:lang w:val="en-US" w:eastAsia="zh-CN"/>
              </w:rPr>
            </w:pPr>
            <w:r>
              <w:rPr>
                <w:rFonts w:hint="eastAsia"/>
                <w:spacing w:val="-3"/>
                <w:lang w:val="en-US" w:eastAsia="zh-CN"/>
              </w:rPr>
              <w:t>31</w:t>
            </w:r>
          </w:p>
        </w:tc>
        <w:tc>
          <w:tcPr>
            <w:tcW w:w="1295" w:type="dxa"/>
            <w:vAlign w:val="top"/>
          </w:tcPr>
          <w:p w14:paraId="68BC61B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pacing w:val="-6"/>
              </w:rPr>
            </w:pPr>
            <w:r>
              <w:rPr>
                <w:spacing w:val="-6"/>
              </w:rPr>
              <w:t>公布</w:t>
            </w:r>
          </w:p>
          <w:p w14:paraId="6035FFD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6"/>
              </w:rPr>
              <w:t>媒体</w:t>
            </w:r>
          </w:p>
        </w:tc>
        <w:tc>
          <w:tcPr>
            <w:tcW w:w="7241" w:type="dxa"/>
            <w:tcBorders>
              <w:right w:val="single" w:color="000000" w:sz="4" w:space="0"/>
            </w:tcBorders>
            <w:vAlign w:val="center"/>
          </w:tcPr>
          <w:p w14:paraId="1B760E49">
            <w:pPr>
              <w:pStyle w:val="25"/>
              <w:spacing w:before="132" w:line="222" w:lineRule="auto"/>
              <w:ind w:left="119"/>
              <w:jc w:val="both"/>
            </w:pPr>
            <w:r>
              <w:rPr>
                <w:spacing w:val="-3"/>
              </w:rPr>
              <w:t>新疆政府采购网</w:t>
            </w:r>
          </w:p>
        </w:tc>
      </w:tr>
      <w:tr w14:paraId="5F0A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30193A08">
            <w:pPr>
              <w:pStyle w:val="25"/>
              <w:spacing w:before="88"/>
              <w:jc w:val="center"/>
              <w:rPr>
                <w:rFonts w:hint="default" w:eastAsia="仿宋"/>
                <w:lang w:val="en-US" w:eastAsia="zh-CN"/>
              </w:rPr>
            </w:pPr>
            <w:r>
              <w:rPr>
                <w:rFonts w:hint="eastAsia"/>
                <w:spacing w:val="-3"/>
                <w:lang w:val="en-US" w:eastAsia="zh-CN"/>
              </w:rPr>
              <w:t>32</w:t>
            </w:r>
          </w:p>
        </w:tc>
        <w:tc>
          <w:tcPr>
            <w:tcW w:w="1295" w:type="dxa"/>
            <w:tcBorders>
              <w:bottom w:val="single" w:color="000000" w:sz="4" w:space="0"/>
            </w:tcBorders>
            <w:vAlign w:val="top"/>
          </w:tcPr>
          <w:p w14:paraId="74B89BF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5"/>
              </w:rPr>
            </w:pPr>
            <w:r>
              <w:rPr>
                <w:color w:val="auto"/>
                <w:spacing w:val="-5"/>
              </w:rPr>
              <w:t>履约</w:t>
            </w:r>
          </w:p>
          <w:p w14:paraId="383A302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spacing w:val="-5"/>
              </w:rPr>
              <w:t>保证金</w:t>
            </w:r>
          </w:p>
        </w:tc>
        <w:tc>
          <w:tcPr>
            <w:tcW w:w="7241" w:type="dxa"/>
            <w:tcBorders>
              <w:bottom w:val="single" w:color="000000" w:sz="4" w:space="0"/>
              <w:right w:val="single" w:color="000000" w:sz="4" w:space="0"/>
            </w:tcBorders>
            <w:vAlign w:val="top"/>
          </w:tcPr>
          <w:p w14:paraId="4A0EE3A8">
            <w:pPr>
              <w:pStyle w:val="25"/>
              <w:spacing w:before="88" w:line="225" w:lineRule="auto"/>
              <w:ind w:left="122"/>
              <w:rPr>
                <w:color w:val="auto"/>
              </w:rPr>
            </w:pPr>
            <w:r>
              <w:rPr>
                <w:color w:val="auto"/>
              </w:rPr>
              <w:t>无</w:t>
            </w:r>
          </w:p>
        </w:tc>
      </w:tr>
      <w:tr w14:paraId="53756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74C2A69F">
            <w:pPr>
              <w:pStyle w:val="25"/>
              <w:spacing w:before="88"/>
              <w:jc w:val="center"/>
              <w:rPr>
                <w:rFonts w:hint="default"/>
                <w:spacing w:val="-3"/>
                <w:lang w:val="en-US" w:eastAsia="zh-CN"/>
              </w:rPr>
            </w:pPr>
            <w:r>
              <w:rPr>
                <w:rFonts w:hint="eastAsia"/>
                <w:spacing w:val="-3"/>
                <w:lang w:val="en-US" w:eastAsia="zh-CN"/>
              </w:rPr>
              <w:t>33</w:t>
            </w:r>
          </w:p>
        </w:tc>
        <w:tc>
          <w:tcPr>
            <w:tcW w:w="1295" w:type="dxa"/>
            <w:tcBorders>
              <w:bottom w:val="single" w:color="000000" w:sz="4" w:space="0"/>
            </w:tcBorders>
            <w:shd w:val="clear" w:color="auto" w:fill="auto"/>
            <w:vAlign w:val="center"/>
          </w:tcPr>
          <w:p w14:paraId="6AAE5949">
            <w:pPr>
              <w:keepNext w:val="0"/>
              <w:keepLines w:val="0"/>
              <w:pageBreakBefore w:val="0"/>
              <w:shd w:val="clear" w:color="auto" w:fill="auto"/>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仿宋" w:hAnsi="仿宋" w:eastAsia="仿宋" w:cs="仿宋"/>
                <w:snapToGrid w:val="0"/>
                <w:color w:val="auto"/>
                <w:spacing w:val="0"/>
                <w:w w:val="100"/>
                <w:kern w:val="0"/>
                <w:position w:val="0"/>
                <w:sz w:val="24"/>
                <w:szCs w:val="24"/>
                <w:highlight w:val="none"/>
                <w:lang w:val="zh-CN" w:eastAsia="zh-CN" w:bidi="zh-CN"/>
              </w:rPr>
            </w:pPr>
            <w:r>
              <w:rPr>
                <w:rFonts w:hint="eastAsia" w:ascii="仿宋" w:hAnsi="仿宋" w:eastAsia="仿宋" w:cs="仿宋"/>
                <w:color w:val="auto"/>
                <w:sz w:val="24"/>
                <w:szCs w:val="24"/>
                <w:highlight w:val="none"/>
              </w:rPr>
              <w:t>样品</w:t>
            </w:r>
          </w:p>
        </w:tc>
        <w:tc>
          <w:tcPr>
            <w:tcW w:w="7241" w:type="dxa"/>
            <w:tcBorders>
              <w:bottom w:val="single" w:color="000000" w:sz="4" w:space="0"/>
              <w:right w:val="single" w:color="000000" w:sz="4" w:space="0"/>
            </w:tcBorders>
            <w:shd w:val="clear" w:color="auto" w:fill="auto"/>
            <w:vAlign w:val="center"/>
          </w:tcPr>
          <w:p w14:paraId="2807628F">
            <w:pPr>
              <w:adjustRightInd w:val="0"/>
              <w:spacing w:line="340" w:lineRule="exact"/>
              <w:jc w:val="both"/>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无</w:t>
            </w:r>
          </w:p>
          <w:p w14:paraId="7F969F51">
            <w:pPr>
              <w:pStyle w:val="25"/>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仿宋" w:hAnsi="仿宋" w:eastAsia="仿宋" w:cs="仿宋"/>
                <w:snapToGrid w:val="0"/>
                <w:color w:val="auto"/>
                <w:spacing w:val="-4"/>
                <w:kern w:val="0"/>
                <w:sz w:val="24"/>
                <w:szCs w:val="24"/>
                <w:highlight w:val="none"/>
                <w:lang w:val="zh-CN" w:eastAsia="zh-CN" w:bidi="ar-SA"/>
              </w:rPr>
            </w:pPr>
            <w:r>
              <w:rPr>
                <w:rFonts w:hint="eastAsia"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有</w:t>
            </w:r>
          </w:p>
        </w:tc>
      </w:tr>
      <w:tr w14:paraId="1ECDC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60376591">
            <w:pPr>
              <w:pStyle w:val="25"/>
              <w:spacing w:before="88"/>
              <w:jc w:val="center"/>
              <w:rPr>
                <w:rFonts w:hint="default"/>
                <w:spacing w:val="-3"/>
                <w:lang w:val="en-US" w:eastAsia="zh-CN"/>
              </w:rPr>
            </w:pPr>
            <w:r>
              <w:rPr>
                <w:rFonts w:hint="eastAsia"/>
                <w:spacing w:val="-3"/>
                <w:lang w:val="en-US" w:eastAsia="zh-CN"/>
              </w:rPr>
              <w:t>34</w:t>
            </w:r>
          </w:p>
        </w:tc>
        <w:tc>
          <w:tcPr>
            <w:tcW w:w="1295" w:type="dxa"/>
            <w:tcBorders>
              <w:bottom w:val="single" w:color="000000" w:sz="4" w:space="0"/>
            </w:tcBorders>
            <w:shd w:val="clear" w:color="auto" w:fill="auto"/>
            <w:vAlign w:val="center"/>
          </w:tcPr>
          <w:p w14:paraId="5B2B3CE0">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color w:val="auto"/>
                <w:spacing w:val="0"/>
                <w:w w:val="100"/>
                <w:kern w:val="0"/>
                <w:position w:val="0"/>
                <w:sz w:val="24"/>
                <w:szCs w:val="24"/>
                <w:highlight w:val="none"/>
                <w:lang w:val="en-US" w:eastAsia="zh-CN"/>
              </w:rPr>
              <w:t>兼投不兼中说明</w:t>
            </w:r>
          </w:p>
        </w:tc>
        <w:tc>
          <w:tcPr>
            <w:tcW w:w="7241" w:type="dxa"/>
            <w:tcBorders>
              <w:bottom w:val="single" w:color="000000" w:sz="4" w:space="0"/>
              <w:right w:val="single" w:color="000000" w:sz="4" w:space="0"/>
            </w:tcBorders>
            <w:shd w:val="clear" w:color="auto" w:fill="auto"/>
            <w:vAlign w:val="center"/>
          </w:tcPr>
          <w:p w14:paraId="636F32DE">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rPr>
              <w:t>本项目</w:t>
            </w:r>
            <w:r>
              <w:rPr>
                <w:rFonts w:hint="eastAsia" w:ascii="仿宋" w:hAnsi="仿宋" w:eastAsia="仿宋" w:cs="仿宋"/>
                <w:b/>
                <w:bCs/>
                <w:color w:val="auto"/>
                <w:sz w:val="24"/>
                <w:szCs w:val="24"/>
                <w:highlight w:val="none"/>
                <w:lang w:val="en-US" w:eastAsia="zh-CN"/>
              </w:rPr>
              <w:t>不适用</w:t>
            </w:r>
          </w:p>
        </w:tc>
      </w:tr>
      <w:tr w14:paraId="79C09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7112E468">
            <w:pPr>
              <w:pStyle w:val="25"/>
              <w:spacing w:before="88"/>
              <w:jc w:val="center"/>
              <w:rPr>
                <w:rFonts w:hint="default"/>
                <w:spacing w:val="-3"/>
                <w:lang w:val="en-US" w:eastAsia="zh-CN"/>
              </w:rPr>
            </w:pPr>
            <w:r>
              <w:rPr>
                <w:rFonts w:hint="eastAsia"/>
                <w:spacing w:val="-3"/>
                <w:lang w:val="en-US" w:eastAsia="zh-CN"/>
              </w:rPr>
              <w:t>35</w:t>
            </w:r>
          </w:p>
        </w:tc>
        <w:tc>
          <w:tcPr>
            <w:tcW w:w="1295" w:type="dxa"/>
            <w:tcBorders>
              <w:bottom w:val="single" w:color="000000" w:sz="4" w:space="0"/>
            </w:tcBorders>
            <w:shd w:val="clear" w:color="auto" w:fill="auto"/>
            <w:vAlign w:val="center"/>
          </w:tcPr>
          <w:p w14:paraId="49436ADD">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推荐的</w:t>
            </w:r>
            <w:r>
              <w:rPr>
                <w:rFonts w:hint="eastAsia" w:ascii="仿宋" w:hAnsi="仿宋" w:eastAsia="仿宋" w:cs="仿宋"/>
                <w:color w:val="auto"/>
                <w:kern w:val="2"/>
                <w:sz w:val="24"/>
                <w:szCs w:val="24"/>
                <w:highlight w:val="none"/>
                <w:lang w:val="en-US" w:eastAsia="zh-CN" w:bidi="ar-SA"/>
              </w:rPr>
              <w:t>中标</w:t>
            </w:r>
            <w:r>
              <w:rPr>
                <w:rFonts w:hint="eastAsia" w:ascii="仿宋" w:hAnsi="仿宋" w:eastAsia="仿宋" w:cs="仿宋"/>
                <w:color w:val="auto"/>
                <w:kern w:val="2"/>
                <w:sz w:val="24"/>
                <w:szCs w:val="24"/>
                <w:highlight w:val="none"/>
                <w:lang w:val="en-US" w:bidi="ar-SA"/>
              </w:rPr>
              <w:t>候选人数量</w:t>
            </w:r>
          </w:p>
        </w:tc>
        <w:tc>
          <w:tcPr>
            <w:tcW w:w="7241" w:type="dxa"/>
            <w:tcBorders>
              <w:bottom w:val="single" w:color="000000" w:sz="4" w:space="0"/>
              <w:right w:val="single" w:color="000000" w:sz="4" w:space="0"/>
            </w:tcBorders>
            <w:shd w:val="clear" w:color="auto" w:fill="auto"/>
            <w:vAlign w:val="center"/>
          </w:tcPr>
          <w:p w14:paraId="50B917D9">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textAlignment w:val="auto"/>
              <w:rPr>
                <w:rFonts w:hint="eastAsia" w:ascii="仿宋" w:hAnsi="仿宋" w:eastAsia="仿宋" w:cs="仿宋"/>
                <w:b/>
                <w:bCs/>
                <w:snapToGrid w:val="0"/>
                <w:color w:val="auto"/>
                <w:kern w:val="0"/>
                <w:sz w:val="24"/>
                <w:szCs w:val="24"/>
                <w:highlight w:val="none"/>
                <w:lang w:val="en-US" w:eastAsia="en-US" w:bidi="ar-SA"/>
              </w:rPr>
            </w:pPr>
            <w:r>
              <w:rPr>
                <w:rFonts w:hint="eastAsia" w:ascii="仿宋" w:hAnsi="仿宋" w:eastAsia="仿宋" w:cs="仿宋"/>
                <w:color w:val="auto"/>
                <w:kern w:val="2"/>
                <w:sz w:val="24"/>
                <w:szCs w:val="24"/>
                <w:highlight w:val="none"/>
                <w:lang w:val="en-US" w:bidi="ar-SA"/>
              </w:rPr>
              <w:t>推荐的</w:t>
            </w:r>
            <w:r>
              <w:rPr>
                <w:rFonts w:hint="eastAsia" w:ascii="仿宋" w:hAnsi="仿宋" w:eastAsia="仿宋" w:cs="仿宋"/>
                <w:color w:val="auto"/>
                <w:kern w:val="2"/>
                <w:sz w:val="24"/>
                <w:szCs w:val="24"/>
                <w:highlight w:val="none"/>
                <w:lang w:val="en-US" w:eastAsia="zh-CN" w:bidi="ar-SA"/>
              </w:rPr>
              <w:t>中标（成交）</w:t>
            </w:r>
            <w:r>
              <w:rPr>
                <w:rFonts w:hint="eastAsia" w:ascii="仿宋" w:hAnsi="仿宋" w:eastAsia="仿宋" w:cs="仿宋"/>
                <w:color w:val="auto"/>
                <w:kern w:val="2"/>
                <w:sz w:val="24"/>
                <w:szCs w:val="24"/>
                <w:highlight w:val="none"/>
                <w:lang w:val="en-US" w:bidi="ar-SA"/>
              </w:rPr>
              <w:t>候选人数：3名。</w:t>
            </w:r>
          </w:p>
        </w:tc>
      </w:tr>
      <w:tr w14:paraId="5C965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0D575896">
            <w:pPr>
              <w:pStyle w:val="25"/>
              <w:spacing w:before="88"/>
              <w:jc w:val="center"/>
              <w:rPr>
                <w:rFonts w:hint="default"/>
                <w:spacing w:val="-3"/>
                <w:lang w:val="en-US" w:eastAsia="zh-CN"/>
              </w:rPr>
            </w:pPr>
            <w:r>
              <w:rPr>
                <w:rFonts w:hint="eastAsia"/>
                <w:spacing w:val="-3"/>
                <w:lang w:val="en-US" w:eastAsia="zh-CN"/>
              </w:rPr>
              <w:t>36</w:t>
            </w:r>
          </w:p>
        </w:tc>
        <w:tc>
          <w:tcPr>
            <w:tcW w:w="1295" w:type="dxa"/>
            <w:tcBorders>
              <w:bottom w:val="single" w:color="000000" w:sz="4" w:space="0"/>
            </w:tcBorders>
            <w:shd w:val="clear" w:color="auto" w:fill="auto"/>
            <w:vAlign w:val="center"/>
          </w:tcPr>
          <w:p w14:paraId="07C598B9">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8"/>
                <w:kern w:val="0"/>
                <w:sz w:val="24"/>
                <w:szCs w:val="24"/>
                <w:lang w:val="en-US" w:eastAsia="en-US" w:bidi="ar-SA"/>
              </w:rPr>
            </w:pPr>
            <w:r>
              <w:rPr>
                <w:rFonts w:hint="eastAsia" w:ascii="仿宋" w:hAnsi="仿宋" w:eastAsia="仿宋" w:cs="仿宋"/>
                <w:color w:val="auto"/>
                <w:sz w:val="24"/>
                <w:szCs w:val="24"/>
                <w:highlight w:val="none"/>
                <w:lang w:val="en-US" w:bidi="ar"/>
              </w:rPr>
              <w:t>定标主体</w:t>
            </w:r>
          </w:p>
        </w:tc>
        <w:tc>
          <w:tcPr>
            <w:tcW w:w="7241" w:type="dxa"/>
            <w:tcBorders>
              <w:bottom w:val="single" w:color="000000" w:sz="4" w:space="0"/>
              <w:right w:val="single" w:color="000000" w:sz="4" w:space="0"/>
            </w:tcBorders>
            <w:shd w:val="clear" w:color="auto" w:fill="auto"/>
            <w:vAlign w:val="center"/>
          </w:tcPr>
          <w:p w14:paraId="4A239C8E">
            <w:pPr>
              <w:keepNext w:val="0"/>
              <w:keepLines w:val="0"/>
              <w:pageBreakBefore w:val="0"/>
              <w:shd w:val="clear" w:color="auto" w:fill="auto"/>
              <w:kinsoku/>
              <w:wordWrap/>
              <w:overflowPunct/>
              <w:topLinePunct w:val="0"/>
              <w:autoSpaceDE w:val="0"/>
              <w:autoSpaceDN w:val="0"/>
              <w:bidi w:val="0"/>
              <w:spacing w:line="240" w:lineRule="auto"/>
              <w:ind w:left="0" w:leftChars="0" w:firstLine="240" w:firstLineChars="100"/>
              <w:textAlignment w:val="auto"/>
              <w:rPr>
                <w:rFonts w:hint="eastAsia" w:ascii="仿宋" w:hAnsi="仿宋" w:eastAsia="仿宋" w:cs="仿宋"/>
                <w:snapToGrid w:val="0"/>
                <w:color w:val="auto"/>
                <w:spacing w:val="13"/>
                <w:kern w:val="0"/>
                <w:sz w:val="24"/>
                <w:szCs w:val="24"/>
                <w:lang w:val="en-US" w:eastAsia="zh-CN" w:bidi="ar-SA"/>
              </w:rPr>
            </w:pPr>
            <w:r>
              <w:rPr>
                <w:rFonts w:hint="eastAsia" w:ascii="仿宋" w:hAnsi="仿宋" w:eastAsia="仿宋" w:cs="仿宋"/>
                <w:b w:val="0"/>
                <w:bCs w:val="0"/>
                <w:color w:val="auto"/>
                <w:sz w:val="24"/>
                <w:szCs w:val="24"/>
                <w:highlight w:val="none"/>
                <w:lang w:val="en-US"/>
              </w:rPr>
              <w:t>采购人确定</w:t>
            </w:r>
            <w:r>
              <w:rPr>
                <w:rFonts w:hint="eastAsia" w:ascii="仿宋" w:hAnsi="仿宋" w:eastAsia="仿宋" w:cs="仿宋"/>
                <w:b w:val="0"/>
                <w:bCs w:val="0"/>
                <w:color w:val="auto"/>
                <w:sz w:val="24"/>
                <w:szCs w:val="24"/>
                <w:highlight w:val="none"/>
                <w:lang w:val="en-US" w:eastAsia="zh-CN"/>
              </w:rPr>
              <w:t>1家中标单位</w:t>
            </w:r>
          </w:p>
        </w:tc>
      </w:tr>
      <w:tr w14:paraId="6FC9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32186E62">
            <w:pPr>
              <w:pStyle w:val="25"/>
              <w:spacing w:before="88"/>
              <w:jc w:val="center"/>
              <w:rPr>
                <w:rFonts w:hint="default"/>
                <w:spacing w:val="-3"/>
                <w:lang w:val="en-US" w:eastAsia="zh-CN"/>
              </w:rPr>
            </w:pPr>
            <w:r>
              <w:rPr>
                <w:rFonts w:hint="eastAsia"/>
                <w:spacing w:val="-3"/>
                <w:lang w:val="en-US" w:eastAsia="zh-CN"/>
              </w:rPr>
              <w:t>37</w:t>
            </w:r>
          </w:p>
        </w:tc>
        <w:tc>
          <w:tcPr>
            <w:tcW w:w="1295" w:type="dxa"/>
            <w:tcBorders>
              <w:bottom w:val="single" w:color="000000" w:sz="4" w:space="0"/>
            </w:tcBorders>
            <w:shd w:val="clear" w:color="auto" w:fill="auto"/>
            <w:vAlign w:val="center"/>
          </w:tcPr>
          <w:p w14:paraId="5B3DA33C">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8"/>
                <w:kern w:val="0"/>
                <w:sz w:val="24"/>
                <w:szCs w:val="24"/>
                <w:lang w:val="en-US" w:eastAsia="en-US" w:bidi="ar-SA"/>
              </w:rPr>
            </w:pPr>
            <w:r>
              <w:rPr>
                <w:rFonts w:hint="eastAsia" w:ascii="仿宋" w:hAnsi="仿宋" w:eastAsia="仿宋" w:cs="仿宋"/>
                <w:color w:val="auto"/>
                <w:sz w:val="24"/>
                <w:szCs w:val="24"/>
                <w:highlight w:val="none"/>
                <w:lang w:val="en-US" w:eastAsia="zh-CN" w:bidi="ar"/>
              </w:rPr>
              <w:t>中标</w:t>
            </w:r>
            <w:r>
              <w:rPr>
                <w:rFonts w:hint="eastAsia" w:ascii="仿宋" w:hAnsi="仿宋" w:eastAsia="仿宋" w:cs="仿宋"/>
                <w:color w:val="auto"/>
                <w:sz w:val="24"/>
                <w:szCs w:val="24"/>
                <w:highlight w:val="none"/>
                <w:lang w:val="en-US" w:bidi="ar"/>
              </w:rPr>
              <w:t>人并列的处理</w:t>
            </w:r>
          </w:p>
        </w:tc>
        <w:tc>
          <w:tcPr>
            <w:tcW w:w="7241" w:type="dxa"/>
            <w:tcBorders>
              <w:bottom w:val="single" w:color="000000" w:sz="4" w:space="0"/>
              <w:right w:val="single" w:color="000000" w:sz="4" w:space="0"/>
            </w:tcBorders>
            <w:shd w:val="clear" w:color="auto" w:fill="auto"/>
            <w:vAlign w:val="center"/>
          </w:tcPr>
          <w:p w14:paraId="0588766F">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both"/>
              <w:textAlignment w:val="auto"/>
              <w:rPr>
                <w:rFonts w:hint="eastAsia" w:ascii="仿宋" w:hAnsi="仿宋" w:eastAsia="仿宋" w:cs="仿宋"/>
                <w:snapToGrid w:val="0"/>
                <w:color w:val="auto"/>
                <w:spacing w:val="13"/>
                <w:kern w:val="0"/>
                <w:sz w:val="24"/>
                <w:szCs w:val="24"/>
                <w:lang w:val="en-US" w:eastAsia="en-US" w:bidi="ar-SA"/>
              </w:rPr>
            </w:pPr>
            <w:r>
              <w:rPr>
                <w:rFonts w:hint="eastAsia" w:ascii="仿宋" w:hAnsi="仿宋" w:eastAsia="仿宋" w:cs="仿宋"/>
                <w:color w:val="auto"/>
                <w:sz w:val="24"/>
                <w:szCs w:val="24"/>
                <w:highlight w:val="none"/>
                <w:lang w:val="en-US" w:eastAsia="zh-CN" w:bidi="ar"/>
              </w:rPr>
              <w:t>中标单位综合评分</w:t>
            </w:r>
            <w:r>
              <w:rPr>
                <w:rFonts w:hint="eastAsia" w:ascii="仿宋" w:hAnsi="仿宋" w:eastAsia="仿宋" w:cs="仿宋"/>
                <w:color w:val="auto"/>
                <w:sz w:val="24"/>
                <w:szCs w:val="24"/>
                <w:highlight w:val="none"/>
                <w:lang w:val="en-US" w:bidi="ar"/>
              </w:rPr>
              <w:t>并列的，采购人将确定报价得分较高者为</w:t>
            </w:r>
            <w:r>
              <w:rPr>
                <w:rFonts w:hint="eastAsia" w:ascii="仿宋" w:hAnsi="仿宋" w:eastAsia="仿宋" w:cs="仿宋"/>
                <w:b w:val="0"/>
                <w:bCs w:val="0"/>
                <w:color w:val="auto"/>
                <w:sz w:val="24"/>
                <w:szCs w:val="24"/>
                <w:highlight w:val="none"/>
                <w:lang w:val="en-US" w:eastAsia="zh-CN"/>
              </w:rPr>
              <w:t>中标人</w:t>
            </w:r>
          </w:p>
        </w:tc>
      </w:tr>
      <w:tr w14:paraId="0E234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7" w:hRule="atLeast"/>
        </w:trPr>
        <w:tc>
          <w:tcPr>
            <w:tcW w:w="597" w:type="dxa"/>
            <w:tcBorders>
              <w:top w:val="single" w:color="000000" w:sz="4" w:space="0"/>
              <w:left w:val="single" w:color="000000" w:sz="4" w:space="0"/>
              <w:bottom w:val="single" w:color="000000" w:sz="4" w:space="0"/>
            </w:tcBorders>
            <w:vAlign w:val="center"/>
          </w:tcPr>
          <w:p w14:paraId="10B106C3">
            <w:pPr>
              <w:pStyle w:val="25"/>
              <w:spacing w:before="78"/>
              <w:jc w:val="center"/>
              <w:rPr>
                <w:rFonts w:hint="default" w:eastAsia="仿宋"/>
                <w:lang w:val="en-US" w:eastAsia="zh-CN"/>
              </w:rPr>
            </w:pPr>
            <w:r>
              <w:rPr>
                <w:rFonts w:hint="eastAsia"/>
                <w:spacing w:val="-3"/>
                <w:lang w:val="en-US" w:eastAsia="zh-CN"/>
              </w:rPr>
              <w:t>38</w:t>
            </w:r>
          </w:p>
        </w:tc>
        <w:tc>
          <w:tcPr>
            <w:tcW w:w="1295" w:type="dxa"/>
            <w:tcBorders>
              <w:top w:val="single" w:color="000000" w:sz="4" w:space="0"/>
              <w:bottom w:val="single" w:color="000000" w:sz="4" w:space="0"/>
            </w:tcBorders>
            <w:vAlign w:val="center"/>
          </w:tcPr>
          <w:p w14:paraId="46DC5800">
            <w:pPr>
              <w:pStyle w:val="25"/>
              <w:spacing w:before="78" w:line="222" w:lineRule="auto"/>
              <w:jc w:val="center"/>
            </w:pPr>
            <w:r>
              <w:rPr>
                <w:spacing w:val="-4"/>
              </w:rPr>
              <w:t>招标代理服</w:t>
            </w:r>
            <w:r>
              <w:rPr>
                <w:spacing w:val="-5"/>
              </w:rPr>
              <w:t>务费收取标准和方式</w:t>
            </w:r>
          </w:p>
        </w:tc>
        <w:tc>
          <w:tcPr>
            <w:tcW w:w="7241" w:type="dxa"/>
            <w:tcBorders>
              <w:top w:val="single" w:color="000000" w:sz="4" w:space="0"/>
              <w:bottom w:val="single" w:color="000000" w:sz="4" w:space="0"/>
              <w:right w:val="single" w:color="000000" w:sz="4" w:space="0"/>
            </w:tcBorders>
            <w:vAlign w:val="top"/>
          </w:tcPr>
          <w:p w14:paraId="2FCD566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采购代理服务费的标准与收取：</w:t>
            </w:r>
            <w:r>
              <w:rPr>
                <w:rFonts w:hint="eastAsia" w:cs="仿宋"/>
                <w:b/>
                <w:bCs/>
                <w:color w:val="auto"/>
                <w:sz w:val="24"/>
                <w:szCs w:val="24"/>
                <w:u w:val="single"/>
                <w:lang w:val="en-US" w:eastAsia="zh-CN"/>
              </w:rPr>
              <w:t>中标单位</w:t>
            </w:r>
            <w:r>
              <w:rPr>
                <w:rFonts w:hint="eastAsia" w:ascii="仿宋" w:hAnsi="仿宋" w:eastAsia="仿宋" w:cs="仿宋"/>
                <w:b/>
                <w:bCs/>
                <w:color w:val="auto"/>
                <w:sz w:val="24"/>
                <w:szCs w:val="24"/>
                <w:u w:val="single"/>
              </w:rPr>
              <w:t>支付</w:t>
            </w:r>
            <w:r>
              <w:rPr>
                <w:rFonts w:hint="eastAsia" w:ascii="仿宋" w:hAnsi="仿宋" w:eastAsia="仿宋" w:cs="仿宋"/>
                <w:b/>
                <w:bCs/>
                <w:color w:val="auto"/>
                <w:sz w:val="24"/>
                <w:szCs w:val="24"/>
              </w:rPr>
              <w:t>。</w:t>
            </w:r>
          </w:p>
          <w:p w14:paraId="56396DE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依据《中华人民共和国国家发展和改革委员会令》（第31号），执行《政府采购代理机构管理暂行办法》（财库[2018]2号）的规定。本项目采购代理服务收费参照依据国家发展计划委员会文件关于印发《招标代理服务费管理暂行办法》的通知（计价格〔2002〕1980号）中招标代理服务收费标准收取，由中标单位在领取成交通知书时一次性向采购代理机构支付。</w:t>
            </w:r>
            <w:r>
              <w:rPr>
                <w:rFonts w:hint="eastAsia" w:ascii="仿宋" w:hAnsi="仿宋" w:eastAsia="仿宋" w:cs="仿宋"/>
                <w:b/>
                <w:bCs/>
                <w:color w:val="auto"/>
                <w:sz w:val="24"/>
                <w:szCs w:val="24"/>
                <w:lang w:val="en-US" w:eastAsia="zh-CN"/>
              </w:rPr>
              <w:t>注：采购代理服务收费按差额定率累进法计算，不足4000元按4000元收取。</w:t>
            </w:r>
          </w:p>
          <w:p w14:paraId="4EABEE6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b/>
                <w:bCs/>
                <w:color w:val="auto"/>
                <w:sz w:val="24"/>
                <w:szCs w:val="24"/>
                <w:lang w:val="en-US" w:eastAsia="zh-CN"/>
              </w:rPr>
            </w:pPr>
          </w:p>
          <w:p w14:paraId="2270858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代理服务费银行账号</w:t>
            </w:r>
            <w:r>
              <w:rPr>
                <w:rFonts w:hint="eastAsia" w:cs="仿宋"/>
                <w:b/>
                <w:bCs/>
                <w:color w:val="auto"/>
                <w:sz w:val="24"/>
                <w:szCs w:val="24"/>
                <w:lang w:val="en-US" w:eastAsia="zh-CN"/>
              </w:rPr>
              <w:t>（同投标保证金账户）</w:t>
            </w:r>
            <w:r>
              <w:rPr>
                <w:rFonts w:hint="eastAsia" w:ascii="仿宋" w:hAnsi="仿宋" w:eastAsia="仿宋" w:cs="仿宋"/>
                <w:b/>
                <w:bCs/>
                <w:color w:val="auto"/>
                <w:sz w:val="24"/>
                <w:szCs w:val="24"/>
                <w:lang w:val="en-US" w:eastAsia="zh-CN"/>
              </w:rPr>
              <w:t>：</w:t>
            </w:r>
          </w:p>
          <w:p w14:paraId="6FE2160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收款单位：</w:t>
            </w:r>
            <w:r>
              <w:rPr>
                <w:rFonts w:hint="eastAsia" w:ascii="仿宋" w:hAnsi="仿宋" w:eastAsia="仿宋" w:cs="仿宋"/>
                <w:color w:val="auto"/>
                <w:sz w:val="24"/>
                <w:szCs w:val="24"/>
                <w:lang w:val="en-US" w:eastAsia="zh-CN"/>
              </w:rPr>
              <w:t>新疆创越咨询管理有限公司</w:t>
            </w:r>
          </w:p>
          <w:p w14:paraId="50831A4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账号：</w:t>
            </w:r>
            <w:r>
              <w:rPr>
                <w:rFonts w:hint="eastAsia" w:ascii="仿宋" w:hAnsi="仿宋" w:eastAsia="仿宋" w:cs="仿宋"/>
                <w:color w:val="auto"/>
                <w:sz w:val="24"/>
                <w:szCs w:val="24"/>
                <w:lang w:val="en-US" w:eastAsia="zh-CN"/>
              </w:rPr>
              <w:t>991908743210000</w:t>
            </w:r>
          </w:p>
          <w:p w14:paraId="6ECA4DB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开户银行</w:t>
            </w:r>
            <w:r>
              <w:rPr>
                <w:rFonts w:hint="eastAsia" w:ascii="仿宋" w:hAnsi="仿宋" w:eastAsia="仿宋" w:cs="仿宋"/>
                <w:color w:val="auto"/>
                <w:sz w:val="24"/>
                <w:szCs w:val="24"/>
                <w:lang w:val="en-US" w:eastAsia="zh-CN"/>
              </w:rPr>
              <w:t>：招商银行乌鲁木齐光明路支行</w:t>
            </w:r>
          </w:p>
          <w:p w14:paraId="05E9B07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行号：</w:t>
            </w:r>
            <w:r>
              <w:rPr>
                <w:rFonts w:hint="eastAsia" w:ascii="仿宋" w:hAnsi="仿宋" w:eastAsia="仿宋" w:cs="仿宋"/>
                <w:color w:val="auto"/>
                <w:sz w:val="24"/>
                <w:szCs w:val="24"/>
                <w:lang w:val="en-US" w:eastAsia="zh-CN"/>
              </w:rPr>
              <w:t xml:space="preserve">308881029042 </w:t>
            </w:r>
          </w:p>
          <w:p w14:paraId="0904FB82">
            <w:pPr>
              <w:pStyle w:val="25"/>
              <w:spacing w:before="181" w:line="221" w:lineRule="auto"/>
            </w:pPr>
            <w:r>
              <w:rPr>
                <w:rFonts w:hint="eastAsia" w:ascii="仿宋" w:hAnsi="仿宋" w:eastAsia="仿宋" w:cs="仿宋"/>
                <w:b/>
                <w:bCs/>
                <w:color w:val="auto"/>
                <w:sz w:val="24"/>
                <w:szCs w:val="24"/>
                <w:lang w:val="en-US" w:eastAsia="zh-CN"/>
              </w:rPr>
              <w:t>需注明：</w:t>
            </w:r>
            <w:r>
              <w:rPr>
                <w:rFonts w:hint="eastAsia"/>
                <w:b/>
                <w:bCs/>
                <w:spacing w:val="-8"/>
                <w:u w:val="single"/>
                <w:lang w:val="en-US" w:eastAsia="zh-CN"/>
              </w:rPr>
              <w:t>第十二中学实验室仪器设备采购</w:t>
            </w:r>
            <w:r>
              <w:rPr>
                <w:rFonts w:hint="eastAsia" w:ascii="仿宋" w:hAnsi="仿宋" w:eastAsia="仿宋" w:cs="仿宋"/>
                <w:b/>
                <w:bCs/>
                <w:color w:val="auto"/>
                <w:sz w:val="24"/>
                <w:szCs w:val="24"/>
                <w:u w:val="single"/>
                <w:lang w:val="en-US" w:eastAsia="zh-CN"/>
              </w:rPr>
              <w:t>代理费</w:t>
            </w:r>
          </w:p>
        </w:tc>
      </w:tr>
      <w:tr w14:paraId="1720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597" w:type="dxa"/>
            <w:tcBorders>
              <w:top w:val="single" w:color="000000" w:sz="4" w:space="0"/>
              <w:left w:val="single" w:color="000000" w:sz="4" w:space="0"/>
              <w:bottom w:val="single" w:color="000000" w:sz="4" w:space="0"/>
            </w:tcBorders>
            <w:vAlign w:val="center"/>
          </w:tcPr>
          <w:p w14:paraId="06F6CDEB">
            <w:pPr>
              <w:pStyle w:val="25"/>
              <w:spacing w:before="78"/>
              <w:jc w:val="center"/>
              <w:rPr>
                <w:rFonts w:hint="default" w:eastAsia="仿宋"/>
                <w:spacing w:val="-3"/>
                <w:lang w:val="en-US" w:eastAsia="zh-CN"/>
              </w:rPr>
            </w:pPr>
            <w:r>
              <w:rPr>
                <w:rFonts w:hint="eastAsia"/>
                <w:spacing w:val="-3"/>
                <w:lang w:val="en-US" w:eastAsia="zh-CN"/>
              </w:rPr>
              <w:t>39</w:t>
            </w:r>
          </w:p>
        </w:tc>
        <w:tc>
          <w:tcPr>
            <w:tcW w:w="1295" w:type="dxa"/>
            <w:tcBorders>
              <w:top w:val="single" w:color="000000" w:sz="4" w:space="0"/>
              <w:bottom w:val="single" w:color="000000" w:sz="4" w:space="0"/>
            </w:tcBorders>
            <w:shd w:val="clear" w:color="auto" w:fill="auto"/>
            <w:vAlign w:val="center"/>
          </w:tcPr>
          <w:p w14:paraId="2A7B8026">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jc w:val="center"/>
              <w:textAlignment w:val="auto"/>
              <w:rPr>
                <w:rFonts w:hint="eastAsia" w:ascii="仿宋" w:hAnsi="仿宋" w:eastAsia="仿宋" w:cs="仿宋"/>
                <w:b/>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异常低价</w:t>
            </w:r>
            <w:r>
              <w:rPr>
                <w:rFonts w:hint="eastAsia" w:ascii="仿宋" w:hAnsi="仿宋" w:eastAsia="仿宋" w:cs="仿宋"/>
                <w:color w:val="auto"/>
                <w:sz w:val="24"/>
                <w:szCs w:val="24"/>
                <w:highlight w:val="none"/>
                <w:lang w:val="en-US" w:eastAsia="zh-CN"/>
              </w:rPr>
              <w:t>处理</w:t>
            </w:r>
            <w:r>
              <w:rPr>
                <w:rFonts w:hint="eastAsia" w:ascii="仿宋" w:hAnsi="仿宋" w:eastAsia="仿宋" w:cs="仿宋"/>
                <w:color w:val="auto"/>
                <w:sz w:val="24"/>
                <w:szCs w:val="24"/>
                <w:highlight w:val="none"/>
                <w:lang w:eastAsia="zh-CN"/>
              </w:rPr>
              <w:t>措施</w:t>
            </w:r>
          </w:p>
        </w:tc>
        <w:tc>
          <w:tcPr>
            <w:tcW w:w="7241" w:type="dxa"/>
            <w:tcBorders>
              <w:top w:val="single" w:color="000000" w:sz="4" w:space="0"/>
              <w:bottom w:val="single" w:color="000000" w:sz="4" w:space="0"/>
              <w:right w:val="single" w:color="000000" w:sz="4" w:space="0"/>
            </w:tcBorders>
            <w:shd w:val="clear" w:color="auto" w:fill="auto"/>
            <w:vAlign w:val="center"/>
          </w:tcPr>
          <w:p w14:paraId="051841A2">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1.在评标过程中，评标委员会认为投标人的报价明显过低，有可能影响产品质量或者不能诚信履约服务的，评标委员会应当应当启动异常低价投标（响应）审查程序，按照财政部下发的《关于推动解决政府采购异常低价问题的通知》财库〔2026〕2号问执行最新规定。</w:t>
            </w:r>
          </w:p>
          <w:p w14:paraId="3A355E77">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2.政府采购评审中出现下列情形之一的，评审委员会应当启动异常低价投标（响应）审查程序：</w:t>
            </w:r>
          </w:p>
          <w:p w14:paraId="178F446B">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（1）投标（响应）报价低于全部通过符合性审查供应商投标（响应）报价平均值60%的，即投标（响应）报价&lt;全部通过符合性审查供应商投标（响应）报价平均值×60%；</w:t>
            </w:r>
          </w:p>
          <w:p w14:paraId="69085656">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（2）投标（响应）报价低于通过符合性审查的次低报价供应商投标（响应）报价60%的，即投标（响应）报价&lt;通过符合性审查的次低报价供应商投标（响应）报价×60%；</w:t>
            </w:r>
          </w:p>
          <w:p w14:paraId="5F6C4F97">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（3）投标（响应）报价低于采购项目最高限价60%的，即投标（响应）报价&lt;采购项目最高限价×60%；</w:t>
            </w:r>
          </w:p>
          <w:p w14:paraId="74A6A510">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（4）评审委员会基于专业判断，认为供应商报价过低，有可能影响产品质量或者不能诚信履约的其他情形。</w:t>
            </w:r>
          </w:p>
          <w:p w14:paraId="067A4CDA">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3.评审委员会启动异常低价投标（响应）审查后，属于上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p>
          <w:p w14:paraId="16DCB27B">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4.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14:paraId="10AEA2BD">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5.评审委员会依据专业经验，参考同类项目中标（成交）价格、类似产品市场价格水平、行业人工费用标准、国家有关部门指导行业协会发布的行业平均成本等情况，对报价合理性进行判断。投标（响应）供应商不能在规定时间内提供书面说明、证明材料，或者提供的书面说明、证明材料不能证明其报价合理性的，评审委员会应当将其作为无效投标（响应）处理。</w:t>
            </w:r>
          </w:p>
        </w:tc>
      </w:tr>
      <w:tr w14:paraId="75C0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597" w:type="dxa"/>
            <w:tcBorders>
              <w:top w:val="single" w:color="000000" w:sz="4" w:space="0"/>
              <w:left w:val="single" w:color="000000" w:sz="4" w:space="0"/>
              <w:bottom w:val="single" w:color="000000" w:sz="4" w:space="0"/>
            </w:tcBorders>
            <w:vAlign w:val="center"/>
          </w:tcPr>
          <w:p w14:paraId="1F0439B0">
            <w:pPr>
              <w:pStyle w:val="25"/>
              <w:spacing w:before="78"/>
              <w:jc w:val="center"/>
              <w:rPr>
                <w:rFonts w:hint="default" w:eastAsia="仿宋"/>
                <w:lang w:val="en-US" w:eastAsia="zh-CN"/>
              </w:rPr>
            </w:pPr>
            <w:r>
              <w:rPr>
                <w:rFonts w:hint="eastAsia"/>
                <w:spacing w:val="-3"/>
                <w:lang w:val="en-US" w:eastAsia="zh-CN"/>
              </w:rPr>
              <w:t>40</w:t>
            </w:r>
          </w:p>
        </w:tc>
        <w:tc>
          <w:tcPr>
            <w:tcW w:w="1295" w:type="dxa"/>
            <w:tcBorders>
              <w:top w:val="single" w:color="000000" w:sz="4" w:space="0"/>
              <w:bottom w:val="single" w:color="000000" w:sz="4" w:space="0"/>
            </w:tcBorders>
            <w:vAlign w:val="center"/>
          </w:tcPr>
          <w:p w14:paraId="44291011">
            <w:pPr>
              <w:pStyle w:val="25"/>
              <w:spacing w:before="78" w:line="222" w:lineRule="auto"/>
              <w:jc w:val="center"/>
            </w:pPr>
            <w:r>
              <w:rPr>
                <w:rFonts w:hint="eastAsia"/>
              </w:rPr>
              <w:t>质疑及答复</w:t>
            </w:r>
          </w:p>
        </w:tc>
        <w:tc>
          <w:tcPr>
            <w:tcW w:w="7241" w:type="dxa"/>
            <w:tcBorders>
              <w:top w:val="single" w:color="000000" w:sz="4" w:space="0"/>
              <w:bottom w:val="single" w:color="000000" w:sz="4" w:space="0"/>
              <w:right w:val="single" w:color="000000" w:sz="4" w:space="0"/>
            </w:tcBorders>
            <w:vAlign w:val="top"/>
          </w:tcPr>
          <w:p w14:paraId="033161E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pPr>
            <w:r>
              <w:rPr>
                <w:rFonts w:hint="eastAsia"/>
                <w:b/>
                <w:bCs/>
                <w:spacing w:val="-2"/>
                <w:lang w:val="en-US" w:eastAsia="zh-CN"/>
              </w:rPr>
              <w:t>1.</w:t>
            </w:r>
            <w:r>
              <w:rPr>
                <w:b/>
                <w:bCs/>
                <w:spacing w:val="-2"/>
              </w:rPr>
              <w:t>中华人民共和国财政部令第94</w:t>
            </w:r>
            <w:r>
              <w:rPr>
                <w:spacing w:val="-39"/>
              </w:rPr>
              <w:t xml:space="preserve"> </w:t>
            </w:r>
            <w:r>
              <w:rPr>
                <w:b/>
                <w:bCs/>
                <w:spacing w:val="-2"/>
              </w:rPr>
              <w:t>号《政府采购质疑和投诉办法》</w:t>
            </w:r>
          </w:p>
          <w:p w14:paraId="0BE7C0C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spacing w:val="-3"/>
              </w:rPr>
            </w:pPr>
            <w:r>
              <w:rPr>
                <w:spacing w:val="-5"/>
              </w:rPr>
              <w:t>第十一条  提出质疑的投标人（以下简称质疑投标人）应</w:t>
            </w:r>
            <w:r>
              <w:rPr>
                <w:spacing w:val="-6"/>
              </w:rPr>
              <w:t>当是参</w:t>
            </w:r>
            <w:r>
              <w:rPr>
                <w:spacing w:val="-2"/>
              </w:rPr>
              <w:t>与所质疑项目采购活动的投标人。</w:t>
            </w:r>
            <w:r>
              <w:rPr>
                <w:spacing w:val="-5"/>
              </w:rPr>
              <w:t>潜在投标人已依法获取其可质疑的采购文件的，可以对该文件提出质疑。对采购文件提出质疑的，应当在获取采购文件或者采购文件</w:t>
            </w:r>
            <w:r>
              <w:rPr>
                <w:spacing w:val="-3"/>
              </w:rPr>
              <w:t>公告期限届满之日起</w:t>
            </w:r>
            <w:r>
              <w:rPr>
                <w:spacing w:val="-45"/>
              </w:rPr>
              <w:t xml:space="preserve"> </w:t>
            </w:r>
            <w:r>
              <w:rPr>
                <w:spacing w:val="-3"/>
              </w:rPr>
              <w:t>7</w:t>
            </w:r>
            <w:r>
              <w:rPr>
                <w:spacing w:val="-43"/>
              </w:rPr>
              <w:t xml:space="preserve"> </w:t>
            </w:r>
            <w:r>
              <w:rPr>
                <w:spacing w:val="-3"/>
              </w:rPr>
              <w:t>个工作日内提出。</w:t>
            </w:r>
          </w:p>
          <w:p w14:paraId="09AE214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spacing w:val="-3"/>
                <w:lang w:val="en-US" w:eastAsia="zh-CN"/>
              </w:rPr>
            </w:pPr>
            <w:r>
              <w:rPr>
                <w:rFonts w:hint="eastAsia"/>
                <w:spacing w:val="-3"/>
                <w:lang w:val="en-US" w:eastAsia="zh-CN"/>
              </w:rPr>
              <w:t>2.质疑函及必要的证明材料应通过以下方式之一递交至采购代理机构：</w:t>
            </w:r>
          </w:p>
          <w:p w14:paraId="53A3C0E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spacing w:val="-3"/>
                <w:lang w:val="en-US" w:eastAsia="zh-CN"/>
              </w:rPr>
            </w:pPr>
            <w:r>
              <w:rPr>
                <w:rFonts w:hint="eastAsia"/>
                <w:spacing w:val="-3"/>
                <w:lang w:val="en-US" w:eastAsia="zh-CN"/>
              </w:rPr>
              <w:t>1）当面送达原件；</w:t>
            </w:r>
          </w:p>
          <w:p w14:paraId="180EB6D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spacing w:val="-3"/>
                <w:lang w:val="en-US" w:eastAsia="zh-CN"/>
              </w:rPr>
            </w:pPr>
            <w:r>
              <w:rPr>
                <w:rFonts w:hint="eastAsia"/>
                <w:spacing w:val="-3"/>
                <w:lang w:val="en-US" w:eastAsia="zh-CN"/>
              </w:rPr>
              <w:t>2）信函邮寄、快递原件，采用此方式时，采购代理机构不受理逾期送达的质疑，投标单位自行承担邮件误投、逾期或丢失的风险和责任；</w:t>
            </w:r>
          </w:p>
          <w:p w14:paraId="5914901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spacing w:val="-3"/>
                <w:lang w:val="en-US" w:eastAsia="zh-CN"/>
              </w:rPr>
            </w:pPr>
            <w:r>
              <w:rPr>
                <w:rFonts w:hint="eastAsia"/>
                <w:spacing w:val="-3"/>
                <w:lang w:val="en-US" w:eastAsia="zh-CN"/>
              </w:rPr>
              <w:t>3）电子邮件将原件的扫描版发送至下列指定电子邮箱，采用此方式提出质疑的，投标单位应在电子邮件发出后立即电话告知采购代理机构；</w:t>
            </w:r>
          </w:p>
          <w:p w14:paraId="21B8080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default" w:eastAsia="仿宋"/>
                <w:spacing w:val="-3"/>
                <w:lang w:val="en-US" w:eastAsia="zh-CN"/>
              </w:rPr>
            </w:pPr>
            <w:r>
              <w:rPr>
                <w:rFonts w:hint="eastAsia"/>
                <w:spacing w:val="-3"/>
                <w:lang w:val="en-US" w:eastAsia="zh-CN"/>
              </w:rPr>
              <w:t>3</w:t>
            </w:r>
            <w:r>
              <w:rPr>
                <w:rFonts w:hint="default" w:eastAsia="仿宋"/>
                <w:spacing w:val="-3"/>
                <w:lang w:val="en-US" w:eastAsia="zh-CN"/>
              </w:rPr>
              <w:t>.采购代理机构接收质疑函的联系方式如下：</w:t>
            </w:r>
          </w:p>
          <w:p w14:paraId="5DEABB7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default" w:eastAsia="仿宋"/>
                <w:spacing w:val="-3"/>
                <w:lang w:val="en-US" w:eastAsia="zh-CN"/>
              </w:rPr>
            </w:pPr>
            <w:r>
              <w:rPr>
                <w:rFonts w:hint="default" w:eastAsia="仿宋"/>
                <w:spacing w:val="-3"/>
                <w:lang w:val="en-US" w:eastAsia="zh-CN"/>
              </w:rPr>
              <w:t>联系人：王老师</w:t>
            </w:r>
          </w:p>
          <w:p w14:paraId="5332216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default" w:eastAsia="仿宋"/>
                <w:spacing w:val="-3"/>
                <w:lang w:val="en-US" w:eastAsia="zh-CN"/>
              </w:rPr>
            </w:pPr>
            <w:r>
              <w:rPr>
                <w:rFonts w:hint="default" w:eastAsia="仿宋"/>
                <w:spacing w:val="-3"/>
                <w:lang w:val="en-US" w:eastAsia="zh-CN"/>
              </w:rPr>
              <w:t>电话：18129219272</w:t>
            </w:r>
          </w:p>
          <w:p w14:paraId="3DAD063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default" w:eastAsia="仿宋"/>
                <w:spacing w:val="-3"/>
                <w:lang w:val="en-US" w:eastAsia="zh-CN"/>
              </w:rPr>
            </w:pPr>
            <w:r>
              <w:rPr>
                <w:rFonts w:hint="default" w:eastAsia="仿宋"/>
                <w:spacing w:val="-3"/>
                <w:lang w:val="en-US" w:eastAsia="zh-CN"/>
              </w:rPr>
              <w:t>邮</w:t>
            </w:r>
            <w:r>
              <w:rPr>
                <w:rFonts w:hint="default" w:eastAsia="仿宋"/>
                <w:color w:val="auto"/>
                <w:spacing w:val="-3"/>
                <w:lang w:val="en-US" w:eastAsia="zh-CN"/>
              </w:rPr>
              <w:t>箱：</w:t>
            </w:r>
            <w:r>
              <w:rPr>
                <w:rFonts w:hint="default" w:eastAsia="仿宋"/>
                <w:color w:val="auto"/>
                <w:spacing w:val="-3"/>
                <w:lang w:val="en-US" w:eastAsia="zh-CN"/>
              </w:rPr>
              <w:fldChar w:fldCharType="begin"/>
            </w:r>
            <w:r>
              <w:rPr>
                <w:rFonts w:hint="default" w:eastAsia="仿宋"/>
                <w:color w:val="auto"/>
                <w:spacing w:val="-3"/>
                <w:lang w:val="en-US" w:eastAsia="zh-CN"/>
              </w:rPr>
              <w:instrText xml:space="preserve"> HYPERLINK "mailto:99258087@qq.com" </w:instrText>
            </w:r>
            <w:r>
              <w:rPr>
                <w:rFonts w:hint="default" w:eastAsia="仿宋"/>
                <w:color w:val="auto"/>
                <w:spacing w:val="-3"/>
                <w:lang w:val="en-US" w:eastAsia="zh-CN"/>
              </w:rPr>
              <w:fldChar w:fldCharType="separate"/>
            </w:r>
            <w:r>
              <w:rPr>
                <w:rStyle w:val="22"/>
                <w:rFonts w:hint="default" w:eastAsia="仿宋"/>
                <w:color w:val="auto"/>
                <w:spacing w:val="-3"/>
                <w:lang w:val="en-US" w:eastAsia="zh-CN"/>
              </w:rPr>
              <w:t>99258087@qq.com</w:t>
            </w:r>
            <w:r>
              <w:rPr>
                <w:rFonts w:hint="default" w:eastAsia="仿宋"/>
                <w:color w:val="auto"/>
                <w:spacing w:val="-3"/>
                <w:lang w:val="en-US" w:eastAsia="zh-CN"/>
              </w:rPr>
              <w:fldChar w:fldCharType="end"/>
            </w:r>
          </w:p>
          <w:p w14:paraId="20D261E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default" w:eastAsia="仿宋"/>
                <w:spacing w:val="-3"/>
                <w:lang w:val="en-US" w:eastAsia="zh-CN"/>
              </w:rPr>
            </w:pPr>
            <w:r>
              <w:rPr>
                <w:rFonts w:hint="default" w:eastAsia="仿宋"/>
                <w:spacing w:val="-3"/>
                <w:lang w:val="en-US" w:eastAsia="zh-CN"/>
              </w:rPr>
              <w:t>备注：投标人在法定质疑期内一次性提出针对同一采购程序环节的质疑</w:t>
            </w:r>
          </w:p>
        </w:tc>
      </w:tr>
      <w:tr w14:paraId="60AD6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597" w:type="dxa"/>
            <w:tcBorders>
              <w:right w:val="single" w:color="000000" w:sz="2" w:space="0"/>
            </w:tcBorders>
            <w:vAlign w:val="center"/>
          </w:tcPr>
          <w:p w14:paraId="7C45921F">
            <w:pPr>
              <w:pStyle w:val="25"/>
              <w:spacing w:before="78"/>
              <w:jc w:val="center"/>
              <w:rPr>
                <w:rFonts w:hint="default" w:eastAsia="仿宋"/>
                <w:lang w:val="en-US" w:eastAsia="zh-CN"/>
              </w:rPr>
            </w:pPr>
            <w:r>
              <w:rPr>
                <w:rFonts w:hint="eastAsia"/>
                <w:lang w:val="en-US" w:eastAsia="zh-CN"/>
              </w:rPr>
              <w:t>41</w:t>
            </w:r>
          </w:p>
        </w:tc>
        <w:tc>
          <w:tcPr>
            <w:tcW w:w="1295" w:type="dxa"/>
            <w:tcBorders>
              <w:left w:val="single" w:color="000000" w:sz="2" w:space="0"/>
              <w:right w:val="single" w:color="000000" w:sz="2" w:space="0"/>
            </w:tcBorders>
            <w:vAlign w:val="center"/>
          </w:tcPr>
          <w:p w14:paraId="0A9AAB43">
            <w:pPr>
              <w:pStyle w:val="25"/>
              <w:spacing w:before="78" w:line="224" w:lineRule="auto"/>
              <w:jc w:val="center"/>
            </w:pPr>
            <w:r>
              <w:rPr>
                <w:spacing w:val="-12"/>
              </w:rPr>
              <w:t>合同</w:t>
            </w:r>
          </w:p>
        </w:tc>
        <w:tc>
          <w:tcPr>
            <w:tcW w:w="7241" w:type="dxa"/>
            <w:tcBorders>
              <w:left w:val="single" w:color="000000" w:sz="2" w:space="0"/>
            </w:tcBorders>
            <w:vAlign w:val="top"/>
          </w:tcPr>
          <w:p w14:paraId="5425E18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eastAsia"/>
                <w:b w:val="0"/>
                <w:bCs w:val="0"/>
                <w:lang w:val="en-US" w:eastAsia="zh-CN"/>
              </w:rPr>
            </w:pPr>
            <w:r>
              <w:rPr>
                <w:rFonts w:hint="eastAsia"/>
                <w:b w:val="0"/>
                <w:bCs w:val="0"/>
                <w:lang w:val="en-US" w:eastAsia="zh-CN"/>
              </w:rPr>
              <w:t>1.中标通知书发出后 30 日内中标人须与采购人完成合同签订</w:t>
            </w:r>
          </w:p>
          <w:p w14:paraId="559E397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pPr>
            <w:r>
              <w:rPr>
                <w:rFonts w:hint="eastAsia"/>
                <w:b w:val="0"/>
                <w:bCs w:val="0"/>
                <w:lang w:val="en-US" w:eastAsia="zh-CN"/>
              </w:rPr>
              <w:t>2.</w:t>
            </w:r>
            <w:r>
              <w:rPr>
                <w:b w:val="0"/>
                <w:bCs w:val="0"/>
              </w:rPr>
              <w:fldChar w:fldCharType="begin"/>
            </w:r>
            <w:r>
              <w:rPr>
                <w:b w:val="0"/>
                <w:bCs w:val="0"/>
              </w:rPr>
              <w:instrText xml:space="preserve"> HYPERLINK "mailto:中标单位与采购人签订合同后及时将合同扫描件（PDF版）发送至项目负责人邮箱（3607677884@qq.com），再将" </w:instrText>
            </w:r>
            <w:r>
              <w:rPr>
                <w:b w:val="0"/>
                <w:bCs w:val="0"/>
              </w:rPr>
              <w:fldChar w:fldCharType="separate"/>
            </w:r>
            <w:r>
              <w:rPr>
                <w:b w:val="0"/>
                <w:bCs w:val="0"/>
                <w:spacing w:val="-3"/>
              </w:rPr>
              <w:t>中标单位与采购人签订合同后及时将合同扫描件（PDF</w:t>
            </w:r>
            <w:r>
              <w:rPr>
                <w:b w:val="0"/>
                <w:bCs w:val="0"/>
                <w:spacing w:val="-34"/>
              </w:rPr>
              <w:t xml:space="preserve"> </w:t>
            </w:r>
            <w:r>
              <w:rPr>
                <w:b w:val="0"/>
                <w:bCs w:val="0"/>
                <w:spacing w:val="-3"/>
              </w:rPr>
              <w:t>版）发送</w:t>
            </w:r>
            <w:r>
              <w:rPr>
                <w:b w:val="0"/>
                <w:bCs w:val="0"/>
                <w:spacing w:val="-3"/>
              </w:rPr>
              <w:fldChar w:fldCharType="end"/>
            </w:r>
            <w:r>
              <w:rPr>
                <w:rFonts w:hint="eastAsia"/>
                <w:b w:val="0"/>
                <w:bCs w:val="0"/>
                <w:spacing w:val="-3"/>
                <w:lang w:val="en-US" w:eastAsia="zh-CN"/>
              </w:rPr>
              <w:t>至代理机构邮箱，</w:t>
            </w:r>
            <w:r>
              <w:rPr>
                <w:b w:val="0"/>
                <w:bCs w:val="0"/>
                <w:spacing w:val="1"/>
              </w:rPr>
              <w:t>若因中标单位原因导致无法在</w:t>
            </w:r>
            <w:r>
              <w:rPr>
                <w:b w:val="0"/>
                <w:bCs w:val="0"/>
                <w:spacing w:val="-4"/>
              </w:rPr>
              <w:t>规定时间（签订合同后</w:t>
            </w:r>
            <w:r>
              <w:rPr>
                <w:b w:val="0"/>
                <w:bCs w:val="0"/>
                <w:spacing w:val="-35"/>
              </w:rPr>
              <w:t xml:space="preserve"> </w:t>
            </w:r>
            <w:r>
              <w:rPr>
                <w:b w:val="0"/>
                <w:bCs w:val="0"/>
                <w:spacing w:val="-4"/>
              </w:rPr>
              <w:t>2</w:t>
            </w:r>
            <w:r>
              <w:rPr>
                <w:b w:val="0"/>
                <w:bCs w:val="0"/>
                <w:spacing w:val="-39"/>
              </w:rPr>
              <w:t xml:space="preserve"> </w:t>
            </w:r>
            <w:r>
              <w:rPr>
                <w:b w:val="0"/>
                <w:bCs w:val="0"/>
                <w:spacing w:val="-4"/>
              </w:rPr>
              <w:t>个工作日</w:t>
            </w:r>
            <w:r>
              <w:rPr>
                <w:b w:val="0"/>
                <w:bCs w:val="0"/>
                <w:spacing w:val="-70"/>
              </w:rPr>
              <w:t xml:space="preserve"> </w:t>
            </w:r>
            <w:r>
              <w:rPr>
                <w:b w:val="0"/>
                <w:bCs w:val="0"/>
                <w:spacing w:val="-4"/>
              </w:rPr>
              <w:t>内）内将合同在新疆政府采购网公示，后果自负。</w:t>
            </w:r>
          </w:p>
        </w:tc>
      </w:tr>
      <w:tr w14:paraId="4630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97" w:type="dxa"/>
            <w:tcBorders>
              <w:right w:val="single" w:color="000000" w:sz="2" w:space="0"/>
            </w:tcBorders>
            <w:vAlign w:val="center"/>
          </w:tcPr>
          <w:p w14:paraId="14644737">
            <w:pPr>
              <w:pStyle w:val="25"/>
              <w:spacing w:before="78"/>
              <w:jc w:val="center"/>
              <w:rPr>
                <w:rFonts w:hint="default" w:eastAsia="仿宋"/>
                <w:lang w:val="en-US" w:eastAsia="zh-CN"/>
              </w:rPr>
            </w:pPr>
            <w:r>
              <w:rPr>
                <w:rFonts w:hint="eastAsia"/>
                <w:lang w:val="en-US" w:eastAsia="zh-CN"/>
              </w:rPr>
              <w:t>42</w:t>
            </w:r>
          </w:p>
        </w:tc>
        <w:tc>
          <w:tcPr>
            <w:tcW w:w="1295" w:type="dxa"/>
            <w:tcBorders>
              <w:left w:val="single" w:color="000000" w:sz="2" w:space="0"/>
              <w:right w:val="single" w:color="000000" w:sz="2" w:space="0"/>
            </w:tcBorders>
            <w:vAlign w:val="center"/>
          </w:tcPr>
          <w:p w14:paraId="4B458598">
            <w:pPr>
              <w:pStyle w:val="25"/>
              <w:spacing w:before="78" w:line="360" w:lineRule="auto"/>
              <w:ind w:right="121"/>
              <w:jc w:val="center"/>
            </w:pPr>
            <w:r>
              <w:rPr>
                <w:rFonts w:hint="eastAsia"/>
                <w:lang w:val="en-US" w:eastAsia="zh-CN"/>
              </w:rPr>
              <w:t>其他说明</w:t>
            </w:r>
          </w:p>
          <w:p w14:paraId="779318B0">
            <w:pPr>
              <w:pStyle w:val="25"/>
              <w:spacing w:before="78" w:line="360" w:lineRule="auto"/>
              <w:ind w:left="368" w:right="121" w:hanging="201"/>
              <w:jc w:val="center"/>
            </w:pPr>
          </w:p>
        </w:tc>
        <w:tc>
          <w:tcPr>
            <w:tcW w:w="7241" w:type="dxa"/>
            <w:tcBorders>
              <w:left w:val="single" w:color="000000" w:sz="2" w:space="0"/>
            </w:tcBorders>
            <w:vAlign w:val="top"/>
          </w:tcPr>
          <w:p w14:paraId="1F973B3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pPr>
            <w:r>
              <w:rPr>
                <w:rFonts w:hint="eastAsia"/>
                <w:lang w:val="en-US" w:eastAsia="zh-CN"/>
              </w:rPr>
              <w:t xml:space="preserve">1.请投标单位提前自学线上开标流程；投标截止时间当天，线上开标环节，响应文件解密时长 30 分钟，请各投标单位请自带笔记本电脑及CA锁网上进行文件解密以及操作投标事项，请投标单位提前调试好在线参标电脑各项配置。 </w:t>
            </w:r>
          </w:p>
          <w:p w14:paraId="65CCEA4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pPr>
            <w:r>
              <w:rPr>
                <w:rFonts w:hint="eastAsia"/>
                <w:lang w:val="en-US" w:eastAsia="zh-CN"/>
              </w:rPr>
              <w:t xml:space="preserve">2.招标文件中采购清单、技术需求等如有偏差，如有疑义请澄清中及时提出；否则视为充分理解招标文件各项要求。 </w:t>
            </w:r>
          </w:p>
          <w:p w14:paraId="67BF422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pPr>
            <w:r>
              <w:rPr>
                <w:rFonts w:hint="eastAsia"/>
                <w:lang w:val="en-US" w:eastAsia="zh-CN"/>
              </w:rPr>
              <w:t xml:space="preserve">3.本次采用政府采购云平台线上招标、投标，请各潜在投标单位及时办理 CA 锁和学习政府采购云平台线上投标相关知识。请在政府采购云平台登录后，进行下载招标文件。请各投标单位获取招标商文件后及时关注云平台答疑文件获取栏目。具体相关事宜见政府采购云平台。本项目采用资格后审，请投标单位仔细阅读招标文件和各项要求，制作文件及相关资料过程中，若因投标单位资格条件不符、提供资料不全等原因导致投标文件予以退还，投标无效，责任自负。 </w:t>
            </w:r>
          </w:p>
          <w:p w14:paraId="70B9F7B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lang w:val="en-US" w:eastAsia="zh-CN"/>
              </w:rPr>
            </w:pPr>
            <w:r>
              <w:rPr>
                <w:rFonts w:hint="eastAsia"/>
                <w:lang w:val="en-US" w:eastAsia="zh-CN"/>
              </w:rPr>
              <w:t>招标文件中如有内容冲突的地方，以投标人须知要求为准。</w:t>
            </w:r>
          </w:p>
          <w:p w14:paraId="0213DC88">
            <w:pPr>
              <w:keepNext w:val="0"/>
              <w:keepLines w:val="0"/>
              <w:pageBreakBefore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仿宋" w:hAnsi="仿宋" w:eastAsia="仿宋" w:cs="仿宋"/>
                <w:b/>
                <w:bCs w:val="0"/>
                <w:color w:val="auto"/>
                <w:spacing w:val="0"/>
                <w:w w:val="100"/>
                <w:kern w:val="0"/>
                <w:position w:val="0"/>
                <w:sz w:val="24"/>
                <w:szCs w:val="24"/>
                <w:highlight w:val="none"/>
                <w:lang w:val="en-US" w:eastAsia="zh-CN"/>
              </w:rPr>
            </w:pPr>
            <w:r>
              <w:rPr>
                <w:rFonts w:hint="eastAsia" w:ascii="仿宋" w:hAnsi="仿宋" w:eastAsia="仿宋" w:cs="仿宋"/>
                <w:sz w:val="24"/>
                <w:szCs w:val="24"/>
                <w:lang w:val="en-US" w:eastAsia="zh-CN"/>
              </w:rPr>
              <w:t>4.</w:t>
            </w:r>
            <w:r>
              <w:rPr>
                <w:rFonts w:hint="eastAsia" w:ascii="仿宋" w:hAnsi="仿宋" w:eastAsia="仿宋" w:cs="仿宋"/>
                <w:b/>
                <w:bCs w:val="0"/>
                <w:color w:val="auto"/>
                <w:spacing w:val="0"/>
                <w:w w:val="100"/>
                <w:kern w:val="0"/>
                <w:position w:val="0"/>
                <w:sz w:val="24"/>
                <w:szCs w:val="24"/>
                <w:highlight w:val="none"/>
                <w:lang w:val="en-US" w:eastAsia="zh-CN"/>
              </w:rPr>
              <w:t>投标单位应对字体置黑的条款、注有“投标无效”“</w:t>
            </w:r>
            <w:r>
              <w:rPr>
                <w:rFonts w:hint="eastAsia" w:ascii="仿宋" w:hAnsi="仿宋" w:eastAsia="仿宋" w:cs="仿宋"/>
                <w:b/>
                <w:bCs w:val="0"/>
                <w:color w:val="auto"/>
                <w:sz w:val="24"/>
                <w:szCs w:val="24"/>
                <w:highlight w:val="none"/>
                <w:lang w:val="en-US" w:bidi="ar"/>
              </w:rPr>
              <w:t>无效</w:t>
            </w:r>
            <w:r>
              <w:rPr>
                <w:rFonts w:hint="eastAsia" w:ascii="仿宋" w:hAnsi="仿宋" w:eastAsia="仿宋" w:cs="仿宋"/>
                <w:b/>
                <w:bCs w:val="0"/>
                <w:color w:val="auto"/>
                <w:sz w:val="24"/>
                <w:szCs w:val="24"/>
                <w:highlight w:val="none"/>
                <w:lang w:val="en-US" w:eastAsia="zh-CN" w:bidi="ar"/>
              </w:rPr>
              <w:t>响应</w:t>
            </w:r>
            <w:r>
              <w:rPr>
                <w:rFonts w:hint="eastAsia" w:ascii="仿宋" w:hAnsi="仿宋" w:eastAsia="仿宋" w:cs="仿宋"/>
                <w:b/>
                <w:bCs w:val="0"/>
                <w:color w:val="auto"/>
                <w:sz w:val="24"/>
                <w:szCs w:val="24"/>
                <w:highlight w:val="none"/>
                <w:lang w:val="en-US" w:bidi="ar"/>
              </w:rPr>
              <w:t>情况</w:t>
            </w:r>
            <w:r>
              <w:rPr>
                <w:rFonts w:hint="eastAsia" w:ascii="仿宋" w:hAnsi="仿宋" w:eastAsia="仿宋" w:cs="仿宋"/>
                <w:b/>
                <w:bCs w:val="0"/>
                <w:color w:val="auto"/>
                <w:spacing w:val="0"/>
                <w:w w:val="100"/>
                <w:kern w:val="0"/>
                <w:position w:val="0"/>
                <w:sz w:val="24"/>
                <w:szCs w:val="24"/>
                <w:highlight w:val="none"/>
                <w:lang w:val="en-US" w:eastAsia="zh-CN"/>
              </w:rPr>
              <w:t>”字样的条款，以及商务条款中加注“</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pacing w:val="0"/>
                <w:w w:val="100"/>
                <w:kern w:val="0"/>
                <w:position w:val="0"/>
                <w:sz w:val="24"/>
                <w:szCs w:val="24"/>
                <w:highlight w:val="none"/>
                <w:lang w:val="en-US" w:eastAsia="zh-CN"/>
              </w:rPr>
              <w:t>”“</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pacing w:val="0"/>
                <w:w w:val="100"/>
                <w:kern w:val="0"/>
                <w:position w:val="0"/>
                <w:sz w:val="24"/>
                <w:szCs w:val="24"/>
                <w:highlight w:val="none"/>
                <w:lang w:val="en-US" w:eastAsia="zh-CN"/>
              </w:rPr>
              <w:t>”“*”号的条款引起重视，如不满足此类条款的规定，其后果由投标单位自行承担。</w:t>
            </w:r>
          </w:p>
          <w:p w14:paraId="01DE6057">
            <w:pPr>
              <w:pStyle w:val="31"/>
              <w:ind w:left="0" w:leftChars="0" w:firstLine="0" w:firstLineChars="0"/>
              <w:jc w:val="both"/>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5.本表是对“投标人须知”的具体补充和修改，如有矛盾应以本表内容为准。</w:t>
            </w:r>
          </w:p>
          <w:p w14:paraId="4A0CA8E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default"/>
                <w:lang w:val="en-US" w:eastAsia="zh-CN"/>
              </w:rPr>
            </w:pPr>
            <w:r>
              <w:rPr>
                <w:rFonts w:hint="eastAsia" w:cs="仿宋"/>
                <w:b/>
                <w:bCs w:val="0"/>
                <w:color w:val="auto"/>
                <w:sz w:val="24"/>
                <w:szCs w:val="24"/>
                <w:lang w:val="en-US" w:eastAsia="zh-CN"/>
              </w:rPr>
              <w:t>6.</w:t>
            </w:r>
            <w:r>
              <w:rPr>
                <w:rFonts w:hint="eastAsia" w:ascii="仿宋" w:hAnsi="仿宋" w:eastAsia="仿宋" w:cs="仿宋"/>
                <w:b/>
                <w:bCs w:val="0"/>
                <w:color w:val="auto"/>
                <w:sz w:val="24"/>
                <w:szCs w:val="24"/>
                <w:lang w:val="en-US" w:eastAsia="zh-CN"/>
              </w:rPr>
              <w:t>项目执行过程中，所运用到的文件均以国家或自治区颁布的最新文件为准。</w:t>
            </w:r>
          </w:p>
        </w:tc>
      </w:tr>
    </w:tbl>
    <w:p w14:paraId="3D162430">
      <w:pPr>
        <w:rPr>
          <w:rFonts w:ascii="Arial"/>
          <w:sz w:val="21"/>
        </w:rPr>
      </w:pPr>
    </w:p>
    <w:p w14:paraId="1AA76CCF">
      <w:pPr>
        <w:rPr>
          <w:rFonts w:ascii="Arial" w:hAnsi="Arial" w:eastAsia="Arial" w:cs="Arial"/>
          <w:sz w:val="21"/>
          <w:szCs w:val="21"/>
        </w:rPr>
        <w:sectPr>
          <w:footerReference r:id="rId7" w:type="default"/>
          <w:pgSz w:w="11905" w:h="16838"/>
          <w:pgMar w:top="1440" w:right="1803" w:bottom="1440" w:left="1803" w:header="0" w:footer="975" w:gutter="0"/>
          <w:pgNumType w:fmt="decimal"/>
          <w:cols w:space="0" w:num="1"/>
          <w:rtlGutter w:val="0"/>
          <w:docGrid w:linePitch="0" w:charSpace="0"/>
        </w:sectPr>
      </w:pPr>
    </w:p>
    <w:p w14:paraId="58DDE1B1">
      <w:pPr>
        <w:pStyle w:val="7"/>
        <w:spacing w:before="64" w:line="228" w:lineRule="auto"/>
        <w:ind w:left="3278"/>
        <w:outlineLvl w:val="0"/>
        <w:rPr>
          <w:sz w:val="31"/>
          <w:szCs w:val="31"/>
        </w:rPr>
      </w:pPr>
      <w:bookmarkStart w:id="3" w:name="_Toc25759"/>
      <w:r>
        <w:rPr>
          <w:b/>
          <w:bCs/>
          <w:sz w:val="31"/>
          <w:szCs w:val="31"/>
        </w:rPr>
        <w:t>第三章</w:t>
      </w:r>
      <w:r>
        <w:rPr>
          <w:spacing w:val="18"/>
          <w:sz w:val="31"/>
          <w:szCs w:val="31"/>
        </w:rPr>
        <w:t xml:space="preserve">  </w:t>
      </w:r>
      <w:r>
        <w:rPr>
          <w:b/>
          <w:bCs/>
          <w:sz w:val="31"/>
          <w:szCs w:val="31"/>
        </w:rPr>
        <w:t>投标人须知</w:t>
      </w:r>
      <w:bookmarkEnd w:id="3"/>
    </w:p>
    <w:p w14:paraId="14340A38">
      <w:pPr>
        <w:pStyle w:val="7"/>
        <w:spacing w:before="233" w:line="223" w:lineRule="auto"/>
        <w:ind w:left="7"/>
      </w:pPr>
      <w:r>
        <w:rPr>
          <w:b/>
          <w:bCs/>
          <w:spacing w:val="-4"/>
        </w:rPr>
        <w:t>一、招标文件涉及术语的内涵及解释</w:t>
      </w:r>
    </w:p>
    <w:p w14:paraId="0E8A2CEF">
      <w:pPr>
        <w:pStyle w:val="7"/>
        <w:spacing w:before="201" w:line="291" w:lineRule="auto"/>
        <w:ind w:left="10" w:right="57" w:firstLine="475"/>
        <w:rPr>
          <w:sz w:val="24"/>
          <w:szCs w:val="24"/>
        </w:rPr>
      </w:pPr>
      <w:r>
        <w:rPr>
          <w:spacing w:val="-2"/>
          <w:sz w:val="24"/>
          <w:szCs w:val="24"/>
        </w:rPr>
        <w:t>（一）“政府采购当事人</w:t>
      </w:r>
      <w:r>
        <w:rPr>
          <w:spacing w:val="-73"/>
          <w:sz w:val="24"/>
          <w:szCs w:val="24"/>
        </w:rPr>
        <w:t xml:space="preserve"> </w:t>
      </w:r>
      <w:r>
        <w:rPr>
          <w:spacing w:val="-2"/>
          <w:sz w:val="24"/>
          <w:szCs w:val="24"/>
        </w:rPr>
        <w:t>”是指在政府采购活动中享有权利和承担义务的各类主体，包括采购人、投标人和采购代理机构等。</w:t>
      </w:r>
    </w:p>
    <w:p w14:paraId="18F2241B">
      <w:pPr>
        <w:pStyle w:val="7"/>
        <w:spacing w:before="176" w:line="222" w:lineRule="auto"/>
        <w:ind w:left="485"/>
        <w:rPr>
          <w:sz w:val="24"/>
          <w:szCs w:val="24"/>
        </w:rPr>
      </w:pPr>
      <w:r>
        <w:rPr>
          <w:spacing w:val="-4"/>
          <w:sz w:val="24"/>
          <w:szCs w:val="24"/>
        </w:rPr>
        <w:t>（二）“采购人</w:t>
      </w:r>
      <w:r>
        <w:rPr>
          <w:spacing w:val="-78"/>
          <w:sz w:val="24"/>
          <w:szCs w:val="24"/>
        </w:rPr>
        <w:t xml:space="preserve"> </w:t>
      </w:r>
      <w:r>
        <w:rPr>
          <w:spacing w:val="-4"/>
          <w:sz w:val="24"/>
          <w:szCs w:val="24"/>
        </w:rPr>
        <w:t>”和“需方</w:t>
      </w:r>
      <w:r>
        <w:rPr>
          <w:spacing w:val="-88"/>
          <w:sz w:val="24"/>
          <w:szCs w:val="24"/>
        </w:rPr>
        <w:t xml:space="preserve"> </w:t>
      </w:r>
      <w:r>
        <w:rPr>
          <w:spacing w:val="-4"/>
          <w:sz w:val="24"/>
          <w:szCs w:val="24"/>
        </w:rPr>
        <w:t>”是指</w:t>
      </w:r>
      <w:r>
        <w:rPr>
          <w:rFonts w:hint="eastAsia"/>
          <w:spacing w:val="-4"/>
          <w:sz w:val="24"/>
          <w:szCs w:val="24"/>
          <w:lang w:val="en-US" w:eastAsia="zh-CN"/>
        </w:rPr>
        <w:t>招标人</w:t>
      </w:r>
      <w:r>
        <w:rPr>
          <w:spacing w:val="-4"/>
          <w:sz w:val="24"/>
          <w:szCs w:val="24"/>
        </w:rPr>
        <w:t>。</w:t>
      </w:r>
    </w:p>
    <w:p w14:paraId="422E9EEB">
      <w:pPr>
        <w:pStyle w:val="7"/>
        <w:spacing w:before="177" w:line="222" w:lineRule="auto"/>
        <w:ind w:left="485"/>
        <w:rPr>
          <w:sz w:val="24"/>
          <w:szCs w:val="24"/>
        </w:rPr>
      </w:pPr>
      <w:r>
        <w:rPr>
          <w:spacing w:val="-2"/>
          <w:sz w:val="24"/>
          <w:szCs w:val="24"/>
        </w:rPr>
        <w:t>（三）“采购代理机构</w:t>
      </w:r>
      <w:r>
        <w:rPr>
          <w:spacing w:val="-88"/>
          <w:sz w:val="24"/>
          <w:szCs w:val="24"/>
        </w:rPr>
        <w:t xml:space="preserve"> </w:t>
      </w:r>
      <w:r>
        <w:rPr>
          <w:spacing w:val="-2"/>
          <w:sz w:val="24"/>
          <w:szCs w:val="24"/>
        </w:rPr>
        <w:t>”是指</w:t>
      </w:r>
      <w:r>
        <w:rPr>
          <w:rFonts w:hint="eastAsia"/>
          <w:spacing w:val="-2"/>
          <w:sz w:val="24"/>
          <w:szCs w:val="24"/>
          <w:lang w:val="en-US" w:eastAsia="zh-CN"/>
        </w:rPr>
        <w:t>负责本项目招标流程的社会服务代理机构</w:t>
      </w:r>
      <w:r>
        <w:rPr>
          <w:spacing w:val="-3"/>
          <w:sz w:val="24"/>
          <w:szCs w:val="24"/>
        </w:rPr>
        <w:t>。</w:t>
      </w:r>
    </w:p>
    <w:p w14:paraId="603A21F2">
      <w:pPr>
        <w:pStyle w:val="7"/>
        <w:spacing w:before="179" w:line="221" w:lineRule="auto"/>
        <w:ind w:left="485"/>
        <w:rPr>
          <w:sz w:val="24"/>
          <w:szCs w:val="24"/>
        </w:rPr>
      </w:pPr>
      <w:r>
        <w:rPr>
          <w:spacing w:val="-2"/>
          <w:sz w:val="24"/>
          <w:szCs w:val="24"/>
        </w:rPr>
        <w:t>（四）“投标人</w:t>
      </w:r>
      <w:r>
        <w:rPr>
          <w:spacing w:val="-86"/>
          <w:sz w:val="24"/>
          <w:szCs w:val="24"/>
        </w:rPr>
        <w:t xml:space="preserve"> </w:t>
      </w:r>
      <w:r>
        <w:rPr>
          <w:spacing w:val="-2"/>
          <w:sz w:val="24"/>
          <w:szCs w:val="24"/>
        </w:rPr>
        <w:t>”是指向本次采购人提交投标文件的投标单位。</w:t>
      </w:r>
    </w:p>
    <w:p w14:paraId="58B6A4DC">
      <w:pPr>
        <w:pStyle w:val="7"/>
        <w:spacing w:before="179" w:line="293" w:lineRule="auto"/>
        <w:ind w:left="4" w:right="2" w:firstLine="481"/>
        <w:rPr>
          <w:sz w:val="24"/>
          <w:szCs w:val="24"/>
        </w:rPr>
      </w:pPr>
      <w:r>
        <w:rPr>
          <w:sz w:val="24"/>
          <w:szCs w:val="24"/>
        </w:rPr>
        <w:t>（五）“投标人</w:t>
      </w:r>
      <w:r>
        <w:rPr>
          <w:spacing w:val="-86"/>
          <w:sz w:val="24"/>
          <w:szCs w:val="24"/>
        </w:rPr>
        <w:t xml:space="preserve"> </w:t>
      </w:r>
      <w:r>
        <w:rPr>
          <w:sz w:val="24"/>
          <w:szCs w:val="24"/>
        </w:rPr>
        <w:t>”是指向采购人提供货物、工程或者服务的法人、其他</w:t>
      </w:r>
      <w:r>
        <w:rPr>
          <w:spacing w:val="-1"/>
          <w:sz w:val="24"/>
          <w:szCs w:val="24"/>
        </w:rPr>
        <w:t>组织或者自然</w:t>
      </w:r>
      <w:r>
        <w:rPr>
          <w:spacing w:val="-10"/>
          <w:sz w:val="24"/>
          <w:szCs w:val="24"/>
        </w:rPr>
        <w:t>人。</w:t>
      </w:r>
    </w:p>
    <w:p w14:paraId="4830372D">
      <w:pPr>
        <w:pStyle w:val="7"/>
        <w:spacing w:before="174" w:line="291" w:lineRule="auto"/>
        <w:ind w:right="2" w:firstLine="485"/>
        <w:rPr>
          <w:sz w:val="24"/>
          <w:szCs w:val="24"/>
        </w:rPr>
      </w:pPr>
      <w:r>
        <w:rPr>
          <w:sz w:val="24"/>
          <w:szCs w:val="24"/>
        </w:rPr>
        <w:t>（六）“招标文件</w:t>
      </w:r>
      <w:r>
        <w:rPr>
          <w:spacing w:val="-88"/>
          <w:sz w:val="24"/>
          <w:szCs w:val="24"/>
        </w:rPr>
        <w:t xml:space="preserve"> </w:t>
      </w:r>
      <w:r>
        <w:rPr>
          <w:sz w:val="24"/>
          <w:szCs w:val="24"/>
        </w:rPr>
        <w:t>”是指由采购人发出的文本、文件，包括全部章节和附件</w:t>
      </w:r>
      <w:r>
        <w:rPr>
          <w:spacing w:val="-1"/>
          <w:sz w:val="24"/>
          <w:szCs w:val="24"/>
        </w:rPr>
        <w:t>及答疑会</w:t>
      </w:r>
      <w:r>
        <w:rPr>
          <w:spacing w:val="-4"/>
          <w:sz w:val="24"/>
          <w:szCs w:val="24"/>
        </w:rPr>
        <w:t>议纪要。</w:t>
      </w:r>
    </w:p>
    <w:p w14:paraId="253E26C9">
      <w:pPr>
        <w:pStyle w:val="7"/>
        <w:spacing w:before="179" w:line="313" w:lineRule="auto"/>
        <w:ind w:right="2" w:firstLine="485"/>
        <w:rPr>
          <w:sz w:val="24"/>
          <w:szCs w:val="24"/>
        </w:rPr>
      </w:pPr>
      <w:r>
        <w:rPr>
          <w:sz w:val="24"/>
          <w:szCs w:val="24"/>
        </w:rPr>
        <w:t>（七）“投标文件</w:t>
      </w:r>
      <w:r>
        <w:rPr>
          <w:spacing w:val="-88"/>
          <w:sz w:val="24"/>
          <w:szCs w:val="24"/>
        </w:rPr>
        <w:t xml:space="preserve"> </w:t>
      </w:r>
      <w:r>
        <w:rPr>
          <w:sz w:val="24"/>
          <w:szCs w:val="24"/>
        </w:rPr>
        <w:t>”是指投标人根据本招标文件向采购人提交的全部响应性</w:t>
      </w:r>
      <w:r>
        <w:rPr>
          <w:spacing w:val="-1"/>
          <w:sz w:val="24"/>
          <w:szCs w:val="24"/>
        </w:rPr>
        <w:t>文件。投</w:t>
      </w:r>
      <w:r>
        <w:rPr>
          <w:spacing w:val="1"/>
          <w:sz w:val="24"/>
          <w:szCs w:val="24"/>
        </w:rPr>
        <w:t>标人必须保证投标文件所提供的全部资料真实可靠，并接受采购人对其中任何</w:t>
      </w:r>
      <w:r>
        <w:rPr>
          <w:sz w:val="24"/>
          <w:szCs w:val="24"/>
        </w:rPr>
        <w:t>资料进一步</w:t>
      </w:r>
      <w:r>
        <w:rPr>
          <w:spacing w:val="-3"/>
          <w:sz w:val="24"/>
          <w:szCs w:val="24"/>
        </w:rPr>
        <w:t>审查的要求。</w:t>
      </w:r>
    </w:p>
    <w:p w14:paraId="538C5E6C">
      <w:pPr>
        <w:pStyle w:val="7"/>
        <w:spacing w:before="175" w:line="313" w:lineRule="auto"/>
        <w:ind w:firstLine="485"/>
        <w:rPr>
          <w:sz w:val="24"/>
          <w:szCs w:val="24"/>
        </w:rPr>
      </w:pPr>
      <w:r>
        <w:rPr>
          <w:sz w:val="24"/>
          <w:szCs w:val="24"/>
        </w:rPr>
        <w:t>（八）“采购文件</w:t>
      </w:r>
      <w:r>
        <w:rPr>
          <w:spacing w:val="-88"/>
          <w:sz w:val="24"/>
          <w:szCs w:val="24"/>
        </w:rPr>
        <w:t xml:space="preserve"> </w:t>
      </w:r>
      <w:r>
        <w:rPr>
          <w:sz w:val="24"/>
          <w:szCs w:val="24"/>
        </w:rPr>
        <w:t>”是指包括采购活动记录、采购预算、招标文件、投标文</w:t>
      </w:r>
      <w:r>
        <w:rPr>
          <w:spacing w:val="-1"/>
          <w:sz w:val="24"/>
          <w:szCs w:val="24"/>
        </w:rPr>
        <w:t>件、评标</w:t>
      </w:r>
      <w:r>
        <w:rPr>
          <w:spacing w:val="1"/>
          <w:sz w:val="24"/>
          <w:szCs w:val="24"/>
        </w:rPr>
        <w:t>标准、评标报告、定标文件、合同文本、验收证明、质疑答复、投诉处理决定及其</w:t>
      </w:r>
      <w:r>
        <w:rPr>
          <w:sz w:val="24"/>
          <w:szCs w:val="24"/>
        </w:rPr>
        <w:t>他有关</w:t>
      </w:r>
      <w:r>
        <w:rPr>
          <w:spacing w:val="-3"/>
          <w:sz w:val="24"/>
          <w:szCs w:val="24"/>
        </w:rPr>
        <w:t>文件、资料。</w:t>
      </w:r>
    </w:p>
    <w:p w14:paraId="680FBAB1">
      <w:pPr>
        <w:pStyle w:val="7"/>
        <w:spacing w:before="182" w:line="289" w:lineRule="auto"/>
        <w:ind w:right="2" w:firstLine="485"/>
        <w:rPr>
          <w:sz w:val="24"/>
          <w:szCs w:val="24"/>
        </w:rPr>
      </w:pPr>
      <w:r>
        <w:rPr>
          <w:sz w:val="24"/>
          <w:szCs w:val="24"/>
        </w:rPr>
        <w:t>（九）“货物</w:t>
      </w:r>
      <w:r>
        <w:rPr>
          <w:spacing w:val="-88"/>
          <w:sz w:val="24"/>
          <w:szCs w:val="24"/>
        </w:rPr>
        <w:t xml:space="preserve"> </w:t>
      </w:r>
      <w:r>
        <w:rPr>
          <w:sz w:val="24"/>
          <w:szCs w:val="24"/>
        </w:rPr>
        <w:t>”是指投标人成交后根据投标文件和合同的规定须向采购人提</w:t>
      </w:r>
      <w:r>
        <w:rPr>
          <w:spacing w:val="-1"/>
          <w:sz w:val="24"/>
          <w:szCs w:val="24"/>
        </w:rPr>
        <w:t>供的各种形态和种类的物品，包括原材料、燃料、产品等。</w:t>
      </w:r>
    </w:p>
    <w:p w14:paraId="0DD2FF72">
      <w:pPr>
        <w:pStyle w:val="7"/>
        <w:spacing w:before="183" w:line="290" w:lineRule="auto"/>
        <w:ind w:left="11" w:right="2" w:firstLine="473"/>
        <w:rPr>
          <w:sz w:val="24"/>
          <w:szCs w:val="24"/>
        </w:rPr>
      </w:pPr>
      <w:r>
        <w:rPr>
          <w:sz w:val="24"/>
          <w:szCs w:val="24"/>
        </w:rPr>
        <w:t>（十）“工程</w:t>
      </w:r>
      <w:r>
        <w:rPr>
          <w:spacing w:val="-88"/>
          <w:sz w:val="24"/>
          <w:szCs w:val="24"/>
        </w:rPr>
        <w:t xml:space="preserve"> </w:t>
      </w:r>
      <w:r>
        <w:rPr>
          <w:sz w:val="24"/>
          <w:szCs w:val="24"/>
        </w:rPr>
        <w:t>”是指建设工程，包括建筑物和构筑物的新建、改建、扩建、</w:t>
      </w:r>
      <w:r>
        <w:rPr>
          <w:spacing w:val="-1"/>
          <w:sz w:val="24"/>
          <w:szCs w:val="24"/>
        </w:rPr>
        <w:t>装修、拆</w:t>
      </w:r>
      <w:r>
        <w:rPr>
          <w:spacing w:val="-5"/>
          <w:sz w:val="24"/>
          <w:szCs w:val="24"/>
        </w:rPr>
        <w:t>除、修缮等。</w:t>
      </w:r>
    </w:p>
    <w:p w14:paraId="22DBA2F2">
      <w:pPr>
        <w:pStyle w:val="7"/>
        <w:spacing w:before="177" w:line="313" w:lineRule="auto"/>
        <w:ind w:left="4" w:firstLine="481"/>
        <w:rPr>
          <w:sz w:val="24"/>
          <w:szCs w:val="24"/>
        </w:rPr>
      </w:pPr>
      <w:r>
        <w:rPr>
          <w:sz w:val="24"/>
          <w:szCs w:val="24"/>
        </w:rPr>
        <w:t>（十一）“安装</w:t>
      </w:r>
      <w:r>
        <w:rPr>
          <w:spacing w:val="-86"/>
          <w:sz w:val="24"/>
          <w:szCs w:val="24"/>
        </w:rPr>
        <w:t xml:space="preserve"> </w:t>
      </w:r>
      <w:r>
        <w:rPr>
          <w:sz w:val="24"/>
          <w:szCs w:val="24"/>
        </w:rPr>
        <w:t>”是指投标人中标后按投标文件和合同的规定在项目现</w:t>
      </w:r>
      <w:r>
        <w:rPr>
          <w:spacing w:val="-1"/>
          <w:sz w:val="24"/>
          <w:szCs w:val="24"/>
        </w:rPr>
        <w:t>场所进行的安</w:t>
      </w:r>
      <w:r>
        <w:rPr>
          <w:spacing w:val="1"/>
          <w:sz w:val="24"/>
          <w:szCs w:val="24"/>
        </w:rPr>
        <w:t>装、调试、检验、验收及修补缺陷等内容。供方应对所有现场作业、所</w:t>
      </w:r>
      <w:r>
        <w:rPr>
          <w:sz w:val="24"/>
          <w:szCs w:val="24"/>
        </w:rPr>
        <w:t>有全部安装的完备</w:t>
      </w:r>
      <w:r>
        <w:rPr>
          <w:spacing w:val="-2"/>
          <w:sz w:val="24"/>
          <w:szCs w:val="24"/>
        </w:rPr>
        <w:t>性、稳定性和安全性负责。</w:t>
      </w:r>
    </w:p>
    <w:p w14:paraId="0BDE446C">
      <w:pPr>
        <w:pStyle w:val="7"/>
        <w:spacing w:before="183" w:line="221" w:lineRule="auto"/>
        <w:ind w:left="485"/>
        <w:rPr>
          <w:sz w:val="24"/>
          <w:szCs w:val="24"/>
        </w:rPr>
      </w:pPr>
      <w:r>
        <w:rPr>
          <w:spacing w:val="-2"/>
          <w:sz w:val="24"/>
          <w:szCs w:val="24"/>
        </w:rPr>
        <w:t>（十二）“服务</w:t>
      </w:r>
      <w:r>
        <w:rPr>
          <w:spacing w:val="-82"/>
          <w:sz w:val="24"/>
          <w:szCs w:val="24"/>
        </w:rPr>
        <w:t xml:space="preserve"> </w:t>
      </w:r>
      <w:r>
        <w:rPr>
          <w:spacing w:val="-2"/>
          <w:sz w:val="24"/>
          <w:szCs w:val="24"/>
        </w:rPr>
        <w:t>”是指供方根据招标文件和合同的规定承担的服务。</w:t>
      </w:r>
    </w:p>
    <w:p w14:paraId="43A38874">
      <w:pPr>
        <w:pStyle w:val="7"/>
        <w:spacing w:before="181" w:line="331" w:lineRule="auto"/>
        <w:ind w:firstLine="485"/>
        <w:rPr>
          <w:sz w:val="24"/>
          <w:szCs w:val="24"/>
        </w:rPr>
      </w:pPr>
      <w:r>
        <w:rPr>
          <w:sz w:val="24"/>
          <w:szCs w:val="24"/>
        </w:rPr>
        <w:t>（十三）“知识产权</w:t>
      </w:r>
      <w:r>
        <w:rPr>
          <w:spacing w:val="-86"/>
          <w:sz w:val="24"/>
          <w:szCs w:val="24"/>
        </w:rPr>
        <w:t xml:space="preserve"> </w:t>
      </w:r>
      <w:r>
        <w:rPr>
          <w:sz w:val="24"/>
          <w:szCs w:val="24"/>
        </w:rPr>
        <w:t>”是指通过签署投标函，投标人应确认其为所供硬</w:t>
      </w:r>
      <w:r>
        <w:rPr>
          <w:spacing w:val="-1"/>
          <w:sz w:val="24"/>
          <w:szCs w:val="24"/>
        </w:rPr>
        <w:t>件和软件的知</w:t>
      </w:r>
      <w:r>
        <w:rPr>
          <w:spacing w:val="1"/>
          <w:sz w:val="24"/>
          <w:szCs w:val="24"/>
        </w:rPr>
        <w:t>识产权的合法所有人，或已经从其所有人那里得到了适当的授权。投标</w:t>
      </w:r>
      <w:r>
        <w:rPr>
          <w:sz w:val="24"/>
          <w:szCs w:val="24"/>
        </w:rPr>
        <w:t>人应保证在本项目</w:t>
      </w:r>
      <w:r>
        <w:rPr>
          <w:spacing w:val="1"/>
          <w:sz w:val="24"/>
          <w:szCs w:val="24"/>
        </w:rPr>
        <w:t>使用的任何产品和服务（包括部分使用）时，不会产生因第三方提出侵犯其专利权</w:t>
      </w:r>
      <w:r>
        <w:rPr>
          <w:sz w:val="24"/>
          <w:szCs w:val="24"/>
        </w:rPr>
        <w:t>、商标</w:t>
      </w:r>
      <w:r>
        <w:rPr>
          <w:spacing w:val="1"/>
          <w:sz w:val="24"/>
          <w:szCs w:val="24"/>
        </w:rPr>
        <w:t>权或其它知识产权而引起的法律和经济纠纷，如因专利权、商标权或其它知识产权</w:t>
      </w:r>
      <w:r>
        <w:rPr>
          <w:sz w:val="24"/>
          <w:szCs w:val="24"/>
        </w:rPr>
        <w:t>而引起法律和经济纠纷，</w:t>
      </w:r>
      <w:r>
        <w:rPr>
          <w:spacing w:val="-70"/>
          <w:sz w:val="24"/>
          <w:szCs w:val="24"/>
        </w:rPr>
        <w:t xml:space="preserve"> </w:t>
      </w:r>
      <w:r>
        <w:rPr>
          <w:sz w:val="24"/>
          <w:szCs w:val="24"/>
        </w:rPr>
        <w:t>由投标人承担所有相关责任。采购</w:t>
      </w:r>
      <w:r>
        <w:rPr>
          <w:spacing w:val="-1"/>
          <w:sz w:val="24"/>
          <w:szCs w:val="24"/>
        </w:rPr>
        <w:t>人享有本项目实施过程中产生的知识</w:t>
      </w:r>
      <w:r>
        <w:rPr>
          <w:spacing w:val="-4"/>
          <w:sz w:val="24"/>
          <w:szCs w:val="24"/>
        </w:rPr>
        <w:t>成果及知识产权。投标人如欲在项目实施过程中采用自有知识成果，需在投标文件中声明，</w:t>
      </w:r>
      <w:r>
        <w:rPr>
          <w:spacing w:val="1"/>
          <w:sz w:val="24"/>
          <w:szCs w:val="24"/>
        </w:rPr>
        <w:t>并提供相关知识产权证明文件。使用该知识成果后，投标人需提供开发接</w:t>
      </w:r>
      <w:r>
        <w:rPr>
          <w:sz w:val="24"/>
          <w:szCs w:val="24"/>
        </w:rPr>
        <w:t>口和开发手册等</w:t>
      </w:r>
      <w:r>
        <w:rPr>
          <w:spacing w:val="1"/>
          <w:sz w:val="24"/>
          <w:szCs w:val="24"/>
        </w:rPr>
        <w:t>技术文档，并承诺提供无限期技术支持，采购人享有永久使用权。如采用</w:t>
      </w:r>
      <w:r>
        <w:rPr>
          <w:sz w:val="24"/>
          <w:szCs w:val="24"/>
        </w:rPr>
        <w:t>投标人所不拥有</w:t>
      </w:r>
      <w:r>
        <w:rPr>
          <w:spacing w:val="-1"/>
          <w:sz w:val="24"/>
          <w:szCs w:val="24"/>
        </w:rPr>
        <w:t>的知识产权，则在投标报价中必须包括合法获取该知识产权的相关费用。</w:t>
      </w:r>
    </w:p>
    <w:p w14:paraId="2C878B07">
      <w:pPr>
        <w:pStyle w:val="7"/>
        <w:spacing w:before="1" w:line="290" w:lineRule="auto"/>
        <w:ind w:left="4" w:right="105" w:firstLine="480"/>
        <w:rPr>
          <w:sz w:val="24"/>
          <w:szCs w:val="24"/>
        </w:rPr>
      </w:pPr>
      <w:r>
        <w:rPr>
          <w:spacing w:val="-2"/>
          <w:sz w:val="24"/>
          <w:szCs w:val="24"/>
        </w:rPr>
        <w:t>（十四）“</w:t>
      </w:r>
      <w:r>
        <w:rPr>
          <w:spacing w:val="-52"/>
          <w:sz w:val="24"/>
          <w:szCs w:val="24"/>
        </w:rPr>
        <w:t xml:space="preserve"> </w:t>
      </w:r>
      <w:r>
        <w:rPr>
          <w:spacing w:val="-2"/>
          <w:sz w:val="24"/>
          <w:szCs w:val="24"/>
        </w:rPr>
        <w:t>自主创新产品</w:t>
      </w:r>
      <w:r>
        <w:rPr>
          <w:spacing w:val="-86"/>
          <w:sz w:val="24"/>
          <w:szCs w:val="24"/>
        </w:rPr>
        <w:t xml:space="preserve"> </w:t>
      </w:r>
      <w:r>
        <w:rPr>
          <w:spacing w:val="-2"/>
          <w:sz w:val="24"/>
          <w:szCs w:val="24"/>
        </w:rPr>
        <w:t>”是指纳入财政部公布的《政府采购自主创新产品目录》的</w:t>
      </w:r>
      <w:r>
        <w:rPr>
          <w:spacing w:val="-4"/>
          <w:sz w:val="24"/>
          <w:szCs w:val="24"/>
        </w:rPr>
        <w:t>货物和服务。</w:t>
      </w:r>
    </w:p>
    <w:p w14:paraId="722343F6">
      <w:pPr>
        <w:pStyle w:val="7"/>
        <w:spacing w:before="179" w:line="313" w:lineRule="auto"/>
        <w:ind w:left="14" w:firstLine="470"/>
        <w:rPr>
          <w:sz w:val="24"/>
          <w:szCs w:val="24"/>
        </w:rPr>
      </w:pPr>
      <w:r>
        <w:rPr>
          <w:spacing w:val="-7"/>
          <w:sz w:val="24"/>
          <w:szCs w:val="24"/>
        </w:rPr>
        <w:t>（十五）“节能产品</w:t>
      </w:r>
      <w:r>
        <w:rPr>
          <w:spacing w:val="-88"/>
          <w:sz w:val="24"/>
          <w:szCs w:val="24"/>
        </w:rPr>
        <w:t xml:space="preserve"> </w:t>
      </w:r>
      <w:r>
        <w:rPr>
          <w:spacing w:val="-7"/>
          <w:sz w:val="24"/>
          <w:szCs w:val="24"/>
        </w:rPr>
        <w:t>”或者“环保产品</w:t>
      </w:r>
      <w:r>
        <w:rPr>
          <w:spacing w:val="-88"/>
          <w:sz w:val="24"/>
          <w:szCs w:val="24"/>
        </w:rPr>
        <w:t xml:space="preserve"> </w:t>
      </w:r>
      <w:r>
        <w:rPr>
          <w:spacing w:val="-7"/>
          <w:sz w:val="24"/>
          <w:szCs w:val="24"/>
        </w:rPr>
        <w:t>”是指列入财政部、国家</w:t>
      </w:r>
      <w:r>
        <w:rPr>
          <w:spacing w:val="-8"/>
          <w:sz w:val="24"/>
          <w:szCs w:val="24"/>
        </w:rPr>
        <w:t>发展改革委制定的《节</w:t>
      </w:r>
      <w:r>
        <w:rPr>
          <w:spacing w:val="-3"/>
          <w:sz w:val="24"/>
          <w:szCs w:val="24"/>
        </w:rPr>
        <w:t>能产品政府采购清单》和财政部、国家环境保护总局制定的《环境标志产品政府采购清单》</w:t>
      </w:r>
      <w:r>
        <w:rPr>
          <w:spacing w:val="-2"/>
          <w:sz w:val="24"/>
          <w:szCs w:val="24"/>
        </w:rPr>
        <w:t>的产品并在产品认证证书有效期内的。</w:t>
      </w:r>
    </w:p>
    <w:p w14:paraId="3F016209">
      <w:pPr>
        <w:pStyle w:val="7"/>
        <w:spacing w:before="181" w:line="290" w:lineRule="auto"/>
        <w:ind w:right="105" w:firstLine="484"/>
        <w:rPr>
          <w:sz w:val="24"/>
          <w:szCs w:val="24"/>
        </w:rPr>
      </w:pPr>
      <w:r>
        <w:rPr>
          <w:spacing w:val="-1"/>
          <w:sz w:val="24"/>
          <w:szCs w:val="24"/>
        </w:rPr>
        <w:t>（十六）</w:t>
      </w:r>
      <w:r>
        <w:rPr>
          <w:spacing w:val="-55"/>
          <w:sz w:val="24"/>
          <w:szCs w:val="24"/>
        </w:rPr>
        <w:t xml:space="preserve"> </w:t>
      </w:r>
      <w:r>
        <w:rPr>
          <w:spacing w:val="-1"/>
          <w:sz w:val="24"/>
          <w:szCs w:val="24"/>
        </w:rPr>
        <w:t>中小微企业投标是指符合《中小企业划型标准规定》的投标人，通过投标提</w:t>
      </w:r>
      <w:r>
        <w:rPr>
          <w:sz w:val="24"/>
          <w:szCs w:val="24"/>
        </w:rPr>
        <w:t>供本企业制造的货物、承担的工程或者服务</w:t>
      </w:r>
      <w:r>
        <w:rPr>
          <w:spacing w:val="-1"/>
          <w:sz w:val="24"/>
          <w:szCs w:val="24"/>
        </w:rPr>
        <w:t>，或者提供其他中小微企业制造的货物。</w:t>
      </w:r>
    </w:p>
    <w:p w14:paraId="346C128E">
      <w:pPr>
        <w:pStyle w:val="7"/>
        <w:spacing w:before="180" w:line="359" w:lineRule="auto"/>
        <w:ind w:right="103" w:firstLine="480"/>
        <w:rPr>
          <w:sz w:val="24"/>
          <w:szCs w:val="24"/>
        </w:rPr>
      </w:pPr>
      <w:r>
        <w:rPr>
          <w:spacing w:val="1"/>
          <w:sz w:val="24"/>
          <w:szCs w:val="24"/>
        </w:rPr>
        <w:t>根据财库《财政部司法部关于政府采购支持监狱企业发展有关问题的通知》，</w:t>
      </w:r>
      <w:r>
        <w:rPr>
          <w:sz w:val="24"/>
          <w:szCs w:val="24"/>
        </w:rPr>
        <w:t>监狱企</w:t>
      </w:r>
      <w:r>
        <w:rPr>
          <w:spacing w:val="1"/>
          <w:sz w:val="24"/>
          <w:szCs w:val="24"/>
        </w:rPr>
        <w:t>业视同小微企业。监狱企业是指由司法部认定的为罪犯、戒毒人员提供生产项目</w:t>
      </w:r>
      <w:r>
        <w:rPr>
          <w:sz w:val="24"/>
          <w:szCs w:val="24"/>
        </w:rPr>
        <w:t>和劳动对</w:t>
      </w:r>
      <w:r>
        <w:rPr>
          <w:spacing w:val="-1"/>
          <w:sz w:val="24"/>
          <w:szCs w:val="24"/>
        </w:rPr>
        <w:t>象，且全部产权属于司法部监狱管理局、戒毒管理局、直属煤矿管理局，各省、</w:t>
      </w:r>
      <w:r>
        <w:rPr>
          <w:spacing w:val="-46"/>
          <w:sz w:val="24"/>
          <w:szCs w:val="24"/>
        </w:rPr>
        <w:t xml:space="preserve"> </w:t>
      </w:r>
      <w:r>
        <w:rPr>
          <w:spacing w:val="-1"/>
          <w:sz w:val="24"/>
          <w:szCs w:val="24"/>
        </w:rPr>
        <w:t>自治区、</w:t>
      </w:r>
      <w:r>
        <w:rPr>
          <w:spacing w:val="1"/>
          <w:sz w:val="24"/>
          <w:szCs w:val="24"/>
        </w:rPr>
        <w:t>直辖市监狱管理局、戒毒管理局，各地(设区的市)监狱、强制隔离戒毒所、戒</w:t>
      </w:r>
      <w:r>
        <w:rPr>
          <w:sz w:val="24"/>
          <w:szCs w:val="24"/>
        </w:rPr>
        <w:t>毒康复所，</w:t>
      </w:r>
      <w:r>
        <w:rPr>
          <w:spacing w:val="1"/>
          <w:sz w:val="24"/>
          <w:szCs w:val="24"/>
        </w:rPr>
        <w:t>以及新疆生产建设兵团监狱管理局、戒毒管理局的企业。监狱企业投标时，提供</w:t>
      </w:r>
      <w:r>
        <w:rPr>
          <w:sz w:val="24"/>
          <w:szCs w:val="24"/>
        </w:rPr>
        <w:t>由省级以</w:t>
      </w:r>
      <w:r>
        <w:rPr>
          <w:spacing w:val="1"/>
          <w:sz w:val="24"/>
          <w:szCs w:val="24"/>
        </w:rPr>
        <w:t>上监狱管理局、戒毒管理局（含新疆生产建设兵团）出具的属于监狱企业的证明</w:t>
      </w:r>
      <w:r>
        <w:rPr>
          <w:sz w:val="24"/>
          <w:szCs w:val="24"/>
        </w:rPr>
        <w:t>文件，不</w:t>
      </w:r>
      <w:r>
        <w:rPr>
          <w:spacing w:val="-2"/>
          <w:sz w:val="24"/>
          <w:szCs w:val="24"/>
        </w:rPr>
        <w:t>再提供《中小微企业声明函》。</w:t>
      </w:r>
    </w:p>
    <w:p w14:paraId="4BCF7CCD">
      <w:pPr>
        <w:pStyle w:val="7"/>
        <w:spacing w:line="359" w:lineRule="auto"/>
        <w:ind w:left="14" w:right="120" w:firstLine="466"/>
        <w:rPr>
          <w:sz w:val="24"/>
          <w:szCs w:val="24"/>
        </w:rPr>
      </w:pPr>
      <w:r>
        <w:rPr>
          <w:spacing w:val="-2"/>
          <w:sz w:val="24"/>
          <w:szCs w:val="24"/>
        </w:rPr>
        <w:t>根据《财政部</w:t>
      </w:r>
      <w:r>
        <w:rPr>
          <w:spacing w:val="47"/>
          <w:sz w:val="24"/>
          <w:szCs w:val="24"/>
        </w:rPr>
        <w:t xml:space="preserve"> </w:t>
      </w:r>
      <w:r>
        <w:rPr>
          <w:spacing w:val="-2"/>
          <w:sz w:val="24"/>
          <w:szCs w:val="24"/>
        </w:rPr>
        <w:t>民政部</w:t>
      </w:r>
      <w:r>
        <w:rPr>
          <w:spacing w:val="52"/>
          <w:sz w:val="24"/>
          <w:szCs w:val="24"/>
        </w:rPr>
        <w:t xml:space="preserve"> </w:t>
      </w:r>
      <w:r>
        <w:rPr>
          <w:spacing w:val="-2"/>
          <w:sz w:val="24"/>
          <w:szCs w:val="24"/>
        </w:rPr>
        <w:t>中国残疾人联合会关于促进残疾人就业政</w:t>
      </w:r>
      <w:r>
        <w:rPr>
          <w:spacing w:val="-3"/>
          <w:sz w:val="24"/>
          <w:szCs w:val="24"/>
        </w:rPr>
        <w:t>府采购政策的通知》</w:t>
      </w:r>
      <w:r>
        <w:rPr>
          <w:spacing w:val="-2"/>
          <w:sz w:val="24"/>
          <w:szCs w:val="24"/>
        </w:rPr>
        <w:t>的规定，残疾人福利性单位视同为小型、微型企业。</w:t>
      </w:r>
    </w:p>
    <w:p w14:paraId="6BD2F2DB">
      <w:pPr>
        <w:pStyle w:val="7"/>
        <w:spacing w:before="2" w:line="313" w:lineRule="auto"/>
        <w:ind w:right="22" w:firstLine="484"/>
        <w:rPr>
          <w:sz w:val="24"/>
          <w:szCs w:val="24"/>
        </w:rPr>
      </w:pPr>
      <w:r>
        <w:rPr>
          <w:spacing w:val="-4"/>
          <w:sz w:val="24"/>
          <w:szCs w:val="24"/>
        </w:rPr>
        <w:t>（十七）“进口产品</w:t>
      </w:r>
      <w:r>
        <w:rPr>
          <w:spacing w:val="-88"/>
          <w:sz w:val="24"/>
          <w:szCs w:val="24"/>
        </w:rPr>
        <w:t xml:space="preserve"> </w:t>
      </w:r>
      <w:r>
        <w:rPr>
          <w:spacing w:val="-4"/>
          <w:sz w:val="24"/>
          <w:szCs w:val="24"/>
        </w:rPr>
        <w:t>”是指通过中国海关报关验收进入中国境内且</w:t>
      </w:r>
      <w:r>
        <w:rPr>
          <w:spacing w:val="-5"/>
          <w:sz w:val="24"/>
          <w:szCs w:val="24"/>
        </w:rPr>
        <w:t>产自关境外的产品。</w:t>
      </w:r>
      <w:r>
        <w:rPr>
          <w:spacing w:val="1"/>
          <w:sz w:val="24"/>
          <w:szCs w:val="24"/>
        </w:rPr>
        <w:t>详见《关于政府采购进口产品管理有关问题的通知》。经财政监管部门审核管</w:t>
      </w:r>
      <w:r>
        <w:rPr>
          <w:sz w:val="24"/>
          <w:szCs w:val="24"/>
        </w:rPr>
        <w:t>理，并经进</w:t>
      </w:r>
      <w:r>
        <w:rPr>
          <w:spacing w:val="-2"/>
          <w:sz w:val="24"/>
          <w:szCs w:val="24"/>
        </w:rPr>
        <w:t>口论证后方可采购进口产品。</w:t>
      </w:r>
    </w:p>
    <w:p w14:paraId="6C650379">
      <w:pPr>
        <w:pStyle w:val="7"/>
        <w:spacing w:before="178" w:line="290" w:lineRule="auto"/>
        <w:ind w:left="2" w:right="149" w:firstLine="482"/>
        <w:rPr>
          <w:sz w:val="24"/>
          <w:szCs w:val="24"/>
        </w:rPr>
      </w:pPr>
      <w:r>
        <w:rPr>
          <w:spacing w:val="-2"/>
          <w:sz w:val="24"/>
          <w:szCs w:val="24"/>
        </w:rPr>
        <w:t>（十八）“</w:t>
      </w:r>
      <w:r>
        <w:rPr>
          <w:spacing w:val="-93"/>
          <w:sz w:val="24"/>
          <w:szCs w:val="24"/>
        </w:rPr>
        <w:t xml:space="preserve"> </w:t>
      </w:r>
      <w:r>
        <w:rPr>
          <w:spacing w:val="-2"/>
          <w:sz w:val="24"/>
          <w:szCs w:val="24"/>
        </w:rPr>
        <w:t>书面形式</w:t>
      </w:r>
      <w:r>
        <w:rPr>
          <w:spacing w:val="-85"/>
          <w:sz w:val="24"/>
          <w:szCs w:val="24"/>
        </w:rPr>
        <w:t xml:space="preserve"> </w:t>
      </w:r>
      <w:r>
        <w:rPr>
          <w:spacing w:val="-2"/>
          <w:sz w:val="24"/>
          <w:szCs w:val="24"/>
        </w:rPr>
        <w:t>”是指任何手写、打印或印刷的各种函件，不包括电传、</w:t>
      </w:r>
      <w:r>
        <w:rPr>
          <w:spacing w:val="-3"/>
          <w:sz w:val="24"/>
          <w:szCs w:val="24"/>
        </w:rPr>
        <w:t>电报、传真、电子邮件。</w:t>
      </w:r>
    </w:p>
    <w:p w14:paraId="5F925309">
      <w:pPr>
        <w:pStyle w:val="7"/>
        <w:spacing w:before="186" w:line="223" w:lineRule="auto"/>
        <w:ind w:left="11"/>
      </w:pPr>
      <w:r>
        <w:rPr>
          <w:b/>
          <w:bCs/>
          <w:spacing w:val="-9"/>
        </w:rPr>
        <w:t>二、招标</w:t>
      </w:r>
    </w:p>
    <w:p w14:paraId="35E73F81">
      <w:pPr>
        <w:pStyle w:val="7"/>
        <w:spacing w:before="201" w:line="224" w:lineRule="auto"/>
        <w:ind w:left="237"/>
        <w:rPr>
          <w:sz w:val="24"/>
          <w:szCs w:val="24"/>
        </w:rPr>
      </w:pPr>
      <w:r>
        <w:rPr>
          <w:b/>
          <w:bCs/>
          <w:spacing w:val="-5"/>
          <w:sz w:val="24"/>
          <w:szCs w:val="24"/>
        </w:rPr>
        <w:t>（一）综合说明</w:t>
      </w:r>
    </w:p>
    <w:p w14:paraId="59A4C7F4">
      <w:pPr>
        <w:pStyle w:val="7"/>
        <w:spacing w:before="47" w:line="359" w:lineRule="auto"/>
        <w:ind w:left="1" w:right="14"/>
        <w:jc w:val="both"/>
        <w:rPr>
          <w:sz w:val="24"/>
          <w:szCs w:val="24"/>
        </w:rPr>
      </w:pPr>
      <w:r>
        <w:rPr>
          <w:sz w:val="24"/>
          <w:szCs w:val="24"/>
        </w:rPr>
        <w:t>本项目按照《中华人民共和国政府采购法》及相关</w:t>
      </w:r>
      <w:r>
        <w:rPr>
          <w:spacing w:val="-1"/>
          <w:sz w:val="24"/>
          <w:szCs w:val="24"/>
        </w:rPr>
        <w:t>法规，</w:t>
      </w:r>
      <w:r>
        <w:rPr>
          <w:spacing w:val="-71"/>
          <w:sz w:val="24"/>
          <w:szCs w:val="24"/>
        </w:rPr>
        <w:t xml:space="preserve"> </w:t>
      </w:r>
      <w:r>
        <w:rPr>
          <w:spacing w:val="-1"/>
          <w:sz w:val="24"/>
          <w:szCs w:val="24"/>
        </w:rPr>
        <w:t>已办理招标申请，并得到行</w:t>
      </w:r>
      <w:r>
        <w:rPr>
          <w:spacing w:val="1"/>
          <w:sz w:val="24"/>
          <w:szCs w:val="24"/>
        </w:rPr>
        <w:t>业主管部门审核批准，现通过招标来择优选定货物服务的投标人。本招标文</w:t>
      </w:r>
      <w:r>
        <w:rPr>
          <w:sz w:val="24"/>
          <w:szCs w:val="24"/>
        </w:rPr>
        <w:t>件包括本文所</w:t>
      </w:r>
      <w:r>
        <w:rPr>
          <w:spacing w:val="1"/>
          <w:sz w:val="24"/>
          <w:szCs w:val="24"/>
        </w:rPr>
        <w:t>列内容及按本须知发出的全部和补充资料。投标人应认真阅读本招标文件中</w:t>
      </w:r>
      <w:r>
        <w:rPr>
          <w:sz w:val="24"/>
          <w:szCs w:val="24"/>
        </w:rPr>
        <w:t>所有的事项、</w:t>
      </w:r>
      <w:r>
        <w:rPr>
          <w:spacing w:val="1"/>
          <w:sz w:val="24"/>
          <w:szCs w:val="24"/>
        </w:rPr>
        <w:t>格式、条款、技术规范等实质性的条件和要求。投标人被视为充分熟悉本招标</w:t>
      </w:r>
      <w:r>
        <w:rPr>
          <w:sz w:val="24"/>
          <w:szCs w:val="24"/>
        </w:rPr>
        <w:t>项目的全部</w:t>
      </w:r>
      <w:r>
        <w:rPr>
          <w:spacing w:val="1"/>
          <w:sz w:val="24"/>
          <w:szCs w:val="24"/>
        </w:rPr>
        <w:t>内容及与履行合同有关的全部内容，熟悉招标文件的格式、条件和范围。投标</w:t>
      </w:r>
      <w:r>
        <w:rPr>
          <w:sz w:val="24"/>
          <w:szCs w:val="24"/>
        </w:rPr>
        <w:t>人没有按照</w:t>
      </w:r>
      <w:r>
        <w:rPr>
          <w:spacing w:val="1"/>
          <w:sz w:val="24"/>
          <w:szCs w:val="24"/>
        </w:rPr>
        <w:t>招标文件的要求提交相关资料，或者投标人没有对招标文件相关内容全部做出</w:t>
      </w:r>
      <w:r>
        <w:rPr>
          <w:sz w:val="24"/>
          <w:szCs w:val="24"/>
        </w:rPr>
        <w:t>实质性响应</w:t>
      </w:r>
      <w:r>
        <w:rPr>
          <w:spacing w:val="-1"/>
          <w:sz w:val="24"/>
          <w:szCs w:val="24"/>
        </w:rPr>
        <w:t>是投标人的风险，并可能导致投标无效，其风险由投标人自行承担。</w:t>
      </w:r>
    </w:p>
    <w:p w14:paraId="00AF5ABF">
      <w:pPr>
        <w:pStyle w:val="7"/>
        <w:spacing w:before="2" w:line="222" w:lineRule="auto"/>
        <w:ind w:left="7"/>
        <w:rPr>
          <w:sz w:val="24"/>
          <w:szCs w:val="24"/>
        </w:rPr>
      </w:pPr>
      <w:r>
        <w:rPr>
          <w:b/>
          <w:bCs/>
          <w:spacing w:val="-5"/>
          <w:sz w:val="24"/>
          <w:szCs w:val="24"/>
        </w:rPr>
        <w:t>（二）招标文件的构成</w:t>
      </w:r>
    </w:p>
    <w:p w14:paraId="6B2C76F2">
      <w:pPr>
        <w:pStyle w:val="7"/>
        <w:spacing w:before="176" w:line="359" w:lineRule="auto"/>
        <w:ind w:right="58" w:firstLine="474"/>
        <w:rPr>
          <w:sz w:val="24"/>
          <w:szCs w:val="24"/>
        </w:rPr>
      </w:pPr>
      <w:r>
        <w:rPr>
          <w:sz w:val="24"/>
          <w:szCs w:val="24"/>
        </w:rPr>
        <w:t>招标文件用以阐明招标项目所需的资质、技术、服务及报价等要求、招标投标</w:t>
      </w:r>
      <w:r>
        <w:rPr>
          <w:spacing w:val="-1"/>
          <w:sz w:val="24"/>
          <w:szCs w:val="24"/>
        </w:rPr>
        <w:t>程序、有关规定和注意事项以及合同主要条款等。本招标文件包括以下内容：</w:t>
      </w:r>
    </w:p>
    <w:p w14:paraId="78ED371A">
      <w:pPr>
        <w:pStyle w:val="7"/>
        <w:spacing w:line="222" w:lineRule="auto"/>
        <w:ind w:left="488"/>
        <w:rPr>
          <w:sz w:val="24"/>
          <w:szCs w:val="24"/>
        </w:rPr>
      </w:pPr>
      <w:r>
        <w:rPr>
          <w:spacing w:val="-5"/>
          <w:sz w:val="24"/>
          <w:szCs w:val="24"/>
        </w:rPr>
        <w:t>1、招标公告</w:t>
      </w:r>
    </w:p>
    <w:p w14:paraId="0444C651">
      <w:pPr>
        <w:pStyle w:val="7"/>
        <w:spacing w:before="178" w:line="222" w:lineRule="auto"/>
        <w:ind w:left="473"/>
        <w:rPr>
          <w:sz w:val="24"/>
          <w:szCs w:val="24"/>
        </w:rPr>
      </w:pPr>
      <w:r>
        <w:rPr>
          <w:spacing w:val="-2"/>
          <w:sz w:val="24"/>
          <w:szCs w:val="24"/>
        </w:rPr>
        <w:t>2、投标人须知前附表</w:t>
      </w:r>
    </w:p>
    <w:p w14:paraId="1EC1C3C9">
      <w:pPr>
        <w:pStyle w:val="7"/>
        <w:spacing w:before="178" w:line="222" w:lineRule="auto"/>
        <w:ind w:left="475"/>
        <w:rPr>
          <w:sz w:val="24"/>
          <w:szCs w:val="24"/>
        </w:rPr>
      </w:pPr>
      <w:r>
        <w:rPr>
          <w:spacing w:val="-2"/>
          <w:sz w:val="24"/>
          <w:szCs w:val="24"/>
        </w:rPr>
        <w:t>3、投标人须知</w:t>
      </w:r>
    </w:p>
    <w:p w14:paraId="6EA72E36">
      <w:pPr>
        <w:pStyle w:val="7"/>
        <w:spacing w:before="179" w:line="222" w:lineRule="auto"/>
        <w:ind w:left="469"/>
        <w:rPr>
          <w:sz w:val="24"/>
          <w:szCs w:val="24"/>
        </w:rPr>
      </w:pPr>
      <w:r>
        <w:rPr>
          <w:spacing w:val="-2"/>
          <w:sz w:val="24"/>
          <w:szCs w:val="24"/>
        </w:rPr>
        <w:t>4、</w:t>
      </w:r>
      <w:r>
        <w:rPr>
          <w:rFonts w:hint="eastAsia"/>
          <w:spacing w:val="-2"/>
          <w:sz w:val="24"/>
          <w:szCs w:val="24"/>
          <w:lang w:val="en-US" w:eastAsia="zh-CN"/>
        </w:rPr>
        <w:t>采购</w:t>
      </w:r>
      <w:r>
        <w:rPr>
          <w:spacing w:val="-2"/>
          <w:sz w:val="24"/>
          <w:szCs w:val="24"/>
        </w:rPr>
        <w:t>需求</w:t>
      </w:r>
    </w:p>
    <w:p w14:paraId="1EAB3686">
      <w:pPr>
        <w:pStyle w:val="7"/>
        <w:spacing w:before="177" w:line="222" w:lineRule="auto"/>
        <w:ind w:left="475"/>
        <w:rPr>
          <w:sz w:val="24"/>
          <w:szCs w:val="24"/>
        </w:rPr>
      </w:pPr>
      <w:r>
        <w:rPr>
          <w:spacing w:val="-2"/>
          <w:sz w:val="24"/>
          <w:szCs w:val="24"/>
        </w:rPr>
        <w:t>5、评标原则及办法</w:t>
      </w:r>
    </w:p>
    <w:p w14:paraId="018DC480">
      <w:pPr>
        <w:pStyle w:val="7"/>
        <w:spacing w:before="180" w:line="222" w:lineRule="auto"/>
        <w:ind w:left="472"/>
        <w:rPr>
          <w:sz w:val="24"/>
          <w:szCs w:val="24"/>
        </w:rPr>
      </w:pPr>
      <w:r>
        <w:rPr>
          <w:spacing w:val="-2"/>
          <w:sz w:val="24"/>
          <w:szCs w:val="24"/>
        </w:rPr>
        <w:t>6、合同条款及格式</w:t>
      </w:r>
    </w:p>
    <w:p w14:paraId="54D301FB">
      <w:pPr>
        <w:pStyle w:val="7"/>
        <w:spacing w:before="177" w:line="222" w:lineRule="auto"/>
        <w:ind w:left="476"/>
        <w:rPr>
          <w:sz w:val="24"/>
          <w:szCs w:val="24"/>
        </w:rPr>
      </w:pPr>
      <w:r>
        <w:rPr>
          <w:spacing w:val="-2"/>
          <w:sz w:val="24"/>
          <w:szCs w:val="24"/>
        </w:rPr>
        <w:t>7、附件（投标文件格式）</w:t>
      </w:r>
    </w:p>
    <w:p w14:paraId="39709B2B">
      <w:pPr>
        <w:pStyle w:val="7"/>
        <w:spacing w:before="178" w:line="360" w:lineRule="auto"/>
        <w:ind w:left="240"/>
        <w:rPr>
          <w:sz w:val="24"/>
          <w:szCs w:val="24"/>
        </w:rPr>
      </w:pPr>
      <w:r>
        <w:rPr>
          <w:b/>
          <w:bCs/>
          <w:spacing w:val="-4"/>
          <w:sz w:val="24"/>
          <w:szCs w:val="24"/>
        </w:rPr>
        <w:t>（三）招标文件的修改与补充</w:t>
      </w:r>
    </w:p>
    <w:p w14:paraId="58BA0C20">
      <w:pPr>
        <w:pStyle w:val="7"/>
        <w:spacing w:before="1" w:line="360" w:lineRule="auto"/>
        <w:ind w:left="1" w:right="12" w:firstLine="479"/>
        <w:jc w:val="both"/>
        <w:rPr>
          <w:sz w:val="24"/>
          <w:szCs w:val="24"/>
        </w:rPr>
      </w:pPr>
      <w:r>
        <w:rPr>
          <w:spacing w:val="1"/>
          <w:sz w:val="24"/>
          <w:szCs w:val="24"/>
        </w:rPr>
        <w:t>招标文件的修改将以网上公告的形式通知所有获取招标文件的投标人，并对其</w:t>
      </w:r>
      <w:r>
        <w:rPr>
          <w:sz w:val="24"/>
          <w:szCs w:val="24"/>
        </w:rPr>
        <w:t>具有约</w:t>
      </w:r>
      <w:r>
        <w:rPr>
          <w:spacing w:val="1"/>
          <w:sz w:val="24"/>
          <w:szCs w:val="24"/>
        </w:rPr>
        <w:t>束力。投标人在被告知、收到上述公告、通知或答疑书后，应立即向采购人回</w:t>
      </w:r>
      <w:r>
        <w:rPr>
          <w:sz w:val="24"/>
          <w:szCs w:val="24"/>
        </w:rPr>
        <w:t>函确认。未</w:t>
      </w:r>
      <w:r>
        <w:rPr>
          <w:spacing w:val="1"/>
          <w:sz w:val="24"/>
          <w:szCs w:val="24"/>
        </w:rPr>
        <w:t>确认情况应当视为对招标文件修改的知晓，也将视为对修改内容接受的默认。对于</w:t>
      </w:r>
      <w:r>
        <w:rPr>
          <w:sz w:val="24"/>
          <w:szCs w:val="24"/>
        </w:rPr>
        <w:t>未在投标文件中对修改内容做实质性响应的，对其</w:t>
      </w:r>
      <w:r>
        <w:rPr>
          <w:spacing w:val="-1"/>
          <w:sz w:val="24"/>
          <w:szCs w:val="24"/>
        </w:rPr>
        <w:t>产生的不利因素由未确认者自行承担。</w:t>
      </w:r>
    </w:p>
    <w:p w14:paraId="06DDF42A">
      <w:pPr>
        <w:pStyle w:val="7"/>
        <w:spacing w:before="4" w:line="359" w:lineRule="auto"/>
        <w:ind w:left="4" w:right="14" w:firstLine="486"/>
        <w:jc w:val="both"/>
        <w:rPr>
          <w:sz w:val="24"/>
          <w:szCs w:val="24"/>
        </w:rPr>
      </w:pPr>
      <w:r>
        <w:rPr>
          <w:spacing w:val="1"/>
          <w:sz w:val="24"/>
          <w:szCs w:val="24"/>
        </w:rPr>
        <w:t>为使投标人准备投标时有充分时间对招标文件的补充或</w:t>
      </w:r>
      <w:r>
        <w:rPr>
          <w:sz w:val="24"/>
          <w:szCs w:val="24"/>
        </w:rPr>
        <w:t>修改内容进行考虑和研究或由</w:t>
      </w:r>
      <w:r>
        <w:rPr>
          <w:spacing w:val="1"/>
          <w:sz w:val="24"/>
          <w:szCs w:val="24"/>
        </w:rPr>
        <w:t>于其他原因，采购人可决定是否延长投标文件递交截止时间和开标时间</w:t>
      </w:r>
      <w:r>
        <w:rPr>
          <w:sz w:val="24"/>
          <w:szCs w:val="24"/>
        </w:rPr>
        <w:t>，并将此变更以网</w:t>
      </w:r>
      <w:r>
        <w:rPr>
          <w:spacing w:val="-2"/>
          <w:sz w:val="24"/>
          <w:szCs w:val="24"/>
        </w:rPr>
        <w:t>上公告的形式通知投标人。</w:t>
      </w:r>
    </w:p>
    <w:p w14:paraId="4A56F0C6">
      <w:pPr>
        <w:pStyle w:val="7"/>
        <w:spacing w:before="4" w:line="223" w:lineRule="auto"/>
        <w:ind w:left="13"/>
      </w:pPr>
      <w:r>
        <w:rPr>
          <w:b/>
          <w:bCs/>
          <w:spacing w:val="-9"/>
        </w:rPr>
        <w:t>三、投标</w:t>
      </w:r>
    </w:p>
    <w:p w14:paraId="360088E7">
      <w:pPr>
        <w:pStyle w:val="7"/>
        <w:spacing w:before="200" w:line="222" w:lineRule="auto"/>
        <w:ind w:left="240"/>
        <w:rPr>
          <w:sz w:val="24"/>
          <w:szCs w:val="24"/>
        </w:rPr>
      </w:pPr>
      <w:r>
        <w:rPr>
          <w:b/>
          <w:bCs/>
          <w:spacing w:val="-4"/>
          <w:sz w:val="24"/>
          <w:szCs w:val="24"/>
        </w:rPr>
        <w:t>（一）投标综合要求及说明</w:t>
      </w:r>
    </w:p>
    <w:p w14:paraId="43093302">
      <w:pPr>
        <w:pStyle w:val="7"/>
        <w:spacing w:before="177" w:line="290" w:lineRule="auto"/>
        <w:ind w:right="14"/>
        <w:jc w:val="left"/>
        <w:rPr>
          <w:sz w:val="24"/>
          <w:szCs w:val="24"/>
        </w:rPr>
      </w:pPr>
      <w:r>
        <w:rPr>
          <w:spacing w:val="-3"/>
          <w:sz w:val="24"/>
          <w:szCs w:val="24"/>
        </w:rPr>
        <w:t>1、投标人投标应按照采购人标书要求有分包的按分包投标，且每包只能报一个方案进</w:t>
      </w:r>
      <w:r>
        <w:rPr>
          <w:spacing w:val="-2"/>
          <w:sz w:val="24"/>
          <w:szCs w:val="24"/>
        </w:rPr>
        <w:t>行投标，否则按无效投标处理；</w:t>
      </w:r>
    </w:p>
    <w:p w14:paraId="53EDE610">
      <w:pPr>
        <w:pStyle w:val="7"/>
        <w:spacing w:before="49" w:line="219" w:lineRule="auto"/>
        <w:jc w:val="left"/>
        <w:rPr>
          <w:spacing w:val="-2"/>
          <w:sz w:val="24"/>
          <w:szCs w:val="24"/>
        </w:rPr>
      </w:pPr>
      <w:r>
        <w:rPr>
          <w:spacing w:val="-2"/>
          <w:sz w:val="24"/>
          <w:szCs w:val="24"/>
        </w:rPr>
        <w:t>2、投标人对投标产品技术性能的描述因欠缺或漏报而影响对投标人投标文件的评比，不利后果由投标人承担；</w:t>
      </w:r>
    </w:p>
    <w:p w14:paraId="6BE31F15">
      <w:pPr>
        <w:pStyle w:val="7"/>
        <w:spacing w:before="49" w:line="219" w:lineRule="auto"/>
        <w:jc w:val="left"/>
        <w:rPr>
          <w:sz w:val="24"/>
          <w:szCs w:val="24"/>
        </w:rPr>
      </w:pPr>
      <w:r>
        <w:rPr>
          <w:spacing w:val="-7"/>
          <w:sz w:val="24"/>
          <w:szCs w:val="24"/>
        </w:rPr>
        <w:t>3、投标人在投标文件中所列出的所有货物、服务等均视为包含在投标项目以及报价中；</w:t>
      </w:r>
    </w:p>
    <w:p w14:paraId="7C3DE885">
      <w:pPr>
        <w:pStyle w:val="7"/>
        <w:spacing w:before="180" w:line="290" w:lineRule="auto"/>
        <w:ind w:left="2" w:right="62" w:firstLine="469"/>
        <w:rPr>
          <w:sz w:val="24"/>
          <w:szCs w:val="24"/>
        </w:rPr>
      </w:pPr>
      <w:r>
        <w:rPr>
          <w:b/>
          <w:bCs/>
          <w:spacing w:val="-5"/>
          <w:sz w:val="24"/>
          <w:szCs w:val="24"/>
        </w:rPr>
        <w:t>4、投标人在本次项目中所提供的服务对于招标文件中的响应情况必须体现在技术偏离</w:t>
      </w:r>
      <w:r>
        <w:rPr>
          <w:b/>
          <w:bCs/>
          <w:spacing w:val="-9"/>
          <w:sz w:val="24"/>
          <w:szCs w:val="24"/>
        </w:rPr>
        <w:t>表中；</w:t>
      </w:r>
    </w:p>
    <w:p w14:paraId="763462B4">
      <w:pPr>
        <w:pStyle w:val="7"/>
        <w:spacing w:before="176" w:line="325" w:lineRule="auto"/>
        <w:ind w:right="62" w:firstLine="478"/>
        <w:rPr>
          <w:sz w:val="24"/>
          <w:szCs w:val="24"/>
        </w:rPr>
      </w:pPr>
      <w:r>
        <w:rPr>
          <w:spacing w:val="-2"/>
          <w:sz w:val="24"/>
          <w:szCs w:val="24"/>
        </w:rPr>
        <w:t>5、采购人发现具有《中华人民共和国政府采购法》第七十七条中第</w:t>
      </w:r>
      <w:r>
        <w:rPr>
          <w:spacing w:val="-3"/>
          <w:sz w:val="24"/>
          <w:szCs w:val="24"/>
        </w:rPr>
        <w:t>一至五项情形之一</w:t>
      </w:r>
      <w:r>
        <w:rPr>
          <w:sz w:val="24"/>
          <w:szCs w:val="24"/>
        </w:rPr>
        <w:t>的，有权宣布投标程序和结果无效，在涉标的公证性与</w:t>
      </w:r>
      <w:r>
        <w:rPr>
          <w:spacing w:val="-1"/>
          <w:sz w:val="24"/>
          <w:szCs w:val="24"/>
        </w:rPr>
        <w:t>违法问题的调查或检查中，</w:t>
      </w:r>
      <w:r>
        <w:rPr>
          <w:spacing w:val="-71"/>
          <w:sz w:val="24"/>
          <w:szCs w:val="24"/>
        </w:rPr>
        <w:t xml:space="preserve"> </w:t>
      </w:r>
      <w:r>
        <w:rPr>
          <w:spacing w:val="-1"/>
          <w:sz w:val="24"/>
          <w:szCs w:val="24"/>
        </w:rPr>
        <w:t>中标投</w:t>
      </w:r>
      <w:r>
        <w:rPr>
          <w:spacing w:val="1"/>
          <w:sz w:val="24"/>
          <w:szCs w:val="24"/>
        </w:rPr>
        <w:t>标人如拒绝有关部门的监督检查，视其情节，采购人也有权宣布中标结果视同</w:t>
      </w:r>
      <w:r>
        <w:rPr>
          <w:sz w:val="24"/>
          <w:szCs w:val="24"/>
        </w:rPr>
        <w:t>无效。采购</w:t>
      </w:r>
      <w:r>
        <w:rPr>
          <w:spacing w:val="-1"/>
          <w:sz w:val="24"/>
          <w:szCs w:val="24"/>
        </w:rPr>
        <w:t>人同时报备同级财政部门确认，并对投、中标人的损失不承担任何责任；</w:t>
      </w:r>
    </w:p>
    <w:p w14:paraId="31C767F7">
      <w:pPr>
        <w:pStyle w:val="7"/>
        <w:spacing w:before="180" w:line="291" w:lineRule="auto"/>
        <w:ind w:left="9" w:right="62" w:firstLine="465"/>
        <w:rPr>
          <w:sz w:val="24"/>
          <w:szCs w:val="24"/>
        </w:rPr>
      </w:pPr>
      <w:r>
        <w:rPr>
          <w:spacing w:val="-2"/>
          <w:sz w:val="24"/>
          <w:szCs w:val="24"/>
        </w:rPr>
        <w:t>6、采购人可视投标品目价格情况适当增加或减少采购数量，并保留拆包或</w:t>
      </w:r>
      <w:r>
        <w:rPr>
          <w:spacing w:val="-3"/>
          <w:sz w:val="24"/>
          <w:szCs w:val="24"/>
        </w:rPr>
        <w:t>取消采购某</w:t>
      </w:r>
      <w:r>
        <w:rPr>
          <w:spacing w:val="-4"/>
          <w:sz w:val="24"/>
          <w:szCs w:val="24"/>
        </w:rPr>
        <w:t>些品目的权力；</w:t>
      </w:r>
    </w:p>
    <w:p w14:paraId="5D64C341">
      <w:pPr>
        <w:pStyle w:val="7"/>
        <w:spacing w:before="177" w:line="291" w:lineRule="auto"/>
        <w:ind w:left="4" w:right="62" w:firstLine="474"/>
        <w:rPr>
          <w:sz w:val="24"/>
          <w:szCs w:val="24"/>
        </w:rPr>
      </w:pPr>
      <w:r>
        <w:rPr>
          <w:spacing w:val="-2"/>
          <w:sz w:val="24"/>
          <w:szCs w:val="24"/>
        </w:rPr>
        <w:t>7、投标人应自行承担所有与准备和参加投标有关的费用。不论投</w:t>
      </w:r>
      <w:r>
        <w:rPr>
          <w:spacing w:val="-3"/>
          <w:sz w:val="24"/>
          <w:szCs w:val="24"/>
        </w:rPr>
        <w:t>标的结果如何，采购</w:t>
      </w:r>
      <w:r>
        <w:rPr>
          <w:spacing w:val="-2"/>
          <w:sz w:val="24"/>
          <w:szCs w:val="24"/>
        </w:rPr>
        <w:t>人和需方均无义务和责任承担这些费用。</w:t>
      </w:r>
    </w:p>
    <w:p w14:paraId="684D509B">
      <w:pPr>
        <w:pStyle w:val="7"/>
        <w:spacing w:before="177" w:line="222" w:lineRule="auto"/>
        <w:ind w:left="474"/>
        <w:rPr>
          <w:sz w:val="24"/>
          <w:szCs w:val="24"/>
        </w:rPr>
      </w:pPr>
      <w:r>
        <w:rPr>
          <w:spacing w:val="-1"/>
          <w:sz w:val="24"/>
          <w:szCs w:val="24"/>
        </w:rPr>
        <w:t>8、本项目不接受联合体投标。</w:t>
      </w:r>
    </w:p>
    <w:p w14:paraId="5EB135DD">
      <w:pPr>
        <w:pStyle w:val="7"/>
        <w:spacing w:before="179" w:line="220" w:lineRule="auto"/>
        <w:ind w:left="238"/>
        <w:rPr>
          <w:sz w:val="24"/>
          <w:szCs w:val="24"/>
        </w:rPr>
      </w:pPr>
      <w:r>
        <w:rPr>
          <w:b/>
          <w:bCs/>
          <w:spacing w:val="-4"/>
          <w:sz w:val="24"/>
          <w:szCs w:val="24"/>
        </w:rPr>
        <w:t>（二）投标文件的制作</w:t>
      </w:r>
    </w:p>
    <w:p w14:paraId="771C4B21">
      <w:pPr>
        <w:pStyle w:val="7"/>
        <w:spacing w:before="180" w:line="220" w:lineRule="auto"/>
        <w:ind w:left="479"/>
        <w:rPr>
          <w:sz w:val="24"/>
          <w:szCs w:val="24"/>
        </w:rPr>
      </w:pPr>
      <w:r>
        <w:rPr>
          <w:spacing w:val="-1"/>
          <w:sz w:val="24"/>
          <w:szCs w:val="24"/>
        </w:rPr>
        <w:t>投标人须按招标文件及政采云平台电子投标文件的要求制作投标文件。</w:t>
      </w:r>
    </w:p>
    <w:p w14:paraId="1361ED1E">
      <w:pPr>
        <w:pStyle w:val="7"/>
        <w:spacing w:before="182" w:line="219" w:lineRule="auto"/>
        <w:ind w:left="238"/>
        <w:rPr>
          <w:sz w:val="24"/>
          <w:szCs w:val="24"/>
        </w:rPr>
      </w:pPr>
      <w:r>
        <w:rPr>
          <w:b/>
          <w:bCs/>
          <w:spacing w:val="-3"/>
          <w:sz w:val="24"/>
          <w:szCs w:val="24"/>
        </w:rPr>
        <w:t>（三）有下列情形之一的，视为投标人串通投标，其投标无效：</w:t>
      </w:r>
    </w:p>
    <w:p w14:paraId="357E35FE">
      <w:pPr>
        <w:pStyle w:val="7"/>
        <w:spacing w:before="182" w:line="221" w:lineRule="auto"/>
        <w:ind w:left="479"/>
        <w:rPr>
          <w:sz w:val="24"/>
          <w:szCs w:val="24"/>
        </w:rPr>
      </w:pPr>
      <w:r>
        <w:rPr>
          <w:spacing w:val="-1"/>
          <w:sz w:val="24"/>
          <w:szCs w:val="24"/>
        </w:rPr>
        <w:t>1、不同投标人的投标文件由同一单位或者个</w:t>
      </w:r>
      <w:r>
        <w:rPr>
          <w:spacing w:val="-2"/>
          <w:sz w:val="24"/>
          <w:szCs w:val="24"/>
        </w:rPr>
        <w:t>人编制；</w:t>
      </w:r>
    </w:p>
    <w:p w14:paraId="2707533B">
      <w:pPr>
        <w:pStyle w:val="7"/>
        <w:spacing w:before="179" w:line="221" w:lineRule="auto"/>
        <w:ind w:left="464"/>
        <w:rPr>
          <w:sz w:val="24"/>
          <w:szCs w:val="24"/>
        </w:rPr>
      </w:pPr>
      <w:r>
        <w:rPr>
          <w:spacing w:val="-1"/>
          <w:sz w:val="24"/>
          <w:szCs w:val="24"/>
        </w:rPr>
        <w:t>2、不同投标人委托同一单位或者个人办理投标事宜；</w:t>
      </w:r>
    </w:p>
    <w:p w14:paraId="0CE6C3D2">
      <w:pPr>
        <w:pStyle w:val="7"/>
        <w:spacing w:before="179" w:line="222" w:lineRule="auto"/>
        <w:ind w:left="466"/>
        <w:rPr>
          <w:sz w:val="24"/>
          <w:szCs w:val="24"/>
        </w:rPr>
      </w:pPr>
      <w:r>
        <w:rPr>
          <w:spacing w:val="-1"/>
          <w:sz w:val="24"/>
          <w:szCs w:val="24"/>
        </w:rPr>
        <w:t>3、不同投标人的投标文件载明的项目管理成员或者联系人为同一人；</w:t>
      </w:r>
    </w:p>
    <w:p w14:paraId="42B18ADD">
      <w:pPr>
        <w:pStyle w:val="7"/>
        <w:spacing w:before="179" w:line="220" w:lineRule="auto"/>
        <w:ind w:left="460"/>
        <w:rPr>
          <w:sz w:val="24"/>
          <w:szCs w:val="24"/>
        </w:rPr>
      </w:pPr>
      <w:r>
        <w:rPr>
          <w:sz w:val="24"/>
          <w:szCs w:val="24"/>
        </w:rPr>
        <w:t>4、不同投标人的投标文件异常一致或者投标</w:t>
      </w:r>
      <w:r>
        <w:rPr>
          <w:spacing w:val="-1"/>
          <w:sz w:val="24"/>
          <w:szCs w:val="24"/>
        </w:rPr>
        <w:t>报价呈规律性差异；</w:t>
      </w:r>
    </w:p>
    <w:p w14:paraId="06E43C7F">
      <w:pPr>
        <w:pStyle w:val="7"/>
        <w:spacing w:before="181" w:line="222" w:lineRule="auto"/>
        <w:ind w:left="466"/>
        <w:rPr>
          <w:sz w:val="24"/>
          <w:szCs w:val="24"/>
        </w:rPr>
      </w:pPr>
      <w:r>
        <w:rPr>
          <w:spacing w:val="-1"/>
          <w:sz w:val="24"/>
          <w:szCs w:val="24"/>
        </w:rPr>
        <w:t>5、不同投标人的投标文件相互混装；</w:t>
      </w:r>
    </w:p>
    <w:p w14:paraId="7357ACB4">
      <w:pPr>
        <w:pStyle w:val="7"/>
        <w:spacing w:before="177" w:line="219" w:lineRule="auto"/>
        <w:ind w:left="463"/>
        <w:rPr>
          <w:sz w:val="24"/>
          <w:szCs w:val="24"/>
        </w:rPr>
      </w:pPr>
      <w:r>
        <w:rPr>
          <w:spacing w:val="-1"/>
          <w:sz w:val="24"/>
          <w:szCs w:val="24"/>
        </w:rPr>
        <w:t>6、不同投标人的投标保证金从同一单位或者个人的账户转出。</w:t>
      </w:r>
    </w:p>
    <w:p w14:paraId="7BBB5450">
      <w:pPr>
        <w:pStyle w:val="7"/>
        <w:spacing w:before="184" w:line="222" w:lineRule="auto"/>
        <w:ind w:left="238"/>
        <w:rPr>
          <w:sz w:val="24"/>
          <w:szCs w:val="24"/>
        </w:rPr>
      </w:pPr>
      <w:r>
        <w:rPr>
          <w:b/>
          <w:bCs/>
          <w:spacing w:val="-5"/>
          <w:sz w:val="24"/>
          <w:szCs w:val="24"/>
        </w:rPr>
        <w:t>（四）投标报价</w:t>
      </w:r>
    </w:p>
    <w:p w14:paraId="2E06FF7A">
      <w:pPr>
        <w:pStyle w:val="7"/>
        <w:spacing w:before="177" w:line="221" w:lineRule="auto"/>
        <w:ind w:left="491"/>
        <w:rPr>
          <w:sz w:val="24"/>
          <w:szCs w:val="24"/>
        </w:rPr>
      </w:pPr>
      <w:r>
        <w:rPr>
          <w:spacing w:val="-2"/>
          <w:sz w:val="24"/>
          <w:szCs w:val="24"/>
        </w:rPr>
        <w:t>1、投标人应根据招标文件要求和范围报价。</w:t>
      </w:r>
    </w:p>
    <w:p w14:paraId="784A5B40">
      <w:pPr>
        <w:pStyle w:val="7"/>
        <w:spacing w:before="181" w:line="313" w:lineRule="auto"/>
        <w:ind w:left="1" w:right="60" w:firstLine="474"/>
        <w:rPr>
          <w:sz w:val="24"/>
          <w:szCs w:val="24"/>
        </w:rPr>
      </w:pPr>
      <w:r>
        <w:rPr>
          <w:spacing w:val="-2"/>
          <w:sz w:val="24"/>
          <w:szCs w:val="24"/>
        </w:rPr>
        <w:t>2、投标价格应包括完成招标文件规定的招标范围全部内容所需的全部费</w:t>
      </w:r>
      <w:r>
        <w:rPr>
          <w:spacing w:val="-3"/>
          <w:sz w:val="24"/>
          <w:szCs w:val="24"/>
        </w:rPr>
        <w:t>用，包括包装</w:t>
      </w:r>
      <w:r>
        <w:rPr>
          <w:spacing w:val="1"/>
          <w:sz w:val="24"/>
          <w:szCs w:val="24"/>
        </w:rPr>
        <w:t>费、运输费（含装卸费）、安装费、调试费、检测费、保险费等，并通过合格</w:t>
      </w:r>
      <w:r>
        <w:rPr>
          <w:sz w:val="24"/>
          <w:szCs w:val="24"/>
        </w:rPr>
        <w:t>验收的全部</w:t>
      </w:r>
      <w:r>
        <w:rPr>
          <w:spacing w:val="-1"/>
          <w:sz w:val="24"/>
          <w:szCs w:val="24"/>
        </w:rPr>
        <w:t>价格，采购人不必再单独支付其他任何费用。</w:t>
      </w:r>
    </w:p>
    <w:p w14:paraId="021B77E8">
      <w:pPr>
        <w:pStyle w:val="7"/>
        <w:spacing w:before="178" w:line="222" w:lineRule="auto"/>
        <w:ind w:left="479"/>
        <w:rPr>
          <w:sz w:val="24"/>
          <w:szCs w:val="24"/>
        </w:rPr>
      </w:pPr>
      <w:r>
        <w:rPr>
          <w:spacing w:val="-1"/>
          <w:sz w:val="24"/>
          <w:szCs w:val="24"/>
        </w:rPr>
        <w:t>投标价格采用唯一价格，即不得为某一范围价格。投标货币为</w:t>
      </w:r>
      <w:r>
        <w:rPr>
          <w:b/>
          <w:bCs/>
          <w:spacing w:val="-1"/>
          <w:sz w:val="24"/>
          <w:szCs w:val="24"/>
        </w:rPr>
        <w:t>人民币</w:t>
      </w:r>
      <w:r>
        <w:rPr>
          <w:spacing w:val="-1"/>
          <w:sz w:val="24"/>
          <w:szCs w:val="24"/>
        </w:rPr>
        <w:t>。</w:t>
      </w:r>
    </w:p>
    <w:p w14:paraId="46ED8153">
      <w:pPr>
        <w:pStyle w:val="7"/>
        <w:spacing w:before="180" w:line="222" w:lineRule="auto"/>
        <w:ind w:left="238"/>
        <w:rPr>
          <w:sz w:val="24"/>
          <w:szCs w:val="24"/>
        </w:rPr>
      </w:pPr>
      <w:r>
        <w:rPr>
          <w:b/>
          <w:bCs/>
          <w:spacing w:val="-5"/>
          <w:sz w:val="24"/>
          <w:szCs w:val="24"/>
        </w:rPr>
        <w:t>（五）投标有效期</w:t>
      </w:r>
    </w:p>
    <w:p w14:paraId="71D2D3CB">
      <w:pPr>
        <w:pStyle w:val="7"/>
        <w:spacing w:before="177" w:line="219" w:lineRule="auto"/>
        <w:ind w:left="479"/>
        <w:rPr>
          <w:sz w:val="24"/>
          <w:szCs w:val="24"/>
        </w:rPr>
      </w:pPr>
      <w:r>
        <w:rPr>
          <w:spacing w:val="-1"/>
          <w:sz w:val="24"/>
          <w:szCs w:val="24"/>
        </w:rPr>
        <w:t>投标文件在正式递交之日起90 日历天有效。</w:t>
      </w:r>
    </w:p>
    <w:p w14:paraId="4C50C5CF">
      <w:pPr>
        <w:pStyle w:val="7"/>
        <w:numPr>
          <w:ilvl w:val="0"/>
          <w:numId w:val="1"/>
        </w:numPr>
        <w:spacing w:before="48" w:line="221" w:lineRule="auto"/>
        <w:ind w:left="371"/>
        <w:rPr>
          <w:b/>
          <w:bCs/>
          <w:spacing w:val="-5"/>
          <w:sz w:val="24"/>
          <w:szCs w:val="24"/>
        </w:rPr>
      </w:pPr>
      <w:r>
        <w:rPr>
          <w:b/>
          <w:bCs/>
          <w:spacing w:val="-5"/>
          <w:sz w:val="24"/>
          <w:szCs w:val="24"/>
        </w:rPr>
        <w:t>投标保证金</w:t>
      </w:r>
    </w:p>
    <w:p w14:paraId="5477EAB9">
      <w:pPr>
        <w:pStyle w:val="7"/>
        <w:numPr>
          <w:ilvl w:val="0"/>
          <w:numId w:val="0"/>
        </w:numPr>
        <w:spacing w:before="48" w:line="221" w:lineRule="auto"/>
        <w:ind w:firstLine="236" w:firstLineChars="100"/>
        <w:rPr>
          <w:sz w:val="24"/>
          <w:szCs w:val="24"/>
        </w:rPr>
      </w:pPr>
      <w:r>
        <w:rPr>
          <w:spacing w:val="-2"/>
          <w:sz w:val="24"/>
          <w:szCs w:val="24"/>
        </w:rPr>
        <w:t>1、投标保证金以电汇等非现金方式缴纳。</w:t>
      </w:r>
    </w:p>
    <w:p w14:paraId="34C02568">
      <w:pPr>
        <w:pStyle w:val="7"/>
        <w:spacing w:before="178" w:line="221" w:lineRule="auto"/>
        <w:ind w:left="356"/>
        <w:rPr>
          <w:sz w:val="24"/>
          <w:szCs w:val="24"/>
        </w:rPr>
      </w:pPr>
      <w:r>
        <w:rPr>
          <w:spacing w:val="-2"/>
          <w:sz w:val="24"/>
          <w:szCs w:val="24"/>
        </w:rPr>
        <w:t>2、投标保证金的退付</w:t>
      </w:r>
    </w:p>
    <w:p w14:paraId="3C521E69">
      <w:pPr>
        <w:pStyle w:val="7"/>
        <w:spacing w:before="179" w:line="314" w:lineRule="auto"/>
        <w:ind w:firstLine="371"/>
        <w:rPr>
          <w:sz w:val="24"/>
          <w:szCs w:val="24"/>
        </w:rPr>
      </w:pPr>
      <w:r>
        <w:rPr>
          <w:spacing w:val="1"/>
          <w:sz w:val="24"/>
          <w:szCs w:val="24"/>
        </w:rPr>
        <w:t>1）投标人在投标截止时间前撤回已提交的投标文件</w:t>
      </w:r>
      <w:r>
        <w:rPr>
          <w:sz w:val="24"/>
          <w:szCs w:val="24"/>
        </w:rPr>
        <w:t>的，我公司应当自收到投标人书面</w:t>
      </w:r>
      <w:r>
        <w:rPr>
          <w:spacing w:val="2"/>
          <w:sz w:val="24"/>
          <w:szCs w:val="24"/>
        </w:rPr>
        <w:t>撤回通知之日起5</w:t>
      </w:r>
      <w:r>
        <w:rPr>
          <w:spacing w:val="-40"/>
          <w:sz w:val="24"/>
          <w:szCs w:val="24"/>
        </w:rPr>
        <w:t xml:space="preserve"> </w:t>
      </w:r>
      <w:r>
        <w:rPr>
          <w:spacing w:val="2"/>
          <w:sz w:val="24"/>
          <w:szCs w:val="24"/>
        </w:rPr>
        <w:t>个工作日内，由我公司退还，但因投标人自身原因导致无法及</w:t>
      </w:r>
      <w:r>
        <w:rPr>
          <w:spacing w:val="1"/>
          <w:sz w:val="24"/>
          <w:szCs w:val="24"/>
        </w:rPr>
        <w:t>时退还的</w:t>
      </w:r>
      <w:r>
        <w:rPr>
          <w:spacing w:val="-6"/>
          <w:sz w:val="24"/>
          <w:szCs w:val="24"/>
        </w:rPr>
        <w:t>除外。</w:t>
      </w:r>
    </w:p>
    <w:p w14:paraId="7C2EA95B">
      <w:pPr>
        <w:pStyle w:val="7"/>
        <w:spacing w:before="175" w:line="291" w:lineRule="auto"/>
        <w:ind w:left="3" w:firstLine="352"/>
        <w:rPr>
          <w:sz w:val="24"/>
          <w:szCs w:val="24"/>
        </w:rPr>
      </w:pPr>
      <w:r>
        <w:rPr>
          <w:spacing w:val="-1"/>
          <w:sz w:val="24"/>
          <w:szCs w:val="24"/>
        </w:rPr>
        <w:t>2）未中标投标人的投标保证金，在中标通知书发出之日起</w:t>
      </w:r>
      <w:r>
        <w:rPr>
          <w:spacing w:val="-44"/>
          <w:sz w:val="24"/>
          <w:szCs w:val="24"/>
        </w:rPr>
        <w:t xml:space="preserve"> </w:t>
      </w:r>
      <w:r>
        <w:rPr>
          <w:spacing w:val="-1"/>
          <w:sz w:val="24"/>
          <w:szCs w:val="24"/>
        </w:rPr>
        <w:t>5</w:t>
      </w:r>
      <w:r>
        <w:rPr>
          <w:spacing w:val="-44"/>
          <w:sz w:val="24"/>
          <w:szCs w:val="24"/>
        </w:rPr>
        <w:t xml:space="preserve"> </w:t>
      </w:r>
      <w:r>
        <w:rPr>
          <w:spacing w:val="-1"/>
          <w:sz w:val="24"/>
          <w:szCs w:val="24"/>
        </w:rPr>
        <w:t>个工作日内</w:t>
      </w:r>
      <w:r>
        <w:rPr>
          <w:spacing w:val="-2"/>
          <w:sz w:val="24"/>
          <w:szCs w:val="24"/>
        </w:rPr>
        <w:t>，</w:t>
      </w:r>
      <w:r>
        <w:rPr>
          <w:spacing w:val="-70"/>
          <w:sz w:val="24"/>
          <w:szCs w:val="24"/>
        </w:rPr>
        <w:t xml:space="preserve"> </w:t>
      </w:r>
      <w:r>
        <w:rPr>
          <w:spacing w:val="-2"/>
          <w:sz w:val="24"/>
          <w:szCs w:val="24"/>
        </w:rPr>
        <w:t>由我公司退</w:t>
      </w:r>
      <w:r>
        <w:rPr>
          <w:spacing w:val="-1"/>
          <w:sz w:val="24"/>
          <w:szCs w:val="24"/>
        </w:rPr>
        <w:t>还，但因投标人自身原因导致无法及时退还的除外。</w:t>
      </w:r>
    </w:p>
    <w:p w14:paraId="514DBD96">
      <w:pPr>
        <w:pStyle w:val="7"/>
        <w:spacing w:before="178" w:line="291" w:lineRule="auto"/>
        <w:ind w:left="25" w:firstLine="332"/>
        <w:rPr>
          <w:sz w:val="24"/>
          <w:szCs w:val="24"/>
        </w:rPr>
      </w:pPr>
      <w:r>
        <w:rPr>
          <w:spacing w:val="-3"/>
          <w:sz w:val="24"/>
          <w:szCs w:val="24"/>
        </w:rPr>
        <w:t>3）中标人的投标保证金,</w:t>
      </w:r>
      <w:r>
        <w:rPr>
          <w:spacing w:val="-44"/>
          <w:sz w:val="24"/>
          <w:szCs w:val="24"/>
        </w:rPr>
        <w:t xml:space="preserve"> </w:t>
      </w:r>
      <w:r>
        <w:rPr>
          <w:spacing w:val="-3"/>
          <w:sz w:val="24"/>
          <w:szCs w:val="24"/>
        </w:rPr>
        <w:t>自政府采购合同签订之日起5</w:t>
      </w:r>
      <w:r>
        <w:rPr>
          <w:spacing w:val="-43"/>
          <w:sz w:val="24"/>
          <w:szCs w:val="24"/>
        </w:rPr>
        <w:t xml:space="preserve"> </w:t>
      </w:r>
      <w:r>
        <w:rPr>
          <w:spacing w:val="-3"/>
          <w:sz w:val="24"/>
          <w:szCs w:val="24"/>
        </w:rPr>
        <w:t>个工作日内，由我公司退还，但因投标人自身原因导致无法及时退还的除外。</w:t>
      </w:r>
    </w:p>
    <w:p w14:paraId="32DC9C11">
      <w:pPr>
        <w:pStyle w:val="7"/>
        <w:spacing w:before="176" w:line="221" w:lineRule="auto"/>
        <w:ind w:left="478"/>
        <w:rPr>
          <w:sz w:val="24"/>
          <w:szCs w:val="24"/>
        </w:rPr>
      </w:pPr>
      <w:r>
        <w:rPr>
          <w:spacing w:val="-1"/>
          <w:sz w:val="24"/>
          <w:szCs w:val="24"/>
        </w:rPr>
        <w:t>3、如投标人有下列情况，投标保证金不予退还：</w:t>
      </w:r>
    </w:p>
    <w:p w14:paraId="1CDF7BC8">
      <w:pPr>
        <w:pStyle w:val="7"/>
        <w:spacing w:before="181" w:line="219" w:lineRule="auto"/>
        <w:ind w:left="363"/>
        <w:rPr>
          <w:sz w:val="24"/>
          <w:szCs w:val="24"/>
        </w:rPr>
      </w:pPr>
      <w:r>
        <w:rPr>
          <w:spacing w:val="-1"/>
          <w:sz w:val="24"/>
          <w:szCs w:val="24"/>
        </w:rPr>
        <w:t>1) 投标人在《招标文件》中规定的投标有效期内撤回其《投标文件》的；</w:t>
      </w:r>
    </w:p>
    <w:p w14:paraId="150376B1">
      <w:pPr>
        <w:pStyle w:val="7"/>
        <w:spacing w:before="181" w:line="219" w:lineRule="auto"/>
        <w:ind w:left="348"/>
        <w:rPr>
          <w:sz w:val="24"/>
          <w:szCs w:val="24"/>
        </w:rPr>
      </w:pPr>
      <w:r>
        <w:rPr>
          <w:spacing w:val="-3"/>
          <w:sz w:val="24"/>
          <w:szCs w:val="24"/>
        </w:rPr>
        <w:t>2)</w:t>
      </w:r>
      <w:r>
        <w:rPr>
          <w:spacing w:val="53"/>
          <w:sz w:val="24"/>
          <w:szCs w:val="24"/>
        </w:rPr>
        <w:t xml:space="preserve"> </w:t>
      </w:r>
      <w:r>
        <w:rPr>
          <w:spacing w:val="-3"/>
          <w:sz w:val="24"/>
          <w:szCs w:val="24"/>
        </w:rPr>
        <w:t>中标人在规定期限内未能按规定签订合同的；</w:t>
      </w:r>
    </w:p>
    <w:p w14:paraId="712DE21F">
      <w:pPr>
        <w:pStyle w:val="7"/>
        <w:spacing w:before="184" w:line="219" w:lineRule="auto"/>
        <w:ind w:left="350"/>
        <w:rPr>
          <w:sz w:val="24"/>
          <w:szCs w:val="24"/>
        </w:rPr>
      </w:pPr>
      <w:r>
        <w:rPr>
          <w:spacing w:val="-1"/>
          <w:sz w:val="24"/>
          <w:szCs w:val="24"/>
        </w:rPr>
        <w:t>3) 投标人在《投标文件》中提供虚假证明材料、虚假技术参数的；</w:t>
      </w:r>
    </w:p>
    <w:p w14:paraId="26FE5509">
      <w:pPr>
        <w:pStyle w:val="7"/>
        <w:spacing w:before="181" w:line="219" w:lineRule="auto"/>
        <w:ind w:left="345"/>
        <w:rPr>
          <w:sz w:val="24"/>
          <w:szCs w:val="24"/>
        </w:rPr>
      </w:pPr>
      <w:r>
        <w:rPr>
          <w:sz w:val="24"/>
          <w:szCs w:val="24"/>
        </w:rPr>
        <w:t>4) 投标人与采购人、其他投标人或者采购代</w:t>
      </w:r>
      <w:r>
        <w:rPr>
          <w:spacing w:val="-1"/>
          <w:sz w:val="24"/>
          <w:szCs w:val="24"/>
        </w:rPr>
        <w:t>理机构恶意串通的；</w:t>
      </w:r>
    </w:p>
    <w:p w14:paraId="77901ABD">
      <w:pPr>
        <w:pStyle w:val="7"/>
        <w:spacing w:before="183" w:line="222" w:lineRule="auto"/>
        <w:ind w:left="350"/>
        <w:rPr>
          <w:sz w:val="24"/>
          <w:szCs w:val="24"/>
        </w:rPr>
      </w:pPr>
      <w:r>
        <w:rPr>
          <w:spacing w:val="-1"/>
          <w:sz w:val="24"/>
          <w:szCs w:val="24"/>
        </w:rPr>
        <w:t>5)《招标文件》、法律法规规定的其它情形。</w:t>
      </w:r>
    </w:p>
    <w:p w14:paraId="459E5240">
      <w:pPr>
        <w:pStyle w:val="7"/>
        <w:spacing w:before="179" w:line="222" w:lineRule="auto"/>
        <w:ind w:left="238"/>
        <w:rPr>
          <w:sz w:val="24"/>
          <w:szCs w:val="24"/>
        </w:rPr>
      </w:pPr>
      <w:r>
        <w:rPr>
          <w:b/>
          <w:bCs/>
          <w:spacing w:val="-4"/>
          <w:sz w:val="24"/>
          <w:szCs w:val="24"/>
        </w:rPr>
        <w:t>（七）投标文件的份数和签署</w:t>
      </w:r>
    </w:p>
    <w:p w14:paraId="3775E2BC">
      <w:pPr>
        <w:pStyle w:val="7"/>
        <w:spacing w:before="177" w:line="359" w:lineRule="auto"/>
        <w:ind w:left="5" w:right="57" w:firstLine="474"/>
        <w:rPr>
          <w:sz w:val="24"/>
          <w:szCs w:val="24"/>
        </w:rPr>
      </w:pPr>
      <w:r>
        <w:rPr>
          <w:b/>
          <w:bCs/>
          <w:spacing w:val="-3"/>
          <w:sz w:val="24"/>
          <w:szCs w:val="24"/>
        </w:rPr>
        <w:t>投标文件中要求由投标人法定代表人或被授权人签字或盖章的内容必须</w:t>
      </w:r>
      <w:r>
        <w:rPr>
          <w:b/>
          <w:bCs/>
          <w:spacing w:val="-4"/>
          <w:sz w:val="24"/>
          <w:szCs w:val="24"/>
        </w:rPr>
        <w:t>签字或盖章，</w:t>
      </w:r>
      <w:r>
        <w:rPr>
          <w:b/>
          <w:bCs/>
          <w:spacing w:val="-3"/>
          <w:sz w:val="24"/>
          <w:szCs w:val="24"/>
        </w:rPr>
        <w:t>要求盖公章的必须加盖公章。否则视为无效响应。</w:t>
      </w:r>
    </w:p>
    <w:p w14:paraId="301FDF05">
      <w:pPr>
        <w:pStyle w:val="7"/>
        <w:spacing w:line="222" w:lineRule="auto"/>
        <w:ind w:left="238"/>
        <w:rPr>
          <w:sz w:val="24"/>
          <w:szCs w:val="24"/>
        </w:rPr>
      </w:pPr>
      <w:r>
        <w:rPr>
          <w:b/>
          <w:bCs/>
          <w:spacing w:val="-5"/>
          <w:sz w:val="24"/>
          <w:szCs w:val="24"/>
        </w:rPr>
        <w:t>（八）投标文件格式</w:t>
      </w:r>
    </w:p>
    <w:p w14:paraId="46C6AFC0">
      <w:pPr>
        <w:pStyle w:val="7"/>
        <w:spacing w:before="180" w:line="222" w:lineRule="auto"/>
        <w:ind w:left="479"/>
        <w:rPr>
          <w:sz w:val="24"/>
          <w:szCs w:val="24"/>
        </w:rPr>
      </w:pPr>
      <w:r>
        <w:rPr>
          <w:spacing w:val="-2"/>
          <w:sz w:val="24"/>
          <w:szCs w:val="24"/>
        </w:rPr>
        <w:t>招标文件提供的规定格式见附件。</w:t>
      </w:r>
    </w:p>
    <w:p w14:paraId="16498538">
      <w:pPr>
        <w:pStyle w:val="7"/>
        <w:spacing w:before="177" w:line="222" w:lineRule="auto"/>
        <w:ind w:left="238"/>
        <w:rPr>
          <w:sz w:val="24"/>
          <w:szCs w:val="24"/>
        </w:rPr>
      </w:pPr>
      <w:r>
        <w:rPr>
          <w:b/>
          <w:bCs/>
          <w:spacing w:val="-5"/>
          <w:sz w:val="24"/>
          <w:szCs w:val="24"/>
        </w:rPr>
        <w:t>（九）投标文件递交</w:t>
      </w:r>
    </w:p>
    <w:p w14:paraId="264A20C8">
      <w:pPr>
        <w:pStyle w:val="7"/>
        <w:spacing w:before="180" w:line="358" w:lineRule="auto"/>
        <w:ind w:left="1" w:firstLine="231"/>
        <w:rPr>
          <w:sz w:val="24"/>
          <w:szCs w:val="24"/>
        </w:rPr>
      </w:pPr>
      <w:r>
        <w:rPr>
          <w:spacing w:val="-1"/>
          <w:sz w:val="24"/>
          <w:szCs w:val="24"/>
        </w:rPr>
        <w:t>投标人应当在投标截止时间前，将生成的“</w:t>
      </w:r>
      <w:r>
        <w:rPr>
          <w:spacing w:val="-75"/>
          <w:sz w:val="24"/>
          <w:szCs w:val="24"/>
        </w:rPr>
        <w:t xml:space="preserve"> </w:t>
      </w:r>
      <w:r>
        <w:rPr>
          <w:spacing w:val="-1"/>
          <w:sz w:val="24"/>
          <w:szCs w:val="24"/>
        </w:rPr>
        <w:t>电子加密投标文件</w:t>
      </w:r>
      <w:r>
        <w:rPr>
          <w:spacing w:val="-86"/>
          <w:sz w:val="24"/>
          <w:szCs w:val="24"/>
        </w:rPr>
        <w:t xml:space="preserve"> </w:t>
      </w:r>
      <w:r>
        <w:rPr>
          <w:spacing w:val="-1"/>
          <w:sz w:val="24"/>
          <w:szCs w:val="24"/>
        </w:rPr>
        <w:t>”上传递交至“政府采购</w:t>
      </w:r>
      <w:r>
        <w:rPr>
          <w:spacing w:val="-2"/>
          <w:sz w:val="24"/>
          <w:szCs w:val="24"/>
        </w:rPr>
        <w:t>云平台</w:t>
      </w:r>
      <w:r>
        <w:rPr>
          <w:spacing w:val="-88"/>
          <w:sz w:val="24"/>
          <w:szCs w:val="24"/>
        </w:rPr>
        <w:t xml:space="preserve"> </w:t>
      </w:r>
      <w:r>
        <w:rPr>
          <w:spacing w:val="-2"/>
          <w:sz w:val="24"/>
          <w:szCs w:val="24"/>
        </w:rPr>
        <w:t>”,投标截止时间以后上传递交的投标文件将被“政</w:t>
      </w:r>
      <w:r>
        <w:rPr>
          <w:spacing w:val="-3"/>
          <w:sz w:val="24"/>
          <w:szCs w:val="24"/>
        </w:rPr>
        <w:t>府采购云平台</w:t>
      </w:r>
      <w:r>
        <w:rPr>
          <w:spacing w:val="-88"/>
          <w:sz w:val="24"/>
          <w:szCs w:val="24"/>
        </w:rPr>
        <w:t xml:space="preserve"> </w:t>
      </w:r>
      <w:r>
        <w:rPr>
          <w:spacing w:val="-3"/>
          <w:sz w:val="24"/>
          <w:szCs w:val="24"/>
        </w:rPr>
        <w:t>”拒收。</w:t>
      </w:r>
    </w:p>
    <w:p w14:paraId="1E531E04">
      <w:pPr>
        <w:pStyle w:val="7"/>
        <w:spacing w:before="2" w:line="222" w:lineRule="auto"/>
        <w:ind w:left="238"/>
        <w:rPr>
          <w:sz w:val="24"/>
          <w:szCs w:val="24"/>
        </w:rPr>
      </w:pPr>
      <w:r>
        <w:rPr>
          <w:b/>
          <w:bCs/>
          <w:spacing w:val="-5"/>
          <w:sz w:val="24"/>
          <w:szCs w:val="24"/>
        </w:rPr>
        <w:t>（十）投标截止时间</w:t>
      </w:r>
    </w:p>
    <w:p w14:paraId="33B61AEB">
      <w:pPr>
        <w:pStyle w:val="7"/>
        <w:spacing w:before="177" w:line="222" w:lineRule="auto"/>
        <w:ind w:left="479"/>
        <w:rPr>
          <w:sz w:val="24"/>
          <w:szCs w:val="24"/>
        </w:rPr>
      </w:pPr>
      <w:r>
        <w:rPr>
          <w:spacing w:val="-8"/>
          <w:sz w:val="24"/>
          <w:szCs w:val="24"/>
        </w:rPr>
        <w:t>投标截止时间为：</w:t>
      </w:r>
      <w:r>
        <w:rPr>
          <w:rFonts w:hint="eastAsia"/>
          <w:spacing w:val="-8"/>
          <w:sz w:val="24"/>
          <w:szCs w:val="24"/>
          <w:lang w:val="en-US" w:eastAsia="zh-CN"/>
        </w:rPr>
        <w:t>见投标人须知前附表</w:t>
      </w:r>
      <w:r>
        <w:rPr>
          <w:spacing w:val="-9"/>
          <w:sz w:val="24"/>
          <w:szCs w:val="24"/>
        </w:rPr>
        <w:t>。</w:t>
      </w:r>
    </w:p>
    <w:p w14:paraId="503CF043">
      <w:pPr>
        <w:pStyle w:val="7"/>
        <w:spacing w:before="178" w:line="358" w:lineRule="auto"/>
        <w:ind w:left="4" w:firstLine="478"/>
        <w:rPr>
          <w:sz w:val="24"/>
          <w:szCs w:val="24"/>
        </w:rPr>
      </w:pPr>
      <w:r>
        <w:rPr>
          <w:spacing w:val="1"/>
          <w:sz w:val="24"/>
          <w:szCs w:val="24"/>
        </w:rPr>
        <w:t>采购人可以补充通知的方式，酌情延长投标截止时间。在上述情况下，</w:t>
      </w:r>
      <w:r>
        <w:rPr>
          <w:sz w:val="24"/>
          <w:szCs w:val="24"/>
        </w:rPr>
        <w:t>采购人与投标</w:t>
      </w:r>
      <w:r>
        <w:rPr>
          <w:spacing w:val="-1"/>
          <w:sz w:val="24"/>
          <w:szCs w:val="24"/>
        </w:rPr>
        <w:t>人以前在投标截止期方面的全部权力、责任和义务，将适用于延长后新的投标截止时间。</w:t>
      </w:r>
    </w:p>
    <w:p w14:paraId="11F7D660">
      <w:pPr>
        <w:pStyle w:val="7"/>
        <w:spacing w:before="9" w:line="223" w:lineRule="auto"/>
        <w:ind w:left="36"/>
      </w:pPr>
      <w:r>
        <w:rPr>
          <w:b/>
          <w:bCs/>
          <w:spacing w:val="-16"/>
        </w:rPr>
        <w:t>四、开标</w:t>
      </w:r>
    </w:p>
    <w:p w14:paraId="0A521044">
      <w:pPr>
        <w:pStyle w:val="7"/>
        <w:spacing w:before="200" w:line="356" w:lineRule="auto"/>
        <w:ind w:firstLine="482"/>
        <w:rPr>
          <w:b/>
          <w:bCs/>
          <w:spacing w:val="-3"/>
          <w:sz w:val="24"/>
          <w:szCs w:val="24"/>
        </w:rPr>
      </w:pPr>
      <w:r>
        <w:rPr>
          <w:b/>
          <w:bCs/>
          <w:spacing w:val="-8"/>
          <w:sz w:val="24"/>
          <w:szCs w:val="24"/>
        </w:rPr>
        <w:t>采购代理机构</w:t>
      </w:r>
      <w:r>
        <w:rPr>
          <w:rFonts w:hint="eastAsia"/>
          <w:b/>
          <w:bCs/>
          <w:spacing w:val="-8"/>
          <w:sz w:val="24"/>
          <w:szCs w:val="24"/>
          <w:lang w:val="en-US" w:eastAsia="zh-CN"/>
        </w:rPr>
        <w:t>按</w:t>
      </w:r>
      <w:r>
        <w:rPr>
          <w:rFonts w:hint="eastAsia"/>
          <w:b/>
          <w:bCs/>
          <w:spacing w:val="-8"/>
          <w:sz w:val="24"/>
          <w:szCs w:val="24"/>
          <w:highlight w:val="none"/>
          <w:lang w:val="en-US" w:eastAsia="zh-CN"/>
        </w:rPr>
        <w:t>招标文件规定的开标时间（见投标人须知前附表）</w:t>
      </w:r>
      <w:r>
        <w:rPr>
          <w:b/>
          <w:bCs/>
          <w:spacing w:val="-8"/>
          <w:sz w:val="24"/>
          <w:szCs w:val="24"/>
        </w:rPr>
        <w:t>举</w:t>
      </w:r>
      <w:r>
        <w:rPr>
          <w:b/>
          <w:bCs/>
          <w:spacing w:val="-9"/>
          <w:sz w:val="24"/>
          <w:szCs w:val="24"/>
        </w:rPr>
        <w:t>行此次开标会议，开</w:t>
      </w:r>
      <w:r>
        <w:rPr>
          <w:b/>
          <w:bCs/>
          <w:spacing w:val="-2"/>
          <w:sz w:val="24"/>
          <w:szCs w:val="24"/>
        </w:rPr>
        <w:t>标地点政采云平台</w:t>
      </w:r>
      <w:r>
        <w:rPr>
          <w:spacing w:val="-57"/>
          <w:sz w:val="24"/>
          <w:szCs w:val="24"/>
        </w:rPr>
        <w:t xml:space="preserve"> </w:t>
      </w:r>
      <w:r>
        <w:fldChar w:fldCharType="begin"/>
      </w:r>
      <w:r>
        <w:instrText xml:space="preserve"> HYPERLINK "https：//www.zcygov.cn/" </w:instrText>
      </w:r>
      <w:r>
        <w:fldChar w:fldCharType="separate"/>
      </w:r>
      <w:r>
        <w:rPr>
          <w:b/>
          <w:bCs/>
          <w:spacing w:val="-2"/>
          <w:sz w:val="24"/>
          <w:szCs w:val="24"/>
        </w:rPr>
        <w:t>https：//www.zcygov.cn/</w:t>
      </w:r>
      <w:r>
        <w:rPr>
          <w:b/>
          <w:bCs/>
          <w:spacing w:val="-2"/>
          <w:sz w:val="24"/>
          <w:szCs w:val="24"/>
        </w:rPr>
        <w:fldChar w:fldCharType="end"/>
      </w:r>
      <w:r>
        <w:rPr>
          <w:b/>
          <w:bCs/>
          <w:spacing w:val="-2"/>
          <w:sz w:val="24"/>
          <w:szCs w:val="24"/>
        </w:rPr>
        <w:t>政采云不见面</w:t>
      </w:r>
      <w:r>
        <w:rPr>
          <w:b/>
          <w:bCs/>
          <w:spacing w:val="-3"/>
          <w:sz w:val="24"/>
          <w:szCs w:val="24"/>
        </w:rPr>
        <w:t>开标大厅。</w:t>
      </w:r>
    </w:p>
    <w:p w14:paraId="7205A4B2">
      <w:pPr>
        <w:pStyle w:val="7"/>
        <w:spacing w:before="200" w:line="356" w:lineRule="auto"/>
        <w:ind w:firstLine="482"/>
        <w:rPr>
          <w:sz w:val="24"/>
          <w:szCs w:val="24"/>
        </w:rPr>
      </w:pPr>
      <w:r>
        <w:rPr>
          <w:spacing w:val="-1"/>
          <w:sz w:val="24"/>
          <w:szCs w:val="24"/>
        </w:rPr>
        <w:t>开标会议在有关监督部门及投标人的监督下，由采购代理机构组织并主持</w:t>
      </w:r>
      <w:r>
        <w:rPr>
          <w:rFonts w:hint="eastAsia"/>
          <w:spacing w:val="-1"/>
          <w:sz w:val="24"/>
          <w:szCs w:val="24"/>
          <w:lang w:eastAsia="zh-CN"/>
        </w:rPr>
        <w:t>。</w:t>
      </w:r>
    </w:p>
    <w:p w14:paraId="01FE4EC4">
      <w:pPr>
        <w:pStyle w:val="7"/>
        <w:spacing w:before="180" w:line="359" w:lineRule="auto"/>
        <w:ind w:right="2" w:firstLine="480"/>
        <w:rPr>
          <w:sz w:val="24"/>
          <w:szCs w:val="24"/>
        </w:rPr>
      </w:pPr>
      <w:r>
        <w:rPr>
          <w:spacing w:val="1"/>
          <w:sz w:val="24"/>
          <w:szCs w:val="24"/>
        </w:rPr>
        <w:t>开标后，将由采购代理机构按照递交投标文件的先后顺序公开宣读有效投标</w:t>
      </w:r>
      <w:r>
        <w:rPr>
          <w:sz w:val="24"/>
          <w:szCs w:val="24"/>
        </w:rPr>
        <w:t>人的投标</w:t>
      </w:r>
      <w:r>
        <w:rPr>
          <w:spacing w:val="-1"/>
          <w:sz w:val="24"/>
          <w:szCs w:val="24"/>
        </w:rPr>
        <w:t>报价，以及采购代理机构认为必要的其它内容。</w:t>
      </w:r>
    </w:p>
    <w:p w14:paraId="6AE01FD2">
      <w:pPr>
        <w:pStyle w:val="7"/>
        <w:spacing w:line="222" w:lineRule="auto"/>
        <w:ind w:left="481"/>
        <w:rPr>
          <w:sz w:val="24"/>
          <w:szCs w:val="24"/>
        </w:rPr>
      </w:pPr>
      <w:r>
        <w:rPr>
          <w:spacing w:val="-1"/>
          <w:sz w:val="24"/>
          <w:szCs w:val="24"/>
        </w:rPr>
        <w:t>采购人有权就投标文件中含混之处向投标人提出询问或澄清要求。</w:t>
      </w:r>
    </w:p>
    <w:p w14:paraId="45003DCB">
      <w:pPr>
        <w:pStyle w:val="7"/>
        <w:spacing w:before="179" w:line="358" w:lineRule="auto"/>
        <w:ind w:left="14" w:right="2" w:firstLine="470"/>
        <w:rPr>
          <w:sz w:val="24"/>
          <w:szCs w:val="24"/>
        </w:rPr>
      </w:pPr>
      <w:r>
        <w:rPr>
          <w:spacing w:val="1"/>
          <w:sz w:val="24"/>
          <w:szCs w:val="24"/>
        </w:rPr>
        <w:t>公开开标后，直到向中标的投标人授予合同时止，凡与审查、澄</w:t>
      </w:r>
      <w:r>
        <w:rPr>
          <w:sz w:val="24"/>
          <w:szCs w:val="24"/>
        </w:rPr>
        <w:t>清、评价和比较投标</w:t>
      </w:r>
      <w:r>
        <w:rPr>
          <w:spacing w:val="-1"/>
          <w:sz w:val="24"/>
          <w:szCs w:val="24"/>
        </w:rPr>
        <w:t>的有关资料以及授标意见等均不得向投标人及与投标无关的其他人透露。</w:t>
      </w:r>
    </w:p>
    <w:p w14:paraId="580F018A">
      <w:pPr>
        <w:pStyle w:val="7"/>
        <w:spacing w:before="8" w:line="223" w:lineRule="auto"/>
        <w:ind w:left="7"/>
      </w:pPr>
      <w:r>
        <w:rPr>
          <w:b/>
          <w:bCs/>
          <w:spacing w:val="-8"/>
        </w:rPr>
        <w:t>五、评标</w:t>
      </w:r>
    </w:p>
    <w:p w14:paraId="5AFB90F7">
      <w:pPr>
        <w:pStyle w:val="7"/>
        <w:spacing w:before="199" w:line="222" w:lineRule="auto"/>
        <w:ind w:left="237"/>
        <w:rPr>
          <w:sz w:val="24"/>
          <w:szCs w:val="24"/>
        </w:rPr>
      </w:pPr>
      <w:r>
        <w:rPr>
          <w:b/>
          <w:bCs/>
          <w:spacing w:val="-5"/>
          <w:sz w:val="24"/>
          <w:szCs w:val="24"/>
        </w:rPr>
        <w:t>（一）评标流程</w:t>
      </w:r>
    </w:p>
    <w:p w14:paraId="03F13AE3">
      <w:pPr>
        <w:pStyle w:val="7"/>
        <w:spacing w:before="179" w:line="220" w:lineRule="auto"/>
        <w:ind w:left="480"/>
        <w:rPr>
          <w:sz w:val="24"/>
          <w:szCs w:val="24"/>
        </w:rPr>
      </w:pPr>
      <w:r>
        <w:rPr>
          <w:spacing w:val="-1"/>
          <w:sz w:val="24"/>
          <w:szCs w:val="24"/>
        </w:rPr>
        <w:t>评标工作由采购代理机构依法组建的评标委员会负责。</w:t>
      </w:r>
    </w:p>
    <w:p w14:paraId="1158E81B">
      <w:pPr>
        <w:pStyle w:val="7"/>
        <w:spacing w:before="181" w:line="221" w:lineRule="auto"/>
        <w:ind w:left="480"/>
        <w:rPr>
          <w:sz w:val="24"/>
          <w:szCs w:val="24"/>
        </w:rPr>
      </w:pPr>
      <w:r>
        <w:rPr>
          <w:spacing w:val="-1"/>
          <w:sz w:val="24"/>
          <w:szCs w:val="24"/>
        </w:rPr>
        <w:t>评标流程详见第五章评标原则及办法。</w:t>
      </w:r>
    </w:p>
    <w:p w14:paraId="2FD48605">
      <w:pPr>
        <w:pStyle w:val="7"/>
        <w:spacing w:before="179" w:line="223" w:lineRule="auto"/>
        <w:ind w:left="237"/>
        <w:rPr>
          <w:sz w:val="24"/>
          <w:szCs w:val="24"/>
        </w:rPr>
      </w:pPr>
      <w:r>
        <w:rPr>
          <w:b/>
          <w:bCs/>
          <w:spacing w:val="-5"/>
          <w:sz w:val="24"/>
          <w:szCs w:val="24"/>
        </w:rPr>
        <w:t>（二）注意事项</w:t>
      </w:r>
    </w:p>
    <w:p w14:paraId="7B538324">
      <w:pPr>
        <w:pStyle w:val="7"/>
        <w:spacing w:before="178" w:line="359" w:lineRule="auto"/>
        <w:ind w:left="5" w:firstLine="476"/>
        <w:jc w:val="both"/>
        <w:rPr>
          <w:sz w:val="24"/>
          <w:szCs w:val="24"/>
        </w:rPr>
      </w:pPr>
      <w:r>
        <w:rPr>
          <w:spacing w:val="1"/>
          <w:sz w:val="24"/>
          <w:szCs w:val="24"/>
        </w:rPr>
        <w:t>在评标期间，评标过程严格保密。评标委员会可要求投标人对其投标文</w:t>
      </w:r>
      <w:r>
        <w:rPr>
          <w:sz w:val="24"/>
          <w:szCs w:val="24"/>
        </w:rPr>
        <w:t>件中非实质性</w:t>
      </w:r>
      <w:r>
        <w:rPr>
          <w:spacing w:val="1"/>
          <w:sz w:val="24"/>
          <w:szCs w:val="24"/>
        </w:rPr>
        <w:t>的有关问题进行澄清、说明或者补正。有关澄清、说明或者补正的要</w:t>
      </w:r>
      <w:r>
        <w:rPr>
          <w:sz w:val="24"/>
          <w:szCs w:val="24"/>
        </w:rPr>
        <w:t>求和答复应以书面形</w:t>
      </w:r>
      <w:r>
        <w:rPr>
          <w:spacing w:val="1"/>
          <w:sz w:val="24"/>
          <w:szCs w:val="24"/>
        </w:rPr>
        <w:t>式提交。投标人的澄清、说明或者补正不得超出投标文件的范</w:t>
      </w:r>
      <w:r>
        <w:rPr>
          <w:sz w:val="24"/>
          <w:szCs w:val="24"/>
        </w:rPr>
        <w:t>围或者改变投标文件实质性</w:t>
      </w:r>
      <w:r>
        <w:rPr>
          <w:spacing w:val="-8"/>
          <w:sz w:val="24"/>
          <w:szCs w:val="24"/>
        </w:rPr>
        <w:t>内容。</w:t>
      </w:r>
    </w:p>
    <w:p w14:paraId="334E76CC">
      <w:pPr>
        <w:pStyle w:val="7"/>
        <w:spacing w:line="220" w:lineRule="auto"/>
        <w:ind w:left="481"/>
        <w:rPr>
          <w:sz w:val="24"/>
          <w:szCs w:val="24"/>
        </w:rPr>
      </w:pPr>
      <w:r>
        <w:rPr>
          <w:spacing w:val="-1"/>
          <w:sz w:val="24"/>
          <w:szCs w:val="24"/>
        </w:rPr>
        <w:t>如果投标文件没有实质性响应招标文件的要求，评标委员会将予以拒绝。</w:t>
      </w:r>
    </w:p>
    <w:p w14:paraId="03A05F6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sz w:val="24"/>
          <w:szCs w:val="24"/>
        </w:rPr>
      </w:pPr>
      <w:r>
        <w:rPr>
          <w:spacing w:val="1"/>
          <w:sz w:val="24"/>
          <w:szCs w:val="24"/>
        </w:rPr>
        <w:t>评标委员会只对确定为实质性响应招标文件要求的投标文件，根据招标文件的</w:t>
      </w:r>
      <w:r>
        <w:rPr>
          <w:sz w:val="24"/>
          <w:szCs w:val="24"/>
        </w:rPr>
        <w:t>要求采</w:t>
      </w:r>
      <w:r>
        <w:rPr>
          <w:spacing w:val="-1"/>
          <w:sz w:val="24"/>
          <w:szCs w:val="24"/>
        </w:rPr>
        <w:t>用相同的评标程序、评分办法及标准进行评价和比较。</w:t>
      </w:r>
    </w:p>
    <w:p w14:paraId="56C9533A">
      <w:pPr>
        <w:pStyle w:val="7"/>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pPr>
      <w:r>
        <w:rPr>
          <w:b/>
          <w:bCs/>
          <w:spacing w:val="-8"/>
        </w:rPr>
        <w:t>六、定标</w:t>
      </w:r>
    </w:p>
    <w:p w14:paraId="3113BACA">
      <w:pPr>
        <w:pStyle w:val="7"/>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sz w:val="24"/>
          <w:szCs w:val="24"/>
        </w:rPr>
      </w:pPr>
      <w:r>
        <w:rPr>
          <w:b/>
          <w:bCs/>
          <w:spacing w:val="-5"/>
          <w:sz w:val="24"/>
          <w:szCs w:val="24"/>
        </w:rPr>
        <w:t>（一）定标原则</w:t>
      </w:r>
    </w:p>
    <w:p w14:paraId="009D6201">
      <w:pPr>
        <w:pStyle w:val="7"/>
        <w:keepNext w:val="0"/>
        <w:keepLines w:val="0"/>
        <w:pageBreakBefore w:val="0"/>
        <w:widowControl/>
        <w:kinsoku w:val="0"/>
        <w:wordWrap/>
        <w:overflowPunct/>
        <w:topLinePunct w:val="0"/>
        <w:autoSpaceDE w:val="0"/>
        <w:autoSpaceDN w:val="0"/>
        <w:bidi w:val="0"/>
        <w:adjustRightInd w:val="0"/>
        <w:snapToGrid w:val="0"/>
        <w:spacing w:line="221" w:lineRule="auto"/>
        <w:ind w:left="0" w:right="0"/>
        <w:textAlignment w:val="baseline"/>
        <w:rPr>
          <w:sz w:val="24"/>
          <w:szCs w:val="24"/>
        </w:rPr>
      </w:pPr>
      <w:r>
        <w:rPr>
          <w:spacing w:val="-1"/>
          <w:sz w:val="24"/>
          <w:szCs w:val="24"/>
        </w:rPr>
        <w:t>采购人根据评标委员会推荐的中标候选人名单，按顺序确定中标人。</w:t>
      </w:r>
    </w:p>
    <w:p w14:paraId="1F510E61">
      <w:pPr>
        <w:pStyle w:val="7"/>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sz w:val="24"/>
          <w:szCs w:val="24"/>
        </w:rPr>
      </w:pPr>
      <w:r>
        <w:rPr>
          <w:b/>
          <w:bCs/>
          <w:spacing w:val="-5"/>
          <w:sz w:val="24"/>
          <w:szCs w:val="24"/>
        </w:rPr>
        <w:t>（二）定标程序</w:t>
      </w:r>
    </w:p>
    <w:p w14:paraId="1B6BB01C">
      <w:pPr>
        <w:pStyle w:val="7"/>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58"/>
        <w:textAlignment w:val="baseline"/>
        <w:rPr>
          <w:sz w:val="24"/>
          <w:szCs w:val="24"/>
        </w:rPr>
      </w:pPr>
      <w:r>
        <w:rPr>
          <w:spacing w:val="2"/>
          <w:sz w:val="24"/>
          <w:szCs w:val="24"/>
        </w:rPr>
        <w:t>采购人或者采购代理机构应当自中标人确定之日起2</w:t>
      </w:r>
      <w:r>
        <w:rPr>
          <w:spacing w:val="-41"/>
          <w:sz w:val="24"/>
          <w:szCs w:val="24"/>
        </w:rPr>
        <w:t xml:space="preserve"> </w:t>
      </w:r>
      <w:r>
        <w:rPr>
          <w:spacing w:val="2"/>
          <w:sz w:val="24"/>
          <w:szCs w:val="24"/>
        </w:rPr>
        <w:t>个工作日内，在省级以上财</w:t>
      </w:r>
      <w:r>
        <w:rPr>
          <w:spacing w:val="1"/>
          <w:sz w:val="24"/>
          <w:szCs w:val="24"/>
        </w:rPr>
        <w:t>政部</w:t>
      </w:r>
      <w:r>
        <w:rPr>
          <w:spacing w:val="-1"/>
          <w:sz w:val="24"/>
          <w:szCs w:val="24"/>
        </w:rPr>
        <w:t>门指定的媒体上公告中标结果，招标文件应</w:t>
      </w:r>
      <w:r>
        <w:rPr>
          <w:spacing w:val="-2"/>
          <w:sz w:val="24"/>
          <w:szCs w:val="24"/>
        </w:rPr>
        <w:t>当随中标结果同时公告</w:t>
      </w:r>
      <w:r>
        <w:rPr>
          <w:rFonts w:hint="eastAsia"/>
          <w:spacing w:val="-2"/>
          <w:sz w:val="24"/>
          <w:szCs w:val="24"/>
          <w:lang w:eastAsia="zh-CN"/>
        </w:rPr>
        <w:t>。</w:t>
      </w:r>
    </w:p>
    <w:p w14:paraId="4EBE0913">
      <w:pPr>
        <w:pStyle w:val="7"/>
        <w:keepNext w:val="0"/>
        <w:keepLines w:val="0"/>
        <w:pageBreakBefore w:val="0"/>
        <w:widowControl/>
        <w:kinsoku w:val="0"/>
        <w:wordWrap/>
        <w:overflowPunct/>
        <w:topLinePunct w:val="0"/>
        <w:autoSpaceDE w:val="0"/>
        <w:autoSpaceDN w:val="0"/>
        <w:bidi w:val="0"/>
        <w:adjustRightInd w:val="0"/>
        <w:snapToGrid w:val="0"/>
        <w:spacing w:line="220" w:lineRule="auto"/>
        <w:ind w:left="0" w:right="0"/>
        <w:textAlignment w:val="baseline"/>
        <w:rPr>
          <w:sz w:val="24"/>
          <w:szCs w:val="24"/>
        </w:rPr>
      </w:pPr>
      <w:r>
        <w:rPr>
          <w:spacing w:val="-7"/>
          <w:sz w:val="24"/>
          <w:szCs w:val="24"/>
        </w:rPr>
        <w:t>中标公告期限为</w:t>
      </w:r>
      <w:r>
        <w:rPr>
          <w:spacing w:val="-34"/>
          <w:sz w:val="24"/>
          <w:szCs w:val="24"/>
        </w:rPr>
        <w:t xml:space="preserve"> </w:t>
      </w:r>
      <w:r>
        <w:rPr>
          <w:spacing w:val="-7"/>
          <w:sz w:val="24"/>
          <w:szCs w:val="24"/>
        </w:rPr>
        <w:t>1</w:t>
      </w:r>
      <w:r>
        <w:rPr>
          <w:spacing w:val="-43"/>
          <w:sz w:val="24"/>
          <w:szCs w:val="24"/>
        </w:rPr>
        <w:t xml:space="preserve"> </w:t>
      </w:r>
      <w:r>
        <w:rPr>
          <w:spacing w:val="-7"/>
          <w:sz w:val="24"/>
          <w:szCs w:val="24"/>
        </w:rPr>
        <w:t>个工作日。</w:t>
      </w:r>
    </w:p>
    <w:p w14:paraId="2A857050">
      <w:pPr>
        <w:pStyle w:val="7"/>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79"/>
        <w:textAlignment w:val="baseline"/>
        <w:rPr>
          <w:sz w:val="24"/>
          <w:szCs w:val="24"/>
        </w:rPr>
      </w:pPr>
      <w:r>
        <w:rPr>
          <w:spacing w:val="1"/>
          <w:sz w:val="24"/>
          <w:szCs w:val="24"/>
        </w:rPr>
        <w:t>邀请招标采购人采用书面推荐方式产生符合资格条件的潜在投标人的，还应当</w:t>
      </w:r>
      <w:r>
        <w:rPr>
          <w:sz w:val="24"/>
          <w:szCs w:val="24"/>
        </w:rPr>
        <w:t>将所有</w:t>
      </w:r>
      <w:r>
        <w:rPr>
          <w:spacing w:val="-1"/>
          <w:sz w:val="24"/>
          <w:szCs w:val="24"/>
        </w:rPr>
        <w:t>被推荐投标人名单和推荐理由随中标结果同时公告。</w:t>
      </w:r>
    </w:p>
    <w:p w14:paraId="34EDABDD">
      <w:pPr>
        <w:pStyle w:val="7"/>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pPr>
      <w:r>
        <w:rPr>
          <w:b/>
          <w:bCs/>
          <w:spacing w:val="-6"/>
        </w:rPr>
        <w:t>七、中标通知书</w:t>
      </w:r>
    </w:p>
    <w:p w14:paraId="44E22149">
      <w:pPr>
        <w:pStyle w:val="7"/>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594"/>
        <w:textAlignment w:val="baseline"/>
        <w:rPr>
          <w:spacing w:val="-1"/>
          <w:sz w:val="24"/>
          <w:szCs w:val="24"/>
        </w:rPr>
      </w:pPr>
      <w:r>
        <w:rPr>
          <w:spacing w:val="-2"/>
          <w:sz w:val="24"/>
          <w:szCs w:val="24"/>
        </w:rPr>
        <w:t>在公告中标结果的同时，采购人或者采购代理机构应当向中标人发出中标通知书；对</w:t>
      </w:r>
      <w:r>
        <w:rPr>
          <w:spacing w:val="-1"/>
          <w:sz w:val="24"/>
          <w:szCs w:val="24"/>
        </w:rPr>
        <w:t>未通过资格审查的投标人，应当告知其未通过的原因。</w:t>
      </w:r>
    </w:p>
    <w:p w14:paraId="4AFA1E5B">
      <w:pPr>
        <w:pStyle w:val="7"/>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594"/>
        <w:textAlignment w:val="baseline"/>
        <w:rPr>
          <w:sz w:val="24"/>
          <w:szCs w:val="24"/>
        </w:rPr>
      </w:pPr>
      <w:r>
        <w:rPr>
          <w:spacing w:val="-2"/>
          <w:sz w:val="24"/>
          <w:szCs w:val="24"/>
        </w:rPr>
        <w:t>中标通知书对采购人和中标人均具有法律效力。中标通</w:t>
      </w:r>
      <w:r>
        <w:rPr>
          <w:spacing w:val="-3"/>
          <w:sz w:val="24"/>
          <w:szCs w:val="24"/>
        </w:rPr>
        <w:t>知书发出后，采购人改变中标</w:t>
      </w:r>
      <w:r>
        <w:rPr>
          <w:spacing w:val="-1"/>
          <w:sz w:val="24"/>
          <w:szCs w:val="24"/>
        </w:rPr>
        <w:t>结果，或者中标人无正当理由放弃中标的，应当承担相应的法律责任。</w:t>
      </w:r>
    </w:p>
    <w:p w14:paraId="1306DD7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jc w:val="both"/>
        <w:textAlignment w:val="baseline"/>
        <w:rPr>
          <w:sz w:val="24"/>
          <w:szCs w:val="24"/>
        </w:rPr>
      </w:pPr>
      <w:r>
        <w:rPr>
          <w:spacing w:val="4"/>
          <w:sz w:val="24"/>
          <w:szCs w:val="24"/>
        </w:rPr>
        <w:t>中标人的投标文件本应作为无效投标处理或者有政府采购法律法规规章制度规定的</w:t>
      </w:r>
      <w:r>
        <w:rPr>
          <w:spacing w:val="1"/>
          <w:sz w:val="24"/>
          <w:szCs w:val="24"/>
        </w:rPr>
        <w:t>中标无效情形的，采购人应当宣布发出的中标通知书无效，并收回发出的中标通知</w:t>
      </w:r>
      <w:r>
        <w:rPr>
          <w:sz w:val="24"/>
          <w:szCs w:val="24"/>
        </w:rPr>
        <w:t>书（中</w:t>
      </w:r>
      <w:r>
        <w:rPr>
          <w:spacing w:val="-1"/>
          <w:sz w:val="24"/>
          <w:szCs w:val="24"/>
        </w:rPr>
        <w:t>标人也应当交回</w:t>
      </w:r>
      <w:r>
        <w:rPr>
          <w:spacing w:val="8"/>
          <w:sz w:val="24"/>
          <w:szCs w:val="24"/>
        </w:rPr>
        <w:t>），</w:t>
      </w:r>
      <w:r>
        <w:rPr>
          <w:spacing w:val="-1"/>
          <w:sz w:val="24"/>
          <w:szCs w:val="24"/>
        </w:rPr>
        <w:t>依法重新确定中标人或者重新开</w:t>
      </w:r>
      <w:r>
        <w:rPr>
          <w:spacing w:val="-2"/>
          <w:sz w:val="24"/>
          <w:szCs w:val="24"/>
        </w:rPr>
        <w:t>展采购活动。</w:t>
      </w:r>
    </w:p>
    <w:p w14:paraId="1C45E936">
      <w:pPr>
        <w:pStyle w:val="7"/>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pPr>
      <w:r>
        <w:rPr>
          <w:b/>
          <w:bCs/>
          <w:spacing w:val="-4"/>
        </w:rPr>
        <w:t>八、签订政府采购合同</w:t>
      </w:r>
    </w:p>
    <w:p w14:paraId="78E25C8D">
      <w:pPr>
        <w:pStyle w:val="7"/>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rPr>
          <w:sz w:val="24"/>
          <w:szCs w:val="24"/>
        </w:rPr>
      </w:pPr>
      <w:r>
        <w:rPr>
          <w:b/>
          <w:bCs/>
          <w:spacing w:val="-5"/>
          <w:sz w:val="24"/>
          <w:szCs w:val="24"/>
        </w:rPr>
        <w:t>（一）合同授予原则</w:t>
      </w:r>
    </w:p>
    <w:p w14:paraId="1B0C785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7"/>
        <w:textAlignment w:val="baseline"/>
        <w:rPr>
          <w:sz w:val="24"/>
          <w:szCs w:val="24"/>
        </w:rPr>
      </w:pPr>
      <w:r>
        <w:rPr>
          <w:spacing w:val="1"/>
          <w:sz w:val="24"/>
          <w:szCs w:val="24"/>
        </w:rPr>
        <w:t>采购人将把合同授予经评标委员会评议推荐采购人确认的投标人。若因</w:t>
      </w:r>
      <w:r>
        <w:rPr>
          <w:sz w:val="24"/>
          <w:szCs w:val="24"/>
        </w:rPr>
        <w:t>中标人违约或</w:t>
      </w:r>
      <w:r>
        <w:rPr>
          <w:spacing w:val="-1"/>
          <w:sz w:val="24"/>
          <w:szCs w:val="24"/>
        </w:rPr>
        <w:t>因不可抗力等原因不能被授予合同，则合同将授予排序在该投标人之后的下一个投</w:t>
      </w:r>
      <w:r>
        <w:rPr>
          <w:spacing w:val="-2"/>
          <w:sz w:val="24"/>
          <w:szCs w:val="24"/>
        </w:rPr>
        <w:t>标人。</w:t>
      </w:r>
    </w:p>
    <w:p w14:paraId="1C6D2D83">
      <w:pPr>
        <w:pStyle w:val="7"/>
        <w:keepNext w:val="0"/>
        <w:keepLines w:val="0"/>
        <w:pageBreakBefore w:val="0"/>
        <w:widowControl/>
        <w:kinsoku w:val="0"/>
        <w:wordWrap/>
        <w:overflowPunct/>
        <w:topLinePunct w:val="0"/>
        <w:autoSpaceDE w:val="0"/>
        <w:autoSpaceDN w:val="0"/>
        <w:bidi w:val="0"/>
        <w:adjustRightInd w:val="0"/>
        <w:snapToGrid w:val="0"/>
        <w:spacing w:line="219" w:lineRule="auto"/>
        <w:ind w:left="0" w:right="0"/>
        <w:textAlignment w:val="baseline"/>
        <w:rPr>
          <w:sz w:val="24"/>
          <w:szCs w:val="24"/>
        </w:rPr>
      </w:pPr>
      <w:r>
        <w:rPr>
          <w:spacing w:val="-1"/>
          <w:sz w:val="24"/>
          <w:szCs w:val="24"/>
        </w:rPr>
        <w:t>采购人保留在签订合同时调整方案需求和变动所购货物数量的权力。</w:t>
      </w:r>
    </w:p>
    <w:p w14:paraId="4C6E15E5">
      <w:pPr>
        <w:pStyle w:val="7"/>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sz w:val="24"/>
          <w:szCs w:val="24"/>
        </w:rPr>
      </w:pPr>
      <w:r>
        <w:rPr>
          <w:b/>
          <w:bCs/>
          <w:spacing w:val="-4"/>
          <w:sz w:val="24"/>
          <w:szCs w:val="24"/>
        </w:rPr>
        <w:t>（二）合同的签署、履约及验收</w:t>
      </w:r>
    </w:p>
    <w:p w14:paraId="45D399CD">
      <w:pPr>
        <w:pStyle w:val="7"/>
        <w:keepNext w:val="0"/>
        <w:keepLines w:val="0"/>
        <w:pageBreakBefore w:val="0"/>
        <w:widowControl/>
        <w:kinsoku w:val="0"/>
        <w:wordWrap/>
        <w:overflowPunct/>
        <w:topLinePunct w:val="0"/>
        <w:autoSpaceDE w:val="0"/>
        <w:autoSpaceDN w:val="0"/>
        <w:bidi w:val="0"/>
        <w:adjustRightInd w:val="0"/>
        <w:snapToGrid w:val="0"/>
        <w:spacing w:line="359" w:lineRule="auto"/>
        <w:ind w:left="0" w:right="0" w:firstLine="485"/>
        <w:jc w:val="both"/>
        <w:textAlignment w:val="baseline"/>
        <w:rPr>
          <w:sz w:val="24"/>
          <w:szCs w:val="24"/>
        </w:rPr>
      </w:pPr>
      <w:r>
        <w:rPr>
          <w:b/>
          <w:bCs/>
          <w:spacing w:val="-7"/>
          <w:sz w:val="24"/>
          <w:szCs w:val="24"/>
        </w:rPr>
        <w:t>签署：</w:t>
      </w:r>
      <w:r>
        <w:rPr>
          <w:spacing w:val="-7"/>
          <w:sz w:val="24"/>
          <w:szCs w:val="24"/>
        </w:rPr>
        <w:t>采购人于中标通知书发出之日起30 日内与中标人签订政府采购合同。招标文件、</w:t>
      </w:r>
      <w:r>
        <w:rPr>
          <w:spacing w:val="1"/>
          <w:sz w:val="24"/>
          <w:szCs w:val="24"/>
        </w:rPr>
        <w:t>中标人的投标文件均为签订合同的依据，需方与中标人是合同权利与义务的直接</w:t>
      </w:r>
      <w:r>
        <w:rPr>
          <w:sz w:val="24"/>
          <w:szCs w:val="24"/>
        </w:rPr>
        <w:t>、全部责</w:t>
      </w:r>
      <w:r>
        <w:rPr>
          <w:spacing w:val="-1"/>
          <w:sz w:val="24"/>
          <w:szCs w:val="24"/>
        </w:rPr>
        <w:t>任承担人。采购人所发出的中标通知书对需方和中标投标人具有同等法律效力。</w:t>
      </w:r>
    </w:p>
    <w:p w14:paraId="73D78507">
      <w:pPr>
        <w:pStyle w:val="7"/>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0"/>
        <w:jc w:val="both"/>
        <w:textAlignment w:val="baseline"/>
        <w:rPr>
          <w:sz w:val="24"/>
          <w:szCs w:val="24"/>
        </w:rPr>
      </w:pPr>
      <w:r>
        <w:rPr>
          <w:spacing w:val="1"/>
          <w:sz w:val="24"/>
          <w:szCs w:val="24"/>
        </w:rPr>
        <w:t>若中标人不能在规定时间内与需方签订合同，或拒签、变相签订合同，采购</w:t>
      </w:r>
      <w:r>
        <w:rPr>
          <w:sz w:val="24"/>
          <w:szCs w:val="24"/>
        </w:rPr>
        <w:t>人依监督</w:t>
      </w:r>
      <w:r>
        <w:rPr>
          <w:spacing w:val="-1"/>
          <w:sz w:val="24"/>
          <w:szCs w:val="24"/>
        </w:rPr>
        <w:t>职能可采取取消其中标资格并没收其投标保证金等措施，并可按照财政部令【2017】第</w:t>
      </w:r>
      <w:r>
        <w:rPr>
          <w:spacing w:val="-44"/>
          <w:sz w:val="24"/>
          <w:szCs w:val="24"/>
        </w:rPr>
        <w:t xml:space="preserve"> </w:t>
      </w:r>
      <w:r>
        <w:rPr>
          <w:spacing w:val="-1"/>
          <w:sz w:val="24"/>
          <w:szCs w:val="24"/>
        </w:rPr>
        <w:t>87</w:t>
      </w:r>
      <w:r>
        <w:rPr>
          <w:spacing w:val="1"/>
          <w:sz w:val="24"/>
          <w:szCs w:val="24"/>
        </w:rPr>
        <w:t>号第七十一条、第七十二条、第七十三条及《中华人民共和国政府采购法实施条例</w:t>
      </w:r>
      <w:r>
        <w:rPr>
          <w:sz w:val="24"/>
          <w:szCs w:val="24"/>
        </w:rPr>
        <w:t>》第七十二条规定办理。此时可由采购人按照排名顺序与</w:t>
      </w:r>
      <w:r>
        <w:rPr>
          <w:spacing w:val="-1"/>
          <w:sz w:val="24"/>
          <w:szCs w:val="24"/>
        </w:rPr>
        <w:t>下一投标人签订合同或重新组织招标。</w:t>
      </w:r>
    </w:p>
    <w:p w14:paraId="2887EFA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sz w:val="24"/>
          <w:szCs w:val="24"/>
        </w:rPr>
      </w:pPr>
      <w:r>
        <w:rPr>
          <w:spacing w:val="1"/>
          <w:sz w:val="24"/>
          <w:szCs w:val="24"/>
        </w:rPr>
        <w:t>如果中标人在规定的合同签订时间内，没有按照招标文件的规定交纳履约保</w:t>
      </w:r>
      <w:r>
        <w:rPr>
          <w:sz w:val="24"/>
          <w:szCs w:val="24"/>
        </w:rPr>
        <w:t>证金，且</w:t>
      </w:r>
      <w:r>
        <w:rPr>
          <w:spacing w:val="-1"/>
          <w:sz w:val="24"/>
          <w:szCs w:val="24"/>
        </w:rPr>
        <w:t>又无正当理由的，将视为放弃中标，其交纳的投标保证金不予退还</w:t>
      </w:r>
      <w:r>
        <w:rPr>
          <w:rFonts w:hint="eastAsia"/>
          <w:spacing w:val="-1"/>
          <w:sz w:val="24"/>
          <w:szCs w:val="24"/>
          <w:lang w:eastAsia="zh-CN"/>
        </w:rPr>
        <w:t>。</w:t>
      </w:r>
    </w:p>
    <w:p w14:paraId="4E62E4E1">
      <w:pPr>
        <w:pStyle w:val="7"/>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3"/>
        <w:textAlignment w:val="baseline"/>
        <w:rPr>
          <w:sz w:val="24"/>
          <w:szCs w:val="24"/>
        </w:rPr>
      </w:pPr>
      <w:r>
        <w:rPr>
          <w:b/>
          <w:bCs/>
          <w:spacing w:val="-1"/>
          <w:sz w:val="24"/>
          <w:szCs w:val="24"/>
        </w:rPr>
        <w:t>履约：</w:t>
      </w:r>
      <w:r>
        <w:rPr>
          <w:spacing w:val="-1"/>
          <w:sz w:val="24"/>
          <w:szCs w:val="24"/>
        </w:rPr>
        <w:t>中标人与采购人签订合同后，合同双方应严格执行合同条款，履行合同规定的</w:t>
      </w:r>
      <w:r>
        <w:rPr>
          <w:spacing w:val="-2"/>
          <w:sz w:val="24"/>
          <w:szCs w:val="24"/>
        </w:rPr>
        <w:t>义务，保证合同的顺利完成。</w:t>
      </w:r>
    </w:p>
    <w:p w14:paraId="79885719">
      <w:pPr>
        <w:pStyle w:val="7"/>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4"/>
        <w:textAlignment w:val="baseline"/>
        <w:rPr>
          <w:sz w:val="24"/>
          <w:szCs w:val="24"/>
        </w:rPr>
      </w:pPr>
      <w:r>
        <w:rPr>
          <w:spacing w:val="1"/>
          <w:sz w:val="24"/>
          <w:szCs w:val="24"/>
        </w:rPr>
        <w:t>在合同履行过程中，如发生合同纠纷，合同双方应按照《中华人民共和国民</w:t>
      </w:r>
      <w:r>
        <w:rPr>
          <w:sz w:val="24"/>
          <w:szCs w:val="24"/>
        </w:rPr>
        <w:t>法典》的</w:t>
      </w:r>
      <w:r>
        <w:rPr>
          <w:spacing w:val="-2"/>
          <w:sz w:val="24"/>
          <w:szCs w:val="24"/>
        </w:rPr>
        <w:t>有关规定进行处理。</w:t>
      </w:r>
    </w:p>
    <w:p w14:paraId="241F2BF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5"/>
        <w:jc w:val="both"/>
        <w:textAlignment w:val="baseline"/>
        <w:rPr>
          <w:sz w:val="24"/>
          <w:szCs w:val="24"/>
        </w:rPr>
      </w:pPr>
      <w:r>
        <w:rPr>
          <w:b/>
          <w:bCs/>
          <w:spacing w:val="1"/>
          <w:sz w:val="24"/>
          <w:szCs w:val="24"/>
        </w:rPr>
        <w:t>验收：</w:t>
      </w:r>
      <w:r>
        <w:rPr>
          <w:spacing w:val="1"/>
          <w:sz w:val="24"/>
          <w:szCs w:val="24"/>
        </w:rPr>
        <w:t>采购人应当及时对采购项目进行验收。采购人可以邀</w:t>
      </w:r>
      <w:r>
        <w:rPr>
          <w:sz w:val="24"/>
          <w:szCs w:val="24"/>
        </w:rPr>
        <w:t>请参加本项目的其他投标</w:t>
      </w:r>
      <w:r>
        <w:rPr>
          <w:spacing w:val="1"/>
          <w:sz w:val="24"/>
          <w:szCs w:val="24"/>
        </w:rPr>
        <w:t>人或者第三方机构参与验收。参与验收的投标人或者第三方机构的</w:t>
      </w:r>
      <w:r>
        <w:rPr>
          <w:sz w:val="24"/>
          <w:szCs w:val="24"/>
        </w:rPr>
        <w:t>意见作为验收书的参考</w:t>
      </w:r>
      <w:r>
        <w:rPr>
          <w:spacing w:val="-3"/>
          <w:sz w:val="24"/>
          <w:szCs w:val="24"/>
        </w:rPr>
        <w:t>资料一并存档。</w:t>
      </w:r>
    </w:p>
    <w:p w14:paraId="4E8548B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b/>
          <w:bCs/>
          <w:spacing w:val="-10"/>
        </w:rPr>
        <w:t>九、其他</w:t>
      </w:r>
    </w:p>
    <w:p w14:paraId="4B4126D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5"/>
          <w:sz w:val="24"/>
          <w:szCs w:val="24"/>
        </w:rPr>
      </w:pPr>
      <w:r>
        <w:rPr>
          <w:sz w:val="24"/>
          <w:szCs w:val="24"/>
        </w:rPr>
        <w:t>中标后招标文件和投标文件未尽事宜另行商定。本招标文件由采购人及招标代理公司</w:t>
      </w:r>
      <w:r>
        <w:rPr>
          <w:spacing w:val="-5"/>
          <w:sz w:val="24"/>
          <w:szCs w:val="24"/>
        </w:rPr>
        <w:t>负责解释。</w:t>
      </w:r>
    </w:p>
    <w:p w14:paraId="42A3364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pPr>
      <w:r>
        <w:rPr>
          <w:b/>
          <w:bCs/>
          <w:spacing w:val="-6"/>
        </w:rPr>
        <w:t>十、澄清与质疑</w:t>
      </w:r>
    </w:p>
    <w:p w14:paraId="48AA90F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sz w:val="24"/>
          <w:szCs w:val="24"/>
        </w:rPr>
      </w:pPr>
      <w:r>
        <w:rPr>
          <w:b/>
          <w:bCs/>
          <w:spacing w:val="-5"/>
          <w:sz w:val="24"/>
          <w:szCs w:val="24"/>
        </w:rPr>
        <w:t>（一）综合说明</w:t>
      </w:r>
    </w:p>
    <w:p w14:paraId="252DF7EB">
      <w:pPr>
        <w:pStyle w:val="7"/>
        <w:keepNext w:val="0"/>
        <w:keepLines w:val="0"/>
        <w:pageBreakBefore w:val="0"/>
        <w:widowControl/>
        <w:kinsoku w:val="0"/>
        <w:wordWrap/>
        <w:overflowPunct/>
        <w:topLinePunct w:val="0"/>
        <w:autoSpaceDE w:val="0"/>
        <w:autoSpaceDN w:val="0"/>
        <w:bidi w:val="0"/>
        <w:adjustRightInd w:val="0"/>
        <w:snapToGrid w:val="0"/>
        <w:spacing w:line="359" w:lineRule="auto"/>
        <w:ind w:left="0" w:firstLine="479"/>
        <w:jc w:val="both"/>
        <w:textAlignment w:val="baseline"/>
        <w:rPr>
          <w:sz w:val="24"/>
          <w:szCs w:val="24"/>
        </w:rPr>
      </w:pPr>
      <w:r>
        <w:rPr>
          <w:spacing w:val="1"/>
          <w:sz w:val="24"/>
          <w:szCs w:val="24"/>
        </w:rPr>
        <w:t>投标人对政府采购活动事项有疑问的，可以向采购人和招标代理公司提出询问</w:t>
      </w:r>
      <w:r>
        <w:rPr>
          <w:sz w:val="24"/>
          <w:szCs w:val="24"/>
        </w:rPr>
        <w:t>，采购</w:t>
      </w:r>
      <w:r>
        <w:rPr>
          <w:spacing w:val="1"/>
          <w:sz w:val="24"/>
          <w:szCs w:val="24"/>
        </w:rPr>
        <w:t>人和招标代理公司应当及时予以答复，但答复的内容不得涉及商业秘密。投</w:t>
      </w:r>
      <w:r>
        <w:rPr>
          <w:sz w:val="24"/>
          <w:szCs w:val="24"/>
        </w:rPr>
        <w:t>标人认为招标</w:t>
      </w:r>
      <w:r>
        <w:rPr>
          <w:spacing w:val="1"/>
          <w:sz w:val="24"/>
          <w:szCs w:val="24"/>
        </w:rPr>
        <w:t>文件、招标过程或中标结果使自己权益受到损害的，可以在规定期限内，以书面</w:t>
      </w:r>
      <w:r>
        <w:rPr>
          <w:sz w:val="24"/>
          <w:szCs w:val="24"/>
        </w:rPr>
        <w:t>形式向采</w:t>
      </w:r>
      <w:r>
        <w:rPr>
          <w:spacing w:val="-4"/>
          <w:sz w:val="24"/>
          <w:szCs w:val="24"/>
        </w:rPr>
        <w:t>购人提出质疑。投标人质疑实行实名制，质疑应当有事实根据，不得进行虚假、恶意质疑，</w:t>
      </w:r>
      <w:r>
        <w:rPr>
          <w:spacing w:val="-2"/>
          <w:sz w:val="24"/>
          <w:szCs w:val="24"/>
        </w:rPr>
        <w:t>干扰政府采购正常工作秩序。</w:t>
      </w:r>
    </w:p>
    <w:p w14:paraId="50679B76">
      <w:pPr>
        <w:pStyle w:val="7"/>
        <w:spacing w:line="363" w:lineRule="auto"/>
        <w:ind w:left="7" w:right="65" w:firstLine="230"/>
        <w:rPr>
          <w:sz w:val="24"/>
          <w:szCs w:val="24"/>
        </w:rPr>
      </w:pPr>
      <w:r>
        <w:rPr>
          <w:b/>
          <w:bCs/>
          <w:spacing w:val="-2"/>
          <w:sz w:val="24"/>
          <w:szCs w:val="24"/>
        </w:rPr>
        <w:t>（二）澄清或质疑答复按照：</w:t>
      </w:r>
      <w:r>
        <w:rPr>
          <w:spacing w:val="-2"/>
          <w:sz w:val="24"/>
          <w:szCs w:val="24"/>
        </w:rPr>
        <w:t>中华人民共和国财政部令第94</w:t>
      </w:r>
      <w:r>
        <w:rPr>
          <w:spacing w:val="-39"/>
          <w:sz w:val="24"/>
          <w:szCs w:val="24"/>
        </w:rPr>
        <w:t xml:space="preserve"> </w:t>
      </w:r>
      <w:r>
        <w:rPr>
          <w:spacing w:val="-2"/>
          <w:sz w:val="24"/>
          <w:szCs w:val="24"/>
        </w:rPr>
        <w:t>号—政府采购质疑和投诉办</w:t>
      </w:r>
      <w:r>
        <w:rPr>
          <w:sz w:val="24"/>
          <w:szCs w:val="24"/>
        </w:rPr>
        <w:t>法</w:t>
      </w:r>
    </w:p>
    <w:p w14:paraId="4A13587B">
      <w:pPr>
        <w:spacing w:line="363" w:lineRule="auto"/>
        <w:rPr>
          <w:sz w:val="24"/>
          <w:szCs w:val="24"/>
        </w:rPr>
        <w:sectPr>
          <w:footerReference r:id="rId8" w:type="default"/>
          <w:pgSz w:w="11905" w:h="16838"/>
          <w:pgMar w:top="1440" w:right="1803" w:bottom="1440" w:left="1803" w:header="0" w:footer="975" w:gutter="0"/>
          <w:pgNumType w:fmt="decimal"/>
          <w:cols w:space="0" w:num="1"/>
          <w:rtlGutter w:val="0"/>
          <w:docGrid w:linePitch="0" w:charSpace="0"/>
        </w:sectPr>
      </w:pPr>
    </w:p>
    <w:p w14:paraId="79B2354C">
      <w:pPr>
        <w:pStyle w:val="7"/>
        <w:spacing w:before="49" w:line="360" w:lineRule="auto"/>
        <w:jc w:val="center"/>
        <w:outlineLvl w:val="0"/>
        <w:rPr>
          <w:sz w:val="36"/>
          <w:szCs w:val="36"/>
          <w:highlight w:val="none"/>
        </w:rPr>
      </w:pPr>
      <w:bookmarkStart w:id="4" w:name="_Toc1195"/>
      <w:r>
        <w:rPr>
          <w:b/>
          <w:bCs/>
          <w:spacing w:val="-8"/>
          <w:sz w:val="36"/>
          <w:szCs w:val="36"/>
          <w:highlight w:val="none"/>
        </w:rPr>
        <w:t>第四章</w:t>
      </w:r>
      <w:r>
        <w:rPr>
          <w:spacing w:val="8"/>
          <w:sz w:val="36"/>
          <w:szCs w:val="36"/>
          <w:highlight w:val="none"/>
        </w:rPr>
        <w:t xml:space="preserve">  </w:t>
      </w:r>
      <w:r>
        <w:rPr>
          <w:rFonts w:hint="eastAsia"/>
          <w:b/>
          <w:bCs/>
          <w:spacing w:val="-8"/>
          <w:sz w:val="36"/>
          <w:szCs w:val="36"/>
          <w:highlight w:val="none"/>
          <w:lang w:val="en-US" w:eastAsia="zh-CN"/>
        </w:rPr>
        <w:t>采购</w:t>
      </w:r>
      <w:r>
        <w:rPr>
          <w:b/>
          <w:bCs/>
          <w:spacing w:val="-8"/>
          <w:sz w:val="36"/>
          <w:szCs w:val="36"/>
          <w:highlight w:val="none"/>
        </w:rPr>
        <w:t>需求</w:t>
      </w:r>
      <w:bookmarkEnd w:id="4"/>
    </w:p>
    <w:p w14:paraId="75B0023B">
      <w:pPr>
        <w:pStyle w:val="18"/>
        <w:keepNext w:val="0"/>
        <w:keepLines w:val="0"/>
        <w:pageBreakBefore w:val="0"/>
        <w:kinsoku/>
        <w:overflowPunct/>
        <w:topLinePunct w:val="0"/>
        <w:bidi w:val="0"/>
        <w:adjustRightInd/>
        <w:snapToGrid/>
        <w:spacing w:line="288" w:lineRule="auto"/>
        <w:ind w:left="0" w:leftChars="0" w:firstLine="0" w:firstLineChars="0"/>
        <w:textAlignment w:val="auto"/>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eastAsia="zh-CN"/>
        </w:rPr>
        <w:t xml:space="preserve">一、有关说明 </w:t>
      </w:r>
    </w:p>
    <w:p w14:paraId="5948345C">
      <w:pPr>
        <w:pStyle w:val="18"/>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eastAsia="zh-CN"/>
        </w:rPr>
        <w:t xml:space="preserve">(一)投标人须对本项目的采购标的进行整体投标，不得缺漏，任何只对本项目采购标的其中一部分内容、数量进行的投标都被视为无效投标。 </w:t>
      </w:r>
    </w:p>
    <w:p w14:paraId="016F5509">
      <w:pPr>
        <w:keepNext w:val="0"/>
        <w:keepLines w:val="0"/>
        <w:pageBreakBefore w:val="0"/>
        <w:widowControl/>
        <w:suppressLineNumbers w:val="0"/>
        <w:kinsoku/>
        <w:overflowPunct/>
        <w:topLinePunct w:val="0"/>
        <w:bidi w:val="0"/>
        <w:adjustRightInd/>
        <w:snapToGrid/>
        <w:spacing w:line="288"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(二)采购需求中标注“★”号条款为重要条款，其他为一般技术条款，负偏离扣除相应的分数。 </w:t>
      </w:r>
    </w:p>
    <w:p w14:paraId="187ACCFB">
      <w:pPr>
        <w:keepNext w:val="0"/>
        <w:keepLines w:val="0"/>
        <w:pageBreakBefore w:val="0"/>
        <w:widowControl/>
        <w:suppressLineNumbers w:val="0"/>
        <w:kinsoku/>
        <w:overflowPunct/>
        <w:topLinePunct w:val="0"/>
        <w:bidi w:val="0"/>
        <w:adjustRightInd/>
        <w:snapToGrid/>
        <w:spacing w:line="288" w:lineRule="auto"/>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二、项目基本情况</w:t>
      </w:r>
    </w:p>
    <w:tbl>
      <w:tblPr>
        <w:tblStyle w:val="19"/>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1711"/>
        <w:gridCol w:w="2516"/>
        <w:gridCol w:w="796"/>
        <w:gridCol w:w="1416"/>
        <w:gridCol w:w="1445"/>
        <w:gridCol w:w="1320"/>
      </w:tblGrid>
      <w:tr w14:paraId="17F5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88" w:type="dxa"/>
            <w:noWrap w:val="0"/>
            <w:vAlign w:val="center"/>
          </w:tcPr>
          <w:p w14:paraId="04F02816">
            <w:pPr>
              <w:keepNext w:val="0"/>
              <w:keepLines w:val="0"/>
              <w:widowControl/>
              <w:suppressLineNumbers w:val="0"/>
              <w:autoSpaceDE w:val="0"/>
              <w:autoSpaceDN w:val="0"/>
              <w:spacing w:before="0" w:beforeAutospacing="0" w:after="0" w:afterAutospacing="0"/>
              <w:ind w:left="0" w:right="0"/>
              <w:jc w:val="center"/>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0"/>
                <w:sz w:val="24"/>
                <w:szCs w:val="24"/>
                <w:highlight w:val="none"/>
                <w:lang w:val="en-US" w:bidi="zh-CN"/>
              </w:rPr>
              <w:t>标项号</w:t>
            </w:r>
          </w:p>
        </w:tc>
        <w:tc>
          <w:tcPr>
            <w:tcW w:w="1711" w:type="dxa"/>
            <w:noWrap w:val="0"/>
            <w:vAlign w:val="center"/>
          </w:tcPr>
          <w:p w14:paraId="7F60B27E">
            <w:pPr>
              <w:keepNext w:val="0"/>
              <w:keepLines w:val="0"/>
              <w:widowControl/>
              <w:suppressLineNumbers w:val="0"/>
              <w:autoSpaceDE w:val="0"/>
              <w:autoSpaceDN w:val="0"/>
              <w:spacing w:before="0" w:beforeAutospacing="0" w:after="0" w:afterAutospacing="0"/>
              <w:ind w:left="0" w:right="0"/>
              <w:jc w:val="center"/>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0"/>
                <w:sz w:val="24"/>
                <w:szCs w:val="24"/>
                <w:highlight w:val="none"/>
                <w:lang w:val="en-US" w:bidi="zh-CN"/>
              </w:rPr>
              <w:t>标项名称</w:t>
            </w:r>
          </w:p>
        </w:tc>
        <w:tc>
          <w:tcPr>
            <w:tcW w:w="2516" w:type="dxa"/>
            <w:noWrap w:val="0"/>
            <w:vAlign w:val="center"/>
          </w:tcPr>
          <w:p w14:paraId="30F47B5F">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采购内容</w:t>
            </w:r>
          </w:p>
        </w:tc>
        <w:tc>
          <w:tcPr>
            <w:tcW w:w="796" w:type="dxa"/>
            <w:noWrap w:val="0"/>
            <w:vAlign w:val="center"/>
          </w:tcPr>
          <w:p w14:paraId="12CA0476">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数量</w:t>
            </w:r>
          </w:p>
        </w:tc>
        <w:tc>
          <w:tcPr>
            <w:tcW w:w="1416" w:type="dxa"/>
            <w:noWrap w:val="0"/>
            <w:vAlign w:val="center"/>
          </w:tcPr>
          <w:p w14:paraId="72FA9A69">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采购预算</w:t>
            </w:r>
          </w:p>
          <w:p w14:paraId="432F1519">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（人民币/元）</w:t>
            </w:r>
          </w:p>
        </w:tc>
        <w:tc>
          <w:tcPr>
            <w:tcW w:w="1445" w:type="dxa"/>
            <w:noWrap w:val="0"/>
            <w:vAlign w:val="center"/>
          </w:tcPr>
          <w:p w14:paraId="60E1584C">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供货期限</w:t>
            </w:r>
          </w:p>
        </w:tc>
        <w:tc>
          <w:tcPr>
            <w:tcW w:w="1320" w:type="dxa"/>
            <w:noWrap w:val="0"/>
            <w:vAlign w:val="center"/>
          </w:tcPr>
          <w:p w14:paraId="34E16265">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r>
      <w:tr w14:paraId="28BC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4" w:hRule="atLeast"/>
          <w:jc w:val="center"/>
        </w:trPr>
        <w:tc>
          <w:tcPr>
            <w:tcW w:w="588" w:type="dxa"/>
            <w:noWrap w:val="0"/>
            <w:vAlign w:val="center"/>
          </w:tcPr>
          <w:p w14:paraId="7BB312E9">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p>
        </w:tc>
        <w:tc>
          <w:tcPr>
            <w:tcW w:w="1711" w:type="dxa"/>
            <w:noWrap w:val="0"/>
            <w:vAlign w:val="center"/>
          </w:tcPr>
          <w:p w14:paraId="7A73EE68">
            <w:pPr>
              <w:keepNext w:val="0"/>
              <w:keepLines w:val="0"/>
              <w:widowControl/>
              <w:suppressLineNumbers w:val="0"/>
              <w:autoSpaceDE/>
              <w:autoSpaceDN/>
              <w:spacing w:before="0" w:beforeAutospacing="0" w:after="0" w:afterAutospacing="0" w:line="360" w:lineRule="exact"/>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乌鲁木齐市第十二中学（乌鲁木齐市外国语学校）理化生实验室实验用仪器设备项目</w:t>
            </w:r>
          </w:p>
        </w:tc>
        <w:tc>
          <w:tcPr>
            <w:tcW w:w="2516" w:type="dxa"/>
            <w:noWrap w:val="0"/>
            <w:vAlign w:val="center"/>
          </w:tcPr>
          <w:p w14:paraId="5DFFAC7C">
            <w:pPr>
              <w:keepNext w:val="0"/>
              <w:keepLines w:val="0"/>
              <w:widowControl/>
              <w:suppressLineNumbers w:val="0"/>
              <w:autoSpaceDE/>
              <w:autoSpaceDN/>
              <w:spacing w:before="0" w:beforeAutospacing="0" w:after="0" w:afterAutospacing="0" w:line="360" w:lineRule="exact"/>
              <w:ind w:left="0" w:right="0"/>
              <w:jc w:val="center"/>
              <w:rPr>
                <w:rFonts w:hint="eastAsia" w:ascii="仿宋" w:hAnsi="仿宋" w:eastAsia="仿宋" w:cs="仿宋"/>
                <w:color w:val="auto"/>
                <w:kern w:val="0"/>
                <w:sz w:val="24"/>
                <w:szCs w:val="24"/>
                <w:highlight w:val="none"/>
                <w:lang w:val="en-US" w:bidi="zh-CN"/>
              </w:rPr>
            </w:pPr>
            <w:r>
              <w:rPr>
                <w:rFonts w:hint="eastAsia" w:ascii="仿宋" w:hAnsi="仿宋" w:eastAsia="仿宋" w:cs="仿宋"/>
                <w:color w:val="auto"/>
                <w:kern w:val="0"/>
                <w:sz w:val="24"/>
                <w:szCs w:val="24"/>
                <w:highlight w:val="none"/>
                <w:lang w:val="en-US" w:eastAsia="zh-CN" w:bidi="zh-CN"/>
              </w:rPr>
              <w:t>乌鲁木齐市第十二中学采购一批理化实验室仪器设备，具体要求详见招标文件。</w:t>
            </w:r>
          </w:p>
          <w:p w14:paraId="2198D43E">
            <w:pPr>
              <w:keepNext w:val="0"/>
              <w:keepLines w:val="0"/>
              <w:widowControl/>
              <w:suppressLineNumbers w:val="0"/>
              <w:autoSpaceDE/>
              <w:autoSpaceDN/>
              <w:spacing w:before="0" w:beforeAutospacing="0" w:after="0" w:afterAutospacing="0" w:line="360" w:lineRule="exact"/>
              <w:ind w:left="0" w:right="0"/>
              <w:jc w:val="center"/>
              <w:rPr>
                <w:rFonts w:hint="eastAsia" w:ascii="仿宋" w:hAnsi="仿宋" w:eastAsia="仿宋" w:cs="仿宋"/>
                <w:color w:val="auto"/>
                <w:kern w:val="0"/>
                <w:sz w:val="24"/>
                <w:szCs w:val="24"/>
                <w:highlight w:val="none"/>
                <w:lang w:val="en-US" w:bidi="zh-CN"/>
              </w:rPr>
            </w:pPr>
          </w:p>
        </w:tc>
        <w:tc>
          <w:tcPr>
            <w:tcW w:w="796" w:type="dxa"/>
            <w:noWrap w:val="0"/>
            <w:vAlign w:val="center"/>
          </w:tcPr>
          <w:p w14:paraId="349630C1">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1批</w:t>
            </w:r>
          </w:p>
        </w:tc>
        <w:tc>
          <w:tcPr>
            <w:tcW w:w="1416" w:type="dxa"/>
            <w:noWrap w:val="0"/>
            <w:vAlign w:val="center"/>
          </w:tcPr>
          <w:p w14:paraId="4F44B292">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0" w:firstLineChars="0"/>
              <w:jc w:val="center"/>
              <w:textAlignment w:val="auto"/>
              <w:rPr>
                <w:rFonts w:hint="default" w:ascii="仿宋" w:hAnsi="仿宋" w:eastAsia="仿宋" w:cs="仿宋"/>
                <w:color w:val="auto"/>
                <w:kern w:val="2"/>
                <w:sz w:val="24"/>
                <w:szCs w:val="24"/>
                <w:highlight w:val="none"/>
                <w:lang w:val="en-US" w:bidi="ar-SA"/>
              </w:rPr>
            </w:pPr>
            <w:r>
              <w:rPr>
                <w:rFonts w:hint="default" w:ascii="仿宋" w:hAnsi="仿宋" w:eastAsia="仿宋" w:cs="仿宋"/>
                <w:color w:val="auto"/>
                <w:kern w:val="2"/>
                <w:sz w:val="24"/>
                <w:szCs w:val="24"/>
                <w:highlight w:val="none"/>
                <w:lang w:val="en-US" w:eastAsia="zh-CN" w:bidi="ar-SA"/>
              </w:rPr>
              <w:t>179124.1</w:t>
            </w:r>
          </w:p>
        </w:tc>
        <w:tc>
          <w:tcPr>
            <w:tcW w:w="1445" w:type="dxa"/>
            <w:noWrap w:val="0"/>
            <w:vAlign w:val="center"/>
          </w:tcPr>
          <w:p w14:paraId="1A67EC96">
            <w:pPr>
              <w:keepNext w:val="0"/>
              <w:keepLines w:val="0"/>
              <w:widowControl/>
              <w:suppressLineNumbers w:val="0"/>
              <w:autoSpaceDE/>
              <w:autoSpaceDN/>
              <w:snapToGrid w:val="0"/>
              <w:spacing w:before="0" w:beforeAutospacing="0" w:after="0" w:afterAutospacing="0" w:line="360" w:lineRule="exact"/>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自合同签订之日起20日内到货</w:t>
            </w:r>
          </w:p>
        </w:tc>
        <w:tc>
          <w:tcPr>
            <w:tcW w:w="1320" w:type="dxa"/>
            <w:noWrap w:val="0"/>
            <w:vAlign w:val="center"/>
          </w:tcPr>
          <w:p w14:paraId="682EB85B">
            <w:pPr>
              <w:keepNext w:val="0"/>
              <w:keepLines w:val="0"/>
              <w:widowControl/>
              <w:suppressLineNumbers w:val="0"/>
              <w:autoSpaceDE/>
              <w:autoSpaceDN/>
              <w:snapToGrid w:val="0"/>
              <w:spacing w:before="0" w:beforeAutospacing="0" w:after="0" w:afterAutospacing="0" w:line="360" w:lineRule="exact"/>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自验收合格正常使用之日起质保3年</w:t>
            </w:r>
          </w:p>
        </w:tc>
      </w:tr>
    </w:tbl>
    <w:p w14:paraId="0FDBE538">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项目编号：XJCY2026-HWCG005</w:t>
      </w:r>
    </w:p>
    <w:p w14:paraId="3417C993">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437" w:leftChars="208" w:right="0" w:firstLine="0" w:firstLineChars="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b w:val="0"/>
          <w:bCs w:val="0"/>
          <w:color w:val="auto"/>
          <w:kern w:val="2"/>
          <w:sz w:val="24"/>
          <w:szCs w:val="24"/>
          <w:highlight w:val="none"/>
          <w:lang w:val="en-US" w:eastAsia="zh-CN" w:bidi="ar-SA"/>
        </w:rPr>
        <w:t>项目名称：</w:t>
      </w:r>
      <w:r>
        <w:rPr>
          <w:rFonts w:hint="eastAsia" w:ascii="仿宋" w:hAnsi="仿宋" w:eastAsia="仿宋" w:cs="仿宋"/>
          <w:color w:val="auto"/>
          <w:kern w:val="2"/>
          <w:sz w:val="24"/>
          <w:szCs w:val="24"/>
          <w:highlight w:val="none"/>
          <w:lang w:val="en-US" w:bidi="ar-SA"/>
        </w:rPr>
        <w:t>乌鲁木齐市第十二中学（乌鲁木齐市外国语学校）理化生实验室实验用仪器设备项目</w:t>
      </w:r>
    </w:p>
    <w:p w14:paraId="2611668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437" w:leftChars="208" w:right="0" w:firstLine="0" w:firstLineChars="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采购方式：公开招标</w:t>
      </w:r>
    </w:p>
    <w:p w14:paraId="173EC646">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预算金额（元）：</w:t>
      </w:r>
      <w:r>
        <w:rPr>
          <w:rFonts w:hint="eastAsia" w:ascii="仿宋" w:hAnsi="仿宋" w:eastAsia="仿宋" w:cs="仿宋"/>
          <w:spacing w:val="-3"/>
          <w:sz w:val="24"/>
          <w:szCs w:val="24"/>
          <w:lang w:val="en-US" w:eastAsia="zh-CN"/>
        </w:rPr>
        <w:t>179124.1</w:t>
      </w:r>
    </w:p>
    <w:p w14:paraId="3FDCBD42">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采购需求：（包括但不限于标的的名称、数量、简要技术需求或服务要求等）</w:t>
      </w:r>
    </w:p>
    <w:p w14:paraId="4C70B57F">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1.标的名称、数量及技术需求或服务要求等：详见采购需求；</w:t>
      </w:r>
    </w:p>
    <w:p w14:paraId="70F49F52">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2.项目属性：货物类</w:t>
      </w:r>
    </w:p>
    <w:p w14:paraId="7F8BB6E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3.数量：1批</w:t>
      </w:r>
    </w:p>
    <w:p w14:paraId="3BF43DA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4.最高限价：17.91241万元</w:t>
      </w:r>
    </w:p>
    <w:p w14:paraId="7359EC84">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5.落实的政府采购政策</w:t>
      </w:r>
    </w:p>
    <w:p w14:paraId="3AACBE9E">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财政部关于进一步加大政府采购支持中小企业力度的通知》（财库【2022】19号）等。本项目中小企业划分标准所属行业为：</w:t>
      </w:r>
      <w:r>
        <w:rPr>
          <w:rFonts w:hint="eastAsia" w:ascii="仿宋" w:hAnsi="仿宋" w:eastAsia="仿宋" w:cs="仿宋"/>
          <w:b/>
          <w:bCs/>
          <w:color w:val="auto"/>
          <w:kern w:val="2"/>
          <w:sz w:val="24"/>
          <w:szCs w:val="24"/>
          <w:highlight w:val="none"/>
          <w:lang w:val="en-US" w:eastAsia="zh-CN" w:bidi="ar-SA"/>
        </w:rPr>
        <w:t>工业（制造业）</w:t>
      </w:r>
      <w:r>
        <w:rPr>
          <w:rFonts w:hint="eastAsia" w:ascii="仿宋" w:hAnsi="仿宋" w:eastAsia="仿宋" w:cs="仿宋"/>
          <w:b w:val="0"/>
          <w:bCs w:val="0"/>
          <w:color w:val="auto"/>
          <w:kern w:val="2"/>
          <w:sz w:val="24"/>
          <w:szCs w:val="24"/>
          <w:highlight w:val="none"/>
          <w:lang w:val="en-US" w:eastAsia="zh-CN" w:bidi="ar-SA"/>
        </w:rPr>
        <w:t>。</w:t>
      </w:r>
    </w:p>
    <w:p w14:paraId="4BCA6E00">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仿宋" w:hAnsi="仿宋" w:eastAsia="仿宋" w:cs="仿宋"/>
          <w:b w:val="0"/>
          <w:bCs w:val="0"/>
          <w:i w:val="0"/>
          <w:iCs w:val="0"/>
          <w:caps w:val="0"/>
          <w:smallCaps w:val="0"/>
          <w:color w:val="auto"/>
          <w:spacing w:val="0"/>
          <w:kern w:val="0"/>
          <w:position w:val="0"/>
          <w:sz w:val="24"/>
          <w:szCs w:val="24"/>
          <w:highlight w:val="non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6.项目概况</w:t>
      </w:r>
      <w:bookmarkStart w:id="5" w:name="_Toc32075"/>
      <w:bookmarkStart w:id="6" w:name="_Toc27188"/>
      <w:bookmarkStart w:id="7" w:name="_Toc16045"/>
      <w:bookmarkStart w:id="8" w:name="_Toc40198987"/>
      <w:bookmarkStart w:id="9" w:name="_Toc1905"/>
      <w:bookmarkStart w:id="10" w:name="_Toc8903"/>
      <w:bookmarkStart w:id="11" w:name="_Toc22961"/>
      <w:bookmarkStart w:id="12" w:name="_Toc26469"/>
    </w:p>
    <w:bookmarkEnd w:id="5"/>
    <w:bookmarkEnd w:id="6"/>
    <w:bookmarkEnd w:id="7"/>
    <w:bookmarkEnd w:id="8"/>
    <w:bookmarkEnd w:id="9"/>
    <w:bookmarkEnd w:id="10"/>
    <w:bookmarkEnd w:id="11"/>
    <w:bookmarkEnd w:id="12"/>
    <w:p w14:paraId="6FCD471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乌鲁木齐市第十二中学采购一批理化实验室仪器设备，具体要求详见招标文件。</w:t>
      </w:r>
    </w:p>
    <w:p w14:paraId="3B0F0C8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en-US" w:bidi="ar-SA"/>
        </w:rPr>
        <w:t>、</w:t>
      </w:r>
      <w:r>
        <w:rPr>
          <w:rFonts w:hint="eastAsia" w:ascii="仿宋" w:hAnsi="仿宋" w:eastAsia="仿宋" w:cs="仿宋"/>
          <w:b/>
          <w:bCs/>
          <w:color w:val="auto"/>
          <w:kern w:val="2"/>
          <w:sz w:val="24"/>
          <w:szCs w:val="24"/>
          <w:highlight w:val="none"/>
          <w:lang w:val="en-US" w:eastAsia="zh-CN" w:bidi="ar-SA"/>
        </w:rPr>
        <w:t>采购标的供应服务须执行国家相关标准、行业标准、地方标准或者其他标准、规范和其他要求。</w:t>
      </w:r>
    </w:p>
    <w:p w14:paraId="42CA3F5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投标单位所提供的货物满足国家规定的质量保证要求，按照国家、行业的有关规定或原厂制造商承诺实行“三包”服务，达到国家现行质量标准和行业现行质量最新标准规定执行。</w:t>
      </w:r>
    </w:p>
    <w:p w14:paraId="4C471393">
      <w:pPr>
        <w:wordWrap w:val="0"/>
        <w:autoSpaceDE/>
        <w:autoSpaceDN/>
        <w:spacing w:line="360" w:lineRule="auto"/>
        <w:jc w:val="both"/>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eastAsia="zh-CN" w:bidi="ar-SA"/>
        </w:rPr>
        <w:t>四</w:t>
      </w:r>
      <w:r>
        <w:rPr>
          <w:rFonts w:hint="eastAsia" w:ascii="仿宋" w:hAnsi="仿宋" w:eastAsia="仿宋" w:cs="仿宋"/>
          <w:b/>
          <w:bCs/>
          <w:color w:val="auto"/>
          <w:kern w:val="2"/>
          <w:sz w:val="24"/>
          <w:szCs w:val="24"/>
          <w:highlight w:val="none"/>
          <w:lang w:val="en-US" w:bidi="ar-SA"/>
        </w:rPr>
        <w:t>、采购</w:t>
      </w:r>
      <w:r>
        <w:rPr>
          <w:rFonts w:hint="eastAsia" w:ascii="仿宋" w:hAnsi="仿宋" w:eastAsia="仿宋" w:cs="仿宋"/>
          <w:b/>
          <w:bCs/>
          <w:color w:val="auto"/>
          <w:kern w:val="2"/>
          <w:sz w:val="24"/>
          <w:szCs w:val="24"/>
          <w:highlight w:val="none"/>
          <w:lang w:val="en-US" w:eastAsia="zh-CN" w:bidi="ar-SA"/>
        </w:rPr>
        <w:t>需求的商务和技术标准要求</w:t>
      </w:r>
      <w:r>
        <w:rPr>
          <w:rFonts w:hint="eastAsia" w:ascii="仿宋" w:hAnsi="仿宋" w:eastAsia="仿宋" w:cs="仿宋"/>
          <w:b/>
          <w:bCs/>
          <w:color w:val="auto"/>
          <w:kern w:val="2"/>
          <w:sz w:val="24"/>
          <w:szCs w:val="24"/>
          <w:highlight w:val="none"/>
          <w:lang w:val="en-US" w:bidi="ar-SA"/>
        </w:rPr>
        <w:t>：</w:t>
      </w:r>
    </w:p>
    <w:p w14:paraId="0604140C">
      <w:pPr>
        <w:wordWrap w:val="0"/>
        <w:autoSpaceDE/>
        <w:autoSpaceDN/>
        <w:spacing w:line="360" w:lineRule="auto"/>
        <w:jc w:val="both"/>
        <w:rPr>
          <w:rFonts w:hint="eastAsia" w:ascii="仿宋" w:hAnsi="仿宋" w:eastAsia="仿宋" w:cs="仿宋"/>
          <w:color w:val="auto"/>
          <w:sz w:val="24"/>
          <w:szCs w:val="24"/>
          <w:lang w:val="en-US" w:eastAsia="zh-CN"/>
        </w:rPr>
      </w:pPr>
      <w:r>
        <w:rPr>
          <w:rFonts w:hint="eastAsia" w:ascii="仿宋" w:hAnsi="仿宋" w:eastAsia="仿宋" w:cs="仿宋"/>
          <w:b/>
          <w:bCs/>
          <w:color w:val="auto"/>
          <w:kern w:val="2"/>
          <w:sz w:val="24"/>
          <w:szCs w:val="24"/>
          <w:highlight w:val="none"/>
          <w:lang w:val="en-US" w:bidi="ar-SA"/>
        </w:rPr>
        <w:t>（</w:t>
      </w: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kern w:val="2"/>
          <w:sz w:val="24"/>
          <w:szCs w:val="24"/>
          <w:highlight w:val="none"/>
          <w:lang w:val="en-US" w:bidi="ar-SA"/>
        </w:rPr>
        <w:t>）商务要求：</w:t>
      </w:r>
    </w:p>
    <w:tbl>
      <w:tblPr>
        <w:tblStyle w:val="19"/>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320"/>
        <w:gridCol w:w="7546"/>
      </w:tblGrid>
      <w:tr w14:paraId="51D1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72" w:type="dxa"/>
            <w:noWrap w:val="0"/>
            <w:vAlign w:val="center"/>
          </w:tcPr>
          <w:p w14:paraId="5D372A70">
            <w:pPr>
              <w:keepNext w:val="0"/>
              <w:keepLines w:val="0"/>
              <w:widowControl/>
              <w:suppressLineNumbers w:val="0"/>
              <w:autoSpaceDE/>
              <w:autoSpaceDN/>
              <w:spacing w:before="0" w:beforeAutospacing="0" w:after="0" w:afterAutospacing="0"/>
              <w:ind w:left="0" w:right="0"/>
              <w:jc w:val="center"/>
              <w:rPr>
                <w:rFonts w:hint="eastAsia" w:ascii="仿宋" w:hAnsi="仿宋" w:eastAsia="仿宋" w:cs="仿宋"/>
                <w:b/>
                <w:bCs/>
                <w:color w:val="auto"/>
                <w:kern w:val="2"/>
                <w:sz w:val="24"/>
                <w:szCs w:val="24"/>
                <w:lang w:val="en-US" w:eastAsia="zh-CN" w:bidi="zh-CN"/>
              </w:rPr>
            </w:pPr>
            <w:r>
              <w:rPr>
                <w:rFonts w:hint="eastAsia" w:ascii="仿宋" w:hAnsi="仿宋" w:eastAsia="仿宋" w:cs="仿宋"/>
                <w:b/>
                <w:bCs/>
                <w:color w:val="auto"/>
                <w:kern w:val="2"/>
                <w:sz w:val="24"/>
                <w:szCs w:val="24"/>
                <w:lang w:val="en-US" w:eastAsia="zh-CN"/>
              </w:rPr>
              <w:t>序</w:t>
            </w:r>
            <w:r>
              <w:rPr>
                <w:rFonts w:hint="eastAsia" w:ascii="仿宋" w:hAnsi="仿宋" w:eastAsia="仿宋" w:cs="仿宋"/>
                <w:b/>
                <w:bCs/>
                <w:color w:val="auto"/>
                <w:kern w:val="2"/>
                <w:sz w:val="24"/>
                <w:szCs w:val="24"/>
                <w:lang w:val="en-US"/>
              </w:rPr>
              <w:t>号</w:t>
            </w:r>
          </w:p>
        </w:tc>
        <w:tc>
          <w:tcPr>
            <w:tcW w:w="1320" w:type="dxa"/>
            <w:noWrap w:val="0"/>
            <w:vAlign w:val="center"/>
          </w:tcPr>
          <w:p w14:paraId="3BC924EC">
            <w:pPr>
              <w:keepNext w:val="0"/>
              <w:keepLines w:val="0"/>
              <w:widowControl/>
              <w:suppressLineNumbers w:val="0"/>
              <w:autoSpaceDE/>
              <w:autoSpaceDN/>
              <w:spacing w:before="0" w:beforeAutospacing="0" w:after="0" w:afterAutospacing="0"/>
              <w:ind w:left="0" w:right="0"/>
              <w:jc w:val="center"/>
              <w:rPr>
                <w:rFonts w:hint="eastAsia" w:ascii="仿宋" w:hAnsi="仿宋" w:eastAsia="仿宋" w:cs="仿宋"/>
                <w:b/>
                <w:bCs/>
                <w:color w:val="auto"/>
                <w:kern w:val="2"/>
                <w:sz w:val="24"/>
                <w:szCs w:val="24"/>
                <w:lang w:val="en-US" w:eastAsia="zh-CN" w:bidi="zh-CN"/>
              </w:rPr>
            </w:pPr>
            <w:r>
              <w:rPr>
                <w:rFonts w:hint="eastAsia" w:ascii="仿宋" w:hAnsi="仿宋" w:eastAsia="仿宋" w:cs="仿宋"/>
                <w:b/>
                <w:bCs/>
                <w:color w:val="auto"/>
                <w:kern w:val="2"/>
                <w:sz w:val="24"/>
                <w:szCs w:val="24"/>
                <w:lang w:val="en-US"/>
              </w:rPr>
              <w:t>内容明细</w:t>
            </w:r>
          </w:p>
        </w:tc>
        <w:tc>
          <w:tcPr>
            <w:tcW w:w="7546" w:type="dxa"/>
            <w:noWrap w:val="0"/>
            <w:vAlign w:val="center"/>
          </w:tcPr>
          <w:p w14:paraId="5A632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b/>
                <w:bCs/>
                <w:color w:val="auto"/>
                <w:kern w:val="2"/>
                <w:sz w:val="24"/>
                <w:szCs w:val="24"/>
                <w:lang w:val="en-US" w:eastAsia="zh-CN" w:bidi="zh-CN"/>
              </w:rPr>
            </w:pPr>
            <w:r>
              <w:rPr>
                <w:rFonts w:hint="eastAsia" w:ascii="仿宋" w:hAnsi="仿宋" w:eastAsia="仿宋" w:cs="仿宋"/>
                <w:b/>
                <w:bCs/>
                <w:color w:val="auto"/>
                <w:kern w:val="2"/>
                <w:sz w:val="24"/>
                <w:szCs w:val="24"/>
                <w:lang w:val="en-US"/>
              </w:rPr>
              <w:t>内容说明</w:t>
            </w:r>
          </w:p>
        </w:tc>
      </w:tr>
      <w:tr w14:paraId="544B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72" w:type="dxa"/>
            <w:noWrap w:val="0"/>
            <w:vAlign w:val="center"/>
          </w:tcPr>
          <w:p w14:paraId="71AC5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20" w:type="dxa"/>
            <w:noWrap w:val="0"/>
            <w:vAlign w:val="center"/>
          </w:tcPr>
          <w:p w14:paraId="75857F25">
            <w:pPr>
              <w:keepNext w:val="0"/>
              <w:keepLines w:val="0"/>
              <w:pageBreakBefore w:val="0"/>
              <w:widowControl/>
              <w:suppressLineNumbers w:val="0"/>
              <w:shd w:val="clear" w:color="auto" w:fill="auto"/>
              <w:kinsoku/>
              <w:wordWrap/>
              <w:overflowPunct/>
              <w:topLinePunct w:val="0"/>
              <w:autoSpaceDE w:val="0"/>
              <w:autoSpaceDN w:val="0"/>
              <w:bidi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FF0000"/>
                <w:sz w:val="24"/>
                <w:szCs w:val="24"/>
                <w:highlight w:val="none"/>
                <w:lang w:val="en-US"/>
              </w:rPr>
            </w:pPr>
            <w:r>
              <w:rPr>
                <w:rFonts w:hint="eastAsia" w:ascii="仿宋" w:hAnsi="仿宋" w:eastAsia="仿宋" w:cs="仿宋"/>
                <w:color w:val="auto"/>
                <w:kern w:val="2"/>
                <w:sz w:val="24"/>
                <w:szCs w:val="24"/>
                <w:highlight w:val="none"/>
                <w:lang w:val="en-US" w:eastAsia="zh-CN" w:bidi="ar-SA"/>
              </w:rPr>
              <w:t>供货期限</w:t>
            </w:r>
          </w:p>
        </w:tc>
        <w:tc>
          <w:tcPr>
            <w:tcW w:w="7546" w:type="dxa"/>
            <w:noWrap w:val="0"/>
            <w:vAlign w:val="center"/>
          </w:tcPr>
          <w:p w14:paraId="23E12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自合同签订之日起20日内到货</w:t>
            </w:r>
          </w:p>
        </w:tc>
      </w:tr>
      <w:tr w14:paraId="3FC5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72" w:type="dxa"/>
            <w:noWrap w:val="0"/>
            <w:vAlign w:val="center"/>
          </w:tcPr>
          <w:p w14:paraId="3C417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20" w:type="dxa"/>
            <w:noWrap w:val="0"/>
            <w:vAlign w:val="center"/>
          </w:tcPr>
          <w:p w14:paraId="395A1458">
            <w:pPr>
              <w:keepNext w:val="0"/>
              <w:keepLines w:val="0"/>
              <w:widowControl/>
              <w:suppressLineNumbers w:val="0"/>
              <w:adjustRightInd w:val="0"/>
              <w:spacing w:before="0" w:beforeAutospacing="0" w:after="0" w:afterAutospacing="0" w:line="240" w:lineRule="auto"/>
              <w:ind w:left="0" w:right="0"/>
              <w:jc w:val="center"/>
              <w:rPr>
                <w:rFonts w:hint="eastAsia" w:ascii="仿宋" w:hAnsi="仿宋" w:eastAsia="仿宋" w:cs="仿宋"/>
                <w:b w:val="0"/>
                <w:bCs/>
                <w:color w:val="auto"/>
                <w:position w:val="-2"/>
                <w:sz w:val="24"/>
                <w:szCs w:val="24"/>
                <w:highlight w:val="none"/>
                <w:lang w:val="en-US" w:eastAsia="zh-CN" w:bidi="zh-CN"/>
              </w:rPr>
            </w:pPr>
            <w:r>
              <w:rPr>
                <w:rFonts w:hint="eastAsia" w:ascii="仿宋" w:hAnsi="仿宋" w:eastAsia="仿宋" w:cs="仿宋"/>
                <w:smallCaps w:val="0"/>
                <w:color w:val="auto"/>
                <w:spacing w:val="0"/>
                <w:w w:val="100"/>
                <w:kern w:val="0"/>
                <w:position w:val="0"/>
                <w:sz w:val="24"/>
                <w:szCs w:val="24"/>
                <w:highlight w:val="none"/>
                <w:lang w:val="en-US" w:eastAsia="zh-CN"/>
              </w:rPr>
              <w:t>质保期</w:t>
            </w:r>
          </w:p>
        </w:tc>
        <w:tc>
          <w:tcPr>
            <w:tcW w:w="7546" w:type="dxa"/>
            <w:noWrap w:val="0"/>
            <w:vAlign w:val="center"/>
          </w:tcPr>
          <w:p w14:paraId="5E1D397C">
            <w:pPr>
              <w:keepNext w:val="0"/>
              <w:keepLines w:val="0"/>
              <w:pageBreakBefore w:val="0"/>
              <w:widowControl/>
              <w:suppressLineNumbers w:val="0"/>
              <w:kinsoku/>
              <w:wordWrap/>
              <w:overflowPunct/>
              <w:topLinePunct w:val="0"/>
              <w:bidi w:val="0"/>
              <w:adjustRightInd w:val="0"/>
              <w:snapToGrid/>
              <w:spacing w:before="0" w:beforeAutospacing="0" w:after="0" w:afterAutospacing="0" w:line="288" w:lineRule="auto"/>
              <w:ind w:left="0" w:right="0"/>
              <w:jc w:val="both"/>
              <w:textAlignment w:val="auto"/>
              <w:rPr>
                <w:rFonts w:hint="eastAsia" w:ascii="仿宋" w:hAnsi="仿宋" w:eastAsia="仿宋" w:cs="仿宋"/>
                <w:b w:val="0"/>
                <w:bCs/>
                <w:color w:val="auto"/>
                <w:sz w:val="24"/>
                <w:szCs w:val="24"/>
                <w:highlight w:val="none"/>
                <w:lang w:val="en-US" w:eastAsia="zh-CN" w:bidi="zh-CN"/>
              </w:rPr>
            </w:pPr>
            <w:r>
              <w:rPr>
                <w:rFonts w:hint="eastAsia" w:ascii="仿宋" w:hAnsi="仿宋" w:eastAsia="仿宋" w:cs="仿宋"/>
                <w:color w:val="auto"/>
                <w:kern w:val="0"/>
                <w:sz w:val="24"/>
                <w:szCs w:val="24"/>
                <w:highlight w:val="none"/>
                <w:lang w:val="en-US" w:eastAsia="zh-CN"/>
              </w:rPr>
              <w:t>自验收合格正常使用之日起质保3年</w:t>
            </w:r>
          </w:p>
        </w:tc>
      </w:tr>
      <w:tr w14:paraId="116C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72" w:type="dxa"/>
            <w:noWrap w:val="0"/>
            <w:vAlign w:val="center"/>
          </w:tcPr>
          <w:p w14:paraId="0F9B3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20" w:type="dxa"/>
            <w:noWrap w:val="0"/>
            <w:vAlign w:val="center"/>
          </w:tcPr>
          <w:p w14:paraId="5C1CD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供货地点</w:t>
            </w:r>
          </w:p>
        </w:tc>
        <w:tc>
          <w:tcPr>
            <w:tcW w:w="7546" w:type="dxa"/>
            <w:noWrap w:val="0"/>
            <w:vAlign w:val="center"/>
          </w:tcPr>
          <w:p w14:paraId="41B8C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采购人指定地点</w:t>
            </w:r>
          </w:p>
        </w:tc>
      </w:tr>
      <w:tr w14:paraId="42A6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72" w:type="dxa"/>
            <w:noWrap w:val="0"/>
            <w:vAlign w:val="center"/>
          </w:tcPr>
          <w:p w14:paraId="2039D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20" w:type="dxa"/>
            <w:noWrap w:val="0"/>
            <w:vAlign w:val="center"/>
          </w:tcPr>
          <w:p w14:paraId="0CD0B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lang w:val="en-US"/>
              </w:rPr>
              <w:t xml:space="preserve">有效期 </w:t>
            </w:r>
          </w:p>
        </w:tc>
        <w:tc>
          <w:tcPr>
            <w:tcW w:w="7546" w:type="dxa"/>
            <w:noWrap w:val="0"/>
            <w:vAlign w:val="center"/>
          </w:tcPr>
          <w:p w14:paraId="54906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从提交投标文件的截止之日起</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lang w:val="en-US"/>
              </w:rPr>
              <w:t>日历天</w:t>
            </w:r>
          </w:p>
        </w:tc>
      </w:tr>
      <w:tr w14:paraId="0FB4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dxa"/>
            <w:noWrap w:val="0"/>
            <w:vAlign w:val="center"/>
          </w:tcPr>
          <w:p w14:paraId="7DBA5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20" w:type="dxa"/>
            <w:noWrap w:val="0"/>
            <w:vAlign w:val="center"/>
          </w:tcPr>
          <w:p w14:paraId="40A1B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rPr>
              <w:t>履约保证金</w:t>
            </w:r>
          </w:p>
        </w:tc>
        <w:tc>
          <w:tcPr>
            <w:tcW w:w="7546" w:type="dxa"/>
            <w:noWrap w:val="0"/>
            <w:vAlign w:val="center"/>
          </w:tcPr>
          <w:p w14:paraId="71EB2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rPr>
              <w:t>不收取</w:t>
            </w:r>
          </w:p>
        </w:tc>
      </w:tr>
      <w:tr w14:paraId="3DC2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noWrap w:val="0"/>
            <w:vAlign w:val="center"/>
          </w:tcPr>
          <w:p w14:paraId="64BAD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20" w:type="dxa"/>
            <w:noWrap w:val="0"/>
            <w:vAlign w:val="center"/>
          </w:tcPr>
          <w:p w14:paraId="604CE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付款方式</w:t>
            </w:r>
          </w:p>
        </w:tc>
        <w:tc>
          <w:tcPr>
            <w:tcW w:w="7546" w:type="dxa"/>
            <w:noWrap w:val="0"/>
            <w:vAlign w:val="center"/>
          </w:tcPr>
          <w:p w14:paraId="361D6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具体以实际签订合同为准</w:t>
            </w:r>
          </w:p>
        </w:tc>
      </w:tr>
      <w:tr w14:paraId="2F28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572" w:type="dxa"/>
            <w:noWrap w:val="0"/>
            <w:vAlign w:val="center"/>
          </w:tcPr>
          <w:p w14:paraId="5694F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20" w:type="dxa"/>
            <w:noWrap w:val="0"/>
            <w:vAlign w:val="center"/>
          </w:tcPr>
          <w:p w14:paraId="5F651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采购及安装要求</w:t>
            </w:r>
          </w:p>
        </w:tc>
        <w:tc>
          <w:tcPr>
            <w:tcW w:w="7546" w:type="dxa"/>
            <w:noWrap w:val="0"/>
            <w:vAlign w:val="center"/>
          </w:tcPr>
          <w:p w14:paraId="77881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所投货物（服务）在“分项报价”栏必须明确填报所投货物（服务）详细的型号配置及技术指标。所投货物（服务）总价中包括货物金额、安装调试费、包装费、运输费及运输途中保险费、装卸费及税金等，本合同价格一般不得做任何变更与调整 ，如出现任何遗漏内容需产生额外费用，均由中标单位自行承担，采购人将不再另支付任何费用。</w:t>
            </w:r>
          </w:p>
          <w:p w14:paraId="0AAC9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2.所有投标货物（服务）的生产、制造、安装等各项技术标准应当符合国家（强制性）标准、各项规范要求；国家没有相应标准、规范的，可使用行业标准、规定；非标设备按约定的技术要求和规范。</w:t>
            </w:r>
          </w:p>
          <w:p w14:paraId="1AFB4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3.质量保证：所投货物（服务）必须是全新的、未使用过的、原包装未拆封的正品商品，完全符合采购设备规定的质量、规格和性能的要求，投标方应保证其提供的货物（服务）在正确安装、正常使用和保养条件下，在规定的使用寿命期内具有满意的性能。产品质量、技术性能等有误导、虚假行为给采购人造成损失的责任由投标人承担。</w:t>
            </w:r>
          </w:p>
        </w:tc>
      </w:tr>
      <w:tr w14:paraId="7B64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72" w:type="dxa"/>
            <w:noWrap w:val="0"/>
            <w:vAlign w:val="center"/>
          </w:tcPr>
          <w:p w14:paraId="23D5F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320" w:type="dxa"/>
            <w:shd w:val="clear" w:color="auto" w:fill="auto"/>
            <w:noWrap w:val="0"/>
            <w:vAlign w:val="center"/>
          </w:tcPr>
          <w:p w14:paraId="27686F27">
            <w:pPr>
              <w:keepNext w:val="0"/>
              <w:keepLines w:val="0"/>
              <w:pageBreakBefore w:val="0"/>
              <w:widowControl/>
              <w:suppressLineNumbers w:val="0"/>
              <w:kinsoku/>
              <w:wordWrap/>
              <w:overflowPunct/>
              <w:topLinePunct w:val="0"/>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售后服务</w:t>
            </w:r>
          </w:p>
          <w:p w14:paraId="5705F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z w:val="24"/>
                <w:szCs w:val="24"/>
                <w:lang w:val="en-US" w:eastAsia="zh-CN"/>
              </w:rPr>
              <w:t>要求</w:t>
            </w:r>
          </w:p>
        </w:tc>
        <w:tc>
          <w:tcPr>
            <w:tcW w:w="7546" w:type="dxa"/>
            <w:shd w:val="clear" w:color="auto" w:fill="auto"/>
            <w:noWrap w:val="0"/>
            <w:vAlign w:val="center"/>
          </w:tcPr>
          <w:p w14:paraId="169B16F6">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firstLine="0" w:firstLineChars="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snapToGrid w:val="0"/>
                <w:color w:val="auto"/>
                <w:kern w:val="0"/>
                <w:sz w:val="24"/>
                <w:szCs w:val="24"/>
                <w:lang w:val="en-US" w:eastAsia="zh-CN" w:bidi="zh-CN"/>
              </w:rPr>
              <w:t>1.</w:t>
            </w:r>
            <w:r>
              <w:rPr>
                <w:rFonts w:hint="eastAsia" w:ascii="仿宋" w:hAnsi="仿宋" w:eastAsia="仿宋" w:cs="仿宋"/>
                <w:color w:val="auto"/>
                <w:sz w:val="24"/>
                <w:szCs w:val="24"/>
                <w:lang w:val="en-US" w:eastAsia="zh-CN" w:bidi="zh-CN"/>
              </w:rPr>
              <w:t>设有售后服务机构，以处理所有的售后维修服务，能够保证长期稳定的售后服务，并提供24小时服务。</w:t>
            </w:r>
          </w:p>
          <w:p w14:paraId="39F78C42">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jc w:val="both"/>
              <w:textAlignment w:val="auto"/>
              <w:rPr>
                <w:rFonts w:hint="eastAsia" w:ascii="仿宋" w:hAnsi="仿宋" w:eastAsia="仿宋" w:cs="仿宋"/>
                <w:snapToGrid w:val="0"/>
                <w:color w:val="auto"/>
                <w:kern w:val="0"/>
                <w:sz w:val="24"/>
                <w:szCs w:val="24"/>
                <w:lang w:val="en-US" w:eastAsia="zh-CN" w:bidi="zh-CN"/>
              </w:rPr>
            </w:pPr>
            <w:r>
              <w:rPr>
                <w:rFonts w:hint="eastAsia" w:ascii="仿宋" w:hAnsi="仿宋" w:eastAsia="仿宋" w:cs="仿宋"/>
                <w:color w:val="auto"/>
                <w:sz w:val="24"/>
                <w:szCs w:val="24"/>
                <w:lang w:val="en-US" w:eastAsia="zh-CN" w:bidi="zh-CN"/>
              </w:rPr>
              <w:t>2.投标单位须对合同中规定的产品，提供经测试、验收合格后至少3年的质保期，在此期间，因产品制造质量不良及安装造成的损坏（包括由此造成的甲方其它财物损失）而产生损坏或不能正常工作，投标单位应免费维修和正常保养。</w:t>
            </w:r>
          </w:p>
        </w:tc>
      </w:tr>
      <w:tr w14:paraId="678F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noWrap w:val="0"/>
            <w:vAlign w:val="center"/>
          </w:tcPr>
          <w:p w14:paraId="57B49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320" w:type="dxa"/>
            <w:shd w:val="clear" w:color="auto" w:fill="auto"/>
            <w:noWrap w:val="0"/>
            <w:vAlign w:val="center"/>
          </w:tcPr>
          <w:p w14:paraId="784A6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视频演示要求</w:t>
            </w:r>
          </w:p>
        </w:tc>
        <w:tc>
          <w:tcPr>
            <w:tcW w:w="7546" w:type="dxa"/>
            <w:shd w:val="clear" w:color="auto" w:fill="auto"/>
            <w:noWrap w:val="0"/>
            <w:vAlign w:val="center"/>
          </w:tcPr>
          <w:p w14:paraId="5C498ACD">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jc w:val="both"/>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开标当天通过资格和符合性审查的投标单位才能进入评审环节进行演示，投标单位需提前下载准备好腾讯会议软件，按文件要求时间进入会议室等候室等待通知，进入会议室后必须先把名称修改为公司名称。投标人须提前准备好演示视频，视频中所演示内容按评分标准要求演示，投标人须提前做好相关准备工作，视频中所演示内容必须使用真实设备及软件系统进行操作，提前录制好演示视频，开标当天直接播放，使用PPT进行演示不得分。总演示时间不得超过3分钟。</w:t>
            </w:r>
          </w:p>
          <w:p w14:paraId="68A98644">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jc w:val="both"/>
              <w:textAlignment w:val="auto"/>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腾讯会议号：265-963-153，入会密码：0512</w:t>
            </w:r>
          </w:p>
          <w:p w14:paraId="3303530E">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jc w:val="both"/>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b/>
                <w:bCs/>
                <w:color w:val="auto"/>
                <w:sz w:val="24"/>
                <w:highlight w:val="none"/>
                <w:lang w:val="en-US" w:eastAsia="zh-CN"/>
              </w:rPr>
              <w:t>开标当天通过资格和符合性审查的投标单位</w:t>
            </w:r>
            <w:r>
              <w:rPr>
                <w:rFonts w:hint="eastAsia" w:ascii="仿宋" w:hAnsi="仿宋" w:eastAsia="仿宋" w:cs="仿宋"/>
                <w:b/>
                <w:bCs/>
                <w:color w:val="auto"/>
                <w:sz w:val="24"/>
                <w:highlight w:val="none"/>
              </w:rPr>
              <w:t>在2026年</w:t>
            </w:r>
            <w:r>
              <w:rPr>
                <w:rFonts w:hint="eastAsia" w:ascii="仿宋" w:hAnsi="仿宋" w:eastAsia="仿宋" w:cs="仿宋"/>
                <w:b/>
                <w:bCs/>
                <w:color w:val="auto"/>
                <w:sz w:val="24"/>
                <w:highlight w:val="none"/>
                <w:lang w:val="en-US" w:eastAsia="zh-CN"/>
              </w:rPr>
              <w:t>05</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12</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lang w:val="en-US" w:eastAsia="zh-CN"/>
              </w:rPr>
              <w:t>12</w:t>
            </w:r>
            <w:r>
              <w:rPr>
                <w:rFonts w:hint="eastAsia" w:ascii="仿宋" w:hAnsi="仿宋" w:eastAsia="仿宋" w:cs="仿宋"/>
                <w:b/>
                <w:bCs/>
                <w:color w:val="auto"/>
                <w:sz w:val="24"/>
                <w:highlight w:val="none"/>
              </w:rPr>
              <w:t>时00分进入腾讯会议</w:t>
            </w:r>
          </w:p>
        </w:tc>
      </w:tr>
    </w:tbl>
    <w:p w14:paraId="2B6613D6">
      <w:pPr>
        <w:autoSpaceDE/>
        <w:autoSpaceDN/>
        <w:spacing w:before="0" w:after="0" w:line="240" w:lineRule="auto"/>
        <w:ind w:left="0" w:right="0"/>
        <w:jc w:val="both"/>
        <w:outlineLvl w:val="9"/>
        <w:rPr>
          <w:rFonts w:hint="eastAsia" w:ascii="仿宋" w:hAnsi="仿宋" w:eastAsia="仿宋" w:cs="仿宋"/>
          <w:color w:val="auto"/>
          <w:kern w:val="2"/>
          <w:sz w:val="24"/>
          <w:szCs w:val="24"/>
          <w:highlight w:val="none"/>
          <w:lang w:val="en-US" w:bidi="ar-SA"/>
        </w:rPr>
      </w:pPr>
    </w:p>
    <w:p w14:paraId="2D2ABF5C">
      <w:pPr>
        <w:numPr>
          <w:ilvl w:val="0"/>
          <w:numId w:val="2"/>
        </w:numPr>
        <w:wordWrap w:val="0"/>
        <w:autoSpaceDE/>
        <w:autoSpaceDN/>
        <w:spacing w:line="360" w:lineRule="auto"/>
        <w:jc w:val="both"/>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技术</w:t>
      </w:r>
      <w:r>
        <w:rPr>
          <w:rFonts w:hint="eastAsia" w:ascii="仿宋" w:hAnsi="仿宋" w:eastAsia="仿宋" w:cs="仿宋"/>
          <w:b/>
          <w:bCs/>
          <w:color w:val="auto"/>
          <w:kern w:val="2"/>
          <w:sz w:val="24"/>
          <w:szCs w:val="24"/>
          <w:highlight w:val="none"/>
          <w:lang w:val="en-US" w:eastAsia="zh-CN" w:bidi="ar-SA"/>
        </w:rPr>
        <w:t>参数</w:t>
      </w:r>
      <w:r>
        <w:rPr>
          <w:rFonts w:hint="eastAsia" w:ascii="仿宋" w:hAnsi="仿宋" w:eastAsia="仿宋" w:cs="仿宋"/>
          <w:b/>
          <w:bCs/>
          <w:color w:val="auto"/>
          <w:kern w:val="2"/>
          <w:sz w:val="24"/>
          <w:szCs w:val="24"/>
          <w:highlight w:val="none"/>
          <w:lang w:val="en-US" w:bidi="ar-SA"/>
        </w:rPr>
        <w:t>标准</w:t>
      </w:r>
      <w:r>
        <w:rPr>
          <w:rFonts w:hint="eastAsia" w:ascii="仿宋" w:hAnsi="仿宋" w:eastAsia="仿宋" w:cs="仿宋"/>
          <w:b/>
          <w:bCs/>
          <w:color w:val="auto"/>
          <w:kern w:val="2"/>
          <w:sz w:val="24"/>
          <w:szCs w:val="24"/>
          <w:highlight w:val="none"/>
          <w:lang w:val="en-US" w:eastAsia="zh-CN" w:bidi="ar-SA"/>
        </w:rPr>
        <w:t>及</w:t>
      </w:r>
      <w:r>
        <w:rPr>
          <w:rFonts w:hint="eastAsia" w:ascii="仿宋" w:hAnsi="仿宋" w:eastAsia="仿宋" w:cs="仿宋"/>
          <w:b/>
          <w:bCs/>
          <w:color w:val="auto"/>
          <w:kern w:val="2"/>
          <w:sz w:val="24"/>
          <w:szCs w:val="24"/>
          <w:highlight w:val="none"/>
          <w:lang w:val="en-US" w:bidi="ar-SA"/>
        </w:rPr>
        <w:t>要求</w:t>
      </w:r>
    </w:p>
    <w:tbl>
      <w:tblPr>
        <w:tblStyle w:val="19"/>
        <w:tblW w:w="90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295"/>
        <w:gridCol w:w="5846"/>
        <w:gridCol w:w="618"/>
        <w:gridCol w:w="654"/>
      </w:tblGrid>
      <w:tr w14:paraId="4993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205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rPr>
            </w:pPr>
            <w:r>
              <w:rPr>
                <w:rFonts w:hint="eastAsia" w:ascii="仿宋" w:hAnsi="仿宋" w:eastAsia="仿宋" w:cs="仿宋"/>
                <w:b/>
                <w:bCs/>
                <w:i w:val="0"/>
                <w:iCs w:val="0"/>
                <w:snapToGrid w:val="0"/>
                <w:color w:val="000000"/>
                <w:kern w:val="0"/>
                <w:sz w:val="22"/>
                <w:szCs w:val="22"/>
                <w:lang w:val="en-US" w:eastAsia="zh-CN" w:bidi="ar"/>
              </w:rPr>
              <w:t>序号</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29F00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rPr>
            </w:pPr>
            <w:r>
              <w:rPr>
                <w:rFonts w:hint="eastAsia" w:ascii="仿宋" w:hAnsi="仿宋" w:eastAsia="仿宋" w:cs="仿宋"/>
                <w:b/>
                <w:bCs/>
                <w:i w:val="0"/>
                <w:iCs w:val="0"/>
                <w:snapToGrid w:val="0"/>
                <w:color w:val="000000"/>
                <w:kern w:val="0"/>
                <w:sz w:val="22"/>
                <w:szCs w:val="22"/>
                <w:lang w:val="en-US" w:eastAsia="zh-CN" w:bidi="ar"/>
              </w:rPr>
              <w:t>名称</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36DAB3F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rPr>
            </w:pPr>
            <w:r>
              <w:rPr>
                <w:rFonts w:hint="eastAsia" w:ascii="仿宋" w:hAnsi="仿宋" w:eastAsia="仿宋" w:cs="仿宋"/>
                <w:b/>
                <w:bCs/>
                <w:i w:val="0"/>
                <w:iCs w:val="0"/>
                <w:snapToGrid w:val="0"/>
                <w:color w:val="000000"/>
                <w:kern w:val="0"/>
                <w:sz w:val="22"/>
                <w:szCs w:val="22"/>
                <w:lang w:val="en-US" w:eastAsia="zh-CN" w:bidi="ar"/>
              </w:rPr>
              <w:t>规格</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DC44B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rPr>
            </w:pPr>
            <w:r>
              <w:rPr>
                <w:rFonts w:hint="eastAsia" w:ascii="仿宋" w:hAnsi="仿宋" w:eastAsia="仿宋" w:cs="仿宋"/>
                <w:b/>
                <w:bCs/>
                <w:i w:val="0"/>
                <w:iCs w:val="0"/>
                <w:snapToGrid w:val="0"/>
                <w:color w:val="000000"/>
                <w:kern w:val="0"/>
                <w:sz w:val="22"/>
                <w:szCs w:val="22"/>
                <w:lang w:val="en-US" w:eastAsia="zh-CN" w:bidi="ar"/>
              </w:rPr>
              <w:t>数量</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8CF82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rPr>
            </w:pPr>
            <w:r>
              <w:rPr>
                <w:rFonts w:hint="eastAsia" w:ascii="仿宋" w:hAnsi="仿宋" w:eastAsia="仿宋" w:cs="仿宋"/>
                <w:b/>
                <w:bCs/>
                <w:i w:val="0"/>
                <w:iCs w:val="0"/>
                <w:snapToGrid w:val="0"/>
                <w:color w:val="000000"/>
                <w:kern w:val="0"/>
                <w:sz w:val="22"/>
                <w:szCs w:val="22"/>
                <w:lang w:val="en-US" w:eastAsia="zh-CN" w:bidi="ar"/>
              </w:rPr>
              <w:t>单位</w:t>
            </w:r>
          </w:p>
        </w:tc>
      </w:tr>
      <w:tr w14:paraId="60AE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FA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1084A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充磁器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206CD9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有充磁时间自动控制功能，外壳为非铁  磁性材料，线圈轴向长度不小于80 mm， 能充两极间距大于 28mm、磁极截面积小 于 42 mm×24 mm 的蹄形磁体以及截面积 小于 42 mm×24 mm 的条形磁体，电源与 线圈骨架以及外壳金属件之间抗电强度  3000 V</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65451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12B18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5D5D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B9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C0990C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天文望远镜</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C0D4DD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口径 80 mm～150 mm；宜配寻星镜、转角 镜、太阳投影屏和投影屏连接杆；配 8 mm～40 mm 长、短不同焦距的目镜 3 个~ 4 个；带有极轴镜和电动跟踪设备</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967A0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1CF64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0D24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FE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28877F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注射器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8624F0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100mL</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C25A3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B7A00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C37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F5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BFD4A2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高中学生电源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D70D1E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交流：2V～16V/3A，每2V一档      直流稳压：2V～16V/2A，每2V一档</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5E488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2AEAE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827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77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F96D1C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高中教学电源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78C47C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交流：2V～24V，每2V一档，2V～6V/12A，8V～12V/6A，14V～24V/3A；                                                  直流稳压：1V～25V分档连续可调，2V～6V/6A，8V～12V/4A，14V～24V/2A；                                                  40A、8s自动关断</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A2C8D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7F7D8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0004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44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132EC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感应圈</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4FC4D8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电子开关式</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9F637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879E6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4023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56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A3ECA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木直尺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DBD483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94331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DD4D5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r w14:paraId="24E1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6F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FF5EE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钢卷尺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FD51A8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003B8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C31CEE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盒</w:t>
            </w:r>
          </w:p>
        </w:tc>
      </w:tr>
      <w:tr w14:paraId="3156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C5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D283B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游标卡尺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0D0A0D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150mm，0.02mm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C9F39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FC59E3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把</w:t>
            </w:r>
          </w:p>
        </w:tc>
      </w:tr>
      <w:tr w14:paraId="156E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EE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F98EC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托盘天平</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4A9B34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200g，0.2g</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B6192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16BDF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02A1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6F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04975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金属钩码</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5FC67C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50g一盒</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13C72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F9C28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16E3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4C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7A2363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电子停表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5D151E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0.01s</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B78F7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FDCC3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块</w:t>
            </w:r>
          </w:p>
        </w:tc>
      </w:tr>
      <w:tr w14:paraId="5BB8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C9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BE7DA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电火花打点计时器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3E88A6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单频率：0.02s，火花距离不小于10mm，平均电流不大于0.5mA</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AB2432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4E039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651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CC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CB7650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数字计时器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F9FB8F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四位及以上，数据存贮，显示：10个挡光间隔时间、10周振动、n次振动时间总和、加速度计时三个时间、自由落体时间不少于二个、二路光电门分别计二个挡光时间(对碰、追碰)，有光电门接口和电磁铁接口，统一接口</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12FF3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5C5B9F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22A4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28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D9686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数字计时器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BD7836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四位及以上，数据存贮，显示：10个挡光间隔时间、10周振动、n次振动时间总和、加速度计时三个时间、自由落体时间不少于二个、二路光电门分别计二个挡光时间(对碰、追碰)，有光电门接口和电磁铁接口，统一接口。显示对应间隔时间的平均速度、加速度、碰撞计时四个平均速度；电磁铁可调释放延时补偿</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8E6F0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76F5C7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14BB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E06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C36DB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频闪光源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D05141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25Hz，50Hz，100Hz</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520143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A15FD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53BA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7AD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20457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条形盒测力计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8D39ED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5N</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9BB0C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5E5A2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76F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33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2C81B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演示数字测力计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BF3528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量程2N，分辨率0.001N，误差≤0.2%满量程±1/2字，有调零、内置校准、记忆(能显示稳定值)功能，数字尺寸≥2.5cm×4cm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1CE00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738B2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40DD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34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05D4A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高中数字演示电表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CD4CB7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直流/交流电压、电流，检流；4-1/2位数码管，不小于5cm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1038D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61F55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r w14:paraId="03A1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81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7276E3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绝缘电阻表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855400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500V</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4968E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EA9CF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r w14:paraId="6769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E6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2EB11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多用电表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F553AB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指针式，不低于2.5级</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D48D54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5AE81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r w14:paraId="5835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A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1B33C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多用电表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ED8C20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数字式，3-1/2位，电压﹑电流﹑电阻﹑温度测试﹑电容﹑二极管测试</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464CB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8548D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r w14:paraId="693B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233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56108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微电流放大器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7A636B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多路输入档。一路为毫伏级，低阻抗输入，放大倍数约一千倍。两路用于传感器，分别为电流型放大输出和电压型放大输出</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58B89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533AF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FDF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5F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395CA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摩擦计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BEAC03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教师用,测力 0–5N、精度≤±0.5% FS</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F7A96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A785C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6B6E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63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71B22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离心轨道</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4BB53D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底板、环形轨道、钢球、塑料球和接球装置等组成。环形轨道有供球出、入的2个斜坡，长坡顶部有球座，短坡顶部有接球装置。环形轨道环内径≥140mm，短坡高≥120mm，长坡高/圆环半径倍数不大于4。钢球和塑料球直径Φ25mm。球自长坡顶部滚下，应能连续(在轨道顶部不脱离与轨道的接触)沿轨道滚动一周，并在短坡顶部进入接球装置</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83E1F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58FDB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1312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B87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A9E75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毛钱管(牛顿管)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80072F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仪器用于验证一切轻重不同的物体，在真空中自由下落时，重力加速度都相同，物理演示实验用。仪器由：蝶阀、直管、金属片、羽毛片、磁铁组成。直管采用玻璃制成，直径约50mm，长950mm。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5C034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582B7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7D37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456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DEF91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轨道小车</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E14593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车拖纸带打点式，打点有效距离不小于600mm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15DCF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15AC8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2189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44E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286FA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气垫导轨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7BD56C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不小于1200mm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C4795A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A1787F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5430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6F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13F37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小型气源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630DB1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气压不小于5kPa，低噪声</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A77F6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9A08B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2F4F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0D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962F5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自由落体实验仪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47E1A3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 供基础力学教学演示和分组实验，进行定性观测和定量研究物体在自由降落状态下的运动规律，主体高度：1.2m，钢球D=18mm，便携式支架，两个光电门；电磁铁电源DC6V。</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E87EC5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F03AFC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380F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A1B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F8ACD0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平抛竖落仪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8B17B4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 仪器能被固定在物理支架上使用，也可放置在桌边使用。产品由仪器主体、释球板、撞击器和两颗钢球组成。1、主体采用塑料注塑成型，外形的长宽高尺寸分别为133mm×70mm×180mm。2、释放板为T型、塑料注塑成型，两只钢球可放在T型板的两边。3、撞击器为机械式，有释放撞杆开关、撞杆及弹簧等构成。4、钢球Φ19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9A63A4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3D9D8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7A0C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B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493F4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平抛和碰撞实验器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92F04F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产品由铝制导轨、钢球、玻璃球、重锤、接球槽、支球总成和演示板组成。1.底座和面板均采用冷轧板制成，面板烤白漆、底座烤黑漆，面板尺寸不小于325mm×240mm×1mm，底座尺寸不小于250mm×100mm×10mm，并有调平螺丝；2.钢球和玻璃球直径为16mm；3.接球槽可上下移动，能停留在任一位置。</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5906B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F3D9F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82C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C1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AFB88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碰撞实验器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FCF27A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 供高中物理教学验证动量守恒定律等学生分组实验用。产品由轨道、小平轴、水平固定螺丝、C形夹、档球板、支球柱、玻璃靶球、钢球、重锤等组成。1.轨道应采用铝形材加工制成，表面烤漆处理；2.C形夹夹持范围不小于40mm；3.钢球和玻璃球直径为16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4AAB0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12511B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E03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5C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3A9758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运动频闪观测仪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560438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频闪光源25Hz、50Hz，可实时观测运动物体图像</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86B1A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F333D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DED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0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349B5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向心力演示器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87D469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结构：手动 / 电动双模式，旋臂最大工作半径 120-160mm（符合 JY0331-93），含变速轮组、弹簧测力计、可换配重球（钢球 / 铝球）测量：力值显示精度≤±0.01N，半径调节精度 ±1mm，可定性验证 F=mv²/r 或 F=mω²r转速：电动款 0-300rpm 可调，手动款带调速手柄，运行平稳、噪声≤60dB功能：可演示向心力与质量、半径、角速度的关系，对比直观</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AA14F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C7559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21DB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79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858E0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纵波演示器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33A74E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中学物理演示纵波的传播、反射等；仪器采用支架（塑料）悬挂弹簧形式，全长110cm、Φ60mm螺旋弹簧自由悬挂在支架上，振源金属可上下调节，整套仪器包括机架1套（螺旋弹簧1套、振源2套）；连接杆10根；反光白布1块。</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22C0C3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D14E90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3957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497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E054B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绳波演示器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DE90C8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电动液晶显示式，产品由振荡频率显示器、控制面板、开关、紧绳柱、振荡杆、细线、定滑轮、张力砝码、刻度支架等构成。使用电源：220V 50Hz；2.有效刻度不小于100cm。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36D42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8B3B55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5106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B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1235D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波动弹簧</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CA9FD4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扁钢丝弹簧，外径不小于66mm，圈数不小于180，两端为90°弯折半圆</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B0984A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8B611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4699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2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E98EA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发波水槽</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EA7E1B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一、用途：利用水波的投影显示波的形成、传播、反射、干涉和衍射等现象；二、结构：主要由壳体、水槽、振动源,附件及光源等组成，水槽及壳体：水槽是用底部装有密封、透明玻璃的塑料盆制成，1、壳体用塑料制成，上面放置水槽，正面竖直安装毛玻璃，作为水波投影屏幕，框架内部倾斜45°装有平面镜；2、振源：振动源采用电磁、激励式，由电磁铁、电位器、振杆、振子、主板等组成；3、光源：光源为盒式机械遮挡频闪光源，灯泡为12V 100W幻灯机溴钨灯，频闪器是由直流微型电动机驱动一个可旋转的遮挡叶片，盒的顶部开有散热窗；4、水槽发波附件为单振子、双振子、平面波振子及挡板2块。主机体规格尺寸：290mm×264mm×320mm.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A2D15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1E9D2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5248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56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F326A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弹簧振子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3170C5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产品为气垫式。由导轨、滑块、弹簧、刻度尺、进气管等组成。1.导轨为塑料成型，工作面成90度的夹角，两面分布若干小孔，有效长度240mm。2.滑块采用透明塑料注塑成型，夹角为90度，滑块上有固定指针和弹簧的部位，长100mm。3.刻度尺为铝制，表面对称印刷0、2、4、6、8、10的刻线和数字。</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C4D7C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A91A0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2C2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B5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C9F85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弹簧振子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F4A4E4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产品为立式结构。由底座、立杆、吊线锺、弹簧、刻度尺等构成。1.底板为木质，附脚。2.立杆采用直径不小于10mm圆钢制成，表面电镀处理。</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E9762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54702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1AEF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76A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E5C8F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简谐振动投影演示器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5D76F5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原理：利用激光通过振动弹片反射镜投影在光屏上所形成正弦余弦的规律变化。产品由塑料框架主体、激光源、振动弹片、入射光屏、电机、反射镜及支架等组成。1.塑料框架主体由框架、上板为白色塑料、下板为密度板，所有装置装在上板面上，外形尺寸：310mm×230mm×60mm。2.激光源为红色，在上板的相应位置，并有可调范围。3.振动弹片为表磷铜，长为100mm、宽12mm、厚0.3mm，固定可靠，振动灵活。4.入射光屏为六棱柱体，每面有平面镜，Φ60mm、高80mm。5.电机为直流低速电机，每分钟100转。6.反射镜及支架应为一体，反射镜的外形尺寸为：40mm×12mm×1.5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2813D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F978D6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459D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8E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3A7AD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匀速圆周运动投影器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A91339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Φ60mm、高80mm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62C4D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1F4DC7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507B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AC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79BB7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单摆振动图像演示器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0BD01E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Φ60mm、高80mm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94612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0EE6D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1054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3D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ADFDB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单摆运动规律演示器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CC7395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摆球：金属球 φ25-30mm，质量≥50g，空气阻力小；摆线长度可调（300-1000mm），摆角 0-50°（量角器精度 ±1°）计时：数显计时器精度≤0.001s，支持单周期 / 多周期测量，可自动计数功能：可验证 T²∝L，测量重力加速度，误差≤±1%；含摆长调节机构与水平调节脚尺寸：底座≥300×200mm，支架高度≥450mm，稳定不倾倒</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4CDD1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B2F27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7F89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3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EAD61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受迫振动和共振演示器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08994D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改变策动摆摆长，可分别使5个摆长不同的单摆共振</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00877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BCA0B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03A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29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06C3E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浸润和不浸润现象演示器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154C9B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两个劈尖状容器，利用劈尖处的毛细现象，明显显示浸润现象（用无色透明硅酸盐玻璃和水）和不浸润现象（涂有疏水材料的玻璃或者无色透明聚四氟乙烯板材和水）</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0539D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6E9F6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F33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78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4A229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液体表面张力演示器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8976FC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可观察不同形状、不同状态的薄膜，薄膜产生的收缩效果等，宜能支持表面张力测量实验</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642E4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1D3BD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4DB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15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BC170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毛细现象演示器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1C0A43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应由直立的毛细管组和玻璃连通装置两部分组成，分别固定于支架背板上。毛细管组由三根固定在支架上的毛细管组成，毛细管的内径分别为Φ0.3 mm±0.1mm、Φ0.6 mm±0.1 mm 和Φ0.9 mm±0.1mm，管长为 200 mm±1 mm。毛细管的外径、外观缺陷和内应力要求应符合 JY/T0450。每套实验器应另配三种规格的毛细管各 10 支作为备件。毛细管的耐水性应达到 HGB1 级</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426666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CC3B96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9CA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A8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258D7E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伽尔顿板(道尔顿板)</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46BFF0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可变速率，能模拟 2 种以上气体分子运动速率分布曲线；实验中小球堆积的包络线模拟麦克斯韦气体分子速率分布曲线；速率增高时，小球堆积在窄槽中的包络线向右移，不同速率的曲线峰值都应在板内</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85798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44EDA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872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56E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E25C25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气体定律实验器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92CC62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不小于 50 mL 活塞式气室，应提供修正体积数据。宜配套使用气压传感器</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52558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36464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E45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93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B53A8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玻意耳定律演示器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99719F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由带刻度气室、活塞、支架、底座、气压表等组成。利用活塞改变气体体积，气密性好，无漏气现象</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266D1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F4C72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7ED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00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EAEB5B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盖·吕萨克定律演示器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F36F0B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Φ60mm、高80mm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8F16D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A0AF85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3175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E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26E74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气压模拟演示器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78E3B8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由透明塑料气缸、活塞、钢球、振动器等组成，振动器振动幅度可调（模拟温度变化）</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5ECE7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68A0B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343A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F8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75BEEC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饱和水汽膨胀液化演示器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BA675E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透明容器内能承受3个以上大气压，成雾明显，使用安全</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78F72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2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7E4CB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5A50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93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205BB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箔片验电器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4C8E82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 结构：金属球（φ≥15mm）+ 镀铬金属杆 + 2 片铝箔（厚度≤0.02mm，长度≥40mm），透明玻璃罩保护灵敏度：靠近≥100V 带电体即可张开，张角稳定、无漂移；底座绝缘电阻≥10^10Ω套件含：验电器 1 台、橡胶 / 玻璃摩擦棒各 1 根、毛皮 / 丝绸各 1 块、绝缘底座符合 JY202-85《箔片验电器》标准，电荷消失后箔片可完全回零</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6C10A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5AA65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对</w:t>
            </w:r>
          </w:p>
        </w:tc>
      </w:tr>
      <w:tr w14:paraId="7D82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014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CF89E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枕形导体</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FF809F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由一对相同的半枕形导体、绝缘支杆和底座等组成。半枕形导体下方应有一个导电挂钩，导电挂钩不应有尖端。圆筒导体的直径应不小于 55 mm，长度应不小于 100 mm。半枕形导体应宜用 304 号及以上不锈钢制成，封闭端应为半球面。性能要求：使各静电导体与 D－YDQ－Z －100 型指针验电器连接，用 9 kV 高压使导体带电，10 min 内指针验电器的指针张角应≥30</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3080E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C5DCFE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副</w:t>
            </w:r>
          </w:p>
        </w:tc>
      </w:tr>
      <w:tr w14:paraId="3F0A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60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6A233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单刀开关</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F88886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最高工作电压 36 V，额定工作电流 6 A。开关闸刀、接线柱、垫片均为铜质，接触可靠。闸刀宽度≥7 mm，闸刀厚度≥0.7 mm。接线柱直径为 4 mm，有效行程≥4 mm。通额定电流，导电部分允许温升≤35 ℃，操作手柄允许温升≤25 ℃。开关的绝缘强度应能承受 1200 V 在额定直流电流工作条件下，接线两端直流电压降≤100 mV</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7B3D6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50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B3E48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0047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13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ED052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滑动变阻器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321B8C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20Ω，2A</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89AFB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25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6E805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6510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C9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1D458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滑动变阻器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6124D8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50Ω，1.5A</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963DA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E4CBF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7AB5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E0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43AA7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单刀双掷开关</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9E3D93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最高工作电压 36 V，额定工作电流 6 A。开关闸刀、接线柱、垫片均为铜质，接触可靠。闸刀宽度≥7 mm，闸刀厚度≥0.7 mm。接线柱直径为 4 mm，有效行程≥4 mm。通额定电流，导电部分允许温升≤35 ℃，操作手柄允许温升≤25 ℃。开关的绝缘强度应能承受 1200 V 在额定直流电流工作条件下，接线两端直流电压降≤100 mV</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80C66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13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469E9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7E41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51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A45E8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双刀双掷开关</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97706B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最高工作电压 36 V，额定工作电流 6 A。开关闸刀、接线柱、垫片均为铜质，接触可靠。闸刀宽度≥7 mm，闸刀厚度≥0.7 mm。接线柱直径为 4 mm，有效行程≥4 mm。通额定电流，导电部分允许温升≤35 ℃，操作手柄允许温升≤25 ℃。开关的绝缘强度应能承受 1200 V 在额定直流电流工作条件下，接线两端直流电压降≤100 mV</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687C0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13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01AB5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9AB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398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8670D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焦耳定律演示器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F26A17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Φ60mm、高80mm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2F4C4B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5F1D2A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59A0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19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A6912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球形导体</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DEB29B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由圆球形导体或开口的圆球形导体、绝缘支杆和底座构成。导体宜用 304 号以上不锈钢制成，球体直径应不小于 90mm。性能要求：使静电导体与 D－YDQ－Z －100 型指针验电器连接，用 9 kV 高压使导体带电，10 min 内指针验电器的指针张角应≥30</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2F5141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A1A38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1A7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3F3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17AFE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移电球(验电球)</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B507BA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带有绝缘棒的金属小球</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AC71C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6EF8E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7B68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A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38C737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验电羽</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666385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由绝缘支架、金属片、细尼龙绳、螺钉等组成。绝缘支架上装有两片金属片，两金属片间夹有若干长条形细尼龙绳</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183BA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D0377F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对</w:t>
            </w:r>
          </w:p>
        </w:tc>
      </w:tr>
      <w:tr w14:paraId="1251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460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DB65C0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验电幡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095E88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由长方形铜丝网、绝缘支柱、底座等部分组成。绝缘部分宜用有机玻璃制成</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33627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893EE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05D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AA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3D3F2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尖形布电器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5C3097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由尖形导体（包括内锥体）、绝缘支杆及底座等组成；锥形部分尖端和圆柱形部分需有挂钩。导体宜用不锈钢（304号以上）制成，直径应不小于 70 mm，柱体长度应不小于 100 mm。性能要求：使静电导体与D－YDQ－Z－100 型指针验电器连接，用 9 kV 高压使导体带电，10 min 内指针验电器的指针张角应≥30º</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1D8BA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19FF0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A4B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06F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69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2C840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静电实验箱</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DB692C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避雷针原理、静电屏蔽、静电除尘、静电植绒、静电乒乓、静电转轮等</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892ED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E5F4B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6CE5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41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16D81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电荷间作用力演示器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FAF7B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电极：黄铜小球（φ8-12mm）2 个，间距可调（5-50mm），符合库仑定律演示需求传感与显示：数显力传感器（分辨率≤10^-5N），实时显示静电力大小；距离刻度精度 ±1mm功能：可演示同种电荷相斥、异种电荷相吸，验证力与距离 / 电量的关系供电：可选充电锂电池（续航≥4h）或 AC 220V，适配课堂移动演示</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5913E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013EBF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25A3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2A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E6644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电场线演示器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6EED85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由单点电极演示板、双点电极演示板（同种电极和异种电极）、平行板电极演示板、环形电极演示板、尖形导体演示板组成</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0A9B6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344C6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6A9A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8C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CA3B38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平行板电容器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539DC2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由底座、极板、介质板等构成，两平行板间距离可调，最大应不小于 100 mm，最小距离应不大于 3 mm。介质板插入两极板中间后，极板与介质板间应能接触。极板装配后，两块板面之间的相对面积应能任意调节，相对面积变化应能从100％变化到零。宜采用转动或平移错开极板改变相对面积的方式</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947E9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ADB68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1D47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E9E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004B0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常用电容器示教板</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B96439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电解电容器、云母电容器、陶瓷电容器、薄膜电容器、贴片电容器、微调电容器、可变电容器等</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4F050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F398E7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0B2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31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D964D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演示可调内阻电池</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7F0EC6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气压调节式及其改进型</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1AE05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68493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686A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2A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B7793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手摇交直流发电机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6D5EBB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定子、转子、整流器、集流环、电刷、灯座（带灯泡）、手摇驱动机构和底板等部分。定子应由永磁体和极靴组成，转子应由转轴、两极电枢铁芯、电枢线圈以及整流器和集流环等组成。整流器在任何位置不应将两电刷短路，电刷与整流器和集流环应使用弹性接触，转动灵活。转子转速为 1600 r/min 空载时，输出端交流和直流电压均应不小于 8V。接 16 Ω电阻负载时，输出端交流和直流电压均应不小于 5 V。不带皮带轮用作电动机使用时启动电压应不大于 4 V，电流应不大于 0.4 A</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87FF9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0DE22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E19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47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CD6AC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阴极射线管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23CBC0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磁偏转管，使用高压为 60 kV，负载电流为 200 μA 的直流高压电源，阴极射线管应能工作，电子束轨迹的亮度应≥100cd/m2</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1953E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0A23C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518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A3E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C4673B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阴极射线管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C696EA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示直进管，十字板竖立时在玻壳端面应有十字板的阴影。荧光亮度应比环境亮度高 1.5 cd/m2以上</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80F19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558CB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2D3B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D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DD263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阴极射线管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BBB1A0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机械效应管，卧式、立式。滚轮叶片上应涂有不同颜色的荧光粉。工作时亮度应不低于 50 cd/m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9112F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785A5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6274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DEE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79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ADA69C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阴极射线管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6F79E7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静电偏转管，在偏转板上加 250 V 直流电压时，电子束轨迹末端偏转应不小于12 mm，工作时亮度不低于 100 cd/m2</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ACE72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2647C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31C3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6F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4255C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低频信号发生器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D64CD0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10Hz～1MHz，正弦波功率输出不小于5W</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6783B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35AEC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4955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9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9C8BC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高频信号发生器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A092F8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0.4MHz～130MHz分段连续可调，误差±5%</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AFDA1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C7EDC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51A8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015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DF5C3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教学信号发生器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A94B6D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445kHz～1700kHz，误差±5%；中频465kHz，±2%；低频正弦波、方波、锯齿波信号</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5CD8D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3F7E3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7CCA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7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F0795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蹄形强磁体</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4A58EA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磁感应强度≥0.8T</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D9C0A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5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7A53A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4A87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1DF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6BCEF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强磁针</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6CA9EA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高磁能积磁体</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01320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442E3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56A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DC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9DED2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安培力演示器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21800B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底座、磁体组、转盘（角度调节范围0°～360°）、矩形线框、可调节匝数的线圈（匝数：50、100、150、200、250、300）、挂钩和支架等组成；可研究安培力与导线长度、电流、磁场强度、电流方向和磁场方向夹角的关系</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8219F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65FFE4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432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0F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19C9E5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自感现象演示器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970C43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小灯泡、灯座、变压器、电位器、单刀开关、旋钮开关、接线柱等组成。仪器面板分为“通电自感现象”和“断电自感现象”两部分。表面印有电路原理图并分别标有两部分的工作电压。导线采用暗线布置，内部接线应与面板上的原理图一致。性能：通电时，与自感线圈串联的小灯泡亮的时间应明显滞后于与滑动变阻器串联的小灯泡；断电时，与自感线圈并联的小灯泡应瞬间闪亮（亮度比断电前有明显增强）后熄灭，或持续亮片刻后再熄灭</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7C723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2B98D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C3A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C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1A67E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楞次定律演示器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8A6FB3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开口环、闭口环</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0A552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4FFC8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6518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CF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D6F51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电磁阻尼演示器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5CC839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摆式；在磁场中的整体铝板（或铜板）、开缝的铝板（或铜板）和非金属板做的摆，摆动时显示强阻尼、弱阻尼和无阻尼</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ECEADF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74B66E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8DC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A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6596C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单匝线圈电机原理演示器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D43FDA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使用高磁能积磁体</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11FE2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9A244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1F43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B2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89A9D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交流电路特性演示器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67753D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大电感、小电感，大电容、小电容，电阻</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FDB30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90412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2D00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4B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8A4684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日光灯原理演示器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60C8BB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核心组件：8-20W 透明日光灯管（可观察灯丝）、电感镇流器（带铁芯，可视结构）、启动器（氖气型）、保护开关电路：可演示启动器作用、镇流器自感高压与限流功能，支持故障模拟功率：≤60W，工作电流≤0.37A，无明显发热尺寸：面板≤600×400mm，便于桌面演示</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CC45F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3E4FB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2197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14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D96E6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洛伦兹力演示器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FF309F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有洛伦兹力演示管、亥姆霍兹线圈</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4F00D0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385A70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6D58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4D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33448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电子束演示器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4ECF94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 热电子发射，充入惰性气体，有加速电极和偏转电极，示波管原理</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8010C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FF4CD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6692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66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8589B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门电路和传感器应用实验箱</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31631D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与门、或门、非门电路、干簧管、温度传感器、热敏电阻、光敏电阻、感温铁氧体、霍尔元件等应用实验。</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20316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25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2E0D8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FB0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4F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F4BE0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光具盘</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BC6B4E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分离型、磁吸附式。矩形光盘长≥650mm，宽≥240 mm；圆形光盘直径≥250 mm。盘面分四个象限，以一条直径为始边，分别刻有 0°～90°刻度。半导体激光光源，可显示 5 条平行光，宜为不同颜色。光学零件：梯形玻砖 1 件，等腰直角棱镜 1 件，半圆柱透镜 1 件，小双凹柱透镜 1 件，小双凸柱透镜 1 件，双凸透镜 1件，大双凸柱透镜 1 件，平面镜 1 件，凹凸柱面镜 1 件，正三棱镜 2 件</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C8673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B0B73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503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98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D56DA8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玻璃砖</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7C1C42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外形尺寸：上底长为 35 mm，两底角为60°±0.5°和 45°±0.5°，高度为 35mm± 1 mm，厚度为 15 mm±1 mm；上下两面底面平行度为 0.10 mm；以抛光的梯形面为基准面，上、下两底面、两斜面与基准面垂直度为 0.1 mm；玻璃砖中的一梯形面为粗加工面，表面粗糙度为Ra6.3，上下底面、两斜面及另一梯形面为精加工面，应进行抛光处理</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61A18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25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5B63F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块</w:t>
            </w:r>
          </w:p>
        </w:tc>
      </w:tr>
      <w:tr w14:paraId="3034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57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0CABF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光的折射全反射实验器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08EB64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包括演示屏、折射镜、光源、光源座、反射镜、底座、漫反射镜等。可折叠，演示屏半径≥130 mm，半圆玻璃折射镜半径≥35 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51DEE5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994FA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852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73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6CFE8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光的干涉衍射偏振演示器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A1E266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包括光具座、白光光源（亮度和焦距可调）、光屏、光栅、多缝、双缝、单缝 3个、偏振片 1 对、牛顿环、起偏器等。性能要求：可以观察清晰的白光干涉条纹</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49974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5EE6B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287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42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E0358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激光光学演示仪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619DFD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演示屏、圆形光盘、光源、分束器、扩束透镜、双凸柱面透镜、半圆柱面透镜、平凸柱面透镜、平凹柱面透镜、凹凸柱面反光镜、平面镜、漫反射镜、等边棱镜、等腰直角棱镜、光纤、光具架、移动尺、平行平板、光刻衍射片、偏振器、劈尖、牛顿环、伽利略望远镜、潜望镜、双面镜等。演示屏长度≥350 mm，宽度≥280 mm；圆形光盘直径≥160 mm。光盘面分为四个象限，分别刻有 0°～90°刻度。激光束经分束器在演示屏上呈现的三条光束基本相同</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C685B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E2410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7508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4F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E71A8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双缝干涉实验仪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402135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包含光源、滤光片、单缝、双缝（标记双缝间距）、遮光筒（可以测得或标记双缝到光屏的距离）及测量系统（带游标卡尺或螺旋测微器）等；不加滤光片时可调出白光的干涉条纹，加上滤光片后可以清晰呈现 5 条以上干涉条纹</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FBBF4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FFB8B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1BBD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5D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1EF49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光导纤维应用演示器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0862B4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包括传光束、传像束、有机玻棒、通信演示器（发射机和接收机）、字母板、放大屏等。视听距离≥6 m，传光束长度≥400 mm，横截面≥2.55 mm2，白光透过率≥50%，传像束长度≥350 mm，传像工作面积≥100 mm2。光线丝排列对应整齐，无错位，像元数不低于 900 个</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6E29E8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E7EDC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59B1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D0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A8C25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光电效应演示器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647C77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由锌板、镀镍铁板或铜板、紫外线灯、微安表及接线柱等组成，内附微电流放大器和高压电源。其中，紫外线灯的功率范围为 5 W～20 W</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87DF0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00B82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01F5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5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98B4E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试管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8E76E1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φ32mm×200mm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04FC0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30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09C47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279A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63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F61B0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玻璃管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12FCB9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φ5mm～φ8mm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271F6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1C6E3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千克</w:t>
            </w:r>
          </w:p>
        </w:tc>
      </w:tr>
      <w:tr w14:paraId="4520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83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576DF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碘</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8C59A7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试剂</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4F4C4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BEFCF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克</w:t>
            </w:r>
          </w:p>
        </w:tc>
      </w:tr>
      <w:tr w14:paraId="4C7B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9E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6CEB4D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一般材料</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89C727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磁性橡胶片、乒乓球、大头针、回形针、橡胶泥、胶帽、泡沫塑料、透明胶带、小蜡烛、灯芯、火柴、塑料板、木板、玻璃板、毛巾、棉布、橡皮筋、气球、塑料袋、塑料薄膜、纸板、坐标纸、图钉、高泡洗衣粉、钢炭(木炭)粉或痱子粉﹑松香等</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64F524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1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8238F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3676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3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76BF3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晶体和非晶体样品</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F0CE7D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石英晶体，食盐晶体，云母片，明矾晶体，硫酸铜晶体；玻璃，松香，蜂蜡，沥青，橡胶</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7592BE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59D14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5AEA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B8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817A4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演示实验器材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7E824B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云母片、电解电容器(25V，470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F～1000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F)、三极管、驻极体话筒、光声控延时开关、100kΩ可变电阻、1kΩ电阻、74LS00</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7A3F1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1A381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531D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2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ACBA2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学生实验纸材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CF344A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打点纸带、墨粉纸、坐标纸、复印纸</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337481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3B60D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384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9B9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89CF4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箔片验电器器材套件</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55F501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结构：金属球（φ≥15mm）+ 镀铬金属杆 + 2 片铝箔（长度≥40mm），透明玻璃罩保护套件含：验电器 2 台、橡胶 / 玻璃摩擦棒各 2 根、毛皮 / 丝绸各 1 块、绝缘底座灵敏度：靠近带电体（≥100V）即可使箔片张开，张角稳定、无漂移绝缘性：底座绝缘电阻≥10^10Ω，无漏电干扰</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F2C04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50  </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40355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5B49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EE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153F8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锉刀(平板)</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57255C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500mm，带柄</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F60873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17418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E6D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F6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92CFD2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三角锉刀</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8438A3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250mm，带柄</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D3E1E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D4D31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B5E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D5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777E8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什锦锉</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9232AD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长 160 mm，锉刃部分 80 mm，三角形、方形、圆柱形、半圆形、扁平、尖扁等，齿高和齿距合理，确保工件表面锉削后干净整齐</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BDFBB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D45F8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243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33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8B0D3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手剪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7C5402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钳工工具，剪铁皮、铜片</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186E8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53507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0BBE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802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46EEC5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直角尺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89204E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钳工工具</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66942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3C420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781C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1E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157A5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台钻</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32FA59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φ1mm～φ13mm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D720A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41D5D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ADA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00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5EF041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手电钻</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91D94D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φ1mm～φ13mm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E9309C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43868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2B2D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340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945FA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钻头</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D634ED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φ1mm～φ13mm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D4048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2A19D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9D5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C1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119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997146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砂轮机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6A8B4B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单相或三相，300W，3000r/min，含安全护板</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6C5D6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F1D38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6B8F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E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FCDD7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工作服</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D82F71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棉质</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7F410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17749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件</w:t>
            </w:r>
          </w:p>
        </w:tc>
      </w:tr>
      <w:tr w14:paraId="45ED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A7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23D9A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眼球仪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2A0BF5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用于眼睛的工作原理及视力矫正实验；模拟晶状体曲度可调节，能实现正常、远视、近视三种状态，近视镜、远视镜与眼球匹配，能将远视眼、近视眼调节为正常视力</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E06FA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197DF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2457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4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F9693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照相机原理模型</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C6F176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凸透镜成像，像距可调</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7E5B84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4E8B0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661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52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62FCA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LED光源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2CD7AC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距光源 500 mm 处照度 800 1x～900 1x；发光形状、亮度均可调，能形成 F 光源、T 光源等发光形状</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711576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616BF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4234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A9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3D24B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电动离心转台</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778529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180-720r/min,转速连续可调；支杆直径10mm，全长140mm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42E9B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6559D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7214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8B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6BABD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波动弹簧</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8877FE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≥130圈，拉伸弹簧，，扁形钢丝密绕，弹簧刚度2.0×10-3 N/mm～5.0×10-3 N/mm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AC4C5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E3876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6E3A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0F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5CF78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马德堡半球</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871F50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由半球、拉手、气嘴、阀门、橡胶管2根以及底座等组成；球体外径应≥80mm，气嘴外径8mm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8EF59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7F5988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5491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03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85F0D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乳胶管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3D7FA6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外径 6 mm、内径 4 mm，拉伸强度≥21 MPa，扯断伸长率≥700％</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5BD14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EB572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m</w:t>
            </w:r>
          </w:p>
        </w:tc>
      </w:tr>
      <w:tr w14:paraId="11E9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E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96367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钉板实验材料</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C15046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钉板、气球等组成；用密钉板时水袋不破，用疏钉板时水袋破</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479B81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C9AC2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BF2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273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129</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360D8A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压力和压强演示器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0A17BE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压强小桌，尺寸≥长200 mm×宽100 mm×高100mm；配套多孔弹性材料，尺寸≥长220 mm×宽120 mm×高50mm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4623A5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D5846D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2EF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B0F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130</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532C3E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潜水艇浮沉演示器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B9673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由潜水艇模型（水箱透明）、注射器、软乳胶管组成。能连续完成下沉、上浮，悬浮时倾斜≤10°</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984AE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428E0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7282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17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131</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3943468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摩擦力实验器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AB7928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由摩擦板、摩擦块、摩擦材料、匀速电机、定滑轮、测力计、测力计支架、细绳、钩码等组成</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5AA63E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5A12AE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2367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3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132</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4EC9CC1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斜面小车</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A1508D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包括斜面、小车、摩擦块、支撑杆、砝码桶和摩擦材料等，斜面板尺寸：长 915 mm×宽 100 mm×高 20 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C2876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0C6C5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6AAD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51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133</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574AE1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数显外径千分尺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64C455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量程 0~25 mm，分辨率 0.001 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2C4EE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07F9C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r w14:paraId="1216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A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134</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654528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数显游标卡尺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BB59D1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量程 0~ 150 mm，分辨率 0.01 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DB97E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A7FAE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把</w:t>
            </w:r>
          </w:p>
        </w:tc>
      </w:tr>
      <w:tr w14:paraId="62D5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57F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135</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B730C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钢直尺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0FD994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量程 600 mm，分度值 1 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1E1EC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B5643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把</w:t>
            </w:r>
          </w:p>
        </w:tc>
      </w:tr>
      <w:tr w14:paraId="41E6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1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136</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06C7F6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半导体性质实验材料</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839867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包括二极管、三极管等，便于接入电路，实验效果要明显</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883A0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8A552A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66EB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6C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0794A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圆柱体组</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223FA2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包括纯铜、铝（或铝合金）和铁（钢）等 3种材质圆柱体；圆柱体直径 20 mm，高 32 mm；每个圆柱体配网兜（质量小于 0.01 g）</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53D36E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FB7C6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1839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B89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46F737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立方体组</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8AC1B2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包括黄铜、铁、铝、木 4 种材料的 5 个立方体，其中铝材 2 个，黄铜（边长 20 mm）、铁（边长 20 mm）、铝（边长 25 mm）、铝（边长 30 mm）、木材（边长 50 mm）各 1 个，带不锈钢挂钩</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795CD3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ADD04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230E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68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139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6E3C8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长方体组</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785961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含铜、铁、铝、木材 4 种材质，包括 6 cm3、8 cm3、10 cm3、12 cm3、14 cm3、20 cm3等 6种不同体积</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80308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AD11D4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7E02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F0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4ABE7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案秤</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12A634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量程 0 kg〜10 kg，分度值 10 g，普通准确度等级，有“CMC”标志</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CCE2C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87E9F1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DFD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5A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85EF9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两用气筒</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D87081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活塞胶垫，气嘴外径 8 mm±0.1 mm，长度15 mm，台阶口；抽气压强达到 6.7 kPa 时，放置 30 s，漏气引起的压强变化应≤2.6 kPa；充气压强达到 290 kPa 时，放置 30 s，漏气引起的压强变化应≤9.8 kPa</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26FC2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7D152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147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D30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E40C6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电子打火枪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B67C51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电加热丝</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B92591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AD15C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6D5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5E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CC33D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镊子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F9863A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304 不锈钢，平头，长 125 mm，钢板厚 1.2 mm，镊子前部应有防滑脱锯齿状</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EF88A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762A3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60E5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07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77B9A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锥子</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3B7996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锥头长 77 mm，锥杆直径渐变</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1018A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A6CE7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F86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AC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D2773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木工锯</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7B9FE9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框架式，两头用硬木，中间横档用杉木，锯条端与握手木框距离为 30 mm，该端锯条倒角，一头固定（45°）式需加固，一年内螺钉处应不开裂，也可两端用锯鼻；绞绳不少于 16 根，绞片有细绳拴住；锯条长 400 mm，厚度 0.5 mm，采用 65Mn 冷轧钢带，硬度在HV399 以上，应有弯曲强度和拨齿性能，齿距 2.5 mm，开好锯路，锯口有安全包扎</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66650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DF105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把</w:t>
            </w:r>
          </w:p>
        </w:tc>
      </w:tr>
      <w:tr w14:paraId="548B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38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940AE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曲线运动软管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38448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孔径2.5-3cm，长度80-100cm、配套钢球</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87D99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D1F5D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496E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59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99769B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一次性滴管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37731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塑料滴管 2ml  100个/包</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6638C6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79FC1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w:t>
            </w:r>
          </w:p>
        </w:tc>
      </w:tr>
      <w:tr w14:paraId="695E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76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8707C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气球</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0D767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50个/包</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01CA9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DF6DF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w:t>
            </w:r>
          </w:p>
        </w:tc>
      </w:tr>
      <w:tr w14:paraId="05C9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2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149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494E90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乒乓球</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0D976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乒乓球 40mm ABS 新材料，无缝注塑，白色 / 黄色可选，弹跳高度 240-260mm，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F3460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1E3D2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5FC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EA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68DDA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棉线</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B3242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200米/卷</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8A768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2B5E0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卷</w:t>
            </w:r>
          </w:p>
        </w:tc>
      </w:tr>
      <w:tr w14:paraId="23D1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FC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151</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44AAC2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滴瓶</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31274A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125Ml</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74FCB1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A4FE4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617E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DE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152</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3A1EFE1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磁力加热搅拌器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812FBE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最大搅拌量 1 L，搅拌速度 0 r/min～1200 r/min，加热盘温度 50 ℃～200 ℃</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D7DE0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15B4BE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278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C95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153</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346874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氯化钾</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09CD34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试剂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35295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096F9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0177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53B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154</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749AC1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氯化钙</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6044C3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试剂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A50ED3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D8BE7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0DDB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F2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155</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688C66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氯化镁</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1E04C2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试剂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BCBDF3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F8683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4C06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02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156</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19267D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氯化钡</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63CB55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试剂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786275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4B388D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23CB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6E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157</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4D813F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碳酸钠</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55127F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工业</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2D195C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DB9DB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5959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3E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158</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12C449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碳酸氢钠</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1A4F75A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工业</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87978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9FEA9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6F49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3EF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159</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DCE13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大理石</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553811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块状</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BE06E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1500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41459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06E3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5D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160</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D5C8C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碳酸钙</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74D6B16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粉末</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30CF9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30457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0CB3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F8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161</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0B13F8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葡萄糖</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6968E50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试剂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340A4D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2109C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183C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72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162</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73C069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蔗糖</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24C15F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试剂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7A8AFC5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D17A8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6E3C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7F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163</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09F5D2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石蕊</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5054EC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指示剂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75D00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FC4E1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5575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1F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164</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67649F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酚酞</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45592B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指示剂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6AC71F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43A76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g</w:t>
            </w:r>
          </w:p>
        </w:tc>
      </w:tr>
      <w:tr w14:paraId="378B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226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CBE46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电动离心机</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E3609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转速≥4000 r/min，无刷电机，带电锁，有定时器</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C1149F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554A5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2DD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C6B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AAAFEE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磁力搅拌器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55141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搅拌量 10L 转速范围 200~2000rpm 调速方式旋钮功率 30W 不锈 钢外壳材质和工作台面无刷电机仪器尺寸：245*150*70mm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7468FD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4D833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1CF5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42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7B0E3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离心沉淀器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33618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转速范围：0-4000rpm（无级调速），精度 ±20rpm最大离心力：≥1800×g，适配常规沉淀分离容量：20mL×6/12（角式转头，对称装载防失衡）噪声：≤70dB，运行平稳功率：≤40W，温升低、能耗小</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25BAE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1C236D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03DE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9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74B56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金属酒精灯</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56715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灯口应平整，瓷灯头与灯口平面间隙不应超过1.5 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7E8E4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F6C7B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748D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24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9B819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酒精喷灯</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D04BB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灯口应平整，瓷灯头与灯口平面间隙不应超过1.5 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A18DDF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BBA8A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BEB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4D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67E93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水浴锅</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A22CA2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控温范围：室温 + 5℃-100℃，控温精度 ±0.5℃，波动度≤0.2℃加热功率：300W（1 孔）-1800W（8 孔），PID 智能控温内胆：304 不锈钢，尺寸可选（如 300×150×150mm），带排水口孔数：1/2/4/6/8 孔，适配试管、锥形瓶等常规容器保护功能：低水位报警、超温自动断电</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CEFAB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C9BF4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827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B1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E851F9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注射器</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5850F9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100ml</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A08A3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73A921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4223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20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4F8EAF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注射器</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6234603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50ml</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0E264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65198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27A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A10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16D89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滴定台</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70AED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人造石或大理石白色台面，重心稳定不晃动，底部有四个橡胶垫脚</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076685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D196A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D6F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8BE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029A1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电子天平</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594A91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500g</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677B6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3851B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53B7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0A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62079C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电子天平</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2ED7890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1000g</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3DBF4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0CB1D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1789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12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E53AF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电子停表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463C7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教学用电子秒表，采用电子芯片，电池电压为1．5V；数据可精确到0．01s；以扣式电池为能源的液晶数字式金属壳石英秒表；2．具有秒表（最小读数1/100秒）、10段存储显示、定时器、节拍器、时钟和定时闹响功能；3．秒表具有每小时报时，每日定时响闹及自动重响功能，应可显示时间，12及24小时制式，日历、星期、防水，防震结构等功能；4．外包装应采用防潮、防尘的硬纸盒包装；机芯在表壳组件中应稳固，液晶屏显示清晰、表面无伤、印字清楚正确、表壳与表后盖的配合应紧密，不得有明显的缝隙；表壳外棱角无锋利感；镀层配件无气泡，不脱落；5．应符合 QB/T 1908-1993《电子停表》规定的技术要求。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9E1DE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AC814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426F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E4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9D1C31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原电池实验器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8FF42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包括缸体、带固定和可移动接线柱的缸体盖板、铜电极板、锌电极板、铁电极板、铝电极板、碳棒、导线等</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3862F4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BFFD4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E71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2E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9C4F89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高中微型化学实验箱</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E79FE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外观尺寸 480×370×190mm（±10mm），手提式便携设计箱体材质 高密度环保聚丙烯（PP），耐酸碱、抗冲击，无锐边内部结构 珍珠棉 /eva 定制卡槽，器材独立固定，防碰撞、易取用</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9D57B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D4045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8AD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A9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179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BFE58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溶液导电演示器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45810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电表式，干电池电源，首先校准到电表指示满量程，用电流法相对比较 5 种溶液的导电能力</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5038F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5E348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607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9E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FE7BEF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微型溶液导电演示器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253CC1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电表式，干电池电源，首先校准到电表指示满量程，用电流法相对比较 5 种溶液的导电能力</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3624B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69B28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7C7F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FA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2D58E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中和热测定仪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7C969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又称简易量热计，包括反应容器、盖板、温度计、环形玻璃搅拌棒</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60BF9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648D7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37B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82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5F453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气体实验微型装置</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24804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含单球短管、单球长管、双球管、集气管、制气管等硬质玻璃仪器，无明显外观缺陷，规格 30 mL，配置齐全，能组装成整套的综合性微型实验装置；试剂瓶规格 12 mL，不少于 28 个。能完成与氧气、二氧化碳、氢气、一氧化碳等气体有关的实验，包括燃烧的条件实验</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6DB76F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8B452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071B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026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1A0F7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氢燃料电池演示器</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547BDC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含一个质子交换膜电极，膜电极不小于15mm×15mm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01CE7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D3094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6BA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50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DB0B1F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氢燃料电池实验器</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20D7B0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含一个质子交换膜电极，膜电极不小于15mm×15mm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C798A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0E991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090A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E60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AE088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电解槽演示器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58F970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解槽体：通常由透明有机玻璃材质制成，便于学生观察内部气泡产生和液面变化等实验现象，槽体有不同的形状和大小，以适应不同的实验需求。电极：一般采用惰性电极，如石墨电极或铂电极，避免电极参与化学反应，确保实验结果的准确性。直流电源接口：用于连接直流电源，可调节电压和电流，以控制电解反应的速率。气体导出管路：分别连接阳极区和阴极区，实现电解过程中产生气体的有效分离和收集。其他组件：部分电解槽演示器还可能配备 pH 指示区域，用于检测溶液酸碱性的变化，或设置密封盖、尾气吸收装置等，以提高实验的安全性。</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5EBA05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DD6A8B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E17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EB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0529C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离子交换柱</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B98FB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尺寸：Φ40-60×400-600mm（高径比 10-30）底部：烧结玻璃砂板（孔径 10-20μm），树脂支撑稳定适配树脂：强酸 / 强碱型离子交换树脂，装填量≥80% 柱容积工作压力：≤0.1MPa，无渗漏</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A7FB5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886A0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0CD2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63A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034C4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电泳演示器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71372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电泳槽：150×80×100mm，透明 PMMA，配 2-4 组惰性电极（石墨 / 铂）电源：0-30V 连续可调直流稳压，电流≤5A，数显精度 ±0.1V/±0.01A分离通道：宽度 5-8mm，支持血清蛋白 / 胶体电泳，分辨率清晰配套：样品槽、缓冲液槽、电极夹，可快速更换缓冲体系</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63F34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E1306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BFB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B1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53270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丁达尔现象实验器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AD4A1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光源：激光 / LED 平行光源，波长 532nm，功率≤5W，光斑直径 3-5mm样品池：100mL 透明玻璃，带密封盖，适配胶体 / 溶液对比实验暗箱：黑色遮光设计，增强现象对比度，可调节光源角度辅助：背景板、遮光罩，适配课堂演示与学生分组观察</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364DA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B7AEB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7E1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FD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189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8B374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渗析实验器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0968C0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渗析袋 / 管：再生纤维素材质，截留分子量 1000-10000Da，不漏液支架：PP 材质，可固定 3-5 个渗析单元，便于同时对比实验容器：250mL 透明玻璃槽，带刻度，适配恒温 / 搅拌辅助操作渗透效率：2h 内小分子透过率≥80%，大分子截留率≥95%</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BE038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6AEB2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DBA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19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6EB5A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放电反应装置</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B7FF8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放电室：透明石英 / 高硼硅玻璃，耐高压（≤10kV）、耐高温（≥300℃）电极：钨 / 铂合金，间距可调（5-20mm），适配空气 / 惰性气体放电电源：0-5kV 可调高压直流，带过载保护，放电稳定无电弧泄漏配套：气体导入管、尾气吸收接口，适配 H₂-O₂爆鸣、氮氧放电等实验</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8986C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8EED0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6BD0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97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B50DB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光化学实验演示器</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422E20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产品结构：由底座、闪光装置、安全防护罩、手控按钮、开关、指示灯、试管3支及滴管等组成。能做氢、氯混合气体闪光引爆实验，溴化银感光分解实验，甲烷氯气混合气体取代反应闪光爆鸣实验。底座外形尺寸：175mm×95mm×140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95523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F00919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184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39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FC3A9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容量瓶</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5BB37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100ml  壁厚：不小于1.2mm透明钠钙玻璃材质，底座和口部边缘应做熔光处理。</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88EA1E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BF669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E92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24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EF8D13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滴定管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AF6B2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四氟乙烯活塞   壁厚1.3±0.3mm刻度标示清晰、均匀</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C81880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9A749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31A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E7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EA34A3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气体洗瓶</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655010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500ml，塑料，挤压型，由塑料细口瓶和瓶口装置出水管组成。</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977FD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C4DBD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C4C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7B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49088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分液漏斗</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46426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1.高硼硅玻璃材质；2.规格：锥形，100 mL；3.产品应符合《玻璃仪器通用技术要求》。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106AB53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97D85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81F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A9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F5787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分液漏斗</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3E15ED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1.高硼硅玻璃材质；2.规格：球形，50 mL；3.产品应符合《玻璃仪器通用技术要求》。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F43D65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1647B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CFD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CB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79673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细口瓶</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F1CE7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1.透明钠钙玻璃材质；2.规格：60 mL；3.产品应符合《玻璃仪器通用技术要求》。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2FBCE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D8AFE0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6400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ECF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225A9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细口瓶</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C5A34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1.透明钠钙玻璃材质；2.规格：125 mL；3.产品应符合《玻璃仪器通用技术要求》。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598D1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A02E2B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300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A6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199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E22C7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滴瓶</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2925C2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1.透明钠钙玻璃材质；2.规格：30mL。滴瓶全高：66±5mm，滴瓶身高：51±5mm，滴瓶外径：35±1.5mm，滴瓶瓶口高：12±2mm，滴瓶瓶口径：17±2mm，滴瓶身厚：1.5mm，滴管全长：80±5mm，滴管上部高：10±2mm，滴管外径：3.5±0.5 mm，滴管厚：1mm，滴管翻口外径：8mm，滴管距底距离：2－5mm；3.瓶塞上口应配合橡皮头下管正直；4.产品应符合《玻璃仪器通用技术要求》。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59081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D2D4C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939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B4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03137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滴瓶</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7C187A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透明钠钙玻璃材质；2.规格：规格：60mL。尺寸：滴瓶全高：80±5mm；滴瓶身高：63±5mm；滴瓶外径：42±1.5mm；滴瓶瓶口高：15±2mm；滴瓶瓶口径：18±2mm；滴瓶身厚：2mm；滴管全长：91±5mm，滴管上部高：12±2mm，滴管外径：3.5±0.5mm，滴管厚：1mm，滴管翻口外径：8mm，滴管距底距离：2－5mm；3.瓶塞上口应配合橡皮头下管正直；4.产品应符合《玻璃仪器通用技术要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EFCCB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6A2A5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B71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E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E0D9F4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滴瓶</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2C14F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1.透明钠钙玻璃材质；2.规格：125mL。滴瓶身厚：1.5mm 3.瓶塞上口应配合橡皮头下管正直；4.产品应符合《玻璃仪器通用技术要求》。</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C604D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1733C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05D3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DFB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E39FF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软胶塞</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133D184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1cm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74324B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06508F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242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D0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045F6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软胶赛</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03589B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2cm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24CEF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62C84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BF4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56C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53CE30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软胶赛</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7498193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3cm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BDED6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9B8AB6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6501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B4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205</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FAAF5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氯化钠</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6D8FCF3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500g </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3A91ED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179E90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瓶</w:t>
            </w:r>
          </w:p>
        </w:tc>
      </w:tr>
      <w:tr w14:paraId="1E76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3E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D8F6F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胶头滴管</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2360DF5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玻璃</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05270A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4C41F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EE3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DDE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3C108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胶头滴管</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1B4497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塑料</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0BFB4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3339A1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45E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44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208</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8CE7E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恒压滴液漏斗</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767141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30mm</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1E05B7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437E03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0AF3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0F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209</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445817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硫酸锌</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129E45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500g</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DF6AA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80418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瓶</w:t>
            </w:r>
          </w:p>
        </w:tc>
      </w:tr>
      <w:tr w14:paraId="7789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B6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210</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8F16F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碘化钾</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33BB0C3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250g</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39992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A61E4A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瓶</w:t>
            </w:r>
          </w:p>
        </w:tc>
      </w:tr>
      <w:tr w14:paraId="7375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C0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211</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0E2844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硫酸亚铁铵</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72B1FB9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500g</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9FDD8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ED03A9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瓶</w:t>
            </w:r>
          </w:p>
        </w:tc>
      </w:tr>
      <w:tr w14:paraId="218C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BF1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7BBA35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铁氰化钾</w:t>
            </w:r>
          </w:p>
        </w:tc>
        <w:tc>
          <w:tcPr>
            <w:tcW w:w="5846" w:type="dxa"/>
            <w:tcBorders>
              <w:top w:val="single" w:color="000000" w:sz="4" w:space="0"/>
              <w:left w:val="nil"/>
              <w:bottom w:val="single" w:color="000000" w:sz="4" w:space="0"/>
              <w:right w:val="single" w:color="000000" w:sz="4" w:space="0"/>
            </w:tcBorders>
            <w:shd w:val="clear" w:color="auto" w:fill="auto"/>
            <w:noWrap/>
            <w:vAlign w:val="center"/>
          </w:tcPr>
          <w:p w14:paraId="732582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100g</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3522E6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1C270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瓶</w:t>
            </w:r>
          </w:p>
        </w:tc>
      </w:tr>
      <w:tr w14:paraId="0FBF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4F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BD43A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纱布</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4F08F7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10×12cm   10片/包</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D57A5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554897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包</w:t>
            </w:r>
          </w:p>
        </w:tc>
      </w:tr>
      <w:tr w14:paraId="5B5C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48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214</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D5045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书写白板</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76DDAC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900mm×1800mm，双面，带支架</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5D975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74F8B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块</w:t>
            </w:r>
          </w:p>
        </w:tc>
      </w:tr>
      <w:tr w14:paraId="2EE4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E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215</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45858B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放大镜（铁质）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66DDE7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手持式，有效通光孔径不小于30mm，5倍</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047CE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FA272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BD6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71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216</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03E86C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磁力加热搅拌器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650CFC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容量：20mL～3000mL           转速：0 r/min～1200 r/min，无级调速</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639A9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25672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7BB3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AC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217</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07A110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烘干箱</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3CAEAE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≥80L</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C0774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86485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20E4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45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218</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023A95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恒温培养箱</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6A04B8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室温+5℃～60℃，±1℃，≥80L</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489C3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695EE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4A95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11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219</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34FE36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酸度计(pH计)</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866B0C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测量范围:pH 0～14，分辨率:0.1</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13EF7D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275CEF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2AE7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26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220</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458F311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接种环</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F430D4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金属手柄，合金金属丝</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4BF5C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58C9C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0FA9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53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221</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37F58C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研磨过滤器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AFCAFB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容量20mL</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234BCE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49D7D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3657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15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222</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1965CC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电泳仪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B91853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四组输出，输出电压：2V～200V、输出电流：2mA～200mA，具有36V电压限制功能</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9E20C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A50C6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023A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D48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223</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66E813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水平电泳槽</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78A3EE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聚碳酸脂注塑成型，凝胶托盘带有荧光标尺，具有开盖断电功能，凝胶板规格：60mm×60mm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E4B09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8</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28005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2B79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6F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224</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570DFD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垂直电泳槽</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2535B1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 xml:space="preserve">聚碳酸脂注塑成型槽体，可实现原位制胶功能，凝胶板规格：75mm×83mm，同时可以两块凝胶电泳 </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0D5670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4</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4F8D2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41FF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05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225</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660EB10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凝胶色谱柱</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150188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16mm×500mm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CEA09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173B50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5543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B7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226</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00C5B5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微量移液器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8C9FFC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L～10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L</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4424C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5AA5E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6BE7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AC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227</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6588BC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微量移液器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5867BC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L～200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L</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44FCB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98ADF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33F7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E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228</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ADD3C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微量移液器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C40D33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100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L～1000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L</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A1DDB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C5098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5142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EE5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229</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546A99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微量移液器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CA1A2D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500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L～5000</w:t>
            </w:r>
            <w:r>
              <w:rPr>
                <w:rFonts w:hint="eastAsia" w:ascii="宋体" w:hAnsi="宋体" w:eastAsia="宋体"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L</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70E16F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7EEF3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w:t>
            </w:r>
          </w:p>
        </w:tc>
      </w:tr>
      <w:tr w14:paraId="498C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DC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230</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4752CA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移液枪耗材包</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8DD7F0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各规格各1盒</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823EA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5FA3F1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3E5D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C4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231</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41D72F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移液器架</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3C64FD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可放置5支移液器</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EEF5B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9</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6EFF3F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14B5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B4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232</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1759FB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DNA电泳图谱观察仪</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BAC762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非紫外光源，观察凝胶面积＞100mm×100mm</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D1FD1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4B856A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345D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9B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233</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558F92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玻璃三角刮刀(涂布器)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866CA6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玻璃</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3B0EF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25</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08ED9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个</w:t>
            </w:r>
          </w:p>
        </w:tc>
      </w:tr>
      <w:tr w14:paraId="68FE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DF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234</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3A7174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酵母菌装片</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97B7AD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在500X的显微镜下能清楚的看到其细胞结构。</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F45AE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00F28E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片</w:t>
            </w:r>
          </w:p>
        </w:tc>
      </w:tr>
      <w:tr w14:paraId="439D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1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235</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7CE5F1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动物细胞有丝分裂(马蛔虫受精卵切片)</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806C69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标本在100×和400×生物显微镜下观察动物细胞有丝分裂的各期形态；2．能看清细胞分裂过程中的三个时期：前期、中期和后期或中期、后期和末期；3．能看清分裂前的细胞核和分裂各期的中心体（中期和后期显著）、染色体以及卵壳、子宫壁等，纺锤体隐约可见；4．标本取材于马蛔虫子宫，作子宫的纵切片，材料长度不小于10mm，每张玻片放材料1片；也可作子宫的横切片，每张玻片放不同部位的横切片2～4片，以保证观察到细胞分裂的各个时期；5．切片厚度为6～8μm；6．卵和卵壳基本呈圆形，子宫内卵应饱满，卵不得脱出卵壳外，胞核、染色体、中心体着色明显，子官壁完整。</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E53EE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F466F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片</w:t>
            </w:r>
          </w:p>
        </w:tc>
      </w:tr>
      <w:tr w14:paraId="2453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E6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236</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4A39AB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蛙血涂片</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5C1CC96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在500X的显微镜下能清楚的看到其细胞结构。</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57807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93B46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片</w:t>
            </w:r>
          </w:p>
        </w:tc>
      </w:tr>
      <w:tr w14:paraId="479E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BB8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237</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6E66137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表皮细胞装片</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5D11C0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蛙或蝾螈</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938453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7526FD7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片</w:t>
            </w:r>
          </w:p>
        </w:tc>
      </w:tr>
      <w:tr w14:paraId="791A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CE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238</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4F1D0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胰腺切片(示胰岛)</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755AE9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在500X的显微镜下能清楚的看到其细胞结构。</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7CF9AA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3F42A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片</w:t>
            </w:r>
          </w:p>
        </w:tc>
      </w:tr>
      <w:tr w14:paraId="37F7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8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239</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3B5588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正常人染色体装片</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42A7BF7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在500X的显微镜下能清楚的看到其细胞结构。</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28174CA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51C2A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片</w:t>
            </w:r>
          </w:p>
        </w:tc>
      </w:tr>
      <w:tr w14:paraId="142F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B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240</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2223DE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DNA和RAN在细胞中的分布</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7B022E5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在500X的显微镜下能清楚的看到其细胞结构。</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346155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305750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片</w:t>
            </w:r>
          </w:p>
        </w:tc>
      </w:tr>
      <w:tr w14:paraId="634E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BE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241</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75F00F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线粒体切片</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3265D31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在500X的显微镜下能清楚的看到其细胞结构。</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523E51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30</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123C6A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片</w:t>
            </w:r>
          </w:p>
        </w:tc>
      </w:tr>
      <w:tr w14:paraId="54A1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50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242</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3816F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鼠妇分布研究实验器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635B89F4">
            <w:pPr>
              <w:keepNext w:val="0"/>
              <w:keepLines w:val="0"/>
              <w:widowControl/>
              <w:numPr>
                <w:ilvl w:val="0"/>
                <w:numId w:val="3"/>
              </w:numPr>
              <w:suppressLineNumbers w:val="0"/>
              <w:kinsoku w:val="0"/>
              <w:autoSpaceDE w:val="0"/>
              <w:autoSpaceDN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snapToGrid w:val="0"/>
                <w:color w:val="000000"/>
                <w:kern w:val="0"/>
                <w:sz w:val="22"/>
                <w:szCs w:val="22"/>
                <w:lang w:val="en-US" w:eastAsia="zh-CN" w:bidi="ar"/>
              </w:rPr>
            </w:pPr>
            <w:r>
              <w:rPr>
                <w:rFonts w:hint="eastAsia" w:ascii="仿宋" w:hAnsi="仿宋" w:eastAsia="仿宋" w:cs="仿宋"/>
                <w:i w:val="0"/>
                <w:iCs w:val="0"/>
                <w:snapToGrid w:val="0"/>
                <w:color w:val="000000"/>
                <w:kern w:val="0"/>
                <w:sz w:val="22"/>
                <w:szCs w:val="22"/>
                <w:lang w:val="en-US" w:eastAsia="zh-CN" w:bidi="ar"/>
              </w:rPr>
              <w:t>组成环境室、过渡室、盖子*3（透明盖子、茶色盖子、带加热器的茶色盖子）、硅胶塞、海绵、电源适配器、O型圈</w:t>
            </w:r>
          </w:p>
          <w:p w14:paraId="6F7833A9">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left="0" w:right="0" w:rightChars="0"/>
              <w:jc w:val="both"/>
              <w:textAlignment w:val="center"/>
              <w:rPr>
                <w:rFonts w:hint="eastAsia" w:ascii="仿宋" w:hAnsi="仿宋" w:eastAsia="仿宋" w:cs="仿宋"/>
                <w:i w:val="0"/>
                <w:iCs w:val="0"/>
                <w:snapToGrid w:val="0"/>
                <w:color w:val="000000"/>
                <w:kern w:val="0"/>
                <w:sz w:val="22"/>
                <w:szCs w:val="22"/>
                <w:lang w:val="en-US" w:eastAsia="zh-CN" w:bidi="ar"/>
              </w:rPr>
            </w:pPr>
            <w:r>
              <w:rPr>
                <w:rFonts w:hint="eastAsia" w:ascii="仿宋" w:hAnsi="仿宋" w:eastAsia="仿宋" w:cs="仿宋"/>
                <w:i w:val="0"/>
                <w:iCs w:val="0"/>
                <w:snapToGrid w:val="0"/>
                <w:color w:val="000000"/>
                <w:kern w:val="0"/>
                <w:sz w:val="22"/>
                <w:szCs w:val="22"/>
                <w:lang w:val="en-US" w:eastAsia="zh-CN" w:bidi="ar"/>
              </w:rPr>
              <w:t>二、功能1.用于探究影响鼠妇分布的非生物因素实验，探究温度、光照、湿度等非生物因素对鼠妇分布的影响。</w:t>
            </w:r>
          </w:p>
          <w:p w14:paraId="3D6E2C2B">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snapToGrid w:val="0"/>
                <w:color w:val="000000"/>
                <w:kern w:val="0"/>
                <w:sz w:val="22"/>
                <w:szCs w:val="22"/>
                <w:lang w:val="en-US" w:eastAsia="zh-CN" w:bidi="ar"/>
              </w:rPr>
            </w:pPr>
            <w:r>
              <w:rPr>
                <w:rFonts w:hint="eastAsia" w:ascii="仿宋" w:hAnsi="仿宋" w:eastAsia="仿宋" w:cs="仿宋"/>
                <w:i w:val="0"/>
                <w:iCs w:val="0"/>
                <w:snapToGrid w:val="0"/>
                <w:color w:val="000000"/>
                <w:kern w:val="0"/>
                <w:sz w:val="22"/>
                <w:szCs w:val="22"/>
                <w:lang w:val="en-US" w:eastAsia="zh-CN" w:bidi="ar"/>
              </w:rPr>
              <w:t>2.环境室可以创造多种实验环境，如不同光照强度、不同温度、不同湿度等，适配多种传感器，模拟鼠妇、面包虫等小型动物生存环境，探究光照强度、温度、土壤湿度等多种非生物条件对其分布的影响。</w:t>
            </w:r>
          </w:p>
          <w:p w14:paraId="7544230A">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snapToGrid w:val="0"/>
                <w:color w:val="000000"/>
                <w:kern w:val="0"/>
                <w:sz w:val="22"/>
                <w:szCs w:val="22"/>
                <w:lang w:val="en-US" w:eastAsia="zh-CN" w:bidi="ar"/>
              </w:rPr>
            </w:pPr>
            <w:r>
              <w:rPr>
                <w:rFonts w:hint="eastAsia" w:ascii="仿宋" w:hAnsi="仿宋" w:eastAsia="仿宋" w:cs="仿宋"/>
                <w:i w:val="0"/>
                <w:iCs w:val="0"/>
                <w:snapToGrid w:val="0"/>
                <w:color w:val="000000"/>
                <w:kern w:val="0"/>
                <w:sz w:val="22"/>
                <w:szCs w:val="22"/>
                <w:lang w:val="en-US" w:eastAsia="zh-CN" w:bidi="ar"/>
              </w:rPr>
              <w:t>3.过渡室连通两个环境室，利用转动门实现放置阶段鼠妇与实验环境分离，减少人为因素对实验的干扰，更科学严谨。无需自制教具，一体化实验器，鼠妇起始位置科学可控。</w:t>
            </w:r>
          </w:p>
          <w:p w14:paraId="23F9168C">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snapToGrid w:val="0"/>
                <w:color w:val="000000"/>
                <w:kern w:val="0"/>
                <w:sz w:val="22"/>
                <w:szCs w:val="22"/>
                <w:lang w:val="en-US" w:eastAsia="zh-CN" w:bidi="ar"/>
              </w:rPr>
            </w:pPr>
            <w:r>
              <w:rPr>
                <w:rFonts w:hint="eastAsia" w:ascii="仿宋" w:hAnsi="仿宋" w:eastAsia="仿宋" w:cs="仿宋"/>
                <w:i w:val="0"/>
                <w:iCs w:val="0"/>
                <w:snapToGrid w:val="0"/>
                <w:color w:val="000000"/>
                <w:kern w:val="0"/>
                <w:sz w:val="22"/>
                <w:szCs w:val="22"/>
                <w:lang w:val="en-US" w:eastAsia="zh-CN" w:bidi="ar"/>
              </w:rPr>
              <w:t>4.透明盖板可视化设计，方便计数。</w:t>
            </w:r>
          </w:p>
          <w:p w14:paraId="3834EA20">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snapToGrid w:val="0"/>
                <w:color w:val="000000"/>
                <w:kern w:val="0"/>
                <w:sz w:val="22"/>
                <w:szCs w:val="22"/>
                <w:lang w:val="en-US" w:eastAsia="zh-CN" w:bidi="ar"/>
              </w:rPr>
            </w:pPr>
            <w:r>
              <w:rPr>
                <w:rFonts w:hint="eastAsia" w:ascii="仿宋" w:hAnsi="仿宋" w:eastAsia="仿宋" w:cs="仿宋"/>
                <w:i w:val="0"/>
                <w:iCs w:val="0"/>
                <w:snapToGrid w:val="0"/>
                <w:color w:val="000000"/>
                <w:kern w:val="0"/>
                <w:sz w:val="22"/>
                <w:szCs w:val="22"/>
                <w:lang w:val="en-US" w:eastAsia="zh-CN" w:bidi="ar"/>
              </w:rPr>
              <w:t>5.使用碳膜加热电阻加热，温度可调，环境数据实时监测，低功率电子元器件，安全性高，对动物无伤害。</w:t>
            </w:r>
          </w:p>
          <w:p w14:paraId="35C14424">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snapToGrid w:val="0"/>
                <w:color w:val="000000"/>
                <w:kern w:val="0"/>
                <w:sz w:val="22"/>
                <w:szCs w:val="22"/>
                <w:lang w:val="en-US" w:eastAsia="zh-CN" w:bidi="ar"/>
              </w:rPr>
            </w:pPr>
            <w:r>
              <w:rPr>
                <w:rFonts w:hint="eastAsia" w:ascii="仿宋" w:hAnsi="仿宋" w:eastAsia="仿宋" w:cs="仿宋"/>
                <w:i w:val="0"/>
                <w:iCs w:val="0"/>
                <w:snapToGrid w:val="0"/>
                <w:color w:val="000000"/>
                <w:kern w:val="0"/>
                <w:sz w:val="22"/>
                <w:szCs w:val="22"/>
                <w:lang w:val="en-US" w:eastAsia="zh-CN" w:bidi="ar"/>
              </w:rPr>
              <w:t>6.通过移动终端扫描仪器上的二维码可浏览该仪器配套的实验指导和使用说明。</w:t>
            </w:r>
          </w:p>
          <w:p w14:paraId="31705D67">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snapToGrid w:val="0"/>
                <w:color w:val="000000"/>
                <w:kern w:val="0"/>
                <w:sz w:val="22"/>
                <w:szCs w:val="22"/>
                <w:lang w:val="en-US" w:eastAsia="zh-CN" w:bidi="ar"/>
              </w:rPr>
            </w:pPr>
            <w:r>
              <w:rPr>
                <w:rFonts w:hint="eastAsia" w:ascii="仿宋" w:hAnsi="仿宋" w:eastAsia="仿宋" w:cs="仿宋"/>
                <w:i w:val="0"/>
                <w:iCs w:val="0"/>
                <w:snapToGrid w:val="0"/>
                <w:color w:val="000000"/>
                <w:kern w:val="0"/>
                <w:sz w:val="22"/>
                <w:szCs w:val="22"/>
                <w:lang w:val="en-US" w:eastAsia="zh-CN" w:bidi="ar"/>
              </w:rPr>
              <w:t>7.配套专用实验软件，预设模板，以表格和曲线等形式自动记录数据变化情况，实验结果更直观明显。</w:t>
            </w:r>
          </w:p>
          <w:p w14:paraId="151DB69B">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left="0" w:leftChars="0" w:right="0" w:rightChars="0"/>
              <w:jc w:val="both"/>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三、实验探究温度对鼠妇分布的影响、探究湿度对鼠妇分布的影响、探究光强对鼠妇分布的影响等实验★提供封面带有CMA和CNAS标志的检测报告复印件加盖公章佐证鼠妇分布研究实验器环境室可以创造多种实验环境，如不同光照强度、不同温度、不同湿度等，适配多种传感器，模拟鼠妇、面包虫等小型动物生存环境，探究光照强度、温度、土壤湿度等多种非生物条件对其分布的影响，中标后提供原件备查。</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41EB8B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27D00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41C1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A8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243</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13AECC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数字化实验系统</w:t>
            </w:r>
          </w:p>
        </w:tc>
        <w:tc>
          <w:tcPr>
            <w:tcW w:w="5846" w:type="dxa"/>
            <w:tcBorders>
              <w:top w:val="single" w:color="000000" w:sz="4" w:space="0"/>
              <w:left w:val="nil"/>
              <w:bottom w:val="single" w:color="000000" w:sz="4" w:space="0"/>
              <w:right w:val="nil"/>
            </w:tcBorders>
            <w:shd w:val="clear" w:color="auto" w:fill="auto"/>
            <w:vAlign w:val="center"/>
          </w:tcPr>
          <w:p w14:paraId="4CF8A899">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支持实验设计、数据采集和保存、数据分析计算等，是一款功能强大的教学用实验数据处理软件。</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功能：</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1.支持Windows、iOS、Android、MacOS操作系统。</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2.支持有线连接，无线蓝牙连接。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3.支持传感器自动识别。</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4.可连接多个采集器，并支持多个采集器同时工作。</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5.可支持20个传感器同时采集。</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6.通过坐标图像曲线、表格、数值、仪表盘等方式，实时、直观、精确显示实验数据。</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7.根据实验需要，可进行公式（变量）编辑，自主添加实验变量（或增量等），并通过公式编辑实现不同物理量之间的转换。</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8.可对数据图表操作，包括对图表内数据曲线的移动、缩放、改变曲线颜色及大小等，便于实验前后的数据分析处理，适合于教学中实验结果的精确测定与验证。</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9.具有完善的数据处理功能，包含多种数据拟合EDU：直线拟合、抛物线拟合、倒数拟合、积分、重叠显示等。</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10.实验结果以图片等不同方式进行保存。</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11.包含小学科学、初中物理、初中化学、初中生物、高中物理、高中生物、高中化学7个专用实验模块，超过150个实验专有模板，全定制化的实验界面及实验操作，贴合教学过程。</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12.软件可关联“在线实验设计平台”，通过注册和登录，登录之后可使用“在线实验设计平台”，体验功能更为强大的实验自主设计软件。</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13.通用界面支持多种功能风格显示，并且可自定义界面风格。</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14.提供丰富完整的在线实验教学案例，资源数量不少于700个，提供封面带有CMA和CNAS标志的检测报告复印件加盖公章佐证，中标后提供原件备查，同时提供网址信息、账户和密码，供评委现场验证或中标后备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★15.提供丰富的在线实验视频，视频数量不少于150个，提供封面带有CMA和CNAS标志的检测报告复印件加盖公章佐证，中标后提供原件备查，同时提供网址信息、账户和密码，供评委现场验证或中标后备查。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16.在线实验视频既可以通过自有平台浏览，同时也可以通过第三方平台浏览，提供封面带有CMA和CNAS标志的检测报告复印件加盖公章佐证，中标后提供原件备查，同时提供网址信息、账户和密码，供评委现场验证或中标后备查。</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B3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4008810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套</w:t>
            </w:r>
          </w:p>
        </w:tc>
      </w:tr>
      <w:tr w14:paraId="085D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90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244</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2B4DF3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通用接口</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B5A228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一、结构及外观</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通用接口正面为电源指示灯，前端、后端为Lightning接口，用于跟传感器的连接。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二、功能</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1.用于传感器与采集器的连接。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2.外壳采用ABS工程塑料，具有耐火、耐高温、阻燃等特性。</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3.具有通电指示灯，可以快速判断是否正确连接。</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7C341C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6486BDF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r w14:paraId="3C2B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CA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245</w:t>
            </w:r>
          </w:p>
        </w:tc>
        <w:tc>
          <w:tcPr>
            <w:tcW w:w="1295" w:type="dxa"/>
            <w:tcBorders>
              <w:top w:val="single" w:color="000000" w:sz="4" w:space="0"/>
              <w:left w:val="nil"/>
              <w:bottom w:val="single" w:color="000000" w:sz="4" w:space="0"/>
              <w:right w:val="single" w:color="000000" w:sz="4" w:space="0"/>
            </w:tcBorders>
            <w:shd w:val="clear" w:color="auto" w:fill="auto"/>
            <w:vAlign w:val="center"/>
          </w:tcPr>
          <w:p w14:paraId="0F813C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宋体" w:hAnsi="宋体" w:eastAsia="宋体" w:cs="宋体"/>
                <w:i w:val="0"/>
                <w:iCs w:val="0"/>
                <w:snapToGrid w:val="0"/>
                <w:color w:val="000000"/>
                <w:kern w:val="0"/>
                <w:sz w:val="22"/>
                <w:szCs w:val="22"/>
                <w:lang w:val="en-US" w:eastAsia="zh-CN" w:bidi="ar"/>
              </w:rPr>
              <w:t>●</w:t>
            </w:r>
            <w:r>
              <w:rPr>
                <w:rFonts w:hint="eastAsia" w:ascii="仿宋" w:hAnsi="仿宋" w:eastAsia="仿宋" w:cs="仿宋"/>
                <w:i w:val="0"/>
                <w:iCs w:val="0"/>
                <w:snapToGrid w:val="0"/>
                <w:color w:val="000000"/>
                <w:kern w:val="0"/>
                <w:sz w:val="22"/>
                <w:szCs w:val="22"/>
                <w:lang w:val="en-US" w:eastAsia="zh-CN" w:bidi="ar"/>
              </w:rPr>
              <w:t>智能数字实验盘</w:t>
            </w:r>
            <w:r>
              <w:rPr>
                <w:rFonts w:hint="eastAsia" w:ascii="仿宋" w:hAnsi="仿宋" w:eastAsia="仿宋" w:cs="仿宋"/>
                <w:b/>
                <w:bCs/>
                <w:i w:val="0"/>
                <w:iCs w:val="0"/>
                <w:snapToGrid w:val="0"/>
                <w:color w:val="000000"/>
                <w:kern w:val="0"/>
                <w:sz w:val="22"/>
                <w:szCs w:val="22"/>
                <w:lang w:val="en-US" w:eastAsia="zh-CN" w:bidi="ar"/>
              </w:rPr>
              <w:t>（核心产品）</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03BEB0F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智能数字实验盘是一款功能强大、小巧轻便的数字化实验数据采集设备，可满足中小学各个学科的实验需求；支持有线、无线两种传输模式；内置功能完整的实验操作平台，支持脱离终端设备进行独立实验，支持实验保存，并可随时在智能数字实验盘上查看</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一、结构及外观</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一体化设计，3.5英寸显示屏居中，7个传感器模块环绕分布；采集器与传感器之间采用Lightning接口，采用环绕式可插拔设计，可任意更换传感器，无需数据线连接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二、规格</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 xml:space="preserve">支持平台：Windows、Android、iOS/iPadOS、MacOS、 Linux、Harmony OS、统信UOS </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显示屏：3.5英寸TFT 480*320 电容屏</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最大采样速率：100,000次/秒</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采样解析度：12-bit</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内存：16M</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传感器接口：7 个</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有线连接：USB 2.0</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无线连接：蓝牙2.0/4.2双模</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内置电池：3000mAh 锂电池</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待机时间：6个月以上</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使用温度范围：-20℃~70℃</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电源适配器：100V~240V AC / 5V DC 2A</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 xml:space="preserve">软件：iLabV12 </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固件升级：固件可通过USB接口进行升级</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内置传感器：三轴加速度、GPS、气压计、相对高度计</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·三轴加速度传感器：量程 -8g~+8g,精度2.5%，可测量空间三个垂直方向上的加速度值</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 GPS：最大导航更新率（Maximum Navigation update rate）：5Hz；平面位置精度（Horizontal position accuracy）：2.5m；速度准确度（Velocity accuracy）：0.1m/s</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·气压计：量程 50~110kPa，精度 ±4kPa (相对精度: 0.05kPa)，可用于测量周围环境的大气压强lzq，能够灵敏反映因海拔变化引起的大气压的变化</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·相对高度计：分辨率</w:t>
            </w:r>
            <w:r>
              <w:rPr>
                <w:rFonts w:hint="eastAsia" w:ascii="宋体" w:hAnsi="宋体" w:eastAsia="仿宋" w:cs="宋体"/>
                <w:i w:val="0"/>
                <w:iCs w:val="0"/>
                <w:snapToGrid w:val="0"/>
                <w:color w:val="000000"/>
                <w:kern w:val="0"/>
                <w:sz w:val="22"/>
                <w:szCs w:val="22"/>
                <w:lang w:val="en-US" w:eastAsia="zh-CN" w:bidi="ar"/>
              </w:rPr>
              <w:t xml:space="preserve"> </w:t>
            </w:r>
            <w:r>
              <w:rPr>
                <w:rFonts w:hint="eastAsia" w:ascii="仿宋" w:hAnsi="仿宋" w:eastAsia="仿宋" w:cs="仿宋"/>
                <w:i w:val="0"/>
                <w:iCs w:val="0"/>
                <w:snapToGrid w:val="0"/>
                <w:color w:val="000000"/>
                <w:kern w:val="0"/>
                <w:sz w:val="22"/>
                <w:szCs w:val="22"/>
                <w:lang w:val="en-US" w:eastAsia="zh-CN" w:bidi="ar"/>
              </w:rPr>
              <w:t>0.3m，用于测量相对海拔高度，比如，可以获得从某一高度上升或下降到另一高度的具体高度值</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三、功能</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颠覆传统采集器需连接终端设备使用的模式，智能数字实验盘在自身强大的软、硬件支撑下，既可连接外接终端设备，也可脱离终端独立进行数据采集、实验操作，支持有线、无线传输，自成一个功能完整且独立的实验平台</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2、内置</w:t>
            </w:r>
            <w:r>
              <w:rPr>
                <w:rFonts w:hint="eastAsia" w:ascii="宋体" w:hAnsi="宋体" w:eastAsia="仿宋" w:cs="宋体"/>
                <w:i w:val="0"/>
                <w:iCs w:val="0"/>
                <w:snapToGrid w:val="0"/>
                <w:color w:val="000000"/>
                <w:kern w:val="0"/>
                <w:sz w:val="22"/>
                <w:szCs w:val="22"/>
                <w:lang w:val="en-US" w:eastAsia="zh-CN" w:bidi="ar"/>
              </w:rPr>
              <w:t xml:space="preserve"> </w:t>
            </w:r>
            <w:r>
              <w:rPr>
                <w:rFonts w:hint="eastAsia" w:ascii="仿宋" w:hAnsi="仿宋" w:eastAsia="仿宋" w:cs="仿宋"/>
                <w:i w:val="0"/>
                <w:iCs w:val="0"/>
                <w:snapToGrid w:val="0"/>
                <w:color w:val="000000"/>
                <w:kern w:val="0"/>
                <w:sz w:val="22"/>
                <w:szCs w:val="22"/>
                <w:lang w:val="en-US" w:eastAsia="zh-CN" w:bidi="ar"/>
              </w:rPr>
              <w:t>3.5英寸电容屏，支持手势操作，触控灵敏、交互便捷，为数据显示、实验采集提供良好的图形界面</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3、一体化设计，机身设计有7个传感器接口，支持热插拔；支持近60种传感器，遍及力学、热学、光学、电学、化学、生物等多个领域；内置三轴加速度、GPS、气压计、相对高度计等传感器；内置传感器与外接传感器模块可并行采集数据</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4、高度自由的实验操作。独立使用时，支持实验采集功能，提供图像、表格两种模式。图像模式支持对X轴、Y轴自定义，且Y轴支持传感器多选；支持双Y轴设置，优化选择多个传感器且数值相差较大时的图像显示，适应多样需求；支持曲线镜像显示</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5、支持对采集间隔、采集时间进行设置，支持手动采集、定时采集等不同模式</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6、实验采集支持保存与读取，方便随时对实验进行复盘分析</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7、支持7种外接传感器和内置传感器同时工作，并在内置屏上同步数据显示；支持数字、图线、指针盘3种显示模式；支持从传感器实时显示界面直接跳转进入快速实验</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8、支持脱离终端设备，利用内置实验操作平台对部分传感器进行校准或标定等</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9、具有通用接口模块，可外扩其他类型的传感器，通用接口采用Lightning接口,外扩传感器插头采用双面设计，支持正反盲插接入通用接口，无需关心插入的方向，易插易用</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10、充电方式：支持USB充电，支持触点充电，搭配专用充电坞，可实现同时对5个智能数字实验盘进行充电</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11、正面设有电源指示灯，背面设有支脚架、固定螺纹孔、复位孔</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12、固件升级：固件可通过USB接口进行升级</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提供封面带有CMA和CNAS标志的检测报告复印件加盖公章佐证智能数字实验盘有7个传感器接口，支持热插拔，支持近60种传感器，内置三轴加速度、GPS、气压计、相对高度计等传感器，支持7种外接传感器和内置传感器同时工作，并在内置屏上同步数据显示，中标后提供原件备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★提供封面带有CMA和CNAS标志的检测报告复印件加盖公章佐证智能数字实验盘脱机独立使用时，支持图像、表格两种数据记录方式。并支持对采集频率、采集时间进行独立设置，中标后提供原件备查。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★提供封面带有CMA和CNAS标志的检测报告复印件加盖公章佐证智能数字实验盘脱机独立使用时，支持对传感器进行校准、标定等设置，中标后提供原件备查。</w:t>
            </w:r>
          </w:p>
        </w:tc>
        <w:tc>
          <w:tcPr>
            <w:tcW w:w="618" w:type="dxa"/>
            <w:tcBorders>
              <w:top w:val="single" w:color="000000" w:sz="4" w:space="0"/>
              <w:left w:val="nil"/>
              <w:bottom w:val="single" w:color="000000" w:sz="4" w:space="0"/>
              <w:right w:val="single" w:color="000000" w:sz="4" w:space="0"/>
            </w:tcBorders>
            <w:shd w:val="clear" w:color="auto" w:fill="auto"/>
            <w:vAlign w:val="center"/>
          </w:tcPr>
          <w:p w14:paraId="01D011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1</w:t>
            </w:r>
          </w:p>
        </w:tc>
        <w:tc>
          <w:tcPr>
            <w:tcW w:w="654" w:type="dxa"/>
            <w:tcBorders>
              <w:top w:val="single" w:color="000000" w:sz="4" w:space="0"/>
              <w:left w:val="nil"/>
              <w:bottom w:val="single" w:color="000000" w:sz="4" w:space="0"/>
              <w:right w:val="single" w:color="000000" w:sz="4" w:space="0"/>
            </w:tcBorders>
            <w:shd w:val="clear" w:color="auto" w:fill="auto"/>
            <w:vAlign w:val="center"/>
          </w:tcPr>
          <w:p w14:paraId="2EF23E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台</w:t>
            </w:r>
          </w:p>
        </w:tc>
      </w:tr>
      <w:tr w14:paraId="1110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D80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246</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68C4620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心率传感器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2D03813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心率传感器采用模块化设计，通过Lightning接口与采集器连接，具有热插拔功能，连接传输稳定。搭配采集器通过有线、无线方式连接电脑、手机或平板等终端进行数据采集，在终端上实时显示并记录人体的心率值的变化，并绘制图像，可脱离终端独立采集记录所探测到的实验数据并加以保存，以供下载和分析。</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一、结构及外观</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传感器正面为电源指示灯，前端为心率耳夹插孔，后端为Lighting接口，附件为心率耳夹。</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二、功能</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1.用于测量人体的心率值。</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2.传感器采用模块化设计，可任意组合，使用更换方便快捷。</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3.外壳采用ABS工程塑料，具有耐火、耐高温、阻燃等特性。</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4.传感器上具有通电指示灯，可以快速判断是否正确连接。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5.搭配采集器可以在Windows、Android、iOS/iPadOS、MacOS、 Linux、Harmony OS、统信UOS 系统上进行数据采集。</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6.无需校准，即连即用。</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三、规格</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1.量程：0~200BPM</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2.精度：±2BPM</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3.分辨率：1BPM</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四、实验</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测量人体的心率、测一测自己的心跳等</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6A63A2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25BA1C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r w14:paraId="02E2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19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247</w:t>
            </w:r>
          </w:p>
        </w:tc>
        <w:tc>
          <w:tcPr>
            <w:tcW w:w="1295" w:type="dxa"/>
            <w:tcBorders>
              <w:top w:val="single" w:color="000000" w:sz="4" w:space="0"/>
              <w:left w:val="nil"/>
              <w:bottom w:val="single" w:color="000000" w:sz="4" w:space="0"/>
              <w:right w:val="single" w:color="000000" w:sz="4" w:space="0"/>
            </w:tcBorders>
            <w:shd w:val="clear" w:color="auto" w:fill="auto"/>
            <w:noWrap/>
            <w:vAlign w:val="center"/>
          </w:tcPr>
          <w:p w14:paraId="33FFA6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心电图传感器</w:t>
            </w:r>
          </w:p>
        </w:tc>
        <w:tc>
          <w:tcPr>
            <w:tcW w:w="5846" w:type="dxa"/>
            <w:tcBorders>
              <w:top w:val="single" w:color="000000" w:sz="4" w:space="0"/>
              <w:left w:val="nil"/>
              <w:bottom w:val="single" w:color="000000" w:sz="4" w:space="0"/>
              <w:right w:val="single" w:color="000000" w:sz="4" w:space="0"/>
            </w:tcBorders>
            <w:shd w:val="clear" w:color="auto" w:fill="auto"/>
            <w:vAlign w:val="center"/>
          </w:tcPr>
          <w:p w14:paraId="12BC083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心电图传感器采用模块化设计，通过Lightning接口与采集器连接，具有热插拔功能，连接传输稳定。搭配采集器通过有线、无线方式连接电脑、手机或平板等终端进行数据采集，在终端上实时显示并记录人体心电图波形的变化，并绘制图像，可脱离终端独立采集记录所探测到的实验数据并加以保存，以供下载和分析。</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一、结构及外观</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传感器正面为电源指示灯，前端为探头接口用于连接电极片，后端为Lighting接口，附件为电极片。</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二、功能</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1.用于测量人体心电图的波形图。</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2.传感器采用模块化设计，可任意组合，使用更换方便快捷。</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3.外壳采用ABS工程塑料，具有耐火、耐高温、阻燃等特性。</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4.传感器上具有通电指示灯，可以快速判断是否正确连接。</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5.电极连接线接口为为3.5mm耳机插头，耳机插孔式连接，连接稳定，无干扰。</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6.搭配采集器可以在Windows、Android、iOS/iPadOS、MacOS、 Linux、Harmony OS、统信UOS 系统上进行数据采集。</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7.无需校准，即连即用。</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三、规格</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1.量程：-1mV~5mV</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2.分辨率：2.5</w:t>
            </w:r>
            <w:r>
              <w:rPr>
                <w:rFonts w:hint="eastAsia" w:ascii="宋体" w:hAnsi="宋体" w:eastAsia="仿宋" w:cs="宋体"/>
                <w:i w:val="0"/>
                <w:iCs w:val="0"/>
                <w:snapToGrid w:val="0"/>
                <w:color w:val="000000"/>
                <w:kern w:val="0"/>
                <w:sz w:val="22"/>
                <w:szCs w:val="22"/>
                <w:lang w:val="en-US" w:eastAsia="zh-CN" w:bidi="ar"/>
              </w:rPr>
              <w:t>µ</w:t>
            </w:r>
            <w:r>
              <w:rPr>
                <w:rFonts w:hint="eastAsia" w:ascii="仿宋" w:hAnsi="仿宋" w:eastAsia="仿宋" w:cs="仿宋"/>
                <w:i w:val="0"/>
                <w:iCs w:val="0"/>
                <w:snapToGrid w:val="0"/>
                <w:color w:val="000000"/>
                <w:kern w:val="0"/>
                <w:sz w:val="22"/>
                <w:szCs w:val="22"/>
                <w:lang w:val="en-US" w:eastAsia="zh-CN" w:bidi="ar"/>
              </w:rPr>
              <w:t>V</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四、实验</w:t>
            </w:r>
            <w:r>
              <w:rPr>
                <w:rFonts w:hint="eastAsia" w:ascii="仿宋" w:hAnsi="仿宋" w:eastAsia="仿宋" w:cs="仿宋"/>
                <w:i w:val="0"/>
                <w:iCs w:val="0"/>
                <w:snapToGrid w:val="0"/>
                <w:color w:val="000000"/>
                <w:kern w:val="0"/>
                <w:sz w:val="22"/>
                <w:szCs w:val="22"/>
                <w:lang w:val="en-US" w:eastAsia="zh-CN" w:bidi="ar"/>
              </w:rPr>
              <w:br w:type="textWrapping"/>
            </w:r>
            <w:r>
              <w:rPr>
                <w:rFonts w:hint="eastAsia" w:ascii="仿宋" w:hAnsi="仿宋" w:eastAsia="仿宋" w:cs="仿宋"/>
                <w:i w:val="0"/>
                <w:iCs w:val="0"/>
                <w:snapToGrid w:val="0"/>
                <w:color w:val="000000"/>
                <w:kern w:val="0"/>
                <w:sz w:val="22"/>
                <w:szCs w:val="22"/>
                <w:lang w:val="en-US" w:eastAsia="zh-CN" w:bidi="ar"/>
              </w:rPr>
              <w:t>测量人体的心电图</w:t>
            </w: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57A1B3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2</w:t>
            </w:r>
          </w:p>
        </w:tc>
        <w:tc>
          <w:tcPr>
            <w:tcW w:w="654" w:type="dxa"/>
            <w:tcBorders>
              <w:top w:val="single" w:color="000000" w:sz="4" w:space="0"/>
              <w:left w:val="nil"/>
              <w:bottom w:val="single" w:color="000000" w:sz="4" w:space="0"/>
              <w:right w:val="single" w:color="000000" w:sz="4" w:space="0"/>
            </w:tcBorders>
            <w:shd w:val="clear" w:color="auto" w:fill="auto"/>
            <w:noWrap/>
            <w:vAlign w:val="center"/>
          </w:tcPr>
          <w:p w14:paraId="7BEA86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rPr>
            </w:pPr>
            <w:r>
              <w:rPr>
                <w:rFonts w:hint="eastAsia" w:ascii="仿宋" w:hAnsi="仿宋" w:eastAsia="仿宋" w:cs="仿宋"/>
                <w:i w:val="0"/>
                <w:iCs w:val="0"/>
                <w:snapToGrid w:val="0"/>
                <w:color w:val="000000"/>
                <w:kern w:val="0"/>
                <w:sz w:val="22"/>
                <w:szCs w:val="22"/>
                <w:lang w:val="en-US" w:eastAsia="zh-CN" w:bidi="ar"/>
              </w:rPr>
              <w:t>只</w:t>
            </w:r>
          </w:p>
        </w:tc>
      </w:tr>
    </w:tbl>
    <w:p w14:paraId="628CD8E1">
      <w:pPr>
        <w:rPr>
          <w:rFonts w:hint="default"/>
          <w:lang w:val="en-US" w:eastAsia="zh-CN"/>
        </w:rPr>
      </w:pPr>
    </w:p>
    <w:p w14:paraId="15408075">
      <w:pPr>
        <w:keepNext w:val="0"/>
        <w:keepLines w:val="0"/>
        <w:pageBreakBefore w:val="0"/>
        <w:widowControl/>
        <w:suppressLineNumbers w:val="0"/>
        <w:kinsoku/>
        <w:overflowPunct/>
        <w:topLinePunct w:val="0"/>
        <w:bidi w:val="0"/>
        <w:adjustRightInd/>
        <w:snapToGrid/>
        <w:spacing w:line="288"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w:t>
      </w:r>
    </w:p>
    <w:p w14:paraId="5B265AA6">
      <w:pPr>
        <w:keepNext w:val="0"/>
        <w:keepLines w:val="0"/>
        <w:pageBreakBefore w:val="0"/>
        <w:widowControl/>
        <w:suppressLineNumbers w:val="0"/>
        <w:kinsoku/>
        <w:overflowPunct/>
        <w:topLinePunct w:val="0"/>
        <w:bidi w:val="0"/>
        <w:adjustRightInd/>
        <w:snapToGrid/>
        <w:spacing w:line="288"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1.采购需求中标注“★”号条款为重要条款，其他为一般技术条款，负偏离扣除相应的分数。</w:t>
      </w:r>
    </w:p>
    <w:p w14:paraId="46405D26">
      <w:pPr>
        <w:keepNext w:val="0"/>
        <w:keepLines w:val="0"/>
        <w:pageBreakBefore w:val="0"/>
        <w:widowControl/>
        <w:suppressLineNumbers w:val="0"/>
        <w:kinsoku/>
        <w:overflowPunct/>
        <w:topLinePunct w:val="0"/>
        <w:bidi w:val="0"/>
        <w:adjustRightInd/>
        <w:snapToGrid/>
        <w:spacing w:line="288" w:lineRule="auto"/>
        <w:jc w:val="left"/>
        <w:textAlignment w:val="auto"/>
        <w:rPr>
          <w:rFonts w:hint="default"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u w:val="single"/>
          <w:lang w:val="en-US" w:eastAsia="zh-CN"/>
        </w:rPr>
        <w:t>2.投标单位分项报价必须按照技术参数提供的序号及相对应的货物名称进行逐条报价，如不按顺序或有遗漏或未按数量报价，所造成的后果由投标单位自己承担。</w:t>
      </w:r>
    </w:p>
    <w:p w14:paraId="12A5E206">
      <w:pPr>
        <w:rPr>
          <w:rFonts w:hint="default"/>
          <w:lang w:val="en-US" w:eastAsia="zh-CN"/>
        </w:rPr>
      </w:pPr>
      <w:r>
        <w:rPr>
          <w:rFonts w:hint="default"/>
          <w:lang w:val="en-US" w:eastAsia="zh-CN"/>
        </w:rPr>
        <w:br w:type="page"/>
      </w:r>
    </w:p>
    <w:p w14:paraId="5D2382A5">
      <w:pPr>
        <w:pStyle w:val="14"/>
        <w:rPr>
          <w:rFonts w:hint="default"/>
          <w:lang w:val="en-US" w:eastAsia="zh-CN"/>
        </w:rPr>
      </w:pPr>
    </w:p>
    <w:p w14:paraId="03938D15">
      <w:pPr>
        <w:pStyle w:val="7"/>
        <w:spacing w:before="64" w:line="228" w:lineRule="auto"/>
        <w:jc w:val="center"/>
        <w:outlineLvl w:val="0"/>
        <w:rPr>
          <w:sz w:val="31"/>
          <w:szCs w:val="31"/>
        </w:rPr>
      </w:pPr>
      <w:bookmarkStart w:id="13" w:name="_Toc13761"/>
      <w:r>
        <w:rPr>
          <w:b/>
          <w:bCs/>
          <w:spacing w:val="1"/>
          <w:sz w:val="31"/>
          <w:szCs w:val="31"/>
        </w:rPr>
        <w:t>第五章</w:t>
      </w:r>
      <w:r>
        <w:rPr>
          <w:spacing w:val="22"/>
          <w:sz w:val="31"/>
          <w:szCs w:val="31"/>
        </w:rPr>
        <w:t xml:space="preserve">  </w:t>
      </w:r>
      <w:r>
        <w:rPr>
          <w:b/>
          <w:bCs/>
          <w:spacing w:val="1"/>
          <w:sz w:val="31"/>
          <w:szCs w:val="31"/>
        </w:rPr>
        <w:t>评标原则及办法</w:t>
      </w:r>
      <w:bookmarkEnd w:id="13"/>
    </w:p>
    <w:p w14:paraId="62CE333B">
      <w:pPr>
        <w:pStyle w:val="7"/>
        <w:spacing w:before="233" w:line="221" w:lineRule="auto"/>
        <w:ind w:left="7"/>
      </w:pPr>
      <w:r>
        <w:rPr>
          <w:b/>
          <w:bCs/>
          <w:spacing w:val="-4"/>
        </w:rPr>
        <w:t>一、评标工作中的原则及组织</w:t>
      </w:r>
    </w:p>
    <w:p w14:paraId="5C402119">
      <w:pPr>
        <w:pStyle w:val="7"/>
        <w:spacing w:before="204" w:line="223" w:lineRule="auto"/>
        <w:ind w:left="238"/>
        <w:rPr>
          <w:sz w:val="24"/>
          <w:szCs w:val="24"/>
        </w:rPr>
      </w:pPr>
      <w:r>
        <w:rPr>
          <w:b/>
          <w:bCs/>
          <w:spacing w:val="-7"/>
          <w:sz w:val="24"/>
          <w:szCs w:val="24"/>
        </w:rPr>
        <w:t>（一）原则</w:t>
      </w:r>
    </w:p>
    <w:p w14:paraId="5D8D8884">
      <w:pPr>
        <w:pStyle w:val="7"/>
        <w:spacing w:before="178" w:line="358" w:lineRule="auto"/>
        <w:ind w:left="1" w:right="76" w:firstLine="478"/>
        <w:rPr>
          <w:sz w:val="24"/>
          <w:szCs w:val="24"/>
        </w:rPr>
      </w:pPr>
      <w:r>
        <w:rPr>
          <w:spacing w:val="-2"/>
          <w:sz w:val="24"/>
          <w:szCs w:val="24"/>
        </w:rPr>
        <w:t>招标代理公司组织评标，在监督部门监督下,根据《中华人民共</w:t>
      </w:r>
      <w:r>
        <w:rPr>
          <w:spacing w:val="-3"/>
          <w:sz w:val="24"/>
          <w:szCs w:val="24"/>
        </w:rPr>
        <w:t>和国政府采购法》组建</w:t>
      </w:r>
      <w:r>
        <w:rPr>
          <w:spacing w:val="1"/>
          <w:sz w:val="24"/>
          <w:szCs w:val="24"/>
        </w:rPr>
        <w:t>评标委员会，由采购人代表和评标专家共同组成，评标委员会成员应坚持</w:t>
      </w:r>
      <w:r>
        <w:rPr>
          <w:sz w:val="24"/>
          <w:szCs w:val="24"/>
        </w:rPr>
        <w:t>“公开、公平、</w:t>
      </w:r>
      <w:r>
        <w:rPr>
          <w:spacing w:val="-3"/>
          <w:sz w:val="24"/>
          <w:szCs w:val="24"/>
        </w:rPr>
        <w:t>公正</w:t>
      </w:r>
      <w:r>
        <w:rPr>
          <w:spacing w:val="-81"/>
          <w:sz w:val="24"/>
          <w:szCs w:val="24"/>
        </w:rPr>
        <w:t xml:space="preserve"> </w:t>
      </w:r>
      <w:r>
        <w:rPr>
          <w:spacing w:val="-3"/>
          <w:sz w:val="24"/>
          <w:szCs w:val="24"/>
        </w:rPr>
        <w:t>”的宗旨,认真细致地做好评标工作。</w:t>
      </w:r>
    </w:p>
    <w:p w14:paraId="4AD82AD9">
      <w:pPr>
        <w:pStyle w:val="7"/>
        <w:spacing w:before="2" w:line="221" w:lineRule="auto"/>
        <w:ind w:left="491"/>
        <w:rPr>
          <w:sz w:val="24"/>
          <w:szCs w:val="24"/>
        </w:rPr>
      </w:pPr>
      <w:r>
        <w:rPr>
          <w:spacing w:val="-3"/>
          <w:sz w:val="24"/>
          <w:szCs w:val="24"/>
        </w:rPr>
        <w:t>1、评标委员会成员人数不少于</w:t>
      </w:r>
      <w:r>
        <w:rPr>
          <w:spacing w:val="-44"/>
          <w:sz w:val="24"/>
          <w:szCs w:val="24"/>
        </w:rPr>
        <w:t xml:space="preserve"> </w:t>
      </w:r>
      <w:r>
        <w:rPr>
          <w:spacing w:val="-3"/>
          <w:sz w:val="24"/>
          <w:szCs w:val="24"/>
        </w:rPr>
        <w:t>5</w:t>
      </w:r>
      <w:r>
        <w:rPr>
          <w:spacing w:val="-41"/>
          <w:sz w:val="24"/>
          <w:szCs w:val="24"/>
        </w:rPr>
        <w:t xml:space="preserve"> </w:t>
      </w:r>
      <w:r>
        <w:rPr>
          <w:spacing w:val="-3"/>
          <w:sz w:val="24"/>
          <w:szCs w:val="24"/>
        </w:rPr>
        <w:t>人，为单数。</w:t>
      </w:r>
    </w:p>
    <w:p w14:paraId="247E3919">
      <w:pPr>
        <w:pStyle w:val="7"/>
        <w:spacing w:before="177" w:line="292" w:lineRule="auto"/>
        <w:ind w:right="76" w:firstLine="475"/>
        <w:rPr>
          <w:sz w:val="24"/>
          <w:szCs w:val="24"/>
        </w:rPr>
      </w:pPr>
      <w:r>
        <w:rPr>
          <w:spacing w:val="-2"/>
          <w:sz w:val="24"/>
          <w:szCs w:val="24"/>
        </w:rPr>
        <w:t>2、评标委员会成员应当客观、公正的履行职责，遵守职业道德，对所提</w:t>
      </w:r>
      <w:r>
        <w:rPr>
          <w:spacing w:val="-3"/>
          <w:sz w:val="24"/>
          <w:szCs w:val="24"/>
        </w:rPr>
        <w:t>出的评审意见承担个人责任。</w:t>
      </w:r>
    </w:p>
    <w:p w14:paraId="1C268576">
      <w:pPr>
        <w:pStyle w:val="7"/>
        <w:spacing w:before="178" w:line="290" w:lineRule="auto"/>
        <w:ind w:left="31" w:right="50" w:firstLine="446"/>
        <w:rPr>
          <w:sz w:val="24"/>
          <w:szCs w:val="24"/>
        </w:rPr>
      </w:pPr>
      <w:r>
        <w:rPr>
          <w:spacing w:val="-2"/>
          <w:sz w:val="24"/>
          <w:szCs w:val="24"/>
        </w:rPr>
        <w:t>3、评标委员会成员和与评标活动有关的工作人员不得透露对投标文件的评审和比较、中标候选人的推荐情况以及与评标有关的其他情</w:t>
      </w:r>
      <w:r>
        <w:rPr>
          <w:spacing w:val="-3"/>
          <w:sz w:val="24"/>
          <w:szCs w:val="24"/>
        </w:rPr>
        <w:t>况。</w:t>
      </w:r>
    </w:p>
    <w:p w14:paraId="408E53AE">
      <w:pPr>
        <w:pStyle w:val="7"/>
        <w:spacing w:before="179" w:line="227" w:lineRule="auto"/>
        <w:ind w:left="238"/>
        <w:rPr>
          <w:sz w:val="24"/>
          <w:szCs w:val="24"/>
        </w:rPr>
      </w:pPr>
      <w:r>
        <w:rPr>
          <w:b/>
          <w:bCs/>
          <w:spacing w:val="-7"/>
          <w:sz w:val="24"/>
          <w:szCs w:val="24"/>
        </w:rPr>
        <w:t>（二）组织</w:t>
      </w:r>
    </w:p>
    <w:p w14:paraId="31740B07">
      <w:pPr>
        <w:pStyle w:val="7"/>
        <w:spacing w:before="173" w:line="313" w:lineRule="auto"/>
        <w:ind w:left="4" w:right="76" w:firstLine="486"/>
        <w:rPr>
          <w:sz w:val="24"/>
          <w:szCs w:val="24"/>
        </w:rPr>
      </w:pPr>
      <w:r>
        <w:rPr>
          <w:spacing w:val="-1"/>
          <w:sz w:val="24"/>
          <w:szCs w:val="24"/>
        </w:rPr>
        <w:t>1、评标委员会：</w:t>
      </w:r>
      <w:r>
        <w:rPr>
          <w:spacing w:val="-59"/>
          <w:sz w:val="24"/>
          <w:szCs w:val="24"/>
        </w:rPr>
        <w:t xml:space="preserve"> </w:t>
      </w:r>
      <w:r>
        <w:rPr>
          <w:spacing w:val="-1"/>
          <w:sz w:val="24"/>
          <w:szCs w:val="24"/>
        </w:rPr>
        <w:t>由采购代理机构从新疆政府采购网-政采云专家库抽取的专家和采购</w:t>
      </w:r>
      <w:r>
        <w:rPr>
          <w:spacing w:val="1"/>
          <w:sz w:val="24"/>
          <w:szCs w:val="24"/>
        </w:rPr>
        <w:t>人代表组成评标委员会。评标委员会根据招标文件要求负责投标文</w:t>
      </w:r>
      <w:r>
        <w:rPr>
          <w:sz w:val="24"/>
          <w:szCs w:val="24"/>
        </w:rPr>
        <w:t>件的符合性审查、商务</w:t>
      </w:r>
      <w:r>
        <w:rPr>
          <w:spacing w:val="-3"/>
          <w:sz w:val="24"/>
          <w:szCs w:val="24"/>
        </w:rPr>
        <w:t>审核和技术评价。</w:t>
      </w:r>
    </w:p>
    <w:p w14:paraId="68AD769F">
      <w:pPr>
        <w:pStyle w:val="7"/>
        <w:spacing w:before="181" w:line="324" w:lineRule="auto"/>
        <w:ind w:right="11" w:firstLine="476"/>
        <w:rPr>
          <w:sz w:val="24"/>
          <w:szCs w:val="24"/>
        </w:rPr>
      </w:pPr>
      <w:r>
        <w:rPr>
          <w:spacing w:val="-7"/>
          <w:sz w:val="24"/>
          <w:szCs w:val="24"/>
        </w:rPr>
        <w:t>2、采购代理机构：由新疆创越咨询管理有限公司工作人员组成，负责招标文件的制作，</w:t>
      </w:r>
      <w:r>
        <w:rPr>
          <w:spacing w:val="-2"/>
          <w:sz w:val="24"/>
          <w:szCs w:val="24"/>
        </w:rPr>
        <w:t>对外联系，开标、评标的会务工作,整理并向评标组分发招标资料、招标文件</w:t>
      </w:r>
      <w:r>
        <w:rPr>
          <w:spacing w:val="-3"/>
          <w:sz w:val="24"/>
          <w:szCs w:val="24"/>
        </w:rPr>
        <w:t>；做好招标开</w:t>
      </w:r>
      <w:r>
        <w:rPr>
          <w:spacing w:val="-2"/>
          <w:sz w:val="24"/>
          <w:szCs w:val="24"/>
        </w:rPr>
        <w:t>标和评标会议记录；对评标过程中的原始文件进行归档；随时印发需要的文件</w:t>
      </w:r>
      <w:r>
        <w:rPr>
          <w:spacing w:val="-3"/>
          <w:sz w:val="24"/>
          <w:szCs w:val="24"/>
        </w:rPr>
        <w:t>资料,对各种</w:t>
      </w:r>
      <w:r>
        <w:rPr>
          <w:sz w:val="24"/>
          <w:szCs w:val="24"/>
        </w:rPr>
        <w:t>咨询函件及档案文件的统收统发，负责对评</w:t>
      </w:r>
      <w:r>
        <w:rPr>
          <w:spacing w:val="-1"/>
          <w:sz w:val="24"/>
          <w:szCs w:val="24"/>
        </w:rPr>
        <w:t>标委员会推荐的拟中标结果进行审核。</w:t>
      </w:r>
    </w:p>
    <w:p w14:paraId="0D62F299">
      <w:pPr>
        <w:pStyle w:val="7"/>
        <w:spacing w:before="181" w:line="289" w:lineRule="auto"/>
        <w:ind w:left="1" w:right="76" w:firstLine="476"/>
        <w:rPr>
          <w:sz w:val="24"/>
          <w:szCs w:val="24"/>
        </w:rPr>
      </w:pPr>
      <w:r>
        <w:rPr>
          <w:spacing w:val="-2"/>
          <w:sz w:val="24"/>
          <w:szCs w:val="24"/>
        </w:rPr>
        <w:t>3、监督部门：根据国家有关法律、法规及招标文件的规定,对整个评标过</w:t>
      </w:r>
      <w:r>
        <w:rPr>
          <w:spacing w:val="-3"/>
          <w:sz w:val="24"/>
          <w:szCs w:val="24"/>
        </w:rPr>
        <w:t>程进行监督,</w:t>
      </w:r>
      <w:r>
        <w:rPr>
          <w:spacing w:val="-1"/>
          <w:sz w:val="24"/>
          <w:szCs w:val="24"/>
        </w:rPr>
        <w:t>保证评标的公正性,防止违法行为的产生。</w:t>
      </w:r>
    </w:p>
    <w:p w14:paraId="0140CB0B">
      <w:pPr>
        <w:pStyle w:val="7"/>
        <w:spacing w:before="187" w:line="223" w:lineRule="auto"/>
        <w:ind w:left="12"/>
      </w:pPr>
      <w:r>
        <w:rPr>
          <w:b/>
          <w:bCs/>
          <w:spacing w:val="-5"/>
        </w:rPr>
        <w:t>二、评标内容及标准</w:t>
      </w:r>
    </w:p>
    <w:p w14:paraId="7249E6D2">
      <w:pPr>
        <w:pStyle w:val="7"/>
        <w:spacing w:before="202" w:line="290" w:lineRule="auto"/>
        <w:ind w:firstLine="5"/>
        <w:rPr>
          <w:sz w:val="24"/>
          <w:szCs w:val="24"/>
        </w:rPr>
      </w:pPr>
      <w:r>
        <w:rPr>
          <w:spacing w:val="-3"/>
          <w:sz w:val="24"/>
          <w:szCs w:val="24"/>
        </w:rPr>
        <w:t>（一）评标委员会将审查投标文件是否完整、有无计算上</w:t>
      </w:r>
      <w:r>
        <w:rPr>
          <w:spacing w:val="-4"/>
          <w:sz w:val="24"/>
          <w:szCs w:val="24"/>
        </w:rPr>
        <w:t>的错误、是否提交了投标保证金、</w:t>
      </w:r>
      <w:r>
        <w:rPr>
          <w:spacing w:val="-1"/>
          <w:sz w:val="24"/>
          <w:szCs w:val="24"/>
        </w:rPr>
        <w:t>文件签署是否合格、投标文件的总体编排是否有序。</w:t>
      </w:r>
    </w:p>
    <w:p w14:paraId="67CC0ABE">
      <w:pPr>
        <w:pStyle w:val="7"/>
        <w:spacing w:before="180" w:line="313" w:lineRule="auto"/>
        <w:ind w:left="1" w:right="11" w:firstLine="4"/>
        <w:rPr>
          <w:sz w:val="24"/>
          <w:szCs w:val="24"/>
        </w:rPr>
      </w:pPr>
      <w:r>
        <w:rPr>
          <w:spacing w:val="-4"/>
          <w:sz w:val="24"/>
          <w:szCs w:val="24"/>
        </w:rPr>
        <w:t>（二）采购人将组织评标委员会审查投标文件是否完整，审查投标人提供的资格证明文件，</w:t>
      </w:r>
      <w:r>
        <w:rPr>
          <w:spacing w:val="1"/>
          <w:sz w:val="24"/>
          <w:szCs w:val="24"/>
        </w:rPr>
        <w:t>评估投标人的技术和生产能力。如果评标委员会认定投标人未完全响应招标文</w:t>
      </w:r>
      <w:r>
        <w:rPr>
          <w:sz w:val="24"/>
          <w:szCs w:val="24"/>
        </w:rPr>
        <w:t>件，其投标</w:t>
      </w:r>
      <w:r>
        <w:rPr>
          <w:spacing w:val="-2"/>
          <w:sz w:val="24"/>
          <w:szCs w:val="24"/>
        </w:rPr>
        <w:t>将被视为无效投标。</w:t>
      </w:r>
    </w:p>
    <w:p w14:paraId="4E0EA12F">
      <w:pPr>
        <w:pStyle w:val="7"/>
        <w:spacing w:before="49" w:line="290" w:lineRule="auto"/>
        <w:ind w:right="62"/>
        <w:rPr>
          <w:spacing w:val="-5"/>
          <w:sz w:val="24"/>
          <w:szCs w:val="24"/>
        </w:rPr>
      </w:pPr>
      <w:r>
        <w:rPr>
          <w:spacing w:val="1"/>
          <w:sz w:val="24"/>
          <w:szCs w:val="24"/>
        </w:rPr>
        <w:t>（三）评标委员会可以对确定为实质上响应招标文件要求的投标文件</w:t>
      </w:r>
      <w:r>
        <w:rPr>
          <w:sz w:val="24"/>
          <w:szCs w:val="24"/>
        </w:rPr>
        <w:t>进行校核</w:t>
      </w:r>
      <w:r>
        <w:rPr>
          <w:rFonts w:hint="eastAsia"/>
          <w:sz w:val="24"/>
          <w:szCs w:val="24"/>
          <w:lang w:eastAsia="zh-CN"/>
        </w:rPr>
        <w:t>，</w:t>
      </w:r>
      <w:r>
        <w:rPr>
          <w:sz w:val="24"/>
          <w:szCs w:val="24"/>
        </w:rPr>
        <w:t>修正错误</w:t>
      </w:r>
      <w:r>
        <w:rPr>
          <w:spacing w:val="-5"/>
          <w:sz w:val="24"/>
          <w:szCs w:val="24"/>
        </w:rPr>
        <w:t>的标准如下：</w:t>
      </w:r>
    </w:p>
    <w:p w14:paraId="47DE01D9">
      <w:pPr>
        <w:pStyle w:val="7"/>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sz w:val="24"/>
          <w:szCs w:val="24"/>
        </w:rPr>
      </w:pPr>
      <w:r>
        <w:rPr>
          <w:spacing w:val="-3"/>
          <w:sz w:val="24"/>
          <w:szCs w:val="24"/>
        </w:rPr>
        <w:t>1、投标文件中开标一览表（报价表）内容与投标文件中相应内容不一致的</w:t>
      </w:r>
      <w:r>
        <w:rPr>
          <w:rFonts w:hint="eastAsia"/>
          <w:spacing w:val="-3"/>
          <w:sz w:val="24"/>
          <w:szCs w:val="24"/>
          <w:lang w:eastAsia="zh-CN"/>
        </w:rPr>
        <w:t>，</w:t>
      </w:r>
      <w:r>
        <w:rPr>
          <w:spacing w:val="-3"/>
          <w:sz w:val="24"/>
          <w:szCs w:val="24"/>
        </w:rPr>
        <w:t>以开标一览表（报价表）为准；</w:t>
      </w:r>
    </w:p>
    <w:p w14:paraId="30333527">
      <w:pPr>
        <w:pStyle w:val="7"/>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476" w:firstLineChars="200"/>
        <w:jc w:val="left"/>
        <w:textAlignment w:val="baseline"/>
        <w:rPr>
          <w:sz w:val="24"/>
          <w:szCs w:val="24"/>
        </w:rPr>
      </w:pPr>
      <w:r>
        <w:rPr>
          <w:spacing w:val="-1"/>
          <w:sz w:val="24"/>
          <w:szCs w:val="24"/>
        </w:rPr>
        <w:t>2、大写金额和小写金额不一致的，以大写金额为准；</w:t>
      </w:r>
    </w:p>
    <w:p w14:paraId="23D1A504">
      <w:pPr>
        <w:pStyle w:val="7"/>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spacing w:val="-3"/>
          <w:sz w:val="24"/>
          <w:szCs w:val="24"/>
        </w:rPr>
      </w:pPr>
      <w:r>
        <w:rPr>
          <w:spacing w:val="-3"/>
          <w:sz w:val="24"/>
          <w:szCs w:val="24"/>
        </w:rPr>
        <w:t>3、单价金额小数点或者百分比有明显错位的，以开标一览表的总价为准</w:t>
      </w:r>
      <w:r>
        <w:rPr>
          <w:rFonts w:hint="eastAsia"/>
          <w:spacing w:val="-3"/>
          <w:sz w:val="24"/>
          <w:szCs w:val="24"/>
          <w:lang w:eastAsia="zh-CN"/>
        </w:rPr>
        <w:t>，</w:t>
      </w:r>
      <w:r>
        <w:rPr>
          <w:spacing w:val="-3"/>
          <w:sz w:val="24"/>
          <w:szCs w:val="24"/>
        </w:rPr>
        <w:t>并修改单价；</w:t>
      </w:r>
    </w:p>
    <w:p w14:paraId="2D9BB6D4">
      <w:pPr>
        <w:pStyle w:val="7"/>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spacing w:val="-3"/>
          <w:sz w:val="24"/>
          <w:szCs w:val="24"/>
        </w:rPr>
      </w:pPr>
      <w:r>
        <w:rPr>
          <w:spacing w:val="-3"/>
          <w:sz w:val="24"/>
          <w:szCs w:val="24"/>
        </w:rPr>
        <w:t>4、总价金额与按单价汇总金额不一致的，以单价金额计算结果为准。</w:t>
      </w:r>
    </w:p>
    <w:p w14:paraId="1D78851F">
      <w:pPr>
        <w:pStyle w:val="7"/>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spacing w:val="-3"/>
          <w:sz w:val="24"/>
          <w:szCs w:val="24"/>
        </w:rPr>
      </w:pPr>
      <w:r>
        <w:rPr>
          <w:spacing w:val="-3"/>
          <w:sz w:val="24"/>
          <w:szCs w:val="24"/>
        </w:rPr>
        <w:t>如果投标人不接受对其错误的更正，其投标将被视为无效投标。</w:t>
      </w:r>
    </w:p>
    <w:p w14:paraId="7D06B084">
      <w:pPr>
        <w:pStyle w:val="7"/>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52"/>
        <w:jc w:val="left"/>
        <w:textAlignment w:val="baseline"/>
        <w:rPr>
          <w:sz w:val="24"/>
          <w:szCs w:val="24"/>
        </w:rPr>
      </w:pPr>
      <w:r>
        <w:rPr>
          <w:spacing w:val="-2"/>
          <w:sz w:val="24"/>
          <w:szCs w:val="24"/>
        </w:rPr>
        <w:t>5、对于投标文件中不构成实质性偏差的小的不正规、不一致或不规</w:t>
      </w:r>
      <w:r>
        <w:rPr>
          <w:spacing w:val="-3"/>
          <w:sz w:val="24"/>
          <w:szCs w:val="24"/>
        </w:rPr>
        <w:t>则，评标委员会可</w:t>
      </w:r>
      <w:r>
        <w:rPr>
          <w:spacing w:val="-2"/>
          <w:sz w:val="24"/>
          <w:szCs w:val="24"/>
        </w:rPr>
        <w:t>以接受，但这种接受不能损害或影响任何投标人的相对排序。</w:t>
      </w:r>
    </w:p>
    <w:p w14:paraId="27731077">
      <w:pPr>
        <w:pStyle w:val="7"/>
        <w:keepNext w:val="0"/>
        <w:keepLines w:val="0"/>
        <w:pageBreakBefore w:val="0"/>
        <w:widowControl/>
        <w:kinsoku w:val="0"/>
        <w:wordWrap/>
        <w:overflowPunct/>
        <w:topLinePunct w:val="0"/>
        <w:autoSpaceDE w:val="0"/>
        <w:autoSpaceDN w:val="0"/>
        <w:bidi w:val="0"/>
        <w:adjustRightInd w:val="0"/>
        <w:snapToGrid w:val="0"/>
        <w:spacing w:line="313" w:lineRule="auto"/>
        <w:ind w:left="0" w:right="0" w:firstLine="475"/>
        <w:textAlignment w:val="baseline"/>
        <w:rPr>
          <w:sz w:val="24"/>
          <w:szCs w:val="24"/>
        </w:rPr>
      </w:pPr>
      <w:r>
        <w:rPr>
          <w:spacing w:val="-2"/>
          <w:sz w:val="24"/>
          <w:szCs w:val="24"/>
        </w:rPr>
        <w:t>6、评标委员会审查每份投标文件是否实质上响应了招标文件的要求。实质</w:t>
      </w:r>
      <w:r>
        <w:rPr>
          <w:spacing w:val="-3"/>
          <w:sz w:val="24"/>
          <w:szCs w:val="24"/>
        </w:rPr>
        <w:t>上响应的投</w:t>
      </w:r>
      <w:r>
        <w:rPr>
          <w:spacing w:val="1"/>
          <w:sz w:val="24"/>
          <w:szCs w:val="24"/>
        </w:rPr>
        <w:t>标文件应该与招标文件要求的全部条款、条件和规格相符，没有重大偏离。评标委</w:t>
      </w:r>
      <w:r>
        <w:rPr>
          <w:sz w:val="24"/>
          <w:szCs w:val="24"/>
        </w:rPr>
        <w:t>员会决</w:t>
      </w:r>
      <w:r>
        <w:rPr>
          <w:spacing w:val="-1"/>
          <w:sz w:val="24"/>
          <w:szCs w:val="24"/>
        </w:rPr>
        <w:t>定投标文件的响应性只根据投标文件本身的内容，而不寻求外部的证据。</w:t>
      </w:r>
    </w:p>
    <w:p w14:paraId="6B8AB779">
      <w:pPr>
        <w:pStyle w:val="7"/>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72"/>
        <w:textAlignment w:val="baseline"/>
        <w:rPr>
          <w:sz w:val="24"/>
          <w:szCs w:val="24"/>
        </w:rPr>
      </w:pPr>
      <w:r>
        <w:rPr>
          <w:spacing w:val="-2"/>
          <w:sz w:val="24"/>
          <w:szCs w:val="24"/>
        </w:rPr>
        <w:t>7、如果投标文件实质上没有响应招标文件的要求，其投标将被视</w:t>
      </w:r>
      <w:r>
        <w:rPr>
          <w:spacing w:val="-3"/>
          <w:sz w:val="24"/>
          <w:szCs w:val="24"/>
        </w:rPr>
        <w:t>为无效投标，投标人</w:t>
      </w:r>
      <w:r>
        <w:rPr>
          <w:spacing w:val="-1"/>
          <w:sz w:val="24"/>
          <w:szCs w:val="24"/>
        </w:rPr>
        <w:t>不得通过修正或撤消不符合要求的偏离从而使其投标成为实质上响应的投标。</w:t>
      </w:r>
    </w:p>
    <w:p w14:paraId="03506D88">
      <w:pPr>
        <w:pStyle w:val="7"/>
        <w:spacing w:before="187" w:line="223" w:lineRule="auto"/>
        <w:ind w:left="58"/>
      </w:pPr>
      <w:r>
        <w:rPr>
          <w:b/>
          <w:bCs/>
          <w:spacing w:val="-5"/>
        </w:rPr>
        <w:t>三、评标的程序和方法</w:t>
      </w:r>
    </w:p>
    <w:p w14:paraId="09FC747C">
      <w:pPr>
        <w:pStyle w:val="7"/>
        <w:spacing w:before="201" w:line="222" w:lineRule="auto"/>
        <w:ind w:left="285"/>
        <w:rPr>
          <w:sz w:val="24"/>
          <w:szCs w:val="24"/>
        </w:rPr>
      </w:pPr>
      <w:r>
        <w:rPr>
          <w:b/>
          <w:bCs/>
          <w:spacing w:val="-5"/>
          <w:sz w:val="24"/>
          <w:szCs w:val="24"/>
        </w:rPr>
        <w:t>（一）评标程序</w:t>
      </w:r>
    </w:p>
    <w:p w14:paraId="095696C2">
      <w:pPr>
        <w:pStyle w:val="7"/>
        <w:spacing w:before="177" w:line="359" w:lineRule="auto"/>
        <w:ind w:left="47" w:right="62" w:firstLine="490"/>
        <w:jc w:val="both"/>
        <w:rPr>
          <w:rFonts w:hint="eastAsia"/>
          <w:spacing w:val="-1"/>
          <w:sz w:val="24"/>
          <w:szCs w:val="24"/>
          <w:lang w:val="en-US" w:eastAsia="zh-CN"/>
        </w:rPr>
      </w:pPr>
      <w:r>
        <w:rPr>
          <w:spacing w:val="-3"/>
          <w:sz w:val="24"/>
          <w:szCs w:val="24"/>
        </w:rPr>
        <w:t>1、</w:t>
      </w:r>
      <w:r>
        <w:rPr>
          <w:b/>
          <w:bCs/>
          <w:spacing w:val="-3"/>
          <w:sz w:val="24"/>
          <w:szCs w:val="24"/>
        </w:rPr>
        <w:t>资</w:t>
      </w:r>
      <w:r>
        <w:rPr>
          <w:rFonts w:hint="eastAsia"/>
          <w:b/>
          <w:bCs/>
          <w:spacing w:val="-3"/>
          <w:sz w:val="24"/>
          <w:szCs w:val="24"/>
          <w:lang w:val="en-US" w:eastAsia="zh-CN"/>
        </w:rPr>
        <w:t>格</w:t>
      </w:r>
      <w:r>
        <w:rPr>
          <w:b/>
          <w:bCs/>
          <w:spacing w:val="-3"/>
          <w:sz w:val="24"/>
          <w:szCs w:val="24"/>
        </w:rPr>
        <w:t>审查：</w:t>
      </w:r>
      <w:r>
        <w:rPr>
          <w:spacing w:val="-3"/>
          <w:sz w:val="24"/>
          <w:szCs w:val="24"/>
        </w:rPr>
        <w:t>采购人或采购代理机构对投标人的投标文件进行资</w:t>
      </w:r>
      <w:r>
        <w:rPr>
          <w:rFonts w:hint="eastAsia"/>
          <w:spacing w:val="-3"/>
          <w:sz w:val="24"/>
          <w:szCs w:val="24"/>
          <w:lang w:val="en-US" w:eastAsia="zh-CN"/>
        </w:rPr>
        <w:t>格</w:t>
      </w:r>
      <w:r>
        <w:rPr>
          <w:spacing w:val="-3"/>
          <w:sz w:val="24"/>
          <w:szCs w:val="24"/>
        </w:rPr>
        <w:t>审查，依据招标文</w:t>
      </w:r>
      <w:r>
        <w:rPr>
          <w:sz w:val="24"/>
          <w:szCs w:val="24"/>
        </w:rPr>
        <w:t>件的规定，对投标文件中提供的资格证明材料进行</w:t>
      </w:r>
      <w:r>
        <w:rPr>
          <w:spacing w:val="-1"/>
          <w:sz w:val="24"/>
          <w:szCs w:val="24"/>
        </w:rPr>
        <w:t>审查，审查合格者进入符合性审查，审查不合格者将被宣布其为无效投标。</w:t>
      </w:r>
      <w:r>
        <w:rPr>
          <w:rFonts w:hint="eastAsia"/>
          <w:spacing w:val="-1"/>
          <w:sz w:val="24"/>
          <w:szCs w:val="24"/>
          <w:lang w:val="en-US" w:eastAsia="zh-CN"/>
        </w:rPr>
        <w:t>资格审查合格的投标人不足 3 家的，不进行评标。</w:t>
      </w:r>
    </w:p>
    <w:p w14:paraId="6830A53F">
      <w:pPr>
        <w:rPr>
          <w:b/>
          <w:bCs/>
          <w:spacing w:val="-11"/>
        </w:rPr>
      </w:pPr>
      <w:r>
        <w:rPr>
          <w:b/>
          <w:bCs/>
          <w:spacing w:val="-11"/>
        </w:rPr>
        <w:br w:type="page"/>
      </w:r>
    </w:p>
    <w:p w14:paraId="4B351DD3">
      <w:pPr>
        <w:pStyle w:val="7"/>
        <w:spacing w:before="7" w:line="223" w:lineRule="auto"/>
        <w:jc w:val="center"/>
        <w:rPr>
          <w:rFonts w:hint="eastAsia"/>
          <w:spacing w:val="-1"/>
          <w:sz w:val="24"/>
          <w:szCs w:val="24"/>
          <w:lang w:val="en-US" w:eastAsia="zh-CN"/>
        </w:rPr>
      </w:pPr>
      <w:r>
        <w:rPr>
          <w:b/>
          <w:bCs/>
          <w:spacing w:val="-11"/>
        </w:rPr>
        <w:t>资</w:t>
      </w:r>
      <w:r>
        <w:rPr>
          <w:rFonts w:hint="eastAsia"/>
          <w:b/>
          <w:bCs/>
          <w:spacing w:val="-11"/>
          <w:lang w:val="en-US" w:eastAsia="zh-CN"/>
        </w:rPr>
        <w:t>格</w:t>
      </w:r>
      <w:r>
        <w:rPr>
          <w:b/>
          <w:bCs/>
          <w:spacing w:val="-11"/>
        </w:rPr>
        <w:t>审查</w:t>
      </w:r>
    </w:p>
    <w:tbl>
      <w:tblPr>
        <w:tblStyle w:val="19"/>
        <w:tblpPr w:leftFromText="180" w:rightFromText="180" w:vertAnchor="text" w:horzAnchor="page" w:tblpXSpec="center" w:tblpY="697"/>
        <w:tblOverlap w:val="never"/>
        <w:tblW w:w="92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0"/>
        <w:gridCol w:w="670"/>
        <w:gridCol w:w="1655"/>
        <w:gridCol w:w="6504"/>
      </w:tblGrid>
      <w:tr w14:paraId="092FA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dxa"/>
            <w:tcBorders>
              <w:tl2br w:val="nil"/>
              <w:tr2bl w:val="nil"/>
            </w:tcBorders>
            <w:noWrap w:val="0"/>
            <w:vAlign w:val="center"/>
          </w:tcPr>
          <w:p w14:paraId="7D7C497C">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序号</w:t>
            </w:r>
          </w:p>
        </w:tc>
        <w:tc>
          <w:tcPr>
            <w:tcW w:w="2325" w:type="dxa"/>
            <w:gridSpan w:val="2"/>
            <w:tcBorders>
              <w:tl2br w:val="nil"/>
              <w:tr2bl w:val="nil"/>
            </w:tcBorders>
            <w:noWrap w:val="0"/>
            <w:vAlign w:val="center"/>
          </w:tcPr>
          <w:p w14:paraId="76821AFD">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检查因素</w:t>
            </w:r>
          </w:p>
        </w:tc>
        <w:tc>
          <w:tcPr>
            <w:tcW w:w="6504" w:type="dxa"/>
            <w:tcBorders>
              <w:tl2br w:val="nil"/>
              <w:tr2bl w:val="nil"/>
            </w:tcBorders>
            <w:noWrap w:val="0"/>
            <w:vAlign w:val="center"/>
          </w:tcPr>
          <w:p w14:paraId="502A8C50">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检查内容</w:t>
            </w:r>
          </w:p>
        </w:tc>
      </w:tr>
      <w:tr w14:paraId="4BE01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9" w:hRule="atLeast"/>
          <w:jc w:val="center"/>
        </w:trPr>
        <w:tc>
          <w:tcPr>
            <w:tcW w:w="410" w:type="dxa"/>
            <w:vMerge w:val="restart"/>
            <w:tcBorders>
              <w:tl2br w:val="nil"/>
              <w:tr2bl w:val="nil"/>
            </w:tcBorders>
            <w:noWrap w:val="0"/>
            <w:vAlign w:val="center"/>
          </w:tcPr>
          <w:p w14:paraId="1E92C81B">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1</w:t>
            </w:r>
          </w:p>
        </w:tc>
        <w:tc>
          <w:tcPr>
            <w:tcW w:w="670" w:type="dxa"/>
            <w:vMerge w:val="restart"/>
            <w:tcBorders>
              <w:tl2br w:val="nil"/>
              <w:tr2bl w:val="nil"/>
            </w:tcBorders>
            <w:noWrap w:val="0"/>
            <w:vAlign w:val="center"/>
          </w:tcPr>
          <w:p w14:paraId="0E0A84ED">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符合《中华人民共和国政府采购法》第二十二条规定</w:t>
            </w:r>
          </w:p>
        </w:tc>
        <w:tc>
          <w:tcPr>
            <w:tcW w:w="1655" w:type="dxa"/>
            <w:tcBorders>
              <w:tl2br w:val="nil"/>
              <w:tr2bl w:val="nil"/>
            </w:tcBorders>
            <w:noWrap w:val="0"/>
            <w:vAlign w:val="center"/>
          </w:tcPr>
          <w:p w14:paraId="54E18AD3">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（1）具有独立承担民事责任的能力</w:t>
            </w:r>
          </w:p>
        </w:tc>
        <w:tc>
          <w:tcPr>
            <w:tcW w:w="6504" w:type="dxa"/>
            <w:tcBorders>
              <w:tl2br w:val="nil"/>
              <w:tr2bl w:val="nil"/>
            </w:tcBorders>
            <w:noWrap w:val="0"/>
            <w:vAlign w:val="center"/>
          </w:tcPr>
          <w:p w14:paraId="30FA0C7D">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投标单位是企业（包括合伙企业）的，应提供其在工商部门注册的有效“营业执照”；</w:t>
            </w:r>
          </w:p>
          <w:p w14:paraId="4AEB56FC">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投标单位是事业单位的，应提供其有效的“事业单位法人证书”；</w:t>
            </w:r>
          </w:p>
          <w:p w14:paraId="6CB71FC8">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投标单位是非企业专业服务机构的，应提供其有效的“执业许可证”；</w:t>
            </w:r>
          </w:p>
          <w:p w14:paraId="0536DDB8">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投标单位是民办非企业单位的，应提供其有效的登记证书；</w:t>
            </w:r>
          </w:p>
          <w:p w14:paraId="6CAAC636">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投标单位是个体工商户的，应提供其有效的“营业执照”；</w:t>
            </w:r>
          </w:p>
          <w:p w14:paraId="306894F4">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lang w:val="en-US" w:eastAsia="zh-CN" w:bidi="ar-SA"/>
              </w:rPr>
              <w:t>投标单位是自然人的，应提供其有效的自然人身份证明；</w:t>
            </w:r>
          </w:p>
        </w:tc>
      </w:tr>
      <w:tr w14:paraId="7720A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410" w:type="dxa"/>
            <w:vMerge w:val="continue"/>
            <w:tcBorders>
              <w:tl2br w:val="nil"/>
              <w:tr2bl w:val="nil"/>
            </w:tcBorders>
            <w:noWrap w:val="0"/>
            <w:vAlign w:val="center"/>
          </w:tcPr>
          <w:p w14:paraId="01464A80">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0688F703">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655" w:type="dxa"/>
            <w:tcBorders>
              <w:tl2br w:val="nil"/>
              <w:tr2bl w:val="nil"/>
            </w:tcBorders>
            <w:noWrap w:val="0"/>
            <w:vAlign w:val="center"/>
          </w:tcPr>
          <w:p w14:paraId="7C3CD33E">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lang w:val="zh-CN"/>
              </w:rPr>
              <w:t>（2）</w:t>
            </w:r>
            <w:r>
              <w:rPr>
                <w:rFonts w:hint="eastAsia" w:ascii="仿宋" w:hAnsi="仿宋" w:eastAsia="仿宋" w:cs="仿宋"/>
                <w:color w:val="auto"/>
                <w:spacing w:val="0"/>
                <w:w w:val="100"/>
                <w:position w:val="0"/>
                <w:sz w:val="22"/>
                <w:szCs w:val="22"/>
                <w:highlight w:val="none"/>
              </w:rPr>
              <w:t>具有良好的商业信誉和健全的财务会计制度</w:t>
            </w:r>
          </w:p>
        </w:tc>
        <w:tc>
          <w:tcPr>
            <w:tcW w:w="6504" w:type="dxa"/>
            <w:tcBorders>
              <w:tl2br w:val="nil"/>
              <w:tr2bl w:val="nil"/>
            </w:tcBorders>
            <w:noWrap w:val="0"/>
            <w:vAlign w:val="center"/>
          </w:tcPr>
          <w:p w14:paraId="0931CBB7">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以下任选其一提供：</w:t>
            </w:r>
          </w:p>
          <w:p w14:paraId="48872EB5">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1.提供由会计师事务所出具的上一年度财务审计报告；（如2025年度审计报告未出，可提供2024年度审计报告）</w:t>
            </w:r>
          </w:p>
          <w:p w14:paraId="7BD80B18">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smallCaps w:val="0"/>
                <w:color w:val="auto"/>
                <w:spacing w:val="0"/>
                <w:w w:val="100"/>
                <w:kern w:val="0"/>
                <w:position w:val="0"/>
                <w:sz w:val="22"/>
                <w:szCs w:val="22"/>
                <w:highlight w:val="none"/>
                <w:lang w:val="en-US" w:eastAsia="zh-CN"/>
              </w:rPr>
            </w:pPr>
            <w:r>
              <w:rPr>
                <w:rFonts w:hint="eastAsia" w:ascii="仿宋" w:hAnsi="仿宋" w:eastAsia="仿宋" w:cs="仿宋"/>
                <w:smallCaps w:val="0"/>
                <w:color w:val="auto"/>
                <w:spacing w:val="0"/>
                <w:w w:val="100"/>
                <w:kern w:val="2"/>
                <w:position w:val="0"/>
                <w:sz w:val="22"/>
                <w:szCs w:val="22"/>
                <w:highlight w:val="none"/>
                <w:lang w:val="en-US" w:eastAsia="zh-CN" w:bidi="ar-SA"/>
              </w:rPr>
              <w:t>2.提供</w:t>
            </w:r>
            <w:r>
              <w:rPr>
                <w:rFonts w:hint="eastAsia" w:ascii="仿宋" w:hAnsi="仿宋" w:eastAsia="仿宋" w:cs="仿宋"/>
                <w:smallCaps w:val="0"/>
                <w:color w:val="auto"/>
                <w:spacing w:val="0"/>
                <w:w w:val="100"/>
                <w:kern w:val="0"/>
                <w:position w:val="0"/>
                <w:sz w:val="22"/>
                <w:szCs w:val="22"/>
                <w:highlight w:val="none"/>
                <w:lang w:val="en-US" w:eastAsia="zh-CN"/>
              </w:rPr>
              <w:t>近一年供应商内部的财务报表复印件（至少包含资产负债表）；</w:t>
            </w:r>
          </w:p>
          <w:p w14:paraId="0041ABF9">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3.提供由开标日前三个月内投标人开户银行出具的资信证明；新成立公司提供银行出具的有效期内的资信证明；其他组织和自然人，没有经审计的财务报告，提供银行出具的资信证明。</w:t>
            </w:r>
          </w:p>
        </w:tc>
      </w:tr>
      <w:tr w14:paraId="1D169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10" w:type="dxa"/>
            <w:vMerge w:val="continue"/>
            <w:tcBorders>
              <w:tl2br w:val="nil"/>
              <w:tr2bl w:val="nil"/>
            </w:tcBorders>
            <w:noWrap w:val="0"/>
            <w:vAlign w:val="center"/>
          </w:tcPr>
          <w:p w14:paraId="7676258B">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1BCD3E71">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655" w:type="dxa"/>
            <w:tcBorders>
              <w:tl2br w:val="nil"/>
              <w:tr2bl w:val="nil"/>
            </w:tcBorders>
            <w:noWrap w:val="0"/>
            <w:vAlign w:val="center"/>
          </w:tcPr>
          <w:p w14:paraId="21DB3A24">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（3）具有履行合同所必需的设备和专业技术能力</w:t>
            </w:r>
          </w:p>
        </w:tc>
        <w:tc>
          <w:tcPr>
            <w:tcW w:w="6504" w:type="dxa"/>
            <w:tcBorders>
              <w:tl2br w:val="nil"/>
              <w:tr2bl w:val="nil"/>
            </w:tcBorders>
            <w:noWrap w:val="0"/>
            <w:vAlign w:val="center"/>
          </w:tcPr>
          <w:p w14:paraId="5F5C511B">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具备履行合同所必需的设备和专业技术能力的说明函。（投标单位自行出具，格式自拟，加盖公章）</w:t>
            </w:r>
          </w:p>
        </w:tc>
      </w:tr>
      <w:tr w14:paraId="6323C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98" w:hRule="atLeast"/>
          <w:jc w:val="center"/>
        </w:trPr>
        <w:tc>
          <w:tcPr>
            <w:tcW w:w="410" w:type="dxa"/>
            <w:vMerge w:val="continue"/>
            <w:tcBorders>
              <w:tl2br w:val="nil"/>
              <w:tr2bl w:val="nil"/>
            </w:tcBorders>
            <w:noWrap w:val="0"/>
            <w:vAlign w:val="center"/>
          </w:tcPr>
          <w:p w14:paraId="25102733">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25157F6D">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655" w:type="dxa"/>
            <w:tcBorders>
              <w:tl2br w:val="nil"/>
              <w:tr2bl w:val="nil"/>
            </w:tcBorders>
            <w:noWrap w:val="0"/>
            <w:vAlign w:val="center"/>
          </w:tcPr>
          <w:p w14:paraId="0F60E634">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（4）有依法缴纳税收和社会保障资金的良好记录</w:t>
            </w:r>
          </w:p>
        </w:tc>
        <w:tc>
          <w:tcPr>
            <w:tcW w:w="6504" w:type="dxa"/>
            <w:tcBorders>
              <w:tl2br w:val="nil"/>
              <w:tr2bl w:val="nil"/>
            </w:tcBorders>
            <w:noWrap w:val="0"/>
            <w:vAlign w:val="center"/>
          </w:tcPr>
          <w:p w14:paraId="5593B352">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1.依法缴纳税收的相关材料：</w:t>
            </w:r>
          </w:p>
          <w:p w14:paraId="18D5A77E">
            <w:pPr>
              <w:keepNext w:val="0"/>
              <w:keepLines w:val="0"/>
              <w:widowControl/>
              <w:numPr>
                <w:ilvl w:val="0"/>
                <w:numId w:val="0"/>
              </w:numPr>
              <w:suppressLineNumbers w:val="0"/>
              <w:autoSpaceDE/>
              <w:autoSpaceDN/>
              <w:spacing w:before="0" w:beforeAutospacing="0" w:after="0" w:afterAutospacing="0" w:line="240" w:lineRule="auto"/>
              <w:ind w:left="0" w:right="0" w:rightChars="0"/>
              <w:jc w:val="both"/>
              <w:rPr>
                <w:rFonts w:hint="eastAsia" w:ascii="仿宋" w:hAnsi="仿宋" w:eastAsia="仿宋" w:cs="仿宋"/>
                <w:smallCaps w:val="0"/>
                <w:color w:val="auto"/>
                <w:spacing w:val="0"/>
                <w:w w:val="100"/>
                <w:kern w:val="0"/>
                <w:position w:val="0"/>
                <w:sz w:val="22"/>
                <w:szCs w:val="22"/>
                <w:highlight w:val="none"/>
                <w:lang w:val="en-US" w:eastAsia="zh-CN"/>
              </w:rPr>
            </w:pPr>
            <w:r>
              <w:rPr>
                <w:rFonts w:hint="eastAsia" w:ascii="仿宋" w:hAnsi="仿宋" w:eastAsia="仿宋" w:cs="仿宋"/>
                <w:smallCaps w:val="0"/>
                <w:color w:val="auto"/>
                <w:spacing w:val="0"/>
                <w:w w:val="100"/>
                <w:kern w:val="0"/>
                <w:position w:val="0"/>
                <w:sz w:val="22"/>
                <w:szCs w:val="22"/>
                <w:highlight w:val="none"/>
                <w:lang w:val="en-US" w:eastAsia="zh-CN"/>
              </w:rPr>
              <w:t>开标日前6个月内（至少提供1个月）缴纳税收的凭证复印件；缴纳凭证复印件须清晰可辨，并能显示出税种种类，单位代扣代缴的个人所得税不能作为单位纳税的凭证；依法免税的投标人，应提供相应文件证明其依法免税。</w:t>
            </w:r>
          </w:p>
          <w:p w14:paraId="28DC1E7A">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2.依法缴纳社会保障资金的相关材料：</w:t>
            </w:r>
          </w:p>
          <w:p w14:paraId="3D6DCF69">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14:paraId="1421F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410" w:type="dxa"/>
            <w:vMerge w:val="continue"/>
            <w:tcBorders>
              <w:tl2br w:val="nil"/>
              <w:tr2bl w:val="nil"/>
            </w:tcBorders>
            <w:noWrap w:val="0"/>
            <w:vAlign w:val="center"/>
          </w:tcPr>
          <w:p w14:paraId="570D53B7">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104C266F">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655" w:type="dxa"/>
            <w:tcBorders>
              <w:tl2br w:val="nil"/>
              <w:tr2bl w:val="nil"/>
            </w:tcBorders>
            <w:noWrap w:val="0"/>
            <w:vAlign w:val="center"/>
          </w:tcPr>
          <w:p w14:paraId="5EFB9914">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rPr>
              <w:t>（5）参加政府采购活动近3年内，在经营活动中没有重大违法记录</w:t>
            </w:r>
          </w:p>
        </w:tc>
        <w:tc>
          <w:tcPr>
            <w:tcW w:w="6504" w:type="dxa"/>
            <w:tcBorders>
              <w:tl2br w:val="nil"/>
              <w:tr2bl w:val="nil"/>
            </w:tcBorders>
            <w:noWrap w:val="0"/>
            <w:vAlign w:val="center"/>
          </w:tcPr>
          <w:p w14:paraId="3E8B093B">
            <w:pPr>
              <w:keepNext w:val="0"/>
              <w:keepLines w:val="0"/>
              <w:widowControl w:val="0"/>
              <w:suppressLineNumbers w:val="0"/>
              <w:autoSpaceDE w:val="0"/>
              <w:autoSpaceDN w:val="0"/>
              <w:spacing w:before="0" w:beforeAutospacing="0" w:after="0" w:afterAutospacing="0" w:line="240" w:lineRule="auto"/>
              <w:ind w:left="0" w:leftChars="0" w:right="0" w:firstLine="0" w:firstLine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ar-SA"/>
              </w:rPr>
              <w:t>投标人须提供参加政府采购活动前3年内在经营活动中没有重大违法记录的书面声明。（供应商自行出具，格式自拟，加盖公章）</w:t>
            </w:r>
          </w:p>
        </w:tc>
      </w:tr>
      <w:tr w14:paraId="2CF84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410" w:type="dxa"/>
            <w:tcBorders>
              <w:tl2br w:val="nil"/>
              <w:tr2bl w:val="nil"/>
            </w:tcBorders>
            <w:noWrap w:val="0"/>
            <w:vAlign w:val="center"/>
          </w:tcPr>
          <w:p w14:paraId="0231DF4B">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lang w:val="en-US" w:eastAsia="zh-CN"/>
              </w:rPr>
            </w:pPr>
            <w:r>
              <w:rPr>
                <w:rFonts w:hint="eastAsia" w:ascii="仿宋" w:hAnsi="仿宋" w:eastAsia="仿宋" w:cs="仿宋"/>
                <w:color w:val="auto"/>
                <w:spacing w:val="0"/>
                <w:w w:val="100"/>
                <w:position w:val="0"/>
                <w:sz w:val="22"/>
                <w:szCs w:val="22"/>
                <w:highlight w:val="none"/>
                <w:lang w:val="en-US" w:eastAsia="zh-CN"/>
              </w:rPr>
              <w:t>2</w:t>
            </w:r>
          </w:p>
        </w:tc>
        <w:tc>
          <w:tcPr>
            <w:tcW w:w="2325" w:type="dxa"/>
            <w:gridSpan w:val="2"/>
            <w:tcBorders>
              <w:tl2br w:val="nil"/>
              <w:tr2bl w:val="nil"/>
            </w:tcBorders>
            <w:noWrap w:val="0"/>
            <w:vAlign w:val="center"/>
          </w:tcPr>
          <w:p w14:paraId="2E94C2B9">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信用查询</w:t>
            </w:r>
          </w:p>
        </w:tc>
        <w:tc>
          <w:tcPr>
            <w:tcW w:w="6504" w:type="dxa"/>
            <w:tcBorders>
              <w:tl2br w:val="nil"/>
              <w:tr2bl w:val="nil"/>
            </w:tcBorders>
            <w:noWrap w:val="0"/>
            <w:vAlign w:val="center"/>
          </w:tcPr>
          <w:p w14:paraId="72E7DD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ar-SA"/>
              </w:rPr>
              <w:t>投标人在“中国政府采购网（www.ccgp.gov.cn）”政府采购严重违法失信行为记录名单内无不良信息记录及“信用中国”网站（www.creditchina.gov.cn）信用公示查询栏查询的“失信被执行人、重大税收违法案件当事人、政府采购严重违法失信行为”未出现不良信用信息记录及其他国家行政机关列入限制行为的。（以本项目发出公告之后查询时间有效，如有争议代理机构可现场查询）。对列入失信被执行人、重大税收违法案件当事人名单、政府采购严重违法失信行为记录名单的投标人，其投标将被拒绝。</w:t>
            </w:r>
          </w:p>
        </w:tc>
      </w:tr>
      <w:tr w14:paraId="00BC5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10" w:type="dxa"/>
            <w:tcBorders>
              <w:tl2br w:val="nil"/>
              <w:tr2bl w:val="nil"/>
            </w:tcBorders>
            <w:noWrap w:val="0"/>
            <w:vAlign w:val="center"/>
          </w:tcPr>
          <w:p w14:paraId="00AF84B6">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lang w:val="en-US" w:eastAsia="zh-CN"/>
              </w:rPr>
            </w:pPr>
            <w:r>
              <w:rPr>
                <w:rFonts w:hint="eastAsia" w:ascii="仿宋" w:hAnsi="仿宋" w:eastAsia="仿宋" w:cs="仿宋"/>
                <w:color w:val="auto"/>
                <w:spacing w:val="0"/>
                <w:w w:val="100"/>
                <w:position w:val="0"/>
                <w:sz w:val="22"/>
                <w:szCs w:val="22"/>
                <w:highlight w:val="none"/>
                <w:lang w:val="en-US" w:eastAsia="zh-CN"/>
              </w:rPr>
              <w:t>3</w:t>
            </w:r>
          </w:p>
        </w:tc>
        <w:tc>
          <w:tcPr>
            <w:tcW w:w="2325" w:type="dxa"/>
            <w:gridSpan w:val="2"/>
            <w:tcBorders>
              <w:tl2br w:val="nil"/>
              <w:tr2bl w:val="nil"/>
            </w:tcBorders>
            <w:noWrap w:val="0"/>
            <w:vAlign w:val="center"/>
          </w:tcPr>
          <w:p w14:paraId="315FE506">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b w:val="0"/>
                <w:bCs w:val="0"/>
                <w:color w:val="auto"/>
                <w:spacing w:val="0"/>
                <w:w w:val="100"/>
                <w:position w:val="0"/>
                <w:sz w:val="22"/>
                <w:szCs w:val="22"/>
                <w:highlight w:val="none"/>
                <w:lang w:val="en-US" w:eastAsia="zh-CN"/>
              </w:rPr>
            </w:pPr>
            <w:r>
              <w:rPr>
                <w:rFonts w:hint="eastAsia" w:ascii="仿宋" w:hAnsi="仿宋" w:eastAsia="仿宋" w:cs="仿宋"/>
                <w:b w:val="0"/>
                <w:bCs w:val="0"/>
                <w:smallCaps w:val="0"/>
                <w:color w:val="auto"/>
                <w:spacing w:val="0"/>
                <w:w w:val="100"/>
                <w:kern w:val="0"/>
                <w:position w:val="0"/>
                <w:sz w:val="22"/>
                <w:szCs w:val="22"/>
                <w:highlight w:val="none"/>
                <w:lang w:val="en-US" w:eastAsia="zh-CN"/>
              </w:rPr>
              <w:t>政府采购政策资格要求</w:t>
            </w:r>
          </w:p>
        </w:tc>
        <w:tc>
          <w:tcPr>
            <w:tcW w:w="6504" w:type="dxa"/>
            <w:tcBorders>
              <w:tl2br w:val="nil"/>
              <w:tr2bl w:val="nil"/>
            </w:tcBorders>
            <w:noWrap w:val="0"/>
            <w:vAlign w:val="center"/>
          </w:tcPr>
          <w:p w14:paraId="61C7CAD2">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0" w:right="0"/>
              <w:jc w:val="distribute"/>
              <w:textAlignment w:val="baseline"/>
              <w:rPr>
                <w:rFonts w:hint="default" w:ascii="仿宋" w:hAnsi="仿宋" w:eastAsia="仿宋" w:cs="仿宋"/>
                <w:b w:val="0"/>
                <w:bCs w:val="0"/>
                <w:color w:val="auto"/>
                <w:spacing w:val="0"/>
                <w:w w:val="100"/>
                <w:kern w:val="2"/>
                <w:position w:val="0"/>
                <w:sz w:val="22"/>
                <w:szCs w:val="22"/>
                <w:highlight w:val="none"/>
                <w:lang w:val="en-US" w:eastAsia="zh-CN" w:bidi="ar-SA"/>
              </w:rPr>
            </w:pPr>
            <w:r>
              <w:rPr>
                <w:rFonts w:hint="eastAsia"/>
                <w:b/>
                <w:bCs/>
                <w:color w:val="auto"/>
                <w:sz w:val="22"/>
                <w:szCs w:val="22"/>
                <w:highlight w:val="none"/>
              </w:rPr>
              <w:t>本项目专门面向中小企业，所投产品货物的制造商须为符合采购标的对应行业(工业(制造业))划分标准的中型、小型或微型企业，需提供《中小企业声明函》，投标单位需逐条对所有货物制造商进行填写，遗漏或未填写视为不符合资格条件</w:t>
            </w:r>
            <w:r>
              <w:rPr>
                <w:rFonts w:hint="eastAsia"/>
                <w:b/>
                <w:bCs/>
                <w:color w:val="auto"/>
                <w:sz w:val="22"/>
                <w:szCs w:val="22"/>
                <w:highlight w:val="none"/>
                <w:lang w:eastAsia="zh-CN"/>
              </w:rPr>
              <w:t>。</w:t>
            </w:r>
          </w:p>
        </w:tc>
      </w:tr>
    </w:tbl>
    <w:p w14:paraId="546EB841">
      <w:pPr>
        <w:pStyle w:val="7"/>
        <w:spacing w:before="78" w:line="359" w:lineRule="auto"/>
        <w:ind w:right="29"/>
        <w:jc w:val="both"/>
        <w:rPr>
          <w:spacing w:val="-3"/>
          <w:sz w:val="24"/>
          <w:szCs w:val="24"/>
        </w:rPr>
      </w:pPr>
    </w:p>
    <w:p w14:paraId="63D09596">
      <w:pPr>
        <w:pStyle w:val="7"/>
        <w:spacing w:before="78" w:line="359" w:lineRule="auto"/>
        <w:ind w:right="29"/>
        <w:jc w:val="both"/>
        <w:rPr>
          <w:sz w:val="24"/>
          <w:szCs w:val="24"/>
        </w:rPr>
      </w:pPr>
      <w:r>
        <w:rPr>
          <w:spacing w:val="-3"/>
          <w:sz w:val="24"/>
          <w:szCs w:val="24"/>
        </w:rPr>
        <w:t>2、</w:t>
      </w:r>
      <w:r>
        <w:rPr>
          <w:b/>
          <w:bCs/>
          <w:spacing w:val="-3"/>
          <w:sz w:val="24"/>
          <w:szCs w:val="24"/>
        </w:rPr>
        <w:t>符合性审查：</w:t>
      </w:r>
      <w:r>
        <w:rPr>
          <w:spacing w:val="-3"/>
          <w:sz w:val="24"/>
          <w:szCs w:val="24"/>
        </w:rPr>
        <w:t>评标委员会对资格审查合格的投标文件进行符合性审查。依据招标文</w:t>
      </w:r>
      <w:r>
        <w:rPr>
          <w:spacing w:val="1"/>
          <w:sz w:val="24"/>
          <w:szCs w:val="24"/>
        </w:rPr>
        <w:t>件的规定，对投标文件中的投标保证金、投标文件的有效性、完整性和对招标文</w:t>
      </w:r>
      <w:r>
        <w:rPr>
          <w:sz w:val="24"/>
          <w:szCs w:val="24"/>
        </w:rPr>
        <w:t>件的响应</w:t>
      </w:r>
      <w:r>
        <w:rPr>
          <w:spacing w:val="1"/>
          <w:sz w:val="24"/>
          <w:szCs w:val="24"/>
        </w:rPr>
        <w:t>程度进行审查，以确定是否对招标文件做出实质性的响应。对于未响应招标文件</w:t>
      </w:r>
      <w:r>
        <w:rPr>
          <w:sz w:val="24"/>
          <w:szCs w:val="24"/>
        </w:rPr>
        <w:t>的投标人</w:t>
      </w:r>
      <w:r>
        <w:rPr>
          <w:spacing w:val="-1"/>
          <w:sz w:val="24"/>
          <w:szCs w:val="24"/>
        </w:rPr>
        <w:t>将不再进行商务和技术部分评价，将被宣布其为无效投标。</w:t>
      </w:r>
    </w:p>
    <w:p w14:paraId="43512F8F">
      <w:pPr>
        <w:pStyle w:val="7"/>
        <w:spacing w:before="6" w:line="221" w:lineRule="auto"/>
        <w:jc w:val="center"/>
      </w:pPr>
      <w:r>
        <w:rPr>
          <w:b/>
          <w:bCs/>
          <w:spacing w:val="-8"/>
        </w:rPr>
        <w:t>符合性审查</w:t>
      </w:r>
    </w:p>
    <w:p w14:paraId="29F6A35F">
      <w:pPr>
        <w:spacing w:before="101"/>
      </w:pPr>
    </w:p>
    <w:tbl>
      <w:tblPr>
        <w:tblStyle w:val="19"/>
        <w:tblW w:w="46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542"/>
        <w:gridCol w:w="5014"/>
        <w:gridCol w:w="720"/>
      </w:tblGrid>
      <w:tr w14:paraId="6205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80" w:type="pct"/>
            <w:noWrap w:val="0"/>
            <w:vAlign w:val="center"/>
          </w:tcPr>
          <w:p w14:paraId="12395EE8">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bidi="ar-SA"/>
              </w:rPr>
            </w:pPr>
            <w:r>
              <w:rPr>
                <w:rFonts w:hint="eastAsia" w:ascii="仿宋" w:hAnsi="仿宋" w:eastAsia="仿宋" w:cs="仿宋"/>
                <w:b/>
                <w:color w:val="auto"/>
                <w:kern w:val="0"/>
                <w:sz w:val="22"/>
                <w:szCs w:val="22"/>
                <w:highlight w:val="none"/>
                <w:lang w:val="en-US" w:bidi="ar-SA"/>
              </w:rPr>
              <w:t>序号</w:t>
            </w:r>
          </w:p>
        </w:tc>
        <w:tc>
          <w:tcPr>
            <w:tcW w:w="979" w:type="pct"/>
            <w:noWrap w:val="0"/>
            <w:vAlign w:val="center"/>
          </w:tcPr>
          <w:p w14:paraId="63D2B637">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bidi="ar-SA"/>
              </w:rPr>
              <w:t>审查</w:t>
            </w:r>
            <w:r>
              <w:rPr>
                <w:rFonts w:hint="eastAsia" w:ascii="仿宋" w:hAnsi="仿宋" w:eastAsia="仿宋" w:cs="仿宋"/>
                <w:b/>
                <w:color w:val="auto"/>
                <w:kern w:val="0"/>
                <w:sz w:val="22"/>
                <w:szCs w:val="22"/>
                <w:highlight w:val="none"/>
                <w:lang w:val="en-US" w:eastAsia="zh-CN" w:bidi="ar-SA"/>
              </w:rPr>
              <w:t>要求</w:t>
            </w:r>
          </w:p>
        </w:tc>
        <w:tc>
          <w:tcPr>
            <w:tcW w:w="3183" w:type="pct"/>
            <w:noWrap w:val="0"/>
            <w:vAlign w:val="center"/>
          </w:tcPr>
          <w:p w14:paraId="63DAB51E">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eastAsia="zh-CN" w:bidi="ar-SA"/>
              </w:rPr>
              <w:t>要求说明</w:t>
            </w:r>
          </w:p>
        </w:tc>
        <w:tc>
          <w:tcPr>
            <w:tcW w:w="457" w:type="pct"/>
            <w:noWrap w:val="0"/>
            <w:vAlign w:val="center"/>
          </w:tcPr>
          <w:p w14:paraId="74FE2D5A">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eastAsia="zh-CN" w:bidi="ar-SA"/>
              </w:rPr>
              <w:t>备注</w:t>
            </w:r>
          </w:p>
        </w:tc>
      </w:tr>
      <w:tr w14:paraId="0A4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80" w:type="pct"/>
            <w:noWrap w:val="0"/>
            <w:vAlign w:val="center"/>
          </w:tcPr>
          <w:p w14:paraId="5FE23BBE">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979" w:type="pct"/>
            <w:noWrap w:val="0"/>
            <w:vAlign w:val="center"/>
          </w:tcPr>
          <w:p w14:paraId="1E299322">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spacing w:val="0"/>
                <w:w w:val="100"/>
                <w:kern w:val="0"/>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zh-CN"/>
              </w:rPr>
              <w:t>投标报价</w:t>
            </w:r>
          </w:p>
        </w:tc>
        <w:tc>
          <w:tcPr>
            <w:tcW w:w="3183" w:type="pct"/>
            <w:noWrap w:val="0"/>
            <w:vAlign w:val="center"/>
          </w:tcPr>
          <w:p w14:paraId="0E2B81F2">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spacing w:val="0"/>
                <w:w w:val="100"/>
                <w:kern w:val="0"/>
                <w:position w:val="0"/>
                <w:sz w:val="22"/>
                <w:szCs w:val="22"/>
                <w:highlight w:val="none"/>
                <w:lang w:val="en-US" w:bidi="ar-SA"/>
              </w:rPr>
            </w:pPr>
            <w:r>
              <w:rPr>
                <w:rFonts w:hint="eastAsia" w:ascii="仿宋" w:hAnsi="仿宋" w:eastAsia="仿宋" w:cs="仿宋"/>
                <w:color w:val="auto"/>
                <w:spacing w:val="0"/>
                <w:w w:val="100"/>
                <w:kern w:val="2"/>
                <w:position w:val="0"/>
                <w:sz w:val="22"/>
                <w:szCs w:val="22"/>
                <w:highlight w:val="none"/>
                <w:lang w:val="en-US" w:eastAsia="zh-CN" w:bidi="zh-CN"/>
              </w:rPr>
              <w:t>投标报价</w:t>
            </w:r>
            <w:r>
              <w:rPr>
                <w:rFonts w:hint="eastAsia" w:ascii="仿宋" w:hAnsi="仿宋" w:eastAsia="仿宋" w:cs="仿宋"/>
                <w:color w:val="auto"/>
                <w:spacing w:val="0"/>
                <w:w w:val="100"/>
                <w:kern w:val="0"/>
                <w:position w:val="0"/>
                <w:sz w:val="22"/>
                <w:szCs w:val="22"/>
                <w:highlight w:val="none"/>
                <w:lang w:val="en-US" w:eastAsia="zh-CN" w:bidi="ar-SA"/>
              </w:rPr>
              <w:t>未超过项目最高限价，报价合理，投标单位对同一个投标文件中对同一个服务未做出两个或多个报价。</w:t>
            </w:r>
          </w:p>
        </w:tc>
        <w:tc>
          <w:tcPr>
            <w:tcW w:w="457" w:type="pct"/>
            <w:noWrap w:val="0"/>
            <w:vAlign w:val="center"/>
          </w:tcPr>
          <w:p w14:paraId="3792C3E8">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outlineLvl w:val="9"/>
              <w:rPr>
                <w:rFonts w:hint="eastAsia" w:ascii="仿宋" w:hAnsi="仿宋" w:eastAsia="仿宋" w:cs="仿宋"/>
                <w:color w:val="auto"/>
                <w:spacing w:val="0"/>
                <w:w w:val="100"/>
                <w:kern w:val="0"/>
                <w:position w:val="0"/>
                <w:sz w:val="22"/>
                <w:szCs w:val="22"/>
                <w:highlight w:val="none"/>
                <w:lang w:val="en-US" w:bidi="ar-SA"/>
              </w:rPr>
            </w:pPr>
          </w:p>
        </w:tc>
      </w:tr>
      <w:tr w14:paraId="1A3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80" w:type="pct"/>
            <w:noWrap w:val="0"/>
            <w:vAlign w:val="center"/>
          </w:tcPr>
          <w:p w14:paraId="0DDD6362">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2</w:t>
            </w:r>
          </w:p>
        </w:tc>
        <w:tc>
          <w:tcPr>
            <w:tcW w:w="979" w:type="pct"/>
            <w:noWrap w:val="0"/>
            <w:vAlign w:val="center"/>
          </w:tcPr>
          <w:p w14:paraId="17EA1CC2">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kern w:val="0"/>
                <w:position w:val="0"/>
                <w:sz w:val="22"/>
                <w:szCs w:val="22"/>
                <w:highlight w:val="none"/>
                <w:lang w:val="en-US" w:bidi="ar-SA"/>
              </w:rPr>
            </w:pP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文件</w:t>
            </w:r>
          </w:p>
          <w:p w14:paraId="716A7621">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spacing w:val="0"/>
                <w:w w:val="100"/>
                <w:kern w:val="0"/>
                <w:position w:val="0"/>
                <w:sz w:val="22"/>
                <w:szCs w:val="22"/>
                <w:highlight w:val="none"/>
                <w:lang w:val="en-US" w:bidi="ar-SA"/>
              </w:rPr>
              <w:t>完整性</w:t>
            </w:r>
          </w:p>
        </w:tc>
        <w:tc>
          <w:tcPr>
            <w:tcW w:w="3183" w:type="pct"/>
            <w:noWrap w:val="0"/>
            <w:vAlign w:val="center"/>
          </w:tcPr>
          <w:p w14:paraId="29B8E596">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outlineLvl w:val="9"/>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pacing w:val="0"/>
                <w:w w:val="100"/>
                <w:kern w:val="0"/>
                <w:position w:val="0"/>
                <w:sz w:val="22"/>
                <w:szCs w:val="22"/>
                <w:highlight w:val="none"/>
                <w:lang w:val="en-US" w:bidi="ar-SA"/>
              </w:rPr>
              <w:t>提交</w:t>
            </w: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函。</w:t>
            </w: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文件完整，</w:t>
            </w:r>
            <w:r>
              <w:rPr>
                <w:rFonts w:hint="eastAsia" w:ascii="仿宋" w:hAnsi="仿宋" w:eastAsia="仿宋" w:cs="仿宋"/>
                <w:color w:val="auto"/>
                <w:spacing w:val="0"/>
                <w:w w:val="100"/>
                <w:kern w:val="0"/>
                <w:position w:val="0"/>
                <w:sz w:val="22"/>
                <w:szCs w:val="22"/>
                <w:highlight w:val="none"/>
                <w:lang w:val="en-US" w:eastAsia="zh-CN" w:bidi="ar-SA"/>
              </w:rPr>
              <w:t>对</w:t>
            </w:r>
            <w:r>
              <w:rPr>
                <w:rFonts w:hint="eastAsia" w:ascii="仿宋" w:hAnsi="仿宋" w:eastAsia="仿宋" w:cs="仿宋"/>
                <w:color w:val="auto"/>
                <w:spacing w:val="0"/>
                <w:w w:val="100"/>
                <w:kern w:val="0"/>
                <w:position w:val="0"/>
                <w:sz w:val="22"/>
                <w:szCs w:val="22"/>
                <w:highlight w:val="none"/>
                <w:lang w:val="en-US" w:bidi="ar-SA"/>
              </w:rPr>
              <w:t>所有</w:t>
            </w:r>
            <w:r>
              <w:rPr>
                <w:rFonts w:hint="eastAsia" w:ascii="仿宋" w:hAnsi="仿宋" w:eastAsia="仿宋" w:cs="仿宋"/>
                <w:color w:val="auto"/>
                <w:spacing w:val="0"/>
                <w:w w:val="100"/>
                <w:kern w:val="0"/>
                <w:position w:val="0"/>
                <w:sz w:val="22"/>
                <w:szCs w:val="22"/>
                <w:highlight w:val="none"/>
                <w:lang w:val="en-US" w:eastAsia="zh-CN" w:bidi="ar-SA"/>
              </w:rPr>
              <w:t>服务</w:t>
            </w:r>
            <w:r>
              <w:rPr>
                <w:rFonts w:hint="eastAsia" w:ascii="仿宋" w:hAnsi="仿宋" w:eastAsia="仿宋" w:cs="仿宋"/>
                <w:color w:val="auto"/>
                <w:spacing w:val="0"/>
                <w:w w:val="100"/>
                <w:kern w:val="0"/>
                <w:position w:val="0"/>
                <w:sz w:val="22"/>
                <w:szCs w:val="22"/>
                <w:highlight w:val="none"/>
                <w:lang w:val="en-US" w:bidi="ar-SA"/>
              </w:rPr>
              <w:t>内容进行</w:t>
            </w:r>
            <w:r>
              <w:rPr>
                <w:rFonts w:hint="eastAsia" w:ascii="仿宋" w:hAnsi="仿宋" w:eastAsia="仿宋" w:cs="仿宋"/>
                <w:color w:val="auto"/>
                <w:spacing w:val="0"/>
                <w:w w:val="100"/>
                <w:kern w:val="0"/>
                <w:position w:val="0"/>
                <w:sz w:val="22"/>
                <w:szCs w:val="22"/>
                <w:highlight w:val="none"/>
                <w:lang w:val="en-US" w:eastAsia="zh-CN" w:bidi="ar-SA"/>
              </w:rPr>
              <w:t>响应，</w:t>
            </w:r>
            <w:r>
              <w:rPr>
                <w:rFonts w:hint="eastAsia" w:ascii="仿宋" w:hAnsi="仿宋" w:eastAsia="仿宋" w:cs="仿宋"/>
                <w:color w:val="auto"/>
                <w:spacing w:val="0"/>
                <w:w w:val="100"/>
                <w:kern w:val="0"/>
                <w:position w:val="0"/>
                <w:sz w:val="22"/>
                <w:szCs w:val="22"/>
                <w:highlight w:val="none"/>
                <w:lang w:val="en-US" w:bidi="ar-SA"/>
              </w:rPr>
              <w:t>无重大错漏，并按要求签署、盖章</w:t>
            </w:r>
            <w:r>
              <w:rPr>
                <w:rFonts w:hint="eastAsia" w:ascii="仿宋" w:hAnsi="仿宋" w:eastAsia="仿宋" w:cs="仿宋"/>
                <w:color w:val="auto"/>
                <w:spacing w:val="0"/>
                <w:w w:val="100"/>
                <w:kern w:val="0"/>
                <w:position w:val="0"/>
                <w:sz w:val="22"/>
                <w:szCs w:val="22"/>
                <w:highlight w:val="none"/>
                <w:lang w:val="en-US" w:eastAsia="zh-CN" w:bidi="ar-SA"/>
              </w:rPr>
              <w:t>。</w:t>
            </w:r>
          </w:p>
        </w:tc>
        <w:tc>
          <w:tcPr>
            <w:tcW w:w="457" w:type="pct"/>
            <w:noWrap w:val="0"/>
            <w:vAlign w:val="center"/>
          </w:tcPr>
          <w:p w14:paraId="03DFC581">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outlineLvl w:val="9"/>
              <w:rPr>
                <w:rFonts w:hint="eastAsia" w:ascii="仿宋" w:hAnsi="仿宋" w:eastAsia="仿宋" w:cs="仿宋"/>
                <w:color w:val="auto"/>
                <w:spacing w:val="0"/>
                <w:w w:val="100"/>
                <w:kern w:val="0"/>
                <w:position w:val="0"/>
                <w:sz w:val="22"/>
                <w:szCs w:val="22"/>
                <w:highlight w:val="none"/>
                <w:lang w:val="en-US" w:bidi="ar-SA"/>
              </w:rPr>
            </w:pPr>
          </w:p>
        </w:tc>
      </w:tr>
      <w:tr w14:paraId="692E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80" w:type="pct"/>
            <w:noWrap w:val="0"/>
            <w:vAlign w:val="center"/>
          </w:tcPr>
          <w:p w14:paraId="631B48F6">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3</w:t>
            </w:r>
          </w:p>
        </w:tc>
        <w:tc>
          <w:tcPr>
            <w:tcW w:w="979" w:type="pct"/>
            <w:noWrap w:val="0"/>
            <w:vAlign w:val="center"/>
          </w:tcPr>
          <w:p w14:paraId="719F3B6B">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投标有效期</w:t>
            </w:r>
          </w:p>
        </w:tc>
        <w:tc>
          <w:tcPr>
            <w:tcW w:w="3183" w:type="pct"/>
            <w:noWrap w:val="0"/>
            <w:vAlign w:val="center"/>
          </w:tcPr>
          <w:p w14:paraId="3835C237">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投标有效期满足招标文件要求。</w:t>
            </w:r>
          </w:p>
        </w:tc>
        <w:tc>
          <w:tcPr>
            <w:tcW w:w="457" w:type="pct"/>
            <w:noWrap w:val="0"/>
            <w:vAlign w:val="center"/>
          </w:tcPr>
          <w:p w14:paraId="112F479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26AD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0" w:type="pct"/>
            <w:noWrap w:val="0"/>
            <w:vAlign w:val="center"/>
          </w:tcPr>
          <w:p w14:paraId="7BD5CC6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w:t>
            </w:r>
          </w:p>
        </w:tc>
        <w:tc>
          <w:tcPr>
            <w:tcW w:w="979" w:type="pct"/>
            <w:noWrap w:val="0"/>
            <w:vAlign w:val="center"/>
          </w:tcPr>
          <w:p w14:paraId="423E02E6">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w:t>
            </w:r>
            <w:r>
              <w:rPr>
                <w:rFonts w:hint="eastAsia" w:ascii="仿宋" w:hAnsi="仿宋" w:eastAsia="仿宋" w:cs="仿宋"/>
                <w:color w:val="auto"/>
                <w:kern w:val="0"/>
                <w:sz w:val="22"/>
                <w:szCs w:val="22"/>
                <w:highlight w:val="none"/>
                <w:lang w:val="en-US" w:bidi="ar-SA"/>
              </w:rPr>
              <w:t>保证金</w:t>
            </w:r>
          </w:p>
        </w:tc>
        <w:tc>
          <w:tcPr>
            <w:tcW w:w="3183" w:type="pct"/>
            <w:noWrap w:val="0"/>
            <w:vAlign w:val="center"/>
          </w:tcPr>
          <w:p w14:paraId="11B1180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w:t>
            </w:r>
            <w:r>
              <w:rPr>
                <w:rFonts w:hint="eastAsia" w:ascii="仿宋" w:hAnsi="仿宋" w:eastAsia="仿宋" w:cs="仿宋"/>
                <w:color w:val="auto"/>
                <w:kern w:val="0"/>
                <w:sz w:val="22"/>
                <w:szCs w:val="22"/>
                <w:highlight w:val="none"/>
                <w:lang w:val="zh-CN" w:eastAsia="zh-CN" w:bidi="ar-SA"/>
              </w:rPr>
              <w:t>保证金的缴纳主体与</w:t>
            </w:r>
            <w:r>
              <w:rPr>
                <w:rFonts w:hint="eastAsia" w:ascii="仿宋" w:hAnsi="仿宋" w:eastAsia="仿宋" w:cs="仿宋"/>
                <w:color w:val="auto"/>
                <w:kern w:val="0"/>
                <w:sz w:val="22"/>
                <w:szCs w:val="22"/>
                <w:highlight w:val="none"/>
                <w:lang w:val="en-US" w:eastAsia="zh-CN" w:bidi="ar-SA"/>
              </w:rPr>
              <w:t>投标单位</w:t>
            </w:r>
            <w:r>
              <w:rPr>
                <w:rFonts w:hint="eastAsia" w:ascii="仿宋" w:hAnsi="仿宋" w:eastAsia="仿宋" w:cs="仿宋"/>
                <w:color w:val="auto"/>
                <w:kern w:val="0"/>
                <w:sz w:val="22"/>
                <w:szCs w:val="22"/>
                <w:highlight w:val="none"/>
                <w:lang w:val="zh-CN" w:eastAsia="zh-CN" w:bidi="ar-SA"/>
              </w:rPr>
              <w:t>一致，</w:t>
            </w:r>
            <w:r>
              <w:rPr>
                <w:rFonts w:hint="eastAsia" w:ascii="仿宋" w:hAnsi="仿宋" w:eastAsia="仿宋" w:cs="仿宋"/>
                <w:color w:val="auto"/>
                <w:kern w:val="0"/>
                <w:sz w:val="22"/>
                <w:szCs w:val="22"/>
                <w:highlight w:val="none"/>
                <w:lang w:val="en-US" w:eastAsia="zh-CN" w:bidi="ar-SA"/>
              </w:rPr>
              <w:t>并</w:t>
            </w:r>
            <w:r>
              <w:rPr>
                <w:rFonts w:hint="eastAsia" w:ascii="仿宋" w:hAnsi="仿宋" w:eastAsia="仿宋" w:cs="仿宋"/>
                <w:color w:val="auto"/>
                <w:kern w:val="0"/>
                <w:sz w:val="22"/>
                <w:szCs w:val="22"/>
                <w:highlight w:val="none"/>
                <w:lang w:val="zh-CN" w:bidi="ar-SA"/>
              </w:rPr>
              <w:t>按时、足额缴纳</w:t>
            </w:r>
            <w:r>
              <w:rPr>
                <w:rFonts w:hint="eastAsia" w:ascii="仿宋" w:hAnsi="仿宋" w:eastAsia="仿宋" w:cs="仿宋"/>
                <w:color w:val="auto"/>
                <w:kern w:val="0"/>
                <w:sz w:val="22"/>
                <w:szCs w:val="22"/>
                <w:highlight w:val="none"/>
                <w:lang w:val="en-US" w:eastAsia="zh-CN" w:bidi="ar-SA"/>
              </w:rPr>
              <w:t>投标保证金</w:t>
            </w:r>
            <w:r>
              <w:rPr>
                <w:rFonts w:hint="eastAsia" w:ascii="仿宋" w:hAnsi="仿宋" w:eastAsia="仿宋" w:cs="仿宋"/>
                <w:color w:val="auto"/>
                <w:kern w:val="0"/>
                <w:sz w:val="22"/>
                <w:szCs w:val="22"/>
                <w:highlight w:val="none"/>
                <w:lang w:val="zh-CN" w:bidi="ar-SA"/>
              </w:rPr>
              <w:t>。</w:t>
            </w:r>
          </w:p>
        </w:tc>
        <w:tc>
          <w:tcPr>
            <w:tcW w:w="457" w:type="pct"/>
            <w:noWrap w:val="0"/>
            <w:vAlign w:val="center"/>
          </w:tcPr>
          <w:p w14:paraId="05DDB87E">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5058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80" w:type="pct"/>
            <w:noWrap w:val="0"/>
            <w:vAlign w:val="center"/>
          </w:tcPr>
          <w:p w14:paraId="06A0387D">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5</w:t>
            </w:r>
          </w:p>
        </w:tc>
        <w:tc>
          <w:tcPr>
            <w:tcW w:w="979" w:type="pct"/>
            <w:noWrap w:val="0"/>
            <w:vAlign w:val="center"/>
          </w:tcPr>
          <w:p w14:paraId="166AB78D">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服务期限、质保期</w:t>
            </w:r>
          </w:p>
        </w:tc>
        <w:tc>
          <w:tcPr>
            <w:tcW w:w="3183" w:type="pct"/>
            <w:noWrap w:val="0"/>
            <w:vAlign w:val="center"/>
          </w:tcPr>
          <w:p w14:paraId="6953F8B7">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zh-CN" w:eastAsia="zh-CN" w:bidi="ar-SA"/>
              </w:rPr>
            </w:pPr>
            <w:r>
              <w:rPr>
                <w:rFonts w:hint="eastAsia" w:ascii="仿宋" w:hAnsi="仿宋" w:eastAsia="仿宋" w:cs="仿宋"/>
                <w:color w:val="auto"/>
                <w:sz w:val="22"/>
                <w:szCs w:val="22"/>
                <w:highlight w:val="none"/>
              </w:rPr>
              <w:t>满足</w:t>
            </w: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文件要求</w:t>
            </w:r>
            <w:r>
              <w:rPr>
                <w:rFonts w:hint="eastAsia" w:ascii="仿宋" w:hAnsi="仿宋" w:eastAsia="仿宋" w:cs="仿宋"/>
                <w:color w:val="auto"/>
                <w:sz w:val="22"/>
                <w:szCs w:val="22"/>
                <w:highlight w:val="none"/>
                <w:lang w:eastAsia="zh-CN"/>
              </w:rPr>
              <w:t>。</w:t>
            </w:r>
          </w:p>
        </w:tc>
        <w:tc>
          <w:tcPr>
            <w:tcW w:w="457" w:type="pct"/>
            <w:noWrap w:val="0"/>
            <w:vAlign w:val="center"/>
          </w:tcPr>
          <w:p w14:paraId="474D2074">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676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0" w:type="pct"/>
            <w:noWrap w:val="0"/>
            <w:vAlign w:val="center"/>
          </w:tcPr>
          <w:p w14:paraId="5D0C4600">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6</w:t>
            </w:r>
          </w:p>
        </w:tc>
        <w:tc>
          <w:tcPr>
            <w:tcW w:w="979" w:type="pct"/>
            <w:noWrap w:val="0"/>
            <w:vAlign w:val="center"/>
          </w:tcPr>
          <w:p w14:paraId="28F627C3">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bidi="ar-SA"/>
              </w:rPr>
              <w:t>附加条件</w:t>
            </w:r>
          </w:p>
        </w:tc>
        <w:tc>
          <w:tcPr>
            <w:tcW w:w="3183" w:type="pct"/>
            <w:noWrap w:val="0"/>
            <w:vAlign w:val="center"/>
          </w:tcPr>
          <w:p w14:paraId="047B9076">
            <w:pPr>
              <w:keepNext w:val="0"/>
              <w:keepLines w:val="0"/>
              <w:widowControl/>
              <w:suppressLineNumbers w:val="0"/>
              <w:shd w:val="clear" w:color="auto" w:fill="auto"/>
              <w:autoSpaceDE/>
              <w:autoSpaceDN/>
              <w:spacing w:before="0" w:beforeAutospacing="0" w:after="0" w:afterAutospacing="0" w:line="240" w:lineRule="auto"/>
              <w:ind w:left="0" w:right="0"/>
              <w:jc w:val="both"/>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投标文件</w:t>
            </w:r>
            <w:r>
              <w:rPr>
                <w:rFonts w:hint="eastAsia" w:ascii="仿宋" w:hAnsi="仿宋" w:eastAsia="仿宋" w:cs="仿宋"/>
                <w:color w:val="auto"/>
                <w:kern w:val="0"/>
                <w:sz w:val="22"/>
                <w:szCs w:val="22"/>
                <w:highlight w:val="none"/>
                <w:lang w:val="en-US" w:bidi="ar-SA"/>
              </w:rPr>
              <w:t>未含有采购人不能接受的附加条件</w:t>
            </w:r>
            <w:r>
              <w:rPr>
                <w:rFonts w:hint="eastAsia" w:ascii="仿宋" w:hAnsi="仿宋" w:eastAsia="仿宋" w:cs="仿宋"/>
                <w:color w:val="auto"/>
                <w:kern w:val="0"/>
                <w:sz w:val="22"/>
                <w:szCs w:val="22"/>
                <w:highlight w:val="none"/>
                <w:lang w:val="en-US" w:eastAsia="zh-CN" w:bidi="ar-SA"/>
              </w:rPr>
              <w:t>。</w:t>
            </w:r>
          </w:p>
        </w:tc>
        <w:tc>
          <w:tcPr>
            <w:tcW w:w="457" w:type="pct"/>
            <w:noWrap w:val="0"/>
            <w:vAlign w:val="center"/>
          </w:tcPr>
          <w:p w14:paraId="3639691C">
            <w:pPr>
              <w:keepNext w:val="0"/>
              <w:keepLines w:val="0"/>
              <w:widowControl/>
              <w:suppressLineNumbers w:val="0"/>
              <w:shd w:val="clear" w:color="auto" w:fill="auto"/>
              <w:autoSpaceDE/>
              <w:autoSpaceDN/>
              <w:spacing w:before="0" w:beforeAutospacing="0" w:after="0" w:afterAutospacing="0" w:line="240" w:lineRule="auto"/>
              <w:ind w:left="0" w:right="0"/>
              <w:jc w:val="left"/>
              <w:rPr>
                <w:rFonts w:hint="eastAsia" w:ascii="仿宋" w:hAnsi="仿宋" w:eastAsia="仿宋" w:cs="仿宋"/>
                <w:color w:val="auto"/>
                <w:kern w:val="0"/>
                <w:sz w:val="22"/>
                <w:szCs w:val="22"/>
                <w:highlight w:val="none"/>
                <w:lang w:val="en-US" w:eastAsia="zh-CN" w:bidi="ar-SA"/>
              </w:rPr>
            </w:pPr>
          </w:p>
        </w:tc>
      </w:tr>
      <w:tr w14:paraId="17CD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80" w:type="pct"/>
            <w:noWrap w:val="0"/>
            <w:vAlign w:val="center"/>
          </w:tcPr>
          <w:p w14:paraId="292BBCD4">
            <w:pPr>
              <w:keepNext w:val="0"/>
              <w:keepLines w:val="0"/>
              <w:widowControl/>
              <w:suppressLineNumbers w:val="0"/>
              <w:shd w:val="clear" w:color="auto" w:fill="auto"/>
              <w:autoSpaceDE/>
              <w:autoSpaceDN/>
              <w:spacing w:before="0" w:beforeAutospacing="0" w:after="0" w:afterAutospacing="0" w:line="36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7</w:t>
            </w:r>
          </w:p>
        </w:tc>
        <w:tc>
          <w:tcPr>
            <w:tcW w:w="979" w:type="pct"/>
            <w:noWrap w:val="0"/>
            <w:vAlign w:val="center"/>
          </w:tcPr>
          <w:p w14:paraId="52B22A69">
            <w:pPr>
              <w:keepNext w:val="0"/>
              <w:keepLines w:val="0"/>
              <w:widowControl/>
              <w:suppressLineNumbers w:val="0"/>
              <w:shd w:val="clear" w:color="auto" w:fill="auto"/>
              <w:autoSpaceDE/>
              <w:autoSpaceDN/>
              <w:spacing w:before="0" w:beforeAutospacing="0" w:after="0" w:afterAutospacing="0" w:line="36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bidi="ar-SA"/>
              </w:rPr>
              <w:t>其他无效情形</w:t>
            </w:r>
          </w:p>
        </w:tc>
        <w:tc>
          <w:tcPr>
            <w:tcW w:w="3183" w:type="pct"/>
            <w:noWrap w:val="0"/>
            <w:vAlign w:val="center"/>
          </w:tcPr>
          <w:p w14:paraId="51DFBD5E">
            <w:pPr>
              <w:keepNext w:val="0"/>
              <w:keepLines w:val="0"/>
              <w:widowControl/>
              <w:suppressLineNumbers w:val="0"/>
              <w:shd w:val="clear" w:color="auto" w:fill="auto"/>
              <w:autoSpaceDE/>
              <w:autoSpaceDN/>
              <w:spacing w:before="0" w:beforeAutospacing="0" w:after="0" w:afterAutospacing="0" w:line="240" w:lineRule="auto"/>
              <w:ind w:left="0" w:right="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2"/>
                <w:sz w:val="22"/>
                <w:szCs w:val="22"/>
                <w:highlight w:val="none"/>
                <w:lang w:val="en-US" w:eastAsia="zh-CN" w:bidi="ar-SA"/>
              </w:rPr>
              <w:t>投标单位</w:t>
            </w:r>
            <w:r>
              <w:rPr>
                <w:rFonts w:hint="eastAsia" w:ascii="仿宋" w:hAnsi="仿宋" w:eastAsia="仿宋" w:cs="仿宋"/>
                <w:color w:val="auto"/>
                <w:kern w:val="2"/>
                <w:sz w:val="22"/>
                <w:szCs w:val="22"/>
                <w:highlight w:val="none"/>
                <w:lang w:val="en-US" w:bidi="ar-SA"/>
              </w:rPr>
              <w:t>、</w:t>
            </w:r>
            <w:r>
              <w:rPr>
                <w:rFonts w:hint="eastAsia" w:ascii="仿宋" w:hAnsi="仿宋" w:eastAsia="仿宋" w:cs="仿宋"/>
                <w:color w:val="auto"/>
                <w:kern w:val="2"/>
                <w:sz w:val="22"/>
                <w:szCs w:val="22"/>
                <w:highlight w:val="none"/>
                <w:lang w:val="en-US" w:eastAsia="zh-CN" w:bidi="ar-SA"/>
              </w:rPr>
              <w:t>投标文件</w:t>
            </w:r>
            <w:r>
              <w:rPr>
                <w:rFonts w:hint="eastAsia" w:ascii="仿宋" w:hAnsi="仿宋" w:eastAsia="仿宋" w:cs="仿宋"/>
                <w:color w:val="auto"/>
                <w:kern w:val="2"/>
                <w:sz w:val="22"/>
                <w:szCs w:val="22"/>
                <w:highlight w:val="none"/>
                <w:lang w:val="en-US" w:bidi="ar-SA"/>
              </w:rPr>
              <w:t>不存在不符合法律、法规和</w:t>
            </w:r>
            <w:r>
              <w:rPr>
                <w:rFonts w:hint="eastAsia" w:ascii="仿宋" w:hAnsi="仿宋" w:eastAsia="仿宋" w:cs="仿宋"/>
                <w:color w:val="auto"/>
                <w:kern w:val="2"/>
                <w:sz w:val="22"/>
                <w:szCs w:val="22"/>
                <w:highlight w:val="none"/>
                <w:lang w:val="en-US" w:eastAsia="zh-CN" w:bidi="ar-SA"/>
              </w:rPr>
              <w:t>招标文件</w:t>
            </w:r>
            <w:r>
              <w:rPr>
                <w:rFonts w:hint="eastAsia" w:ascii="仿宋" w:hAnsi="仿宋" w:eastAsia="仿宋" w:cs="仿宋"/>
                <w:color w:val="auto"/>
                <w:kern w:val="2"/>
                <w:sz w:val="22"/>
                <w:szCs w:val="22"/>
                <w:highlight w:val="none"/>
                <w:lang w:val="en-US" w:bidi="ar-SA"/>
              </w:rPr>
              <w:t>规定的其他无效情形。</w:t>
            </w:r>
          </w:p>
        </w:tc>
        <w:tc>
          <w:tcPr>
            <w:tcW w:w="457" w:type="pct"/>
            <w:noWrap w:val="0"/>
            <w:vAlign w:val="center"/>
          </w:tcPr>
          <w:p w14:paraId="6D0A8354">
            <w:pPr>
              <w:keepNext w:val="0"/>
              <w:keepLines w:val="0"/>
              <w:widowControl/>
              <w:suppressLineNumbers w:val="0"/>
              <w:shd w:val="clear" w:color="auto" w:fill="auto"/>
              <w:autoSpaceDE/>
              <w:autoSpaceDN/>
              <w:spacing w:before="0" w:beforeAutospacing="0" w:after="0" w:afterAutospacing="0" w:line="360" w:lineRule="auto"/>
              <w:ind w:left="0" w:right="0"/>
              <w:jc w:val="left"/>
              <w:rPr>
                <w:rFonts w:hint="eastAsia" w:ascii="仿宋" w:hAnsi="仿宋" w:eastAsia="仿宋" w:cs="仿宋"/>
                <w:color w:val="auto"/>
                <w:kern w:val="2"/>
                <w:sz w:val="22"/>
                <w:szCs w:val="22"/>
                <w:highlight w:val="none"/>
                <w:lang w:val="en-US" w:eastAsia="zh-CN" w:bidi="ar-SA"/>
              </w:rPr>
            </w:pPr>
          </w:p>
        </w:tc>
      </w:tr>
    </w:tbl>
    <w:p w14:paraId="54B19D18">
      <w:pPr>
        <w:pStyle w:val="7"/>
        <w:spacing w:before="33" w:line="360" w:lineRule="auto"/>
        <w:ind w:left="47" w:right="29" w:firstLine="477"/>
        <w:rPr>
          <w:sz w:val="24"/>
          <w:szCs w:val="24"/>
        </w:rPr>
      </w:pPr>
      <w:r>
        <w:rPr>
          <w:spacing w:val="-1"/>
          <w:sz w:val="24"/>
          <w:szCs w:val="24"/>
        </w:rPr>
        <w:t>3、经资质审查和符合性审查合格的投标文件（投标人不得少于3</w:t>
      </w:r>
      <w:r>
        <w:rPr>
          <w:spacing w:val="-40"/>
          <w:sz w:val="24"/>
          <w:szCs w:val="24"/>
        </w:rPr>
        <w:t xml:space="preserve"> </w:t>
      </w:r>
      <w:r>
        <w:rPr>
          <w:spacing w:val="-1"/>
          <w:sz w:val="24"/>
          <w:szCs w:val="24"/>
        </w:rPr>
        <w:t>家</w:t>
      </w:r>
      <w:r>
        <w:rPr>
          <w:spacing w:val="-4"/>
          <w:sz w:val="24"/>
          <w:szCs w:val="24"/>
        </w:rPr>
        <w:t>），</w:t>
      </w:r>
      <w:r>
        <w:rPr>
          <w:spacing w:val="-1"/>
          <w:sz w:val="24"/>
          <w:szCs w:val="24"/>
        </w:rPr>
        <w:t>评标委员会将</w:t>
      </w:r>
      <w:r>
        <w:rPr>
          <w:spacing w:val="1"/>
          <w:sz w:val="24"/>
          <w:szCs w:val="24"/>
        </w:rPr>
        <w:t>对其商务和技术部分作进一步的综合比较和评价，以综合得分最高的投标人</w:t>
      </w:r>
      <w:r>
        <w:rPr>
          <w:sz w:val="24"/>
          <w:szCs w:val="24"/>
        </w:rPr>
        <w:t>作为中标候选人。得分相同的，按投标报价由低到高顺序排列。得分且</w:t>
      </w:r>
      <w:r>
        <w:rPr>
          <w:spacing w:val="-1"/>
          <w:sz w:val="24"/>
          <w:szCs w:val="24"/>
        </w:rPr>
        <w:t>投标报价相同的，</w:t>
      </w:r>
      <w:r>
        <w:rPr>
          <w:spacing w:val="-71"/>
          <w:sz w:val="24"/>
          <w:szCs w:val="24"/>
        </w:rPr>
        <w:t xml:space="preserve"> </w:t>
      </w:r>
      <w:r>
        <w:rPr>
          <w:spacing w:val="-1"/>
          <w:sz w:val="24"/>
          <w:szCs w:val="24"/>
        </w:rPr>
        <w:t>由评标组长带</w:t>
      </w:r>
      <w:r>
        <w:rPr>
          <w:spacing w:val="1"/>
          <w:sz w:val="24"/>
          <w:szCs w:val="24"/>
        </w:rPr>
        <w:t>领评标委员会成员对各投标人的投标文件按照评审因素的量化指标进一步评</w:t>
      </w:r>
      <w:r>
        <w:rPr>
          <w:sz w:val="24"/>
          <w:szCs w:val="24"/>
        </w:rPr>
        <w:t>审，得分最高</w:t>
      </w:r>
      <w:r>
        <w:rPr>
          <w:spacing w:val="-1"/>
          <w:sz w:val="24"/>
          <w:szCs w:val="24"/>
        </w:rPr>
        <w:t>的投标人为排名第一的中标候选人。</w:t>
      </w:r>
    </w:p>
    <w:p w14:paraId="1DE8ABA2">
      <w:pPr>
        <w:pStyle w:val="7"/>
        <w:spacing w:before="178" w:line="325" w:lineRule="auto"/>
        <w:ind w:left="50" w:right="31" w:firstLine="468"/>
        <w:rPr>
          <w:sz w:val="24"/>
          <w:szCs w:val="24"/>
        </w:rPr>
      </w:pPr>
      <w:r>
        <w:rPr>
          <w:b/>
          <w:bCs/>
          <w:spacing w:val="-5"/>
          <w:sz w:val="24"/>
          <w:szCs w:val="24"/>
        </w:rPr>
        <w:t>4、评标委员会认为投标人的报价明显低于其他通过符合性审查投标人的报价，有可能</w:t>
      </w:r>
      <w:r>
        <w:rPr>
          <w:b/>
          <w:bCs/>
          <w:spacing w:val="-2"/>
          <w:sz w:val="24"/>
          <w:szCs w:val="24"/>
        </w:rPr>
        <w:t>影响产品质量或者不能诚信履约的，应当要求其在评标现场合理的时间内提供书面说明，必要时提交相关证明材料；投标人不能证明其报价合理性的，评标委员会应当将其作为无</w:t>
      </w:r>
      <w:r>
        <w:rPr>
          <w:b/>
          <w:bCs/>
          <w:spacing w:val="-5"/>
          <w:sz w:val="24"/>
          <w:szCs w:val="24"/>
        </w:rPr>
        <w:t>效投标处理</w:t>
      </w:r>
      <w:r>
        <w:rPr>
          <w:spacing w:val="-5"/>
          <w:sz w:val="24"/>
          <w:szCs w:val="24"/>
        </w:rPr>
        <w:t>。</w:t>
      </w:r>
    </w:p>
    <w:p w14:paraId="77873C62">
      <w:pPr>
        <w:pStyle w:val="7"/>
        <w:spacing w:before="179" w:line="222" w:lineRule="auto"/>
        <w:ind w:left="285"/>
        <w:rPr>
          <w:sz w:val="24"/>
          <w:szCs w:val="24"/>
        </w:rPr>
      </w:pPr>
      <w:r>
        <w:rPr>
          <w:b/>
          <w:bCs/>
          <w:spacing w:val="-5"/>
          <w:sz w:val="24"/>
          <w:szCs w:val="24"/>
        </w:rPr>
        <w:t>（二）评标方法</w:t>
      </w:r>
    </w:p>
    <w:p w14:paraId="113A2BD1">
      <w:pPr>
        <w:pStyle w:val="7"/>
        <w:spacing w:before="178" w:line="359" w:lineRule="auto"/>
        <w:ind w:left="46" w:right="29" w:firstLine="460"/>
        <w:jc w:val="both"/>
        <w:rPr>
          <w:sz w:val="24"/>
          <w:szCs w:val="24"/>
        </w:rPr>
      </w:pPr>
      <w:r>
        <w:rPr>
          <w:spacing w:val="1"/>
          <w:sz w:val="24"/>
          <w:szCs w:val="24"/>
        </w:rPr>
        <w:t>“综合评分法</w:t>
      </w:r>
      <w:r>
        <w:rPr>
          <w:spacing w:val="-86"/>
          <w:sz w:val="24"/>
          <w:szCs w:val="24"/>
        </w:rPr>
        <w:t xml:space="preserve"> </w:t>
      </w:r>
      <w:r>
        <w:rPr>
          <w:spacing w:val="1"/>
          <w:sz w:val="24"/>
          <w:szCs w:val="24"/>
        </w:rPr>
        <w:t>”，即是指在满足招标文件实</w:t>
      </w:r>
      <w:r>
        <w:rPr>
          <w:sz w:val="24"/>
          <w:szCs w:val="24"/>
        </w:rPr>
        <w:t>质性要求前提下，按照招标文件中规定的</w:t>
      </w:r>
      <w:r>
        <w:rPr>
          <w:spacing w:val="1"/>
          <w:sz w:val="24"/>
          <w:szCs w:val="24"/>
        </w:rPr>
        <w:t>各项因素进行综合评审后，以评标总得分最高的投标人作为拟中标人。综合评</w:t>
      </w:r>
      <w:r>
        <w:rPr>
          <w:sz w:val="24"/>
          <w:szCs w:val="24"/>
        </w:rPr>
        <w:t>分法中的价</w:t>
      </w:r>
      <w:r>
        <w:rPr>
          <w:spacing w:val="1"/>
          <w:sz w:val="24"/>
          <w:szCs w:val="24"/>
        </w:rPr>
        <w:t>格分统一采用低价优先法计算，即完全满足招标文件要求且投标价格最低的投标报</w:t>
      </w:r>
      <w:r>
        <w:rPr>
          <w:sz w:val="24"/>
          <w:szCs w:val="24"/>
        </w:rPr>
        <w:t>价为评</w:t>
      </w:r>
      <w:r>
        <w:rPr>
          <w:spacing w:val="1"/>
          <w:sz w:val="24"/>
          <w:szCs w:val="24"/>
        </w:rPr>
        <w:t>标基准价，其价格分为满分。其他投标人的价格分统一按照下列公式计算：投</w:t>
      </w:r>
      <w:r>
        <w:rPr>
          <w:sz w:val="24"/>
          <w:szCs w:val="24"/>
        </w:rPr>
        <w:t>标报价得分 =（评标基准价/投标报价）</w:t>
      </w:r>
      <w:r>
        <w:rPr>
          <w:spacing w:val="-91"/>
          <w:sz w:val="24"/>
          <w:szCs w:val="24"/>
        </w:rPr>
        <w:t xml:space="preserve"> </w:t>
      </w:r>
      <w:r>
        <w:rPr>
          <w:sz w:val="24"/>
          <w:szCs w:val="24"/>
        </w:rPr>
        <w:t>×价格权值×</w:t>
      </w:r>
      <w:r>
        <w:rPr>
          <w:spacing w:val="-94"/>
          <w:sz w:val="24"/>
          <w:szCs w:val="24"/>
        </w:rPr>
        <w:t xml:space="preserve"> </w:t>
      </w:r>
      <w:r>
        <w:rPr>
          <w:sz w:val="24"/>
          <w:szCs w:val="24"/>
        </w:rPr>
        <w:t>10</w:t>
      </w:r>
      <w:r>
        <w:rPr>
          <w:spacing w:val="-1"/>
          <w:sz w:val="24"/>
          <w:szCs w:val="24"/>
        </w:rPr>
        <w:t>0%。为使政府采购得到健康有序的发展，评标</w:t>
      </w:r>
      <w:r>
        <w:rPr>
          <w:spacing w:val="1"/>
          <w:sz w:val="24"/>
          <w:szCs w:val="24"/>
        </w:rPr>
        <w:t>高度关注综合性价比，采购人不承诺最终最低报价中标，对未中标投标商不作</w:t>
      </w:r>
      <w:r>
        <w:rPr>
          <w:sz w:val="24"/>
          <w:szCs w:val="24"/>
        </w:rPr>
        <w:t>任何解释说</w:t>
      </w:r>
      <w:r>
        <w:rPr>
          <w:spacing w:val="-8"/>
          <w:sz w:val="24"/>
          <w:szCs w:val="24"/>
        </w:rPr>
        <w:t>明。</w:t>
      </w:r>
    </w:p>
    <w:p w14:paraId="7ABEE095">
      <w:pPr>
        <w:pStyle w:val="7"/>
        <w:spacing w:before="3" w:line="359" w:lineRule="auto"/>
        <w:ind w:left="46" w:right="31" w:firstLine="482"/>
        <w:jc w:val="both"/>
        <w:rPr>
          <w:sz w:val="24"/>
          <w:szCs w:val="24"/>
        </w:rPr>
      </w:pPr>
      <w:r>
        <w:rPr>
          <w:spacing w:val="1"/>
          <w:sz w:val="24"/>
          <w:szCs w:val="24"/>
        </w:rPr>
        <w:t>采用综合评分法的，评标结果按评审后得分由高到低顺序排列。得分相</w:t>
      </w:r>
      <w:r>
        <w:rPr>
          <w:sz w:val="24"/>
          <w:szCs w:val="24"/>
        </w:rPr>
        <w:t>同的，按投标报价由低到高顺序排列。得分且投标报价相同的，</w:t>
      </w:r>
      <w:r>
        <w:rPr>
          <w:spacing w:val="-71"/>
          <w:sz w:val="24"/>
          <w:szCs w:val="24"/>
        </w:rPr>
        <w:t xml:space="preserve"> </w:t>
      </w:r>
      <w:r>
        <w:rPr>
          <w:sz w:val="24"/>
          <w:szCs w:val="24"/>
        </w:rPr>
        <w:t>由评</w:t>
      </w:r>
      <w:r>
        <w:rPr>
          <w:spacing w:val="-1"/>
          <w:sz w:val="24"/>
          <w:szCs w:val="24"/>
        </w:rPr>
        <w:t>标组长带领评标委员会成员对各投</w:t>
      </w:r>
      <w:r>
        <w:rPr>
          <w:spacing w:val="1"/>
          <w:sz w:val="24"/>
          <w:szCs w:val="24"/>
        </w:rPr>
        <w:t>标人的投标文件按照评审因素的量化指标进一步评审，得分最高的投标</w:t>
      </w:r>
      <w:r>
        <w:rPr>
          <w:sz w:val="24"/>
          <w:szCs w:val="24"/>
        </w:rPr>
        <w:t>人为排名第一的中</w:t>
      </w:r>
      <w:r>
        <w:rPr>
          <w:spacing w:val="-4"/>
          <w:sz w:val="24"/>
          <w:szCs w:val="24"/>
        </w:rPr>
        <w:t>标候选人。</w:t>
      </w:r>
    </w:p>
    <w:p w14:paraId="7A02E3E2">
      <w:pPr>
        <w:spacing w:line="359" w:lineRule="auto"/>
        <w:rPr>
          <w:sz w:val="24"/>
          <w:szCs w:val="24"/>
        </w:rPr>
        <w:sectPr>
          <w:footerReference r:id="rId9" w:type="default"/>
          <w:pgSz w:w="11905" w:h="16838"/>
          <w:pgMar w:top="1440" w:right="1803" w:bottom="1440" w:left="1803" w:header="0" w:footer="975" w:gutter="0"/>
          <w:pgNumType w:fmt="decimal"/>
          <w:cols w:space="0" w:num="1"/>
          <w:rtlGutter w:val="0"/>
          <w:docGrid w:linePitch="0" w:charSpace="0"/>
        </w:sectPr>
      </w:pPr>
    </w:p>
    <w:p w14:paraId="31E66170">
      <w:pPr>
        <w:pStyle w:val="7"/>
        <w:spacing w:before="49" w:line="222" w:lineRule="auto"/>
        <w:ind w:left="19" w:leftChars="0" w:hanging="19" w:hangingChars="6"/>
        <w:jc w:val="center"/>
        <w:rPr>
          <w:rFonts w:hint="eastAsia" w:eastAsia="仿宋"/>
          <w:b/>
          <w:bCs/>
          <w:sz w:val="32"/>
          <w:szCs w:val="32"/>
          <w:lang w:eastAsia="zh-CN"/>
        </w:rPr>
      </w:pPr>
      <w:r>
        <w:rPr>
          <w:b/>
          <w:bCs/>
          <w:spacing w:val="-3"/>
          <w:sz w:val="32"/>
          <w:szCs w:val="32"/>
        </w:rPr>
        <w:t>具体评分</w:t>
      </w:r>
      <w:r>
        <w:rPr>
          <w:rFonts w:hint="eastAsia"/>
          <w:b/>
          <w:bCs/>
          <w:spacing w:val="-3"/>
          <w:sz w:val="32"/>
          <w:szCs w:val="32"/>
          <w:lang w:val="en-US" w:eastAsia="zh-CN"/>
        </w:rPr>
        <w:t>标准</w:t>
      </w:r>
    </w:p>
    <w:p w14:paraId="04D7F967">
      <w:pPr>
        <w:spacing w:line="141" w:lineRule="exact"/>
      </w:pPr>
    </w:p>
    <w:p w14:paraId="6B9D6DBE">
      <w:pPr>
        <w:autoSpaceDE w:val="0"/>
        <w:autoSpaceDN w:val="0"/>
        <w:jc w:val="center"/>
        <w:rPr>
          <w:rFonts w:hint="eastAsia" w:ascii="仿宋" w:hAnsi="仿宋" w:eastAsia="仿宋" w:cs="仿宋"/>
          <w:b/>
          <w:bCs/>
          <w:color w:val="auto"/>
          <w:kern w:val="0"/>
          <w:sz w:val="24"/>
          <w:szCs w:val="24"/>
          <w:highlight w:val="none"/>
          <w:lang w:val="zh-CN" w:bidi="zh-CN"/>
        </w:rPr>
      </w:pPr>
      <w:r>
        <w:rPr>
          <w:rFonts w:hint="eastAsia" w:ascii="仿宋" w:hAnsi="仿宋" w:eastAsia="仿宋" w:cs="仿宋"/>
          <w:b/>
          <w:bCs/>
          <w:color w:val="auto"/>
          <w:kern w:val="0"/>
          <w:sz w:val="24"/>
          <w:szCs w:val="24"/>
          <w:highlight w:val="none"/>
          <w:lang w:val="zh-CN" w:bidi="zh-CN"/>
        </w:rPr>
        <w:t>详细评标表（满分100分）</w:t>
      </w:r>
    </w:p>
    <w:tbl>
      <w:tblPr>
        <w:tblStyle w:val="19"/>
        <w:tblW w:w="485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3784"/>
        <w:gridCol w:w="4295"/>
      </w:tblGrid>
      <w:tr w14:paraId="0A7FC7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77" w:hRule="atLeast"/>
          <w:jc w:val="center"/>
        </w:trPr>
        <w:tc>
          <w:tcPr>
            <w:tcW w:w="4414" w:type="dxa"/>
            <w:tcBorders>
              <w:bottom w:val="single" w:color="000000" w:sz="6" w:space="0"/>
              <w:right w:val="single" w:color="000000" w:sz="6" w:space="0"/>
            </w:tcBorders>
            <w:vAlign w:val="center"/>
          </w:tcPr>
          <w:p w14:paraId="7DD7363B">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b/>
                <w:color w:val="auto"/>
                <w:kern w:val="2"/>
                <w:sz w:val="24"/>
                <w:szCs w:val="24"/>
                <w:highlight w:val="none"/>
                <w:lang w:val="zh-CN" w:bidi="zh-CN"/>
              </w:rPr>
            </w:pPr>
            <w:r>
              <w:rPr>
                <w:rFonts w:hint="eastAsia" w:ascii="仿宋" w:hAnsi="仿宋" w:eastAsia="仿宋" w:cs="仿宋"/>
                <w:b/>
                <w:color w:val="auto"/>
                <w:kern w:val="2"/>
                <w:sz w:val="24"/>
                <w:szCs w:val="24"/>
                <w:highlight w:val="none"/>
                <w:lang w:val="zh-CN" w:bidi="zh-CN"/>
              </w:rPr>
              <w:t>评分因素</w:t>
            </w:r>
          </w:p>
        </w:tc>
        <w:tc>
          <w:tcPr>
            <w:tcW w:w="5045" w:type="dxa"/>
            <w:tcBorders>
              <w:left w:val="single" w:color="000000" w:sz="6" w:space="0"/>
              <w:bottom w:val="single" w:color="000000" w:sz="6" w:space="0"/>
            </w:tcBorders>
            <w:vAlign w:val="center"/>
          </w:tcPr>
          <w:p w14:paraId="7A1F28C8">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b/>
                <w:color w:val="auto"/>
                <w:kern w:val="2"/>
                <w:sz w:val="24"/>
                <w:szCs w:val="24"/>
                <w:highlight w:val="none"/>
                <w:lang w:val="zh-CN" w:bidi="zh-CN"/>
              </w:rPr>
            </w:pPr>
            <w:r>
              <w:rPr>
                <w:rFonts w:hint="eastAsia" w:ascii="仿宋" w:hAnsi="仿宋" w:eastAsia="仿宋" w:cs="仿宋"/>
                <w:b/>
                <w:color w:val="auto"/>
                <w:kern w:val="2"/>
                <w:sz w:val="24"/>
                <w:szCs w:val="24"/>
                <w:highlight w:val="none"/>
                <w:lang w:val="zh-CN" w:bidi="zh-CN"/>
              </w:rPr>
              <w:t>分值</w:t>
            </w:r>
            <w:r>
              <w:rPr>
                <w:rFonts w:hint="eastAsia" w:ascii="仿宋" w:hAnsi="仿宋" w:eastAsia="仿宋" w:cs="仿宋"/>
                <w:b/>
                <w:color w:val="auto"/>
                <w:kern w:val="2"/>
                <w:sz w:val="24"/>
                <w:szCs w:val="24"/>
                <w:highlight w:val="none"/>
                <w:lang w:val="en-US" w:bidi="zh-CN"/>
              </w:rPr>
              <w:t>分</w:t>
            </w:r>
            <w:r>
              <w:rPr>
                <w:rFonts w:hint="eastAsia" w:ascii="仿宋" w:hAnsi="仿宋" w:eastAsia="仿宋" w:cs="仿宋"/>
                <w:b/>
                <w:color w:val="auto"/>
                <w:kern w:val="2"/>
                <w:sz w:val="24"/>
                <w:szCs w:val="24"/>
                <w:highlight w:val="none"/>
                <w:lang w:val="zh-CN" w:bidi="zh-CN"/>
              </w:rPr>
              <w:t>配</w:t>
            </w:r>
          </w:p>
        </w:tc>
      </w:tr>
      <w:tr w14:paraId="128E13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8" w:hRule="atLeast"/>
          <w:jc w:val="center"/>
        </w:trPr>
        <w:tc>
          <w:tcPr>
            <w:tcW w:w="4414" w:type="dxa"/>
            <w:tcBorders>
              <w:top w:val="single" w:color="000000" w:sz="6" w:space="0"/>
              <w:bottom w:val="single" w:color="000000" w:sz="6" w:space="0"/>
              <w:right w:val="single" w:color="000000" w:sz="6" w:space="0"/>
            </w:tcBorders>
            <w:vAlign w:val="center"/>
          </w:tcPr>
          <w:p w14:paraId="71BB5437">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投标报价</w:t>
            </w:r>
          </w:p>
        </w:tc>
        <w:tc>
          <w:tcPr>
            <w:tcW w:w="5045" w:type="dxa"/>
            <w:tcBorders>
              <w:top w:val="single" w:color="000000" w:sz="6" w:space="0"/>
              <w:left w:val="single" w:color="000000" w:sz="6" w:space="0"/>
              <w:bottom w:val="single" w:color="000000" w:sz="6" w:space="0"/>
            </w:tcBorders>
            <w:vAlign w:val="center"/>
          </w:tcPr>
          <w:p w14:paraId="7D45EC91">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30</w:t>
            </w:r>
            <w:r>
              <w:rPr>
                <w:rFonts w:hint="eastAsia" w:ascii="仿宋" w:hAnsi="仿宋" w:eastAsia="仿宋" w:cs="仿宋"/>
                <w:color w:val="auto"/>
                <w:kern w:val="2"/>
                <w:sz w:val="24"/>
                <w:szCs w:val="24"/>
                <w:highlight w:val="none"/>
                <w:lang w:val="zh-CN" w:bidi="zh-CN"/>
              </w:rPr>
              <w:t>分</w:t>
            </w:r>
          </w:p>
        </w:tc>
      </w:tr>
      <w:tr w14:paraId="63F3FB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8" w:hRule="atLeast"/>
          <w:jc w:val="center"/>
        </w:trPr>
        <w:tc>
          <w:tcPr>
            <w:tcW w:w="4414" w:type="dxa"/>
            <w:tcBorders>
              <w:top w:val="single" w:color="000000" w:sz="6" w:space="0"/>
              <w:bottom w:val="single" w:color="000000" w:sz="6" w:space="0"/>
              <w:right w:val="single" w:color="000000" w:sz="6" w:space="0"/>
            </w:tcBorders>
            <w:vAlign w:val="center"/>
          </w:tcPr>
          <w:p w14:paraId="7C9F00DF">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商务部分</w:t>
            </w:r>
          </w:p>
        </w:tc>
        <w:tc>
          <w:tcPr>
            <w:tcW w:w="5045" w:type="dxa"/>
            <w:tcBorders>
              <w:top w:val="single" w:color="000000" w:sz="6" w:space="0"/>
              <w:left w:val="single" w:color="000000" w:sz="6" w:space="0"/>
              <w:bottom w:val="single" w:color="000000" w:sz="6" w:space="0"/>
            </w:tcBorders>
            <w:vAlign w:val="center"/>
          </w:tcPr>
          <w:p w14:paraId="16B69585">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10</w:t>
            </w:r>
            <w:r>
              <w:rPr>
                <w:rFonts w:hint="eastAsia" w:ascii="仿宋" w:hAnsi="仿宋" w:eastAsia="仿宋" w:cs="仿宋"/>
                <w:color w:val="auto"/>
                <w:kern w:val="2"/>
                <w:sz w:val="24"/>
                <w:szCs w:val="24"/>
                <w:highlight w:val="none"/>
                <w:lang w:val="zh-CN" w:bidi="zh-CN"/>
              </w:rPr>
              <w:t>分</w:t>
            </w:r>
          </w:p>
        </w:tc>
      </w:tr>
      <w:tr w14:paraId="1BEE15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8" w:hRule="atLeast"/>
          <w:jc w:val="center"/>
        </w:trPr>
        <w:tc>
          <w:tcPr>
            <w:tcW w:w="4414" w:type="dxa"/>
            <w:tcBorders>
              <w:top w:val="single" w:color="000000" w:sz="6" w:space="0"/>
              <w:bottom w:val="single" w:color="000000" w:sz="6" w:space="0"/>
              <w:right w:val="single" w:color="000000" w:sz="6" w:space="0"/>
            </w:tcBorders>
            <w:vAlign w:val="center"/>
          </w:tcPr>
          <w:p w14:paraId="33A3A73E">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技术（服务）部分</w:t>
            </w:r>
          </w:p>
        </w:tc>
        <w:tc>
          <w:tcPr>
            <w:tcW w:w="5045" w:type="dxa"/>
            <w:tcBorders>
              <w:top w:val="single" w:color="000000" w:sz="6" w:space="0"/>
              <w:left w:val="single" w:color="000000" w:sz="6" w:space="0"/>
              <w:bottom w:val="single" w:color="000000" w:sz="6" w:space="0"/>
            </w:tcBorders>
            <w:vAlign w:val="center"/>
          </w:tcPr>
          <w:p w14:paraId="142B7C64">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60</w:t>
            </w:r>
            <w:r>
              <w:rPr>
                <w:rFonts w:hint="eastAsia" w:ascii="仿宋" w:hAnsi="仿宋" w:eastAsia="仿宋" w:cs="仿宋"/>
                <w:color w:val="auto"/>
                <w:kern w:val="2"/>
                <w:sz w:val="24"/>
                <w:szCs w:val="24"/>
                <w:highlight w:val="none"/>
                <w:lang w:val="zh-CN" w:bidi="zh-CN"/>
              </w:rPr>
              <w:t>分</w:t>
            </w:r>
          </w:p>
        </w:tc>
      </w:tr>
      <w:tr w14:paraId="72DB37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88" w:hRule="atLeast"/>
          <w:jc w:val="center"/>
        </w:trPr>
        <w:tc>
          <w:tcPr>
            <w:tcW w:w="4414" w:type="dxa"/>
            <w:tcBorders>
              <w:top w:val="single" w:color="000000" w:sz="6" w:space="0"/>
              <w:right w:val="single" w:color="000000" w:sz="6" w:space="0"/>
            </w:tcBorders>
            <w:vAlign w:val="center"/>
          </w:tcPr>
          <w:p w14:paraId="07905DA3">
            <w:pPr>
              <w:keepNext w:val="0"/>
              <w:keepLines w:val="0"/>
              <w:widowControl/>
              <w:suppressLineNumbers w:val="0"/>
              <w:autoSpaceDE w:val="0"/>
              <w:autoSpaceDN w:val="0"/>
              <w:spacing w:before="5"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合计</w:t>
            </w:r>
          </w:p>
        </w:tc>
        <w:tc>
          <w:tcPr>
            <w:tcW w:w="5045" w:type="dxa"/>
            <w:tcBorders>
              <w:top w:val="single" w:color="000000" w:sz="6" w:space="0"/>
              <w:left w:val="single" w:color="000000" w:sz="6" w:space="0"/>
            </w:tcBorders>
            <w:vAlign w:val="center"/>
          </w:tcPr>
          <w:p w14:paraId="3E1C7667">
            <w:pPr>
              <w:keepNext w:val="0"/>
              <w:keepLines w:val="0"/>
              <w:widowControl/>
              <w:suppressLineNumbers w:val="0"/>
              <w:autoSpaceDE w:val="0"/>
              <w:autoSpaceDN w:val="0"/>
              <w:spacing w:before="5"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100分</w:t>
            </w:r>
          </w:p>
        </w:tc>
      </w:tr>
    </w:tbl>
    <w:p w14:paraId="20205BBF">
      <w:pPr>
        <w:autoSpaceDE w:val="0"/>
        <w:autoSpaceDN w:val="0"/>
        <w:jc w:val="center"/>
        <w:rPr>
          <w:rFonts w:hint="eastAsia" w:ascii="仿宋" w:hAnsi="仿宋" w:eastAsia="仿宋" w:cs="仿宋"/>
          <w:b/>
          <w:bCs/>
          <w:color w:val="auto"/>
          <w:kern w:val="0"/>
          <w:sz w:val="24"/>
          <w:szCs w:val="24"/>
          <w:highlight w:val="none"/>
          <w:lang w:val="zh-CN" w:bidi="zh-CN"/>
        </w:rPr>
      </w:pPr>
    </w:p>
    <w:p w14:paraId="37E2A334">
      <w:pPr>
        <w:autoSpaceDE w:val="0"/>
        <w:autoSpaceDN w:val="0"/>
        <w:jc w:val="center"/>
        <w:rPr>
          <w:rFonts w:hint="eastAsia" w:ascii="仿宋" w:hAnsi="仿宋" w:eastAsia="仿宋" w:cs="仿宋"/>
          <w:b/>
          <w:bCs/>
          <w:color w:val="auto"/>
          <w:kern w:val="0"/>
          <w:sz w:val="24"/>
          <w:szCs w:val="24"/>
          <w:highlight w:val="none"/>
          <w:lang w:val="zh-CN" w:bidi="zh-CN"/>
        </w:rPr>
      </w:pPr>
      <w:r>
        <w:rPr>
          <w:rFonts w:hint="eastAsia" w:ascii="仿宋" w:hAnsi="仿宋" w:eastAsia="仿宋" w:cs="仿宋"/>
          <w:b/>
          <w:bCs/>
          <w:color w:val="auto"/>
          <w:kern w:val="0"/>
          <w:sz w:val="24"/>
          <w:szCs w:val="24"/>
          <w:highlight w:val="none"/>
          <w:lang w:val="en-US" w:bidi="zh-CN"/>
        </w:rPr>
        <w:t>投标</w:t>
      </w:r>
      <w:r>
        <w:rPr>
          <w:rFonts w:hint="eastAsia" w:ascii="仿宋" w:hAnsi="仿宋" w:eastAsia="仿宋" w:cs="仿宋"/>
          <w:b/>
          <w:bCs/>
          <w:color w:val="auto"/>
          <w:kern w:val="0"/>
          <w:sz w:val="24"/>
          <w:szCs w:val="24"/>
          <w:highlight w:val="none"/>
          <w:lang w:val="zh-CN" w:bidi="zh-CN"/>
        </w:rPr>
        <w:t>报价</w:t>
      </w:r>
      <w:r>
        <w:rPr>
          <w:rFonts w:hint="eastAsia" w:ascii="仿宋" w:hAnsi="仿宋" w:eastAsia="仿宋" w:cs="仿宋"/>
          <w:b/>
          <w:bCs/>
          <w:color w:val="auto"/>
          <w:kern w:val="0"/>
          <w:sz w:val="24"/>
          <w:szCs w:val="24"/>
          <w:highlight w:val="none"/>
          <w:lang w:val="en-US" w:bidi="zh-CN"/>
        </w:rPr>
        <w:t>部分（30</w:t>
      </w:r>
      <w:r>
        <w:rPr>
          <w:rFonts w:hint="eastAsia" w:ascii="仿宋" w:hAnsi="仿宋" w:eastAsia="仿宋" w:cs="仿宋"/>
          <w:b/>
          <w:bCs/>
          <w:color w:val="auto"/>
          <w:kern w:val="0"/>
          <w:sz w:val="24"/>
          <w:szCs w:val="24"/>
          <w:highlight w:val="none"/>
          <w:lang w:val="zh-CN" w:bidi="zh-CN"/>
        </w:rPr>
        <w:t>分）</w:t>
      </w:r>
    </w:p>
    <w:tbl>
      <w:tblPr>
        <w:tblStyle w:val="19"/>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909"/>
        <w:gridCol w:w="777"/>
        <w:gridCol w:w="7302"/>
      </w:tblGrid>
      <w:tr w14:paraId="5F28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5AE43AF">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序号</w:t>
            </w:r>
          </w:p>
        </w:tc>
        <w:tc>
          <w:tcPr>
            <w:tcW w:w="909" w:type="dxa"/>
            <w:tcBorders>
              <w:top w:val="single" w:color="auto" w:sz="4" w:space="0"/>
              <w:left w:val="single" w:color="auto" w:sz="4" w:space="0"/>
              <w:bottom w:val="single" w:color="auto" w:sz="4" w:space="0"/>
              <w:right w:val="single" w:color="auto" w:sz="4" w:space="0"/>
            </w:tcBorders>
            <w:vAlign w:val="center"/>
          </w:tcPr>
          <w:p w14:paraId="0F861690">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0"/>
                <w:sz w:val="24"/>
                <w:szCs w:val="24"/>
                <w:highlight w:val="none"/>
                <w:lang w:val="en-US" w:bidi="ar-SA"/>
              </w:rPr>
              <w:t>评审内容</w:t>
            </w:r>
          </w:p>
        </w:tc>
        <w:tc>
          <w:tcPr>
            <w:tcW w:w="777" w:type="dxa"/>
            <w:tcBorders>
              <w:top w:val="single" w:color="auto" w:sz="4" w:space="0"/>
              <w:left w:val="single" w:color="auto" w:sz="4" w:space="0"/>
              <w:bottom w:val="single" w:color="auto" w:sz="4" w:space="0"/>
              <w:right w:val="single" w:color="auto" w:sz="4" w:space="0"/>
            </w:tcBorders>
            <w:vAlign w:val="center"/>
          </w:tcPr>
          <w:p w14:paraId="006BF775">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分值</w:t>
            </w:r>
          </w:p>
        </w:tc>
        <w:tc>
          <w:tcPr>
            <w:tcW w:w="7302" w:type="dxa"/>
            <w:tcBorders>
              <w:top w:val="single" w:color="auto" w:sz="4" w:space="0"/>
              <w:left w:val="single" w:color="auto" w:sz="4" w:space="0"/>
              <w:bottom w:val="single" w:color="auto" w:sz="4" w:space="0"/>
              <w:right w:val="single" w:color="auto" w:sz="4" w:space="0"/>
            </w:tcBorders>
            <w:vAlign w:val="center"/>
          </w:tcPr>
          <w:p w14:paraId="106ECEEA">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评审细则</w:t>
            </w:r>
          </w:p>
        </w:tc>
      </w:tr>
      <w:tr w14:paraId="58A5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37" w:type="dxa"/>
            <w:tcBorders>
              <w:top w:val="single" w:color="auto" w:sz="4" w:space="0"/>
              <w:left w:val="single" w:color="auto" w:sz="4" w:space="0"/>
              <w:right w:val="single" w:color="auto" w:sz="4" w:space="0"/>
            </w:tcBorders>
            <w:vAlign w:val="center"/>
          </w:tcPr>
          <w:p w14:paraId="7047596D">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p>
        </w:tc>
        <w:tc>
          <w:tcPr>
            <w:tcW w:w="909" w:type="dxa"/>
            <w:tcBorders>
              <w:top w:val="single" w:color="auto" w:sz="4" w:space="0"/>
              <w:left w:val="single" w:color="auto" w:sz="4" w:space="0"/>
              <w:right w:val="single" w:color="auto" w:sz="4" w:space="0"/>
            </w:tcBorders>
            <w:vAlign w:val="center"/>
          </w:tcPr>
          <w:p w14:paraId="06867678">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zh-CN"/>
              </w:rPr>
              <w:t>投标报价</w:t>
            </w:r>
          </w:p>
        </w:tc>
        <w:tc>
          <w:tcPr>
            <w:tcW w:w="777" w:type="dxa"/>
            <w:tcBorders>
              <w:top w:val="single" w:color="auto" w:sz="4" w:space="0"/>
              <w:left w:val="single" w:color="auto" w:sz="4" w:space="0"/>
              <w:right w:val="single" w:color="auto" w:sz="4" w:space="0"/>
            </w:tcBorders>
            <w:vAlign w:val="center"/>
          </w:tcPr>
          <w:p w14:paraId="1F502A32">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30</w:t>
            </w:r>
            <w:r>
              <w:rPr>
                <w:rFonts w:hint="eastAsia" w:ascii="仿宋" w:hAnsi="仿宋" w:eastAsia="仿宋" w:cs="仿宋"/>
                <w:color w:val="auto"/>
                <w:kern w:val="2"/>
                <w:sz w:val="24"/>
                <w:szCs w:val="24"/>
                <w:highlight w:val="none"/>
                <w:lang w:val="en-US" w:bidi="ar-SA"/>
              </w:rPr>
              <w:t>分</w:t>
            </w:r>
          </w:p>
        </w:tc>
        <w:tc>
          <w:tcPr>
            <w:tcW w:w="7302" w:type="dxa"/>
            <w:tcBorders>
              <w:top w:val="single" w:color="auto" w:sz="4" w:space="0"/>
              <w:left w:val="single" w:color="auto" w:sz="4" w:space="0"/>
              <w:bottom w:val="single" w:color="auto" w:sz="4" w:space="0"/>
              <w:right w:val="single" w:color="auto" w:sz="4" w:space="0"/>
            </w:tcBorders>
            <w:vAlign w:val="center"/>
          </w:tcPr>
          <w:p w14:paraId="61940C77">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w:t>
            </w:r>
          </w:p>
          <w:p w14:paraId="1C0C6F31">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1.综合评分法中的</w:t>
            </w:r>
            <w:r>
              <w:rPr>
                <w:rFonts w:hint="eastAsia" w:ascii="仿宋" w:hAnsi="仿宋" w:eastAsia="仿宋" w:cs="仿宋"/>
                <w:color w:val="auto"/>
                <w:kern w:val="2"/>
                <w:sz w:val="24"/>
                <w:szCs w:val="24"/>
                <w:highlight w:val="none"/>
                <w:lang w:val="en-US" w:bidi="zh-CN"/>
              </w:rPr>
              <w:t>投标报价</w:t>
            </w:r>
            <w:r>
              <w:rPr>
                <w:rFonts w:hint="eastAsia" w:ascii="仿宋" w:hAnsi="仿宋" w:eastAsia="仿宋" w:cs="仿宋"/>
                <w:color w:val="auto"/>
                <w:sz w:val="24"/>
                <w:szCs w:val="24"/>
                <w:lang w:val="en-US" w:eastAsia="zh-CN"/>
              </w:rPr>
              <w:t>得分统一采用低价优先法计算；</w:t>
            </w:r>
          </w:p>
          <w:p w14:paraId="4AF48888">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2.评标基准价：满足招标文件要求且最后报价最低的投标单位的价格为评标基准价，其价格分为满分。其他投标单位的价格分统一按照下列公式计算：</w:t>
            </w:r>
          </w:p>
          <w:p w14:paraId="3CD4F913">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0"/>
                <w:sz w:val="24"/>
                <w:szCs w:val="24"/>
                <w:highlight w:val="none"/>
                <w:lang w:val="en-US" w:bidi="zh-CN"/>
              </w:rPr>
            </w:pPr>
            <w:r>
              <w:rPr>
                <w:rFonts w:hint="eastAsia" w:ascii="仿宋" w:hAnsi="仿宋" w:eastAsia="仿宋" w:cs="仿宋"/>
                <w:color w:val="auto"/>
                <w:sz w:val="24"/>
                <w:szCs w:val="24"/>
                <w:lang w:val="en-US" w:eastAsia="zh-CN"/>
              </w:rPr>
              <w:t>投标报价得分=（评标基准价／最后投标报价）×30%×100</w:t>
            </w:r>
          </w:p>
        </w:tc>
      </w:tr>
    </w:tbl>
    <w:p w14:paraId="028D7555">
      <w:pPr>
        <w:autoSpaceDE w:val="0"/>
        <w:autoSpaceDN w:val="0"/>
        <w:jc w:val="center"/>
        <w:rPr>
          <w:rFonts w:hint="eastAsia" w:ascii="仿宋" w:hAnsi="仿宋" w:eastAsia="仿宋" w:cs="仿宋"/>
          <w:b/>
          <w:bCs/>
          <w:color w:val="auto"/>
          <w:kern w:val="0"/>
          <w:sz w:val="24"/>
          <w:szCs w:val="24"/>
          <w:highlight w:val="none"/>
          <w:lang w:val="en-US" w:bidi="zh-CN"/>
        </w:rPr>
      </w:pPr>
    </w:p>
    <w:p w14:paraId="22A2EDD4">
      <w:pPr>
        <w:autoSpaceDE w:val="0"/>
        <w:autoSpaceDN w:val="0"/>
        <w:jc w:val="center"/>
        <w:rPr>
          <w:rFonts w:hint="eastAsia" w:ascii="仿宋" w:hAnsi="仿宋" w:eastAsia="仿宋" w:cs="仿宋"/>
          <w:b/>
          <w:bCs/>
          <w:color w:val="auto"/>
          <w:kern w:val="0"/>
          <w:sz w:val="24"/>
          <w:szCs w:val="24"/>
          <w:highlight w:val="none"/>
          <w:lang w:val="zh-CN" w:bidi="zh-CN"/>
        </w:rPr>
      </w:pPr>
      <w:r>
        <w:rPr>
          <w:rFonts w:hint="eastAsia" w:ascii="仿宋" w:hAnsi="仿宋" w:eastAsia="仿宋" w:cs="仿宋"/>
          <w:b/>
          <w:bCs/>
          <w:color w:val="auto"/>
          <w:kern w:val="0"/>
          <w:sz w:val="24"/>
          <w:szCs w:val="24"/>
          <w:highlight w:val="none"/>
          <w:lang w:val="en-US" w:bidi="zh-CN"/>
        </w:rPr>
        <w:t>商务评分表（10分）</w:t>
      </w:r>
    </w:p>
    <w:tbl>
      <w:tblPr>
        <w:tblStyle w:val="1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940"/>
        <w:gridCol w:w="753"/>
        <w:gridCol w:w="7379"/>
      </w:tblGrid>
      <w:tr w14:paraId="05C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238FEDE8">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序号</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8D899B0">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0"/>
                <w:sz w:val="24"/>
                <w:szCs w:val="24"/>
                <w:highlight w:val="none"/>
                <w:lang w:val="en-US" w:bidi="ar-SA"/>
              </w:rPr>
              <w:t>评审内容</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3FE53E25">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分值</w:t>
            </w:r>
          </w:p>
        </w:tc>
        <w:tc>
          <w:tcPr>
            <w:tcW w:w="7379" w:type="dxa"/>
            <w:tcBorders>
              <w:top w:val="single" w:color="auto" w:sz="4" w:space="0"/>
              <w:left w:val="single" w:color="auto" w:sz="4" w:space="0"/>
              <w:bottom w:val="single" w:color="auto" w:sz="4" w:space="0"/>
              <w:right w:val="single" w:color="auto" w:sz="4" w:space="0"/>
            </w:tcBorders>
            <w:noWrap w:val="0"/>
            <w:vAlign w:val="center"/>
          </w:tcPr>
          <w:p w14:paraId="384B7024">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评审细则</w:t>
            </w:r>
          </w:p>
        </w:tc>
      </w:tr>
      <w:tr w14:paraId="132B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blHeade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C2F63DD">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66E358BD">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业绩</w:t>
            </w:r>
          </w:p>
          <w:p w14:paraId="70EE4C75">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证明</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3CA4BC88">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vertAlign w:val="baseline"/>
                <w:lang w:val="en-US" w:eastAsia="zh-CN"/>
              </w:rPr>
              <w:t>10分</w:t>
            </w:r>
          </w:p>
        </w:tc>
        <w:tc>
          <w:tcPr>
            <w:tcW w:w="7379" w:type="dxa"/>
            <w:tcBorders>
              <w:top w:val="single" w:color="auto" w:sz="4" w:space="0"/>
              <w:left w:val="single" w:color="auto" w:sz="4" w:space="0"/>
              <w:bottom w:val="single" w:color="auto" w:sz="4" w:space="0"/>
              <w:right w:val="single" w:color="auto" w:sz="4" w:space="0"/>
            </w:tcBorders>
            <w:noWrap w:val="0"/>
            <w:vAlign w:val="top"/>
          </w:tcPr>
          <w:p w14:paraId="48D08BFE">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rightChars="0"/>
              <w:jc w:val="both"/>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投标人2023年1月1日至今完成的类似项目业绩，每提供一项业绩得2分，本项最高得 10 分。</w:t>
            </w:r>
            <w:r>
              <w:rPr>
                <w:rFonts w:hint="eastAsia" w:ascii="仿宋" w:hAnsi="仿宋" w:eastAsia="仿宋" w:cs="仿宋"/>
                <w:color w:val="auto"/>
                <w:kern w:val="0"/>
                <w:sz w:val="24"/>
                <w:szCs w:val="24"/>
                <w:highlight w:val="none"/>
                <w:lang w:val="en-US" w:eastAsia="zh-CN" w:bidi="zh-CN"/>
              </w:rPr>
              <w:br w:type="textWrapping"/>
            </w:r>
            <w:r>
              <w:rPr>
                <w:rFonts w:hint="eastAsia" w:ascii="仿宋" w:hAnsi="仿宋" w:eastAsia="仿宋" w:cs="仿宋"/>
                <w:color w:val="auto"/>
                <w:kern w:val="0"/>
                <w:sz w:val="22"/>
                <w:szCs w:val="22"/>
                <w:highlight w:val="none"/>
                <w:lang w:val="en-US" w:eastAsia="zh-CN" w:bidi="zh-CN"/>
              </w:rPr>
              <w:t>（附合同或中标通知书复印件，合同至少包括合同首页、合同内容描述页、合同盖章页等合同关键页复印件并加盖投标人公章。未按上述要求提供佐证材料或佐证材料不清晰无法辨识内容的本项不得分）</w:t>
            </w:r>
          </w:p>
        </w:tc>
      </w:tr>
      <w:tr w14:paraId="2086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blHeader/>
          <w:jc w:val="center"/>
        </w:trPr>
        <w:tc>
          <w:tcPr>
            <w:tcW w:w="1727" w:type="dxa"/>
            <w:gridSpan w:val="2"/>
            <w:tcBorders>
              <w:top w:val="single" w:color="auto" w:sz="4" w:space="0"/>
              <w:left w:val="single" w:color="auto" w:sz="4" w:space="0"/>
              <w:bottom w:val="single" w:color="auto" w:sz="4" w:space="0"/>
              <w:right w:val="single" w:color="auto" w:sz="4" w:space="0"/>
            </w:tcBorders>
            <w:noWrap w:val="0"/>
            <w:vAlign w:val="center"/>
          </w:tcPr>
          <w:p w14:paraId="6E69943E">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合计</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5184F002">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en-US" w:bidi="ar-SA"/>
              </w:rPr>
              <w:t>分</w:t>
            </w:r>
          </w:p>
        </w:tc>
        <w:tc>
          <w:tcPr>
            <w:tcW w:w="7379" w:type="dxa"/>
            <w:tcBorders>
              <w:top w:val="single" w:color="auto" w:sz="4" w:space="0"/>
              <w:left w:val="single" w:color="auto" w:sz="4" w:space="0"/>
              <w:bottom w:val="single" w:color="auto" w:sz="4" w:space="0"/>
              <w:right w:val="single" w:color="auto" w:sz="4" w:space="0"/>
            </w:tcBorders>
            <w:noWrap w:val="0"/>
            <w:vAlign w:val="center"/>
          </w:tcPr>
          <w:p w14:paraId="0381217A">
            <w:pPr>
              <w:keepNext w:val="0"/>
              <w:keepLines w:val="0"/>
              <w:widowControl/>
              <w:suppressLineNumbers w:val="0"/>
              <w:autoSpaceDE w:val="0"/>
              <w:autoSpaceDN w:val="0"/>
              <w:spacing w:before="0" w:beforeAutospacing="0" w:after="0" w:afterAutospacing="0"/>
              <w:ind w:left="0" w:right="0"/>
              <w:jc w:val="both"/>
              <w:rPr>
                <w:rFonts w:hint="eastAsia" w:ascii="仿宋" w:hAnsi="仿宋" w:eastAsia="仿宋" w:cs="仿宋"/>
                <w:color w:val="auto"/>
                <w:kern w:val="0"/>
                <w:sz w:val="24"/>
                <w:szCs w:val="24"/>
                <w:highlight w:val="none"/>
                <w:lang w:val="en-US" w:bidi="zh-CN"/>
              </w:rPr>
            </w:pPr>
          </w:p>
        </w:tc>
      </w:tr>
    </w:tbl>
    <w:p w14:paraId="3F73EB8C">
      <w:pPr>
        <w:autoSpaceDE w:val="0"/>
        <w:autoSpaceDN w:val="0"/>
        <w:jc w:val="center"/>
        <w:rPr>
          <w:rFonts w:hint="eastAsia" w:ascii="仿宋" w:hAnsi="仿宋" w:eastAsia="仿宋" w:cs="仿宋"/>
          <w:b/>
          <w:bCs/>
          <w:color w:val="auto"/>
          <w:kern w:val="0"/>
          <w:sz w:val="24"/>
          <w:szCs w:val="24"/>
          <w:highlight w:val="none"/>
          <w:lang w:val="en-US" w:bidi="ar-SA"/>
        </w:rPr>
      </w:pPr>
    </w:p>
    <w:p w14:paraId="4D4B3759">
      <w:pPr>
        <w:rPr>
          <w:rFonts w:hint="eastAsia" w:ascii="仿宋" w:hAnsi="仿宋" w:eastAsia="仿宋" w:cs="仿宋"/>
          <w:b/>
          <w:bCs/>
          <w:color w:val="auto"/>
          <w:kern w:val="0"/>
          <w:sz w:val="24"/>
          <w:szCs w:val="24"/>
          <w:highlight w:val="none"/>
          <w:lang w:val="en-US" w:bidi="ar-SA"/>
        </w:rPr>
      </w:pPr>
      <w:r>
        <w:rPr>
          <w:rFonts w:hint="eastAsia" w:ascii="仿宋" w:hAnsi="仿宋" w:eastAsia="仿宋" w:cs="仿宋"/>
          <w:b/>
          <w:bCs/>
          <w:color w:val="auto"/>
          <w:kern w:val="0"/>
          <w:sz w:val="24"/>
          <w:szCs w:val="24"/>
          <w:highlight w:val="none"/>
          <w:lang w:val="en-US" w:bidi="ar-SA"/>
        </w:rPr>
        <w:br w:type="page"/>
      </w:r>
    </w:p>
    <w:p w14:paraId="294E189C">
      <w:pPr>
        <w:autoSpaceDE w:val="0"/>
        <w:autoSpaceDN w:val="0"/>
        <w:jc w:val="center"/>
        <w:rPr>
          <w:rFonts w:hint="eastAsia" w:ascii="仿宋" w:hAnsi="仿宋" w:eastAsia="仿宋" w:cs="仿宋"/>
          <w:b/>
          <w:bCs/>
          <w:color w:val="auto"/>
          <w:kern w:val="0"/>
          <w:sz w:val="28"/>
          <w:szCs w:val="28"/>
          <w:highlight w:val="none"/>
          <w:lang w:val="en-US" w:bidi="ar-SA"/>
        </w:rPr>
      </w:pPr>
      <w:r>
        <w:rPr>
          <w:rFonts w:hint="eastAsia" w:ascii="仿宋" w:hAnsi="仿宋" w:eastAsia="仿宋" w:cs="仿宋"/>
          <w:b/>
          <w:bCs/>
          <w:color w:val="auto"/>
          <w:kern w:val="0"/>
          <w:sz w:val="28"/>
          <w:szCs w:val="28"/>
          <w:highlight w:val="none"/>
          <w:lang w:val="en-US" w:bidi="ar-SA"/>
        </w:rPr>
        <w:t>技术评分表（</w:t>
      </w:r>
      <w:r>
        <w:rPr>
          <w:rFonts w:hint="eastAsia" w:ascii="仿宋" w:hAnsi="仿宋" w:eastAsia="仿宋" w:cs="仿宋"/>
          <w:b/>
          <w:bCs/>
          <w:color w:val="auto"/>
          <w:kern w:val="0"/>
          <w:sz w:val="28"/>
          <w:szCs w:val="28"/>
          <w:highlight w:val="none"/>
          <w:lang w:val="en-US" w:eastAsia="zh-CN" w:bidi="ar-SA"/>
        </w:rPr>
        <w:t>60</w:t>
      </w:r>
      <w:r>
        <w:rPr>
          <w:rFonts w:hint="eastAsia" w:ascii="仿宋" w:hAnsi="仿宋" w:eastAsia="仿宋" w:cs="仿宋"/>
          <w:b/>
          <w:bCs/>
          <w:color w:val="auto"/>
          <w:kern w:val="0"/>
          <w:sz w:val="28"/>
          <w:szCs w:val="28"/>
          <w:highlight w:val="none"/>
          <w:lang w:val="en-US" w:bidi="ar-SA"/>
        </w:rPr>
        <w:t>分）</w:t>
      </w:r>
    </w:p>
    <w:p w14:paraId="3028EB5B">
      <w:pPr>
        <w:pStyle w:val="7"/>
        <w:rPr>
          <w:rFonts w:hint="eastAsia" w:ascii="仿宋" w:hAnsi="仿宋" w:eastAsia="仿宋" w:cs="仿宋"/>
          <w:color w:val="auto"/>
          <w:sz w:val="24"/>
          <w:szCs w:val="24"/>
          <w:lang w:val="zh-CN"/>
        </w:rPr>
      </w:pPr>
    </w:p>
    <w:tbl>
      <w:tblPr>
        <w:tblStyle w:val="19"/>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736"/>
        <w:gridCol w:w="834"/>
        <w:gridCol w:w="7871"/>
      </w:tblGrid>
      <w:tr w14:paraId="2902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249305FE">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序号</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2167070">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0"/>
                <w:sz w:val="24"/>
                <w:szCs w:val="24"/>
                <w:highlight w:val="none"/>
                <w:lang w:val="en-US" w:bidi="ar-SA"/>
              </w:rPr>
            </w:pPr>
            <w:r>
              <w:rPr>
                <w:rFonts w:hint="eastAsia" w:ascii="仿宋" w:hAnsi="仿宋" w:eastAsia="仿宋" w:cs="仿宋"/>
                <w:b/>
                <w:bCs/>
                <w:color w:val="auto"/>
                <w:kern w:val="0"/>
                <w:sz w:val="24"/>
                <w:szCs w:val="24"/>
                <w:highlight w:val="none"/>
                <w:lang w:val="en-US" w:bidi="ar-SA"/>
              </w:rPr>
              <w:t>评审</w:t>
            </w:r>
          </w:p>
          <w:p w14:paraId="2E936163">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0"/>
                <w:sz w:val="24"/>
                <w:szCs w:val="24"/>
                <w:highlight w:val="none"/>
                <w:lang w:val="en-US" w:bidi="ar-SA"/>
              </w:rPr>
              <w:t>内容</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73EA8F4">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分值</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4A6D675F">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评审细则</w:t>
            </w:r>
          </w:p>
        </w:tc>
      </w:tr>
      <w:tr w14:paraId="29C2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7B8E930A">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35892F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bidi="zh-CN"/>
              </w:rPr>
            </w:pPr>
            <w:r>
              <w:rPr>
                <w:rFonts w:hint="eastAsia" w:ascii="仿宋" w:hAnsi="仿宋" w:eastAsia="仿宋" w:cs="仿宋"/>
                <w:color w:val="auto"/>
                <w:kern w:val="0"/>
                <w:sz w:val="24"/>
                <w:szCs w:val="24"/>
                <w:highlight w:val="none"/>
                <w:lang w:val="en-US" w:bidi="zh-CN"/>
              </w:rPr>
              <w:t>技术参数响应</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8C7C22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70C5D1B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标注“★”的为核心重要技术参数，未标注的为一般参数，根据投标人提供的产品配置及技术性能指标的响应情况进行评审。</w:t>
            </w:r>
          </w:p>
          <w:p w14:paraId="4CAF810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1.投标人所投产品技术参数完全响应招标文件要求的，得30分；</w:t>
            </w:r>
          </w:p>
          <w:p w14:paraId="59AC03B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2.标注“★”的核心重要技术参数存在负偏离的（7条），此项不得分；</w:t>
            </w:r>
          </w:p>
          <w:p w14:paraId="282F26F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3.一般技术参数存在负偏离的，每一条扣 0.5 分</w:t>
            </w:r>
            <w:r>
              <w:rPr>
                <w:rFonts w:hint="eastAsia" w:ascii="仿宋" w:hAnsi="仿宋" w:eastAsia="仿宋" w:cs="仿宋"/>
                <w:i w:val="0"/>
                <w:iCs w:val="0"/>
                <w:color w:val="auto"/>
                <w:kern w:val="0"/>
                <w:sz w:val="24"/>
                <w:szCs w:val="24"/>
                <w:highlight w:val="none"/>
                <w:u w:val="none"/>
                <w:lang w:val="en-US" w:eastAsia="zh-CN" w:bidi="ar"/>
              </w:rPr>
              <w:t>，扣完为止。</w:t>
            </w:r>
          </w:p>
          <w:p w14:paraId="4B0E51AF">
            <w:pPr>
              <w:pStyle w:val="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注：负偏离评审依据：①所提供产品技术参数低于招标文件要</w:t>
            </w:r>
            <w:r>
              <w:rPr>
                <w:rFonts w:hint="eastAsia" w:ascii="仿宋" w:hAnsi="仿宋" w:eastAsia="仿宋" w:cs="仿宋"/>
                <w:i w:val="0"/>
                <w:iCs w:val="0"/>
                <w:color w:val="000000"/>
                <w:kern w:val="0"/>
                <w:sz w:val="24"/>
                <w:szCs w:val="24"/>
                <w:highlight w:val="none"/>
                <w:u w:val="none"/>
                <w:lang w:val="en-US" w:eastAsia="zh-CN" w:bidi="ar"/>
              </w:rPr>
              <w:t>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r>
      <w:tr w14:paraId="3427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4"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2F1DD44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F91E5F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项目实施方案</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B28D84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10分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50BEECCD">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投标人根据项目特点制定整体实施方案，方案内容符合采购需求，包括但不限于交货期保障方案、配送方案、项目进度安排方案、测试验收方案、应急保障方案等：</w:t>
            </w:r>
            <w:bookmarkStart w:id="38" w:name="_GoBack"/>
            <w:bookmarkEnd w:id="38"/>
          </w:p>
          <w:p w14:paraId="5BBA12B0">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cs="仿宋"/>
                <w:color w:val="auto"/>
                <w:sz w:val="24"/>
                <w:szCs w:val="24"/>
                <w:lang w:val="en-US" w:eastAsia="zh-CN"/>
              </w:rPr>
              <w:t>.</w:t>
            </w:r>
            <w:r>
              <w:rPr>
                <w:rFonts w:hint="eastAsia" w:ascii="仿宋" w:hAnsi="仿宋" w:eastAsia="仿宋" w:cs="仿宋"/>
                <w:color w:val="auto"/>
                <w:sz w:val="24"/>
                <w:szCs w:val="24"/>
                <w:lang w:val="en-US" w:eastAsia="zh-CN"/>
              </w:rPr>
              <w:t>方案内容科学</w:t>
            </w:r>
            <w:r>
              <w:rPr>
                <w:rFonts w:hint="eastAsia" w:cs="仿宋"/>
                <w:color w:val="auto"/>
                <w:sz w:val="24"/>
                <w:szCs w:val="24"/>
                <w:lang w:val="en-US" w:eastAsia="zh-CN"/>
              </w:rPr>
              <w:t>详细</w:t>
            </w:r>
            <w:r>
              <w:rPr>
                <w:rFonts w:hint="eastAsia" w:ascii="仿宋" w:hAnsi="仿宋" w:eastAsia="仿宋" w:cs="仿宋"/>
                <w:color w:val="auto"/>
                <w:sz w:val="24"/>
                <w:szCs w:val="24"/>
                <w:lang w:val="en-US" w:eastAsia="zh-CN"/>
              </w:rPr>
              <w:t>，完整严谨，具有针对性、可实施性强的得 1</w:t>
            </w:r>
            <w:r>
              <w:rPr>
                <w:rFonts w:hint="eastAsia" w:cs="仿宋"/>
                <w:color w:val="auto"/>
                <w:sz w:val="24"/>
                <w:szCs w:val="24"/>
                <w:lang w:val="en-US" w:eastAsia="zh-CN"/>
              </w:rPr>
              <w:t>0</w:t>
            </w:r>
            <w:r>
              <w:rPr>
                <w:rFonts w:hint="eastAsia" w:ascii="仿宋" w:hAnsi="仿宋" w:eastAsia="仿宋" w:cs="仿宋"/>
                <w:color w:val="auto"/>
                <w:sz w:val="24"/>
                <w:szCs w:val="24"/>
                <w:lang w:val="en-US" w:eastAsia="zh-CN"/>
              </w:rPr>
              <w:t xml:space="preserve"> 分；</w:t>
            </w:r>
          </w:p>
          <w:p w14:paraId="48B06562">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cs="仿宋"/>
                <w:color w:val="auto"/>
                <w:sz w:val="24"/>
                <w:szCs w:val="24"/>
                <w:lang w:val="en-US" w:eastAsia="zh-CN"/>
              </w:rPr>
              <w:t>.</w:t>
            </w:r>
            <w:r>
              <w:rPr>
                <w:rFonts w:hint="eastAsia" w:ascii="仿宋" w:hAnsi="仿宋" w:eastAsia="仿宋" w:cs="仿宋"/>
                <w:color w:val="auto"/>
                <w:sz w:val="24"/>
                <w:szCs w:val="24"/>
                <w:lang w:val="en-US" w:eastAsia="zh-CN"/>
              </w:rPr>
              <w:t>方案内容较</w:t>
            </w:r>
            <w:r>
              <w:rPr>
                <w:rFonts w:hint="eastAsia" w:cs="仿宋"/>
                <w:color w:val="auto"/>
                <w:sz w:val="24"/>
                <w:szCs w:val="24"/>
                <w:lang w:val="en-US" w:eastAsia="zh-CN"/>
              </w:rPr>
              <w:t>详细</w:t>
            </w:r>
            <w:r>
              <w:rPr>
                <w:rFonts w:hint="eastAsia" w:ascii="仿宋" w:hAnsi="仿宋" w:eastAsia="仿宋" w:cs="仿宋"/>
                <w:color w:val="auto"/>
                <w:sz w:val="24"/>
                <w:szCs w:val="24"/>
                <w:lang w:val="en-US" w:eastAsia="zh-CN"/>
              </w:rPr>
              <w:t xml:space="preserve">，基本符合采购需求，可实施性一般的得 </w:t>
            </w:r>
            <w:r>
              <w:rPr>
                <w:rFonts w:hint="eastAsia" w:cs="仿宋"/>
                <w:color w:val="auto"/>
                <w:sz w:val="24"/>
                <w:szCs w:val="24"/>
                <w:lang w:val="en-US" w:eastAsia="zh-CN"/>
              </w:rPr>
              <w:t>7</w:t>
            </w:r>
            <w:r>
              <w:rPr>
                <w:rFonts w:hint="eastAsia" w:ascii="仿宋" w:hAnsi="仿宋" w:eastAsia="仿宋" w:cs="仿宋"/>
                <w:color w:val="auto"/>
                <w:sz w:val="24"/>
                <w:szCs w:val="24"/>
                <w:lang w:val="en-US" w:eastAsia="zh-CN"/>
              </w:rPr>
              <w:t xml:space="preserve"> 分；</w:t>
            </w:r>
          </w:p>
          <w:p w14:paraId="75D4D31E">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cs="仿宋"/>
                <w:color w:val="auto"/>
                <w:sz w:val="24"/>
                <w:szCs w:val="24"/>
                <w:lang w:val="en-US" w:eastAsia="zh-CN"/>
              </w:rPr>
              <w:t>.</w:t>
            </w:r>
            <w:r>
              <w:rPr>
                <w:rFonts w:hint="eastAsia" w:ascii="仿宋" w:hAnsi="仿宋" w:eastAsia="仿宋" w:cs="仿宋"/>
                <w:color w:val="auto"/>
                <w:sz w:val="24"/>
                <w:szCs w:val="24"/>
                <w:lang w:val="en-US" w:eastAsia="zh-CN"/>
              </w:rPr>
              <w:t>内容简单，不太</w:t>
            </w:r>
            <w:r>
              <w:rPr>
                <w:rFonts w:hint="eastAsia" w:cs="仿宋"/>
                <w:color w:val="auto"/>
                <w:sz w:val="24"/>
                <w:szCs w:val="24"/>
                <w:lang w:val="en-US" w:eastAsia="zh-CN"/>
              </w:rPr>
              <w:t>适用</w:t>
            </w:r>
            <w:r>
              <w:rPr>
                <w:rFonts w:hint="eastAsia" w:ascii="仿宋" w:hAnsi="仿宋" w:eastAsia="仿宋" w:cs="仿宋"/>
                <w:color w:val="auto"/>
                <w:sz w:val="24"/>
                <w:szCs w:val="24"/>
                <w:lang w:val="en-US" w:eastAsia="zh-CN"/>
              </w:rPr>
              <w:t xml:space="preserve">本项目，可实施性较差的得 </w:t>
            </w:r>
            <w:r>
              <w:rPr>
                <w:rFonts w:hint="eastAsia" w:cs="仿宋"/>
                <w:color w:val="auto"/>
                <w:sz w:val="24"/>
                <w:szCs w:val="24"/>
                <w:lang w:val="en-US" w:eastAsia="zh-CN"/>
              </w:rPr>
              <w:t>4</w:t>
            </w:r>
            <w:r>
              <w:rPr>
                <w:rFonts w:hint="eastAsia" w:ascii="仿宋" w:hAnsi="仿宋" w:eastAsia="仿宋" w:cs="仿宋"/>
                <w:color w:val="auto"/>
                <w:sz w:val="24"/>
                <w:szCs w:val="24"/>
                <w:lang w:val="en-US" w:eastAsia="zh-CN"/>
              </w:rPr>
              <w:t xml:space="preserve"> 分；</w:t>
            </w:r>
          </w:p>
          <w:p w14:paraId="1AF4A8D0">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cs="仿宋"/>
                <w:color w:val="auto"/>
                <w:sz w:val="24"/>
                <w:szCs w:val="24"/>
                <w:lang w:val="en-US" w:eastAsia="zh-CN"/>
              </w:rPr>
              <w:t>.</w:t>
            </w:r>
            <w:r>
              <w:rPr>
                <w:rFonts w:hint="eastAsia" w:ascii="仿宋" w:hAnsi="仿宋" w:eastAsia="仿宋" w:cs="仿宋"/>
                <w:color w:val="auto"/>
                <w:sz w:val="24"/>
                <w:szCs w:val="24"/>
                <w:lang w:val="en-US" w:eastAsia="zh-CN"/>
              </w:rPr>
              <w:t>方案存在明显缺陷或未提供的不得分。</w:t>
            </w:r>
          </w:p>
        </w:tc>
      </w:tr>
      <w:tr w14:paraId="68EC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62DF15DC">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3</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784FE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lang w:val="en-US" w:eastAsia="zh-CN" w:bidi="zh-CN"/>
              </w:rPr>
            </w:pPr>
            <w:r>
              <w:rPr>
                <w:rFonts w:hint="eastAsia" w:ascii="仿宋" w:hAnsi="仿宋" w:eastAsia="仿宋" w:cs="仿宋"/>
                <w:i w:val="0"/>
                <w:iCs w:val="0"/>
                <w:color w:val="auto"/>
                <w:kern w:val="0"/>
                <w:sz w:val="24"/>
                <w:szCs w:val="24"/>
                <w:u w:val="none"/>
                <w:lang w:val="en-US" w:eastAsia="zh-CN" w:bidi="ar"/>
              </w:rPr>
              <w:t>培训方案</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3600162">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37C7DAD1">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培训方案（内容包括重要货物产品的技术原理、使用方法、注意事项、设备维护等），内容完整、科学合理，得 8 分，存在缺陷不足或漏洞的，每有一项扣 1 分，扣完为止。</w:t>
            </w:r>
          </w:p>
          <w:p w14:paraId="468E787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说明：本评审内容中“存在缺陷或漏洞不利于项目实施的”是指：存在不适用本项目实际情况、内容不完整或缺少关键节点、前后矛盾、涉及的规范及标准错误不可能实现的情形等任意一种情形。</w:t>
            </w:r>
          </w:p>
        </w:tc>
      </w:tr>
      <w:tr w14:paraId="2FA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4343F6CB">
            <w:pPr>
              <w:keepNext w:val="0"/>
              <w:keepLines w:val="0"/>
              <w:widowControl/>
              <w:suppressLineNumbers w:val="0"/>
              <w:autoSpaceDE w:val="0"/>
              <w:autoSpaceDN w:val="0"/>
              <w:adjustRightInd w:val="0"/>
              <w:spacing w:before="0" w:beforeAutospacing="0" w:after="0" w:afterAutospacing="0"/>
              <w:ind w:left="0" w:right="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DEA31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售后服务</w:t>
            </w:r>
          </w:p>
          <w:p w14:paraId="6F429E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1CABE4F">
            <w:pPr>
              <w:keepNext w:val="0"/>
              <w:keepLines w:val="0"/>
              <w:widowControl/>
              <w:suppressLineNumbers w:val="0"/>
              <w:autoSpaceDE w:val="0"/>
              <w:autoSpaceDN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5FFB340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就投标单位提供的售后服务方案（包括但不限于①设有售后服务机构，能够保证长期稳定的售后服务②售后保障措施③应急响应时间及售后人员配置④备品备件及质保服务等情况进行评价：</w:t>
            </w:r>
          </w:p>
          <w:p w14:paraId="0BFC370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1.提供的售后服务方案叙述完善详细全面、方案合理性强实操性强，得 6 分；</w:t>
            </w:r>
          </w:p>
          <w:p w14:paraId="773D46B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2.提供的售后服务方案详细叙述比较完善、方案较合理、实操性好，得 4 分；</w:t>
            </w:r>
          </w:p>
          <w:p w14:paraId="43E7D87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3.提供的售后服务方案叙述基本合理，实操性一般，得 2 分；</w:t>
            </w:r>
          </w:p>
          <w:p w14:paraId="0755936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4.未提供任何方案材料的不得分。</w:t>
            </w:r>
          </w:p>
        </w:tc>
      </w:tr>
      <w:tr w14:paraId="48C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6"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735ED9A4">
            <w:pPr>
              <w:keepNext w:val="0"/>
              <w:keepLines w:val="0"/>
              <w:widowControl/>
              <w:suppressLineNumbers w:val="0"/>
              <w:autoSpaceDE w:val="0"/>
              <w:autoSpaceDN w:val="0"/>
              <w:adjustRightInd w:val="0"/>
              <w:spacing w:before="0" w:beforeAutospacing="0" w:after="0" w:afterAutospacing="0"/>
              <w:ind w:left="0" w:right="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5FF39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视频演示</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C1EA2D4">
            <w:pPr>
              <w:keepNext w:val="0"/>
              <w:keepLines w:val="0"/>
              <w:widowControl/>
              <w:suppressLineNumbers w:val="0"/>
              <w:autoSpaceDE w:val="0"/>
              <w:autoSpaceDN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1EDCC18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演示内容：</w:t>
            </w:r>
          </w:p>
          <w:p w14:paraId="0F61313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①传感器可直接镶嵌在智能数字实验盘上，无需数据线连接，智能数字实验盘内置传感器可与外接传感器同时采集，同时采集数量不少于12个。②采集器可通过有线、无线两种方式连接终端设备。连接终端设备使用时，最大采样速率不低于100,000次/秒。③智能数字实验盘可不使用终端设备，独立进行实验采集，可完成对传感器的校准、标定等设置，支持图像、表格两种数据记录方式，支持对采集频率、采集时间进行独立设置。④智能数字实验盘独立使用，以图像形式记录数据时，x轴、y轴均可自由选择传感器，且y轴支持左、右两个y轴独立设置传感器；可对图像进行缩放，镜像翻转。⑤智能数字实验盘独立使用，以表格形式记录数据时，支持显示最大值、最小值、差值等统计结果。⑥智能数字实验盘独立使用，支持多个传感器同屏显示，并可以从传感器显示界面直接点击跳转实验采集页面。</w:t>
            </w:r>
          </w:p>
          <w:p w14:paraId="4E29E4F2">
            <w:pPr>
              <w:pStyle w:val="7"/>
              <w:keepNext w:val="0"/>
              <w:keepLines w:val="0"/>
              <w:widowControl/>
              <w:suppressLineNumbers w:val="0"/>
              <w:spacing w:before="0" w:beforeAutospacing="0" w:after="0" w:afterAutospacing="0"/>
              <w:ind w:left="0" w:right="0"/>
              <w:jc w:val="both"/>
              <w:rPr>
                <w:rFonts w:hint="eastAsia"/>
                <w:b/>
                <w:bCs/>
                <w:color w:val="auto"/>
                <w:sz w:val="24"/>
                <w:szCs w:val="24"/>
                <w:lang w:val="en-US" w:eastAsia="zh-CN"/>
              </w:rPr>
            </w:pPr>
            <w:r>
              <w:rPr>
                <w:rFonts w:hint="eastAsia"/>
                <w:b/>
                <w:bCs/>
                <w:color w:val="auto"/>
                <w:sz w:val="24"/>
                <w:szCs w:val="24"/>
                <w:lang w:val="en-US" w:eastAsia="zh-CN"/>
              </w:rPr>
              <w:t>投标单位按序号内容逐条演示，演示时间不超过3分钟，全部满足视频演示内容要求和时间的且视频演示清楚、真实、质量高的得 6 分；缺一项内容或演示不清楚的扣 1 分，扣完为止；演示与本项目无关或未提供的不得分。</w:t>
            </w:r>
          </w:p>
          <w:p w14:paraId="11159611">
            <w:pPr>
              <w:pStyle w:val="7"/>
              <w:keepNext w:val="0"/>
              <w:keepLines w:val="0"/>
              <w:widowControl/>
              <w:suppressLineNumbers w:val="0"/>
              <w:spacing w:before="0" w:beforeAutospacing="0" w:after="0" w:afterAutospacing="0"/>
              <w:ind w:left="0" w:right="0"/>
              <w:jc w:val="both"/>
              <w:rPr>
                <w:rFonts w:hint="eastAsia"/>
                <w:color w:val="auto"/>
                <w:lang w:val="en-US" w:eastAsia="zh-CN"/>
              </w:rPr>
            </w:pPr>
            <w:r>
              <w:rPr>
                <w:rFonts w:hint="eastAsia"/>
                <w:b/>
                <w:bCs/>
                <w:color w:val="auto"/>
                <w:sz w:val="24"/>
                <w:szCs w:val="24"/>
                <w:lang w:val="en-US" w:eastAsia="zh-CN"/>
              </w:rPr>
              <w:t>注：开标当天通过资格和符合性审查的投标单位才能通过腾讯会议进行远程投屏演示，代理公司现场开启腾讯会议，各投标单位按要求在等候区等候，按文件解密顺序依此邀请投标单位进入会议室进行演示。投标人须提前做好相关准备工作，视频中所演示内容必须使用真实设备及软件系统进行操作，提前录制好演示视频，开标当天直接播放，使用PPT进行演示不得分。</w:t>
            </w:r>
          </w:p>
        </w:tc>
      </w:tr>
      <w:tr w14:paraId="032B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blHeader/>
          <w:jc w:val="center"/>
        </w:trPr>
        <w:tc>
          <w:tcPr>
            <w:tcW w:w="1136" w:type="dxa"/>
            <w:gridSpan w:val="2"/>
            <w:tcBorders>
              <w:top w:val="single" w:color="auto" w:sz="4" w:space="0"/>
              <w:left w:val="single" w:color="auto" w:sz="4" w:space="0"/>
              <w:bottom w:val="single" w:color="auto" w:sz="4" w:space="0"/>
              <w:right w:val="single" w:color="auto" w:sz="4" w:space="0"/>
            </w:tcBorders>
            <w:noWrap w:val="0"/>
            <w:vAlign w:val="center"/>
          </w:tcPr>
          <w:p w14:paraId="3262FD89">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rPr>
              <w:t>合计</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44080BA">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60</w:t>
            </w:r>
            <w:r>
              <w:rPr>
                <w:rFonts w:hint="eastAsia" w:ascii="仿宋" w:hAnsi="仿宋" w:eastAsia="仿宋" w:cs="仿宋"/>
                <w:color w:val="auto"/>
                <w:kern w:val="0"/>
                <w:sz w:val="24"/>
                <w:szCs w:val="24"/>
                <w:highlight w:val="none"/>
                <w:lang w:val="en-US"/>
              </w:rPr>
              <w:t>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080F2629">
            <w:pPr>
              <w:keepNext w:val="0"/>
              <w:keepLines w:val="0"/>
              <w:widowControl/>
              <w:suppressLineNumbers w:val="0"/>
              <w:autoSpaceDE w:val="0"/>
              <w:autoSpaceDN w:val="0"/>
              <w:spacing w:before="0" w:beforeAutospacing="0" w:after="0" w:afterAutospacing="0"/>
              <w:ind w:left="0" w:right="0"/>
              <w:jc w:val="left"/>
              <w:rPr>
                <w:rFonts w:hint="eastAsia" w:ascii="仿宋" w:hAnsi="仿宋" w:eastAsia="仿宋" w:cs="仿宋"/>
                <w:color w:val="auto"/>
                <w:kern w:val="0"/>
                <w:sz w:val="24"/>
                <w:szCs w:val="24"/>
                <w:highlight w:val="none"/>
                <w:lang w:val="en-US"/>
              </w:rPr>
            </w:pPr>
          </w:p>
        </w:tc>
      </w:tr>
    </w:tbl>
    <w:p w14:paraId="4E390E75">
      <w:pPr>
        <w:shd w:val="clear" w:color="auto" w:fill="auto"/>
        <w:autoSpaceDE w:val="0"/>
        <w:autoSpaceDN w:val="0"/>
        <w:jc w:val="left"/>
        <w:rPr>
          <w:rFonts w:hint="eastAsia" w:ascii="仿宋" w:hAnsi="仿宋" w:eastAsia="仿宋" w:cs="仿宋"/>
          <w:b/>
          <w:bCs/>
          <w:color w:val="auto"/>
          <w:spacing w:val="0"/>
          <w:w w:val="100"/>
          <w:kern w:val="0"/>
          <w:position w:val="0"/>
          <w:sz w:val="24"/>
          <w:szCs w:val="24"/>
          <w:highlight w:val="none"/>
          <w:lang w:val="zh-CN" w:bidi="zh-CN"/>
        </w:rPr>
      </w:pPr>
    </w:p>
    <w:p w14:paraId="46DB243F">
      <w:pPr>
        <w:shd w:val="clear" w:color="auto" w:fill="auto"/>
        <w:autoSpaceDE w:val="0"/>
        <w:autoSpaceDN w:val="0"/>
        <w:jc w:val="left"/>
        <w:rPr>
          <w:rFonts w:hint="eastAsia" w:ascii="仿宋" w:hAnsi="仿宋" w:eastAsia="仿宋" w:cs="仿宋"/>
          <w:b/>
          <w:bCs/>
          <w:color w:val="auto"/>
          <w:spacing w:val="0"/>
          <w:w w:val="100"/>
          <w:kern w:val="0"/>
          <w:position w:val="0"/>
          <w:sz w:val="24"/>
          <w:szCs w:val="24"/>
          <w:highlight w:val="none"/>
          <w:lang w:val="zh-CN" w:bidi="zh-CN"/>
        </w:rPr>
      </w:pPr>
      <w:r>
        <w:rPr>
          <w:rFonts w:hint="eastAsia" w:ascii="仿宋" w:hAnsi="仿宋" w:eastAsia="仿宋" w:cs="仿宋"/>
          <w:b/>
          <w:bCs/>
          <w:color w:val="auto"/>
          <w:spacing w:val="0"/>
          <w:w w:val="100"/>
          <w:kern w:val="0"/>
          <w:position w:val="0"/>
          <w:sz w:val="24"/>
          <w:szCs w:val="24"/>
          <w:highlight w:val="none"/>
          <w:lang w:val="zh-CN" w:bidi="zh-CN"/>
        </w:rPr>
        <w:t>说明：所有认证、证明和业绩均以有效的复印件加盖公章。评分标准中所含的主观分部分由各评委独立评分，计分时取各评委评分的平均值为某个供应商的本项得分（保留2位小数）。评标结果保留两位小数。</w:t>
      </w:r>
    </w:p>
    <w:p w14:paraId="5EF1FABD">
      <w:pPr>
        <w:pStyle w:val="7"/>
        <w:spacing w:before="35" w:line="222" w:lineRule="auto"/>
        <w:ind w:left="101"/>
        <w:rPr>
          <w:b/>
          <w:bCs/>
          <w:spacing w:val="-4"/>
          <w:sz w:val="24"/>
          <w:szCs w:val="24"/>
        </w:rPr>
      </w:pPr>
    </w:p>
    <w:p w14:paraId="3E660ED1">
      <w:pPr>
        <w:pStyle w:val="7"/>
        <w:spacing w:before="35" w:line="222" w:lineRule="auto"/>
        <w:ind w:left="101"/>
        <w:rPr>
          <w:sz w:val="24"/>
          <w:szCs w:val="24"/>
        </w:rPr>
      </w:pPr>
      <w:r>
        <w:rPr>
          <w:b/>
          <w:bCs/>
          <w:spacing w:val="-4"/>
          <w:sz w:val="24"/>
          <w:szCs w:val="24"/>
        </w:rPr>
        <w:t>（三）变更采购方式后采用的评标方法</w:t>
      </w:r>
    </w:p>
    <w:p w14:paraId="4A03F56C">
      <w:pPr>
        <w:pStyle w:val="7"/>
        <w:spacing w:before="179" w:line="358" w:lineRule="auto"/>
        <w:ind w:left="98" w:firstLine="478"/>
        <w:rPr>
          <w:sz w:val="24"/>
          <w:szCs w:val="24"/>
        </w:rPr>
      </w:pPr>
      <w:r>
        <w:rPr>
          <w:spacing w:val="1"/>
          <w:sz w:val="24"/>
          <w:szCs w:val="24"/>
        </w:rPr>
        <w:t>经同级政府采购监管部门审核批准由公开招标变更为竞争性投标或单一来源方式</w:t>
      </w:r>
      <w:r>
        <w:rPr>
          <w:sz w:val="24"/>
          <w:szCs w:val="24"/>
        </w:rPr>
        <w:t>采购</w:t>
      </w:r>
      <w:r>
        <w:rPr>
          <w:spacing w:val="-3"/>
          <w:sz w:val="24"/>
          <w:szCs w:val="24"/>
        </w:rPr>
        <w:t>后，原采用“综合评分法</w:t>
      </w:r>
      <w:r>
        <w:rPr>
          <w:spacing w:val="-72"/>
          <w:sz w:val="24"/>
          <w:szCs w:val="24"/>
        </w:rPr>
        <w:t xml:space="preserve"> </w:t>
      </w:r>
      <w:r>
        <w:rPr>
          <w:spacing w:val="-3"/>
          <w:sz w:val="24"/>
          <w:szCs w:val="24"/>
        </w:rPr>
        <w:t>”的项目将选择“最低评标价法</w:t>
      </w:r>
      <w:r>
        <w:rPr>
          <w:spacing w:val="-88"/>
          <w:sz w:val="24"/>
          <w:szCs w:val="24"/>
        </w:rPr>
        <w:t xml:space="preserve"> </w:t>
      </w:r>
      <w:r>
        <w:rPr>
          <w:spacing w:val="-3"/>
          <w:sz w:val="24"/>
          <w:szCs w:val="24"/>
        </w:rPr>
        <w:t>”作为评标方法。</w:t>
      </w:r>
    </w:p>
    <w:p w14:paraId="7AC87711">
      <w:pPr>
        <w:pStyle w:val="7"/>
        <w:spacing w:before="7" w:line="221" w:lineRule="auto"/>
        <w:ind w:left="132"/>
      </w:pPr>
      <w:r>
        <w:rPr>
          <w:b/>
          <w:bCs/>
          <w:spacing w:val="-4"/>
        </w:rPr>
        <w:t>四、采购代理机构负责组织评标工作，并履行下列职责：</w:t>
      </w:r>
    </w:p>
    <w:p w14:paraId="4437F056">
      <w:pPr>
        <w:pStyle w:val="7"/>
        <w:spacing w:before="204" w:line="289" w:lineRule="auto"/>
        <w:ind w:left="101" w:right="2" w:firstLine="480"/>
        <w:rPr>
          <w:sz w:val="24"/>
          <w:szCs w:val="24"/>
        </w:rPr>
      </w:pPr>
      <w:r>
        <w:rPr>
          <w:spacing w:val="1"/>
          <w:sz w:val="24"/>
          <w:szCs w:val="24"/>
        </w:rPr>
        <w:t>（一）核对评审专家身份和采购人代表授权函，对评审专家在政</w:t>
      </w:r>
      <w:r>
        <w:rPr>
          <w:sz w:val="24"/>
          <w:szCs w:val="24"/>
        </w:rPr>
        <w:t>府采购活动中的职责</w:t>
      </w:r>
      <w:r>
        <w:rPr>
          <w:spacing w:val="-1"/>
          <w:sz w:val="24"/>
          <w:szCs w:val="24"/>
        </w:rPr>
        <w:t>履行情况予以记录，并及时将有关违法违规行为向财政部门报告；</w:t>
      </w:r>
    </w:p>
    <w:p w14:paraId="0CD8C957">
      <w:pPr>
        <w:pStyle w:val="7"/>
        <w:spacing w:before="181" w:line="220" w:lineRule="auto"/>
        <w:ind w:left="581"/>
        <w:rPr>
          <w:sz w:val="24"/>
          <w:szCs w:val="24"/>
        </w:rPr>
      </w:pPr>
      <w:r>
        <w:rPr>
          <w:spacing w:val="-3"/>
          <w:sz w:val="24"/>
          <w:szCs w:val="24"/>
        </w:rPr>
        <w:t>（二）宣布评标纪律；</w:t>
      </w:r>
    </w:p>
    <w:p w14:paraId="3A048FC9">
      <w:pPr>
        <w:pStyle w:val="7"/>
        <w:spacing w:before="180" w:line="220" w:lineRule="auto"/>
        <w:ind w:left="581"/>
        <w:rPr>
          <w:sz w:val="24"/>
          <w:szCs w:val="24"/>
        </w:rPr>
      </w:pPr>
      <w:r>
        <w:rPr>
          <w:spacing w:val="-1"/>
          <w:sz w:val="24"/>
          <w:szCs w:val="24"/>
        </w:rPr>
        <w:t>（三）公布投标人名单，告知评审专家应当回避的情形；</w:t>
      </w:r>
    </w:p>
    <w:p w14:paraId="758734BD">
      <w:pPr>
        <w:pStyle w:val="7"/>
        <w:spacing w:before="182" w:line="222" w:lineRule="auto"/>
        <w:ind w:left="581"/>
        <w:rPr>
          <w:sz w:val="24"/>
          <w:szCs w:val="24"/>
        </w:rPr>
      </w:pPr>
      <w:r>
        <w:rPr>
          <w:spacing w:val="-1"/>
          <w:sz w:val="24"/>
          <w:szCs w:val="24"/>
        </w:rPr>
        <w:t>（四）组织评标委员会推选评标组长，采购人代表不得担任组长；</w:t>
      </w:r>
    </w:p>
    <w:p w14:paraId="535ADDA9">
      <w:pPr>
        <w:pStyle w:val="7"/>
        <w:spacing w:before="180" w:line="219" w:lineRule="auto"/>
        <w:ind w:left="581"/>
        <w:rPr>
          <w:sz w:val="24"/>
          <w:szCs w:val="24"/>
        </w:rPr>
      </w:pPr>
      <w:r>
        <w:rPr>
          <w:spacing w:val="-1"/>
          <w:sz w:val="24"/>
          <w:szCs w:val="24"/>
        </w:rPr>
        <w:t>（五）在评标期间采取必要的通讯管理措施，保证评标活动不受外界干扰；</w:t>
      </w:r>
    </w:p>
    <w:p w14:paraId="4955E4B8">
      <w:pPr>
        <w:pStyle w:val="7"/>
        <w:spacing w:before="180" w:line="221" w:lineRule="auto"/>
        <w:ind w:left="581"/>
        <w:rPr>
          <w:sz w:val="24"/>
          <w:szCs w:val="24"/>
        </w:rPr>
      </w:pPr>
      <w:r>
        <w:rPr>
          <w:spacing w:val="-1"/>
          <w:sz w:val="24"/>
          <w:szCs w:val="24"/>
        </w:rPr>
        <w:t>（六）根据评标委员会的要求介绍政府采购相关政策法规、招标文件；</w:t>
      </w:r>
    </w:p>
    <w:p w14:paraId="78FA53C6">
      <w:pPr>
        <w:pStyle w:val="7"/>
        <w:spacing w:before="181" w:line="289" w:lineRule="auto"/>
        <w:ind w:left="98" w:firstLine="483"/>
        <w:rPr>
          <w:sz w:val="24"/>
          <w:szCs w:val="24"/>
        </w:rPr>
      </w:pPr>
      <w:r>
        <w:rPr>
          <w:spacing w:val="1"/>
          <w:sz w:val="24"/>
          <w:szCs w:val="24"/>
        </w:rPr>
        <w:t>（七）维护评标秩序，监督评标委员会依照招标文件规定的评标程序</w:t>
      </w:r>
      <w:r>
        <w:rPr>
          <w:sz w:val="24"/>
          <w:szCs w:val="24"/>
        </w:rPr>
        <w:t>、方法和标准进行独立评审，及时制止和纠正采购人代表、</w:t>
      </w:r>
      <w:r>
        <w:rPr>
          <w:spacing w:val="-1"/>
          <w:sz w:val="24"/>
          <w:szCs w:val="24"/>
        </w:rPr>
        <w:t>评审专家的倾向性言论或者违法违规行为；</w:t>
      </w:r>
    </w:p>
    <w:p w14:paraId="48512CEA">
      <w:pPr>
        <w:pStyle w:val="7"/>
        <w:spacing w:before="180" w:line="290" w:lineRule="auto"/>
        <w:ind w:left="98" w:right="2" w:firstLine="483"/>
        <w:rPr>
          <w:sz w:val="24"/>
          <w:szCs w:val="24"/>
        </w:rPr>
      </w:pPr>
      <w:r>
        <w:rPr>
          <w:spacing w:val="2"/>
          <w:sz w:val="24"/>
          <w:szCs w:val="24"/>
        </w:rPr>
        <w:t>（八）核对评标结果，有本章节5.6</w:t>
      </w:r>
      <w:r>
        <w:rPr>
          <w:spacing w:val="-42"/>
          <w:sz w:val="24"/>
          <w:szCs w:val="24"/>
        </w:rPr>
        <w:t xml:space="preserve"> </w:t>
      </w:r>
      <w:r>
        <w:rPr>
          <w:spacing w:val="2"/>
          <w:sz w:val="24"/>
          <w:szCs w:val="24"/>
        </w:rPr>
        <w:t>规定情形的，要求评标委员会复核</w:t>
      </w:r>
      <w:r>
        <w:rPr>
          <w:spacing w:val="1"/>
          <w:sz w:val="24"/>
          <w:szCs w:val="24"/>
        </w:rPr>
        <w:t>或者书面说明</w:t>
      </w:r>
      <w:r>
        <w:rPr>
          <w:spacing w:val="-1"/>
          <w:sz w:val="24"/>
          <w:szCs w:val="24"/>
        </w:rPr>
        <w:t>理由，评标委员会拒绝的，应予记录并向本级财政部门报告；</w:t>
      </w:r>
    </w:p>
    <w:p w14:paraId="6427AEDB">
      <w:pPr>
        <w:pStyle w:val="7"/>
        <w:spacing w:before="181" w:line="290" w:lineRule="auto"/>
        <w:ind w:left="127" w:firstLine="454"/>
        <w:rPr>
          <w:sz w:val="24"/>
          <w:szCs w:val="24"/>
        </w:rPr>
      </w:pPr>
      <w:r>
        <w:rPr>
          <w:spacing w:val="1"/>
          <w:sz w:val="24"/>
          <w:szCs w:val="24"/>
        </w:rPr>
        <w:t>（九）评审工作完成后，按照规定向评审专家支付劳务报酬和异地评</w:t>
      </w:r>
      <w:r>
        <w:rPr>
          <w:sz w:val="24"/>
          <w:szCs w:val="24"/>
        </w:rPr>
        <w:t>审差旅费，不得</w:t>
      </w:r>
      <w:r>
        <w:rPr>
          <w:spacing w:val="-3"/>
          <w:sz w:val="24"/>
          <w:szCs w:val="24"/>
        </w:rPr>
        <w:t>向评审专家以外的其他人员支付评审劳务报酬；</w:t>
      </w:r>
    </w:p>
    <w:p w14:paraId="458D2058">
      <w:pPr>
        <w:pStyle w:val="7"/>
        <w:spacing w:before="181" w:line="290" w:lineRule="auto"/>
        <w:ind w:left="127" w:firstLine="454"/>
        <w:rPr>
          <w:spacing w:val="1"/>
          <w:sz w:val="24"/>
          <w:szCs w:val="24"/>
        </w:rPr>
      </w:pPr>
      <w:r>
        <w:rPr>
          <w:spacing w:val="1"/>
          <w:sz w:val="24"/>
          <w:szCs w:val="24"/>
        </w:rPr>
        <w:t>（十）处理与评标有关的其他事项。</w:t>
      </w:r>
    </w:p>
    <w:p w14:paraId="77DD32F4">
      <w:pPr>
        <w:pStyle w:val="7"/>
        <w:spacing w:before="181" w:line="290" w:lineRule="auto"/>
        <w:ind w:left="127" w:firstLine="454"/>
        <w:rPr>
          <w:spacing w:val="1"/>
          <w:sz w:val="24"/>
          <w:szCs w:val="24"/>
        </w:rPr>
      </w:pPr>
      <w:r>
        <w:rPr>
          <w:spacing w:val="1"/>
          <w:sz w:val="24"/>
          <w:szCs w:val="24"/>
        </w:rPr>
        <w:t>采购人可以在评标前说明项目背景和采购需求，说明内容不得含有歧视性、倾向性意见，不得超出招标文件所属范围。说明应提交书面材料，并随采购文件一并存档。</w:t>
      </w:r>
    </w:p>
    <w:p w14:paraId="1D93B230">
      <w:pPr>
        <w:pStyle w:val="7"/>
        <w:spacing w:before="185" w:line="223" w:lineRule="auto"/>
        <w:ind w:left="5"/>
      </w:pPr>
      <w:r>
        <w:rPr>
          <w:b/>
          <w:bCs/>
          <w:spacing w:val="-4"/>
        </w:rPr>
        <w:t>五、评标委员会的职责及中标投标人的确定</w:t>
      </w:r>
    </w:p>
    <w:p w14:paraId="77699B90">
      <w:pPr>
        <w:pStyle w:val="7"/>
        <w:spacing w:before="201" w:line="222" w:lineRule="auto"/>
        <w:ind w:left="235"/>
        <w:rPr>
          <w:sz w:val="24"/>
          <w:szCs w:val="24"/>
        </w:rPr>
      </w:pPr>
      <w:r>
        <w:rPr>
          <w:b/>
          <w:bCs/>
          <w:spacing w:val="-4"/>
          <w:sz w:val="24"/>
          <w:szCs w:val="24"/>
        </w:rPr>
        <w:t>（一）评标委员会的职责</w:t>
      </w:r>
    </w:p>
    <w:p w14:paraId="4691FCC2">
      <w:pPr>
        <w:pStyle w:val="7"/>
        <w:spacing w:before="179" w:line="220" w:lineRule="auto"/>
        <w:ind w:left="476"/>
        <w:rPr>
          <w:sz w:val="24"/>
          <w:szCs w:val="24"/>
        </w:rPr>
      </w:pPr>
      <w:r>
        <w:rPr>
          <w:spacing w:val="-1"/>
          <w:sz w:val="24"/>
          <w:szCs w:val="24"/>
        </w:rPr>
        <w:t>1、审查、评价投标文件是否符合招标文件的商务、技术等实质性要求；</w:t>
      </w:r>
    </w:p>
    <w:p w14:paraId="66FE86CA">
      <w:pPr>
        <w:pStyle w:val="7"/>
        <w:spacing w:before="180" w:line="222" w:lineRule="auto"/>
        <w:ind w:left="461"/>
        <w:rPr>
          <w:sz w:val="24"/>
          <w:szCs w:val="24"/>
        </w:rPr>
      </w:pPr>
      <w:r>
        <w:rPr>
          <w:spacing w:val="-1"/>
          <w:sz w:val="24"/>
          <w:szCs w:val="24"/>
        </w:rPr>
        <w:t>2、要求投标人对投标文件有关事项做出澄清或者说明；</w:t>
      </w:r>
    </w:p>
    <w:p w14:paraId="5545721C">
      <w:pPr>
        <w:pStyle w:val="7"/>
        <w:spacing w:before="178" w:line="221" w:lineRule="auto"/>
        <w:ind w:left="463"/>
        <w:rPr>
          <w:sz w:val="24"/>
          <w:szCs w:val="24"/>
        </w:rPr>
      </w:pPr>
      <w:r>
        <w:rPr>
          <w:spacing w:val="-1"/>
          <w:sz w:val="24"/>
          <w:szCs w:val="24"/>
        </w:rPr>
        <w:t>3、对投标文件进行比较和评价；</w:t>
      </w:r>
    </w:p>
    <w:p w14:paraId="4D52A7D8">
      <w:pPr>
        <w:pStyle w:val="7"/>
        <w:spacing w:before="179" w:line="221" w:lineRule="auto"/>
        <w:ind w:left="457"/>
        <w:rPr>
          <w:sz w:val="24"/>
          <w:szCs w:val="24"/>
        </w:rPr>
      </w:pPr>
      <w:r>
        <w:rPr>
          <w:sz w:val="24"/>
          <w:szCs w:val="24"/>
        </w:rPr>
        <w:t>4、确定中标候选人名单，以及根据采购人委</w:t>
      </w:r>
      <w:r>
        <w:rPr>
          <w:spacing w:val="-1"/>
          <w:sz w:val="24"/>
          <w:szCs w:val="24"/>
        </w:rPr>
        <w:t>托直接确定中标人；</w:t>
      </w:r>
    </w:p>
    <w:p w14:paraId="1DFB5F77">
      <w:pPr>
        <w:pStyle w:val="7"/>
        <w:spacing w:before="178" w:line="221" w:lineRule="auto"/>
        <w:ind w:left="463"/>
        <w:rPr>
          <w:sz w:val="24"/>
          <w:szCs w:val="24"/>
        </w:rPr>
      </w:pPr>
      <w:r>
        <w:rPr>
          <w:spacing w:val="-1"/>
          <w:sz w:val="24"/>
          <w:szCs w:val="24"/>
        </w:rPr>
        <w:t>5、向采购人、采购代理机构或者有关部门报告评标中发现的违法行为。</w:t>
      </w:r>
    </w:p>
    <w:p w14:paraId="713189CA">
      <w:pPr>
        <w:pStyle w:val="7"/>
        <w:spacing w:before="181" w:line="222" w:lineRule="auto"/>
        <w:ind w:left="235"/>
        <w:rPr>
          <w:sz w:val="24"/>
          <w:szCs w:val="24"/>
        </w:rPr>
      </w:pPr>
      <w:r>
        <w:rPr>
          <w:b/>
          <w:bCs/>
          <w:spacing w:val="-5"/>
          <w:sz w:val="24"/>
          <w:szCs w:val="24"/>
        </w:rPr>
        <w:t>（二）评标报告</w:t>
      </w:r>
    </w:p>
    <w:p w14:paraId="6727E188">
      <w:pPr>
        <w:pStyle w:val="7"/>
        <w:spacing w:before="179" w:line="359" w:lineRule="auto"/>
        <w:ind w:left="17" w:firstLine="461"/>
        <w:rPr>
          <w:sz w:val="24"/>
          <w:szCs w:val="24"/>
        </w:rPr>
      </w:pPr>
      <w:r>
        <w:rPr>
          <w:spacing w:val="1"/>
          <w:sz w:val="24"/>
          <w:szCs w:val="24"/>
        </w:rPr>
        <w:t>评标委员会完成评标后，提出书面评标报告。评标报告是评标委员会根据全体</w:t>
      </w:r>
      <w:r>
        <w:rPr>
          <w:sz w:val="24"/>
          <w:szCs w:val="24"/>
        </w:rPr>
        <w:t>评标成</w:t>
      </w:r>
      <w:r>
        <w:rPr>
          <w:spacing w:val="-1"/>
          <w:sz w:val="24"/>
          <w:szCs w:val="24"/>
        </w:rPr>
        <w:t>员签字的原始评标记录和评标结果编写的报告</w:t>
      </w:r>
      <w:r>
        <w:rPr>
          <w:spacing w:val="-2"/>
          <w:sz w:val="24"/>
          <w:szCs w:val="24"/>
        </w:rPr>
        <w:t>，主要内容包括：</w:t>
      </w:r>
    </w:p>
    <w:p w14:paraId="6E9E3DAE">
      <w:pPr>
        <w:pStyle w:val="7"/>
        <w:spacing w:before="2" w:line="220" w:lineRule="auto"/>
        <w:ind w:left="488"/>
        <w:rPr>
          <w:sz w:val="24"/>
          <w:szCs w:val="24"/>
        </w:rPr>
      </w:pPr>
      <w:r>
        <w:rPr>
          <w:spacing w:val="-2"/>
          <w:sz w:val="24"/>
          <w:szCs w:val="24"/>
        </w:rPr>
        <w:t>1、招标公告刊登的媒体名称、开标日期和地点；</w:t>
      </w:r>
    </w:p>
    <w:p w14:paraId="669878E7">
      <w:pPr>
        <w:pStyle w:val="7"/>
        <w:spacing w:before="178" w:line="221" w:lineRule="auto"/>
        <w:ind w:left="473"/>
        <w:rPr>
          <w:sz w:val="24"/>
          <w:szCs w:val="24"/>
        </w:rPr>
      </w:pPr>
      <w:r>
        <w:rPr>
          <w:spacing w:val="-1"/>
          <w:sz w:val="24"/>
          <w:szCs w:val="24"/>
        </w:rPr>
        <w:t>2、投标人名单和评标委员会成员名单；</w:t>
      </w:r>
    </w:p>
    <w:p w14:paraId="68FE2A4A">
      <w:pPr>
        <w:pStyle w:val="7"/>
        <w:spacing w:before="181" w:line="222" w:lineRule="auto"/>
        <w:ind w:left="475"/>
        <w:rPr>
          <w:sz w:val="24"/>
          <w:szCs w:val="24"/>
        </w:rPr>
      </w:pPr>
      <w:r>
        <w:rPr>
          <w:spacing w:val="-2"/>
          <w:sz w:val="24"/>
          <w:szCs w:val="24"/>
        </w:rPr>
        <w:t>3、评标方法和标准；</w:t>
      </w:r>
    </w:p>
    <w:p w14:paraId="5CDDA9D9">
      <w:pPr>
        <w:pStyle w:val="7"/>
        <w:spacing w:before="179" w:line="221" w:lineRule="auto"/>
        <w:ind w:left="469"/>
        <w:rPr>
          <w:sz w:val="24"/>
          <w:szCs w:val="24"/>
        </w:rPr>
      </w:pPr>
      <w:r>
        <w:rPr>
          <w:sz w:val="24"/>
          <w:szCs w:val="24"/>
        </w:rPr>
        <w:t>4、开标记录和评标情况及说明，包括投标无效</w:t>
      </w:r>
      <w:r>
        <w:rPr>
          <w:spacing w:val="-1"/>
          <w:sz w:val="24"/>
          <w:szCs w:val="24"/>
        </w:rPr>
        <w:t>投标人名单及原因；</w:t>
      </w:r>
    </w:p>
    <w:p w14:paraId="3B5F0244">
      <w:pPr>
        <w:pStyle w:val="7"/>
        <w:spacing w:before="178" w:line="221" w:lineRule="auto"/>
        <w:ind w:left="475"/>
        <w:rPr>
          <w:sz w:val="24"/>
          <w:szCs w:val="24"/>
        </w:rPr>
      </w:pPr>
      <w:r>
        <w:rPr>
          <w:sz w:val="24"/>
          <w:szCs w:val="24"/>
        </w:rPr>
        <w:t>5、评标结果，确定的中标候选人名单或者</w:t>
      </w:r>
      <w:r>
        <w:rPr>
          <w:spacing w:val="-1"/>
          <w:sz w:val="24"/>
          <w:szCs w:val="24"/>
        </w:rPr>
        <w:t>经采购人委托直接确定的中标人；</w:t>
      </w:r>
    </w:p>
    <w:p w14:paraId="3577843C">
      <w:pPr>
        <w:pStyle w:val="7"/>
        <w:spacing w:before="178" w:line="291" w:lineRule="auto"/>
        <w:ind w:left="13" w:right="2" w:firstLine="459"/>
        <w:rPr>
          <w:sz w:val="24"/>
          <w:szCs w:val="24"/>
        </w:rPr>
      </w:pPr>
      <w:r>
        <w:rPr>
          <w:spacing w:val="-2"/>
          <w:sz w:val="24"/>
          <w:szCs w:val="24"/>
        </w:rPr>
        <w:t>6、其他需要说明的情况，包括评标过程中投标人根据评标委员会要求进行</w:t>
      </w:r>
      <w:r>
        <w:rPr>
          <w:spacing w:val="-3"/>
          <w:sz w:val="24"/>
          <w:szCs w:val="24"/>
        </w:rPr>
        <w:t>的澄清、说</w:t>
      </w:r>
      <w:r>
        <w:rPr>
          <w:spacing w:val="-2"/>
          <w:sz w:val="24"/>
          <w:szCs w:val="24"/>
        </w:rPr>
        <w:t>明或者补正，评标委员会成员的更换等。</w:t>
      </w:r>
    </w:p>
    <w:p w14:paraId="79570796">
      <w:pPr>
        <w:pStyle w:val="7"/>
        <w:spacing w:before="177" w:line="360" w:lineRule="auto"/>
        <w:ind w:firstLine="479"/>
        <w:jc w:val="both"/>
        <w:rPr>
          <w:sz w:val="24"/>
          <w:szCs w:val="24"/>
        </w:rPr>
      </w:pPr>
      <w:r>
        <w:rPr>
          <w:spacing w:val="1"/>
          <w:sz w:val="24"/>
          <w:szCs w:val="24"/>
        </w:rPr>
        <w:t>评标报告由评标委员会全体成员签字。对评标结论持有异议的评标委员会成员</w:t>
      </w:r>
      <w:r>
        <w:rPr>
          <w:sz w:val="24"/>
          <w:szCs w:val="24"/>
        </w:rPr>
        <w:t>可以书</w:t>
      </w:r>
      <w:r>
        <w:rPr>
          <w:spacing w:val="1"/>
          <w:sz w:val="24"/>
          <w:szCs w:val="24"/>
        </w:rPr>
        <w:t>面方式阐述其不同意见和理由。评标委员会成员拒绝在评标报告上签字且不</w:t>
      </w:r>
      <w:r>
        <w:rPr>
          <w:sz w:val="24"/>
          <w:szCs w:val="24"/>
        </w:rPr>
        <w:t>陈述其不同意</w:t>
      </w:r>
      <w:r>
        <w:rPr>
          <w:spacing w:val="-1"/>
          <w:sz w:val="24"/>
          <w:szCs w:val="24"/>
        </w:rPr>
        <w:t>见和理由的，视为同意评标结论。评标委员会应当对此做出书面说明并记录在案。</w:t>
      </w:r>
    </w:p>
    <w:p w14:paraId="5624E9FE">
      <w:pPr>
        <w:pStyle w:val="7"/>
        <w:spacing w:before="4" w:line="223" w:lineRule="auto"/>
        <w:ind w:left="3"/>
      </w:pPr>
      <w:r>
        <w:rPr>
          <w:b/>
          <w:bCs/>
          <w:spacing w:val="-3"/>
        </w:rPr>
        <w:t>六、评标结果汇总完成后，除下列情形外，任何人不得修改评标结果：</w:t>
      </w:r>
    </w:p>
    <w:p w14:paraId="2F0BE82E">
      <w:pPr>
        <w:pStyle w:val="7"/>
        <w:spacing w:before="200" w:line="222" w:lineRule="auto"/>
        <w:ind w:left="3"/>
        <w:rPr>
          <w:sz w:val="24"/>
          <w:szCs w:val="24"/>
        </w:rPr>
      </w:pPr>
      <w:r>
        <w:rPr>
          <w:spacing w:val="-2"/>
          <w:sz w:val="24"/>
          <w:szCs w:val="24"/>
        </w:rPr>
        <w:t>（一）分值汇总计算错误的；</w:t>
      </w:r>
    </w:p>
    <w:p w14:paraId="26D66B72">
      <w:pPr>
        <w:pStyle w:val="7"/>
        <w:spacing w:before="178" w:line="222" w:lineRule="auto"/>
        <w:ind w:left="3"/>
        <w:rPr>
          <w:sz w:val="24"/>
          <w:szCs w:val="24"/>
        </w:rPr>
      </w:pPr>
      <w:r>
        <w:rPr>
          <w:spacing w:val="-2"/>
          <w:sz w:val="24"/>
          <w:szCs w:val="24"/>
        </w:rPr>
        <w:t>（二）分项评分超出评分标准范围的；</w:t>
      </w:r>
    </w:p>
    <w:p w14:paraId="43E2D1A6">
      <w:pPr>
        <w:pStyle w:val="7"/>
        <w:spacing w:before="180" w:line="222" w:lineRule="auto"/>
        <w:ind w:left="3"/>
        <w:rPr>
          <w:sz w:val="24"/>
          <w:szCs w:val="24"/>
        </w:rPr>
      </w:pPr>
      <w:r>
        <w:rPr>
          <w:spacing w:val="-1"/>
          <w:sz w:val="24"/>
          <w:szCs w:val="24"/>
        </w:rPr>
        <w:t>（三）评标委员会成员对客观评审因素评分不一致的；</w:t>
      </w:r>
    </w:p>
    <w:p w14:paraId="258FC38C">
      <w:pPr>
        <w:pStyle w:val="7"/>
        <w:spacing w:before="179" w:line="222" w:lineRule="auto"/>
        <w:ind w:left="3"/>
        <w:rPr>
          <w:sz w:val="24"/>
          <w:szCs w:val="24"/>
        </w:rPr>
      </w:pPr>
      <w:r>
        <w:rPr>
          <w:spacing w:val="-2"/>
          <w:sz w:val="24"/>
          <w:szCs w:val="24"/>
        </w:rPr>
        <w:t>（四）经评标委员会认定评分畸高、畸低的。</w:t>
      </w:r>
    </w:p>
    <w:p w14:paraId="611B72EC">
      <w:pPr>
        <w:pStyle w:val="7"/>
        <w:spacing w:before="175" w:line="360" w:lineRule="auto"/>
        <w:ind w:firstLine="467"/>
        <w:jc w:val="both"/>
        <w:rPr>
          <w:sz w:val="24"/>
          <w:szCs w:val="24"/>
        </w:rPr>
      </w:pPr>
      <w:r>
        <w:rPr>
          <w:spacing w:val="1"/>
          <w:sz w:val="24"/>
          <w:szCs w:val="24"/>
        </w:rPr>
        <w:t>评标报告签署前，经复核发现存在以上情形之一的，评标委员会应当当场修改评标结果，并在评标报告中记载；评标报告签署后，采购人或者采购代理机构发现</w:t>
      </w:r>
      <w:r>
        <w:rPr>
          <w:sz w:val="24"/>
          <w:szCs w:val="24"/>
        </w:rPr>
        <w:t>存在以上情形</w:t>
      </w:r>
      <w:r>
        <w:rPr>
          <w:spacing w:val="1"/>
          <w:sz w:val="24"/>
          <w:szCs w:val="24"/>
        </w:rPr>
        <w:t>之一的，应当组织原评标委员会进行重新评审，重新评审改变评标结果的，</w:t>
      </w:r>
      <w:r>
        <w:rPr>
          <w:sz w:val="24"/>
          <w:szCs w:val="24"/>
        </w:rPr>
        <w:t>书面报告本级</w:t>
      </w:r>
      <w:r>
        <w:rPr>
          <w:spacing w:val="-4"/>
          <w:sz w:val="24"/>
          <w:szCs w:val="24"/>
        </w:rPr>
        <w:t>财政部门。</w:t>
      </w:r>
    </w:p>
    <w:p w14:paraId="10B1D4F1">
      <w:pPr>
        <w:pStyle w:val="7"/>
        <w:spacing w:before="48" w:line="359" w:lineRule="auto"/>
        <w:ind w:left="6" w:right="2" w:firstLine="459"/>
        <w:jc w:val="both"/>
        <w:rPr>
          <w:sz w:val="24"/>
          <w:szCs w:val="24"/>
        </w:rPr>
      </w:pPr>
      <w:r>
        <w:rPr>
          <w:spacing w:val="1"/>
          <w:sz w:val="24"/>
          <w:szCs w:val="24"/>
        </w:rPr>
        <w:t>投标人对本条情形提出质疑的，采购人或者采购代理机构可以组织原评标委员会进行</w:t>
      </w:r>
      <w:r>
        <w:rPr>
          <w:spacing w:val="-1"/>
          <w:sz w:val="24"/>
          <w:szCs w:val="24"/>
        </w:rPr>
        <w:t>重新评审，重新评审改变评标结果的，应当书面报告本级财政部门。</w:t>
      </w:r>
    </w:p>
    <w:p w14:paraId="0A193976">
      <w:pPr>
        <w:pStyle w:val="7"/>
        <w:spacing w:before="5" w:line="222" w:lineRule="auto"/>
        <w:ind w:left="7"/>
      </w:pPr>
      <w:r>
        <w:rPr>
          <w:b/>
          <w:bCs/>
          <w:spacing w:val="-4"/>
        </w:rPr>
        <w:t>七、评标委员会及其成员不得有下列行为</w:t>
      </w:r>
    </w:p>
    <w:p w14:paraId="5DCC9A94">
      <w:pPr>
        <w:pStyle w:val="7"/>
        <w:spacing w:before="203" w:line="220" w:lineRule="auto"/>
        <w:ind w:left="484"/>
        <w:rPr>
          <w:sz w:val="24"/>
          <w:szCs w:val="24"/>
        </w:rPr>
      </w:pPr>
      <w:r>
        <w:rPr>
          <w:spacing w:val="-1"/>
          <w:sz w:val="24"/>
          <w:szCs w:val="24"/>
        </w:rPr>
        <w:t>（一）确定参与评标至评标结束前私自接触投标人；</w:t>
      </w:r>
    </w:p>
    <w:p w14:paraId="30E478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textAlignment w:val="baseline"/>
        <w:rPr>
          <w:sz w:val="24"/>
          <w:szCs w:val="24"/>
        </w:rPr>
      </w:pPr>
      <w:r>
        <w:rPr>
          <w:spacing w:val="1"/>
          <w:sz w:val="24"/>
          <w:szCs w:val="24"/>
        </w:rPr>
        <w:t>（二）接受投标人提出的与投标文件不一致的澄清或者说明，《</w:t>
      </w:r>
      <w:r>
        <w:rPr>
          <w:sz w:val="24"/>
          <w:szCs w:val="24"/>
        </w:rPr>
        <w:t>中华人民共和国财政</w:t>
      </w:r>
      <w:r>
        <w:rPr>
          <w:spacing w:val="-3"/>
          <w:sz w:val="24"/>
          <w:szCs w:val="24"/>
        </w:rPr>
        <w:t>部令》第</w:t>
      </w:r>
      <w:r>
        <w:rPr>
          <w:spacing w:val="-40"/>
          <w:sz w:val="24"/>
          <w:szCs w:val="24"/>
        </w:rPr>
        <w:t xml:space="preserve"> </w:t>
      </w:r>
      <w:r>
        <w:rPr>
          <w:spacing w:val="-3"/>
          <w:sz w:val="24"/>
          <w:szCs w:val="24"/>
        </w:rPr>
        <w:t>87</w:t>
      </w:r>
      <w:r>
        <w:rPr>
          <w:spacing w:val="-38"/>
          <w:sz w:val="24"/>
          <w:szCs w:val="24"/>
        </w:rPr>
        <w:t xml:space="preserve"> </w:t>
      </w:r>
      <w:r>
        <w:rPr>
          <w:spacing w:val="-3"/>
          <w:sz w:val="24"/>
          <w:szCs w:val="24"/>
        </w:rPr>
        <w:t>号第五十一条规定的情形除外；</w:t>
      </w:r>
    </w:p>
    <w:p w14:paraId="0E0C689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（三）违反评标纪律发表倾向性意见或者征询采购人的倾向性意见；</w:t>
      </w:r>
    </w:p>
    <w:p w14:paraId="63CCC1E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（四）对需要专业判断的主观评审因素协商评分；</w:t>
      </w:r>
    </w:p>
    <w:p w14:paraId="6432551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（五）在评标过程中擅离职守，影响评标程序正常进行的；</w:t>
      </w:r>
    </w:p>
    <w:p w14:paraId="03D4AA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2"/>
          <w:sz w:val="24"/>
          <w:szCs w:val="24"/>
        </w:rPr>
        <w:t>（六）记录、复制或者带走任何评标资料；</w:t>
      </w:r>
    </w:p>
    <w:p w14:paraId="4AF4DF6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2"/>
          <w:sz w:val="24"/>
          <w:szCs w:val="24"/>
        </w:rPr>
        <w:t>（七）其他不遵守评标纪律的行为。</w:t>
      </w:r>
    </w:p>
    <w:p w14:paraId="3340241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b/>
          <w:bCs/>
          <w:spacing w:val="-4"/>
        </w:rPr>
        <w:t>八、投标人的严重违法行为</w:t>
      </w:r>
    </w:p>
    <w:p w14:paraId="295BC8F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（一）提供回扣或其他商业贿赂，进行非法促销活动；</w:t>
      </w:r>
    </w:p>
    <w:p w14:paraId="19E6D4E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（二）以低于成本的价格投标报价，扰乱市场秩序；</w:t>
      </w:r>
    </w:p>
    <w:p w14:paraId="5F1C417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textAlignment w:val="baseline"/>
        <w:rPr>
          <w:sz w:val="24"/>
          <w:szCs w:val="24"/>
        </w:rPr>
      </w:pPr>
      <w:r>
        <w:rPr>
          <w:spacing w:val="1"/>
          <w:sz w:val="24"/>
          <w:szCs w:val="24"/>
        </w:rPr>
        <w:t>（三）相互串通投标，排斥其他投标人的公平竞争，损害采购人或者</w:t>
      </w:r>
      <w:r>
        <w:rPr>
          <w:sz w:val="24"/>
          <w:szCs w:val="24"/>
        </w:rPr>
        <w:t>其他投标人的合</w:t>
      </w:r>
      <w:r>
        <w:rPr>
          <w:spacing w:val="-6"/>
          <w:sz w:val="24"/>
          <w:szCs w:val="24"/>
        </w:rPr>
        <w:t>法利益；</w:t>
      </w:r>
    </w:p>
    <w:p w14:paraId="0E15AF1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（四）以向采购人、采购代理机构或者评标专家行贿的手段牟取中标；</w:t>
      </w:r>
    </w:p>
    <w:p w14:paraId="2981097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（五）提供虚假证明文件，或者以其他方式弄虚作假，骗取中标；</w:t>
      </w:r>
    </w:p>
    <w:p w14:paraId="7863D44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textAlignment w:val="baseline"/>
        <w:rPr>
          <w:sz w:val="24"/>
          <w:szCs w:val="24"/>
        </w:rPr>
      </w:pPr>
      <w:r>
        <w:rPr>
          <w:spacing w:val="-1"/>
          <w:sz w:val="24"/>
          <w:szCs w:val="24"/>
        </w:rPr>
        <w:t>（六）在投标有效期内撤回其投标，</w:t>
      </w:r>
      <w:r>
        <w:rPr>
          <w:spacing w:val="-53"/>
          <w:sz w:val="24"/>
          <w:szCs w:val="24"/>
        </w:rPr>
        <w:t xml:space="preserve"> </w:t>
      </w:r>
      <w:r>
        <w:rPr>
          <w:spacing w:val="-1"/>
          <w:sz w:val="24"/>
          <w:szCs w:val="24"/>
        </w:rPr>
        <w:t>中标人在规定期限内不签订合同或者不履行合同</w:t>
      </w:r>
      <w:r>
        <w:rPr>
          <w:spacing w:val="-2"/>
          <w:sz w:val="24"/>
          <w:szCs w:val="24"/>
        </w:rPr>
        <w:t>义务、不按时缴纳中标服务费；</w:t>
      </w:r>
    </w:p>
    <w:p w14:paraId="3F416E3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（七）对招标采购造成严重不良影响的恶意报价行为或者其他行为；</w:t>
      </w:r>
    </w:p>
    <w:p w14:paraId="2069477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2"/>
          <w:sz w:val="24"/>
          <w:szCs w:val="24"/>
        </w:rPr>
        <w:t>（八）其他违反法律法规的行为。</w:t>
      </w:r>
    </w:p>
    <w:p w14:paraId="31F5E6F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1、采购人确认中标人在本招标活动中有严重违法行为，有权宣布其中标无效。</w:t>
      </w:r>
    </w:p>
    <w:p w14:paraId="44CD14D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textAlignment w:val="baseline"/>
        <w:rPr>
          <w:sz w:val="24"/>
          <w:szCs w:val="24"/>
        </w:rPr>
      </w:pPr>
      <w:r>
        <w:rPr>
          <w:spacing w:val="-2"/>
          <w:sz w:val="24"/>
          <w:szCs w:val="24"/>
        </w:rPr>
        <w:t>2、采购人在中标后和履行合同的任何时候确认投标人在投标和履约过程</w:t>
      </w:r>
      <w:r>
        <w:rPr>
          <w:spacing w:val="-3"/>
          <w:sz w:val="24"/>
          <w:szCs w:val="24"/>
        </w:rPr>
        <w:t>中有严重违法</w:t>
      </w:r>
      <w:r>
        <w:rPr>
          <w:spacing w:val="1"/>
          <w:sz w:val="24"/>
          <w:szCs w:val="24"/>
        </w:rPr>
        <w:t>行为，有权宣布其中标无效并提请有关监督管理部门查处，并对情节严重者在</w:t>
      </w:r>
      <w:r>
        <w:rPr>
          <w:sz w:val="24"/>
          <w:szCs w:val="24"/>
        </w:rPr>
        <w:t>两年内拒绝</w:t>
      </w:r>
      <w:r>
        <w:rPr>
          <w:spacing w:val="-3"/>
          <w:sz w:val="24"/>
          <w:szCs w:val="24"/>
        </w:rPr>
        <w:t>接受其投标。</w:t>
      </w:r>
    </w:p>
    <w:p w14:paraId="62609C2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b/>
          <w:bCs/>
          <w:spacing w:val="-10"/>
        </w:rPr>
        <w:t>九、废标</w:t>
      </w:r>
    </w:p>
    <w:p w14:paraId="65261E8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在招标采购中，出现下列情形之一的，应予废标：</w:t>
      </w:r>
    </w:p>
    <w:p w14:paraId="30EFC55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sz w:val="24"/>
          <w:szCs w:val="24"/>
        </w:rPr>
      </w:pPr>
      <w:r>
        <w:rPr>
          <w:spacing w:val="1"/>
          <w:sz w:val="24"/>
          <w:szCs w:val="24"/>
        </w:rPr>
        <w:t>（一）符合专业条件的投标人或者对招标文件作实质响应的投标</w:t>
      </w:r>
      <w:r>
        <w:rPr>
          <w:sz w:val="24"/>
          <w:szCs w:val="24"/>
        </w:rPr>
        <w:t>人不足三家的（经同</w:t>
      </w:r>
      <w:r>
        <w:rPr>
          <w:spacing w:val="-2"/>
          <w:sz w:val="24"/>
          <w:szCs w:val="24"/>
        </w:rPr>
        <w:t>级政府采购监管部门审核批准的除外</w:t>
      </w:r>
      <w:r>
        <w:rPr>
          <w:spacing w:val="6"/>
          <w:sz w:val="24"/>
          <w:szCs w:val="24"/>
        </w:rPr>
        <w:t>）；</w:t>
      </w:r>
    </w:p>
    <w:p w14:paraId="3410F7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spacing w:val="1"/>
          <w:sz w:val="24"/>
          <w:szCs w:val="24"/>
        </w:rPr>
      </w:pPr>
      <w:r>
        <w:rPr>
          <w:spacing w:val="1"/>
          <w:sz w:val="24"/>
          <w:szCs w:val="24"/>
        </w:rPr>
        <w:t>（二）出现影响采购公正的违法、违规行为的；</w:t>
      </w:r>
    </w:p>
    <w:p w14:paraId="5F2F1C8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spacing w:val="1"/>
          <w:sz w:val="24"/>
          <w:szCs w:val="24"/>
        </w:rPr>
      </w:pPr>
      <w:r>
        <w:rPr>
          <w:spacing w:val="1"/>
          <w:sz w:val="24"/>
          <w:szCs w:val="24"/>
        </w:rPr>
        <w:t>（三）投标人的报价均超过了采购预算，采购人不能支付的；</w:t>
      </w:r>
    </w:p>
    <w:p w14:paraId="2757116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spacing w:val="1"/>
          <w:sz w:val="24"/>
          <w:szCs w:val="24"/>
        </w:rPr>
      </w:pPr>
      <w:r>
        <w:rPr>
          <w:spacing w:val="1"/>
          <w:sz w:val="24"/>
          <w:szCs w:val="24"/>
        </w:rPr>
        <w:t>（四）因重大变故，采购任务取消的。</w:t>
      </w:r>
    </w:p>
    <w:p w14:paraId="28F3FC0A">
      <w:pPr>
        <w:pStyle w:val="7"/>
        <w:spacing w:before="180" w:line="361" w:lineRule="auto"/>
        <w:ind w:left="1" w:right="2" w:firstLine="482"/>
        <w:rPr>
          <w:spacing w:val="1"/>
          <w:sz w:val="24"/>
          <w:szCs w:val="24"/>
        </w:rPr>
        <w:sectPr>
          <w:footerReference r:id="rId10" w:type="default"/>
          <w:pgSz w:w="11905" w:h="16838"/>
          <w:pgMar w:top="1440" w:right="1803" w:bottom="1440" w:left="1803" w:header="0" w:footer="975" w:gutter="0"/>
          <w:pgNumType w:fmt="decimal"/>
          <w:cols w:space="0" w:num="1"/>
          <w:rtlGutter w:val="0"/>
          <w:docGrid w:linePitch="0" w:charSpace="0"/>
        </w:sectPr>
      </w:pPr>
    </w:p>
    <w:p w14:paraId="6C3E091D">
      <w:pPr>
        <w:pStyle w:val="7"/>
        <w:spacing w:before="64" w:line="228" w:lineRule="auto"/>
        <w:ind w:left="2474"/>
        <w:outlineLvl w:val="0"/>
        <w:rPr>
          <w:sz w:val="31"/>
          <w:szCs w:val="31"/>
        </w:rPr>
      </w:pPr>
      <w:bookmarkStart w:id="14" w:name="_Toc10177"/>
      <w:r>
        <w:rPr>
          <w:b/>
          <w:bCs/>
          <w:spacing w:val="1"/>
          <w:sz w:val="31"/>
          <w:szCs w:val="31"/>
        </w:rPr>
        <w:t>第六章</w:t>
      </w:r>
      <w:r>
        <w:rPr>
          <w:spacing w:val="26"/>
          <w:sz w:val="31"/>
          <w:szCs w:val="31"/>
        </w:rPr>
        <w:t xml:space="preserve">  </w:t>
      </w:r>
      <w:r>
        <w:rPr>
          <w:b/>
          <w:bCs/>
          <w:spacing w:val="1"/>
          <w:sz w:val="31"/>
          <w:szCs w:val="31"/>
        </w:rPr>
        <w:t>合同条款（仅供参考）</w:t>
      </w:r>
      <w:bookmarkEnd w:id="14"/>
    </w:p>
    <w:p w14:paraId="2713462C">
      <w:pPr>
        <w:pStyle w:val="7"/>
        <w:spacing w:before="228" w:line="222" w:lineRule="auto"/>
        <w:ind w:left="2788"/>
        <w:rPr>
          <w:b/>
          <w:bCs/>
          <w:sz w:val="24"/>
          <w:szCs w:val="24"/>
        </w:rPr>
      </w:pPr>
      <w:r>
        <w:rPr>
          <w:b/>
          <w:bCs/>
          <w:spacing w:val="-2"/>
          <w:sz w:val="24"/>
          <w:szCs w:val="24"/>
        </w:rPr>
        <w:t>（合同最终以与甲方最终签订为准）</w:t>
      </w:r>
    </w:p>
    <w:p w14:paraId="696A1DBC">
      <w:pPr>
        <w:spacing w:line="360" w:lineRule="auto"/>
        <w:rPr>
          <w:rFonts w:hint="eastAsia" w:ascii="仿宋" w:hAnsi="仿宋" w:eastAsia="仿宋" w:cs="仿宋"/>
          <w:color w:val="auto"/>
          <w:spacing w:val="0"/>
          <w:w w:val="100"/>
          <w:position w:val="0"/>
          <w:sz w:val="24"/>
          <w:szCs w:val="24"/>
          <w:highlight w:val="none"/>
          <w:lang w:val="en-US" w:eastAsia="zh-CN"/>
        </w:rPr>
      </w:pPr>
      <w:bookmarkStart w:id="15" w:name="bookmark15"/>
      <w:bookmarkEnd w:id="15"/>
      <w:bookmarkStart w:id="16" w:name="_Toc22310"/>
      <w:r>
        <w:rPr>
          <w:rFonts w:hint="eastAsia" w:ascii="仿宋" w:hAnsi="仿宋" w:eastAsia="仿宋" w:cs="仿宋"/>
          <w:color w:val="auto"/>
          <w:spacing w:val="0"/>
          <w:w w:val="100"/>
          <w:position w:val="0"/>
          <w:sz w:val="24"/>
          <w:szCs w:val="24"/>
          <w:highlight w:val="none"/>
          <w:lang w:val="en-US" w:eastAsia="zh-CN"/>
        </w:rPr>
        <w:t>甲方（采购方）：</w:t>
      </w:r>
    </w:p>
    <w:p w14:paraId="23EB7A09">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乙方（供应商）： </w:t>
      </w:r>
    </w:p>
    <w:p w14:paraId="06A677A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甲乙双方根据政府采购的有关规定，和中标通知书的要求，经双方友好协商，一致同意达成 </w:t>
      </w:r>
    </w:p>
    <w:p w14:paraId="12C87B1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如下内容，特订立本合同，以便共同遵守。 </w:t>
      </w:r>
    </w:p>
    <w:p w14:paraId="0C396AD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第一条：合同标的 </w:t>
      </w:r>
    </w:p>
    <w:p w14:paraId="76822E4E">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乙方根据甲方需求提供下列货物：</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337"/>
        <w:gridCol w:w="1381"/>
        <w:gridCol w:w="1338"/>
        <w:gridCol w:w="1381"/>
        <w:gridCol w:w="1338"/>
        <w:gridCol w:w="1338"/>
      </w:tblGrid>
      <w:tr w14:paraId="2EEA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14:paraId="0C0C35E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货物名称</w:t>
            </w:r>
          </w:p>
        </w:tc>
        <w:tc>
          <w:tcPr>
            <w:tcW w:w="1423" w:type="dxa"/>
            <w:noWrap w:val="0"/>
            <w:vAlign w:val="center"/>
          </w:tcPr>
          <w:p w14:paraId="5D8BBAA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规格型号</w:t>
            </w:r>
          </w:p>
        </w:tc>
        <w:tc>
          <w:tcPr>
            <w:tcW w:w="1424" w:type="dxa"/>
            <w:noWrap w:val="0"/>
            <w:vAlign w:val="center"/>
          </w:tcPr>
          <w:p w14:paraId="01836E7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单价（元）</w:t>
            </w:r>
          </w:p>
        </w:tc>
        <w:tc>
          <w:tcPr>
            <w:tcW w:w="1424" w:type="dxa"/>
            <w:noWrap w:val="0"/>
            <w:vAlign w:val="center"/>
          </w:tcPr>
          <w:p w14:paraId="2590799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数量</w:t>
            </w:r>
          </w:p>
        </w:tc>
        <w:tc>
          <w:tcPr>
            <w:tcW w:w="1424" w:type="dxa"/>
            <w:noWrap w:val="0"/>
            <w:vAlign w:val="center"/>
          </w:tcPr>
          <w:p w14:paraId="6781B50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金额（元）</w:t>
            </w:r>
          </w:p>
        </w:tc>
        <w:tc>
          <w:tcPr>
            <w:tcW w:w="1424" w:type="dxa"/>
            <w:noWrap w:val="0"/>
            <w:vAlign w:val="center"/>
          </w:tcPr>
          <w:p w14:paraId="6F38199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质保期</w:t>
            </w:r>
          </w:p>
        </w:tc>
        <w:tc>
          <w:tcPr>
            <w:tcW w:w="1424" w:type="dxa"/>
            <w:noWrap w:val="0"/>
            <w:vAlign w:val="center"/>
          </w:tcPr>
          <w:p w14:paraId="0E59CC5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备注</w:t>
            </w:r>
          </w:p>
        </w:tc>
      </w:tr>
      <w:tr w14:paraId="6E5C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14:paraId="447D6D0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3" w:type="dxa"/>
            <w:noWrap w:val="0"/>
            <w:vAlign w:val="center"/>
          </w:tcPr>
          <w:p w14:paraId="239E4AB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3110954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41E5940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33FB584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1EFF51C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270FF55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r>
      <w:tr w14:paraId="5C9F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14:paraId="66B568D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3" w:type="dxa"/>
            <w:noWrap w:val="0"/>
            <w:vAlign w:val="center"/>
          </w:tcPr>
          <w:p w14:paraId="514A456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74A43B8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268F7BB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31C3CFC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563245B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0E0073D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r>
      <w:tr w14:paraId="667E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14:paraId="64CC2F1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3" w:type="dxa"/>
            <w:noWrap w:val="0"/>
            <w:vAlign w:val="center"/>
          </w:tcPr>
          <w:p w14:paraId="278680B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77215D6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3C6340C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50A1C49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0896D75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46E1E11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r>
    </w:tbl>
    <w:p w14:paraId="1441280C">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 </w:t>
      </w:r>
    </w:p>
    <w:p w14:paraId="430796CC">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第二条：合同价格 </w:t>
      </w:r>
    </w:p>
    <w:p w14:paraId="5CFE576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1、货物总价为人民币（大写）：</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val="en-US" w:eastAsia="zh-CN"/>
        </w:rPr>
        <w:t xml:space="preserve">元整。 </w:t>
      </w:r>
    </w:p>
    <w:p w14:paraId="72023553">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2、总价中包括货物金额、安装费、包装费、软件接口费、运输费及运输途中保险费、装卸费 </w:t>
      </w:r>
    </w:p>
    <w:p w14:paraId="1C025008">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 xml:space="preserve">及税金。本合同价格一般不得做任何变更与调整。 </w:t>
      </w:r>
    </w:p>
    <w:p w14:paraId="67913AA4">
      <w:pPr>
        <w:pStyle w:val="7"/>
        <w:spacing w:line="360" w:lineRule="auto"/>
        <w:rPr>
          <w:rFonts w:hint="eastAsia" w:ascii="仿宋" w:hAnsi="仿宋" w:eastAsia="仿宋" w:cs="仿宋"/>
          <w:color w:val="auto"/>
          <w:sz w:val="24"/>
          <w:szCs w:val="24"/>
          <w:lang w:val="en-US"/>
        </w:rPr>
      </w:pPr>
      <w:r>
        <w:rPr>
          <w:rFonts w:hint="eastAsia" w:ascii="仿宋" w:hAnsi="仿宋" w:eastAsia="仿宋" w:cs="仿宋"/>
          <w:color w:val="auto"/>
          <w:spacing w:val="0"/>
          <w:w w:val="100"/>
          <w:position w:val="0"/>
          <w:sz w:val="24"/>
          <w:szCs w:val="24"/>
          <w:highlight w:val="none"/>
          <w:lang w:val="en-US" w:eastAsia="zh-CN"/>
        </w:rPr>
        <w:t>3、中标方负责对所供设备进行免费的安装和调试工作；所需的安装配件及辅材由中标方提供；最终报价含安装调试费及一切配件附件费等，如产生其它额外费用均包含在投标报价内，不另做追加。</w:t>
      </w:r>
    </w:p>
    <w:p w14:paraId="564B349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第三条：付款方式 </w:t>
      </w:r>
    </w:p>
    <w:p w14:paraId="531D109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1、甲乙双方确认的货款结算依据：投标文件、中标通知书，采购合同书，乙方开具的发票， </w:t>
      </w:r>
    </w:p>
    <w:p w14:paraId="39B85CA7">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甲方出具的验收结算书等。 </w:t>
      </w:r>
    </w:p>
    <w:p w14:paraId="6F0ABD6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2、货物验收合格，甲方出具验收结算书后付款。 </w:t>
      </w:r>
    </w:p>
    <w:p w14:paraId="33C1C96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3、付款方式：采购人收到货，安装调试验收合格后开始办理付款手续，具体以实际签订合同为主。</w:t>
      </w:r>
    </w:p>
    <w:p w14:paraId="18B8B417">
      <w:pPr>
        <w:pStyle w:val="7"/>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说明：实行国库集中支付的单位：甲方应根据采购计划确认的资金支付方式，按规定将货款支付给乙方。其中确认“财政直接支付方式”的，甲方应在规定期限内，向财政国库支付机构提出申请支付令、办理国库支付手续；财政国库支付机构应在规定时间内（不计入甲方付款期限），将货款支付给乙方；确认“财政授权支付或单位自行支付方式”的，由甲方在规定限期内自行将货款直接支付给乙方。</w:t>
      </w:r>
    </w:p>
    <w:p w14:paraId="41B64DA6">
      <w:pPr>
        <w:pStyle w:val="7"/>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未实行国库集中支付的单位：由甲方在规定期限内自行将货款直接支付给乙方。</w:t>
      </w:r>
    </w:p>
    <w:p w14:paraId="62ABE83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lang w:val="en-US" w:eastAsia="zh-CN"/>
        </w:rPr>
        <w:t>备注：最终付款方式以和甲方单位签订合同为准。</w:t>
      </w:r>
      <w:r>
        <w:rPr>
          <w:rFonts w:hint="eastAsia" w:ascii="仿宋" w:hAnsi="仿宋" w:eastAsia="仿宋" w:cs="仿宋"/>
          <w:color w:val="auto"/>
          <w:spacing w:val="0"/>
          <w:w w:val="100"/>
          <w:position w:val="0"/>
          <w:sz w:val="24"/>
          <w:szCs w:val="24"/>
          <w:highlight w:val="none"/>
          <w:lang w:val="en-US" w:eastAsia="zh-CN"/>
        </w:rPr>
        <w:t xml:space="preserve"> </w:t>
      </w:r>
    </w:p>
    <w:p w14:paraId="7114B65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第四条：交货、包装与验收 </w:t>
      </w:r>
    </w:p>
    <w:p w14:paraId="1BBEFF9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1、交货地点：采购人指定地点。 </w:t>
      </w:r>
    </w:p>
    <w:p w14:paraId="3105228B">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2、交货时间：接甲方通知后</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val="en-US" w:eastAsia="zh-CN"/>
        </w:rPr>
        <w:t>个日历日内到货、安装调试完毕。</w:t>
      </w:r>
    </w:p>
    <w:p w14:paraId="35056C4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3、货物包装应符合国家标准，以保证货物在运输过程中不受损伤。货物在运输或邮寄途中发 </w:t>
      </w:r>
    </w:p>
    <w:p w14:paraId="5A8EC95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生毁损或丢失，由乙方负责。在运输途中、交货前、卸货中发生人身伤害或货物受损的，由 </w:t>
      </w:r>
    </w:p>
    <w:p w14:paraId="196A4F6A">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乙方负责承担。 </w:t>
      </w:r>
    </w:p>
    <w:p w14:paraId="5E8E5DA3">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4、货物到达后，甲乙双方均须在场并确认包装的完好性后，安装后由甲方验货。并对货物进 </w:t>
      </w:r>
    </w:p>
    <w:p w14:paraId="1FE3BBA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行清点验收，共同签字确认。如验收不合格，乙方应退货，预缴押金的要全额退还，一切损 </w:t>
      </w:r>
    </w:p>
    <w:p w14:paraId="1322BF26">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失由乙方承担。 </w:t>
      </w:r>
    </w:p>
    <w:p w14:paraId="7576D377">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第五条：本合同的有效组成文件： </w:t>
      </w:r>
    </w:p>
    <w:p w14:paraId="4F3F8163">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1、投标文件。 </w:t>
      </w:r>
    </w:p>
    <w:p w14:paraId="64875A01">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2、中标通知书。 </w:t>
      </w:r>
    </w:p>
    <w:p w14:paraId="67F76BAF">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3、甲方出具的验货结算书。 </w:t>
      </w:r>
    </w:p>
    <w:p w14:paraId="59266D3A">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4、乙方所提供的其他承诺。 </w:t>
      </w:r>
    </w:p>
    <w:p w14:paraId="2874F6AC">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第六条：质量保证和售后服务： </w:t>
      </w:r>
    </w:p>
    <w:p w14:paraId="019004B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乙方应保证所提供的货物是全新、未使用过的原装合格正品，并完全符合国家标准和行业的 </w:t>
      </w:r>
    </w:p>
    <w:p w14:paraId="226A81B2">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相关标准。 </w:t>
      </w:r>
    </w:p>
    <w:p w14:paraId="6F3C30A9">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第七条：违约责任： </w:t>
      </w:r>
    </w:p>
    <w:p w14:paraId="6EB33B6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1、乙方不能按期按约交货或部分交货的，甲方有权不予支付乙方货款，并有权解除合同，乙 </w:t>
      </w:r>
    </w:p>
    <w:p w14:paraId="537F6F8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方并应向甲方偿付相当于不能交货部分货款 5%的违约金。 </w:t>
      </w:r>
    </w:p>
    <w:p w14:paraId="130D5F6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2、乙方所提供货物品种、数量、质量不符合国家法律法规和本合同规定的，甲方有权拒收， </w:t>
      </w:r>
    </w:p>
    <w:p w14:paraId="2D181DC1">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由乙方负责包换或退货，并承担由此而支付的实际费用。 </w:t>
      </w:r>
    </w:p>
    <w:p w14:paraId="25AD5B1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3、乙方逾期交货的，按逾期缴货部分货款计算，向甲方偿付每日千分之五的违约金，并承担 </w:t>
      </w:r>
    </w:p>
    <w:p w14:paraId="13BDAEA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甲方因此所受的损失费用。 </w:t>
      </w:r>
    </w:p>
    <w:p w14:paraId="61E4AA6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4、乙方违反本合同相关约定的，除应当承担违约责任外，因乙方违约导致甲方产生其他相关 </w:t>
      </w:r>
    </w:p>
    <w:p w14:paraId="65DE5F81">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损失的，乙方应当赔偿甲方因此产生的经济损失。 </w:t>
      </w:r>
    </w:p>
    <w:p w14:paraId="1884AA8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5、甲方未按合同约定逾期付款的，应按照每日千分之五的比例向乙方偿付逾期货款的违约金。 </w:t>
      </w:r>
    </w:p>
    <w:p w14:paraId="2AD9FB3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6、甲方违反本合同规定拒绝接货的，应当承担由此对乙方造成的损失。 </w:t>
      </w:r>
    </w:p>
    <w:p w14:paraId="6511CE2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7、双方必须严格执行《中华人民共和国民法典》的有关违约责任规定。 </w:t>
      </w:r>
    </w:p>
    <w:p w14:paraId="44D1C2F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第八条：不可抗力  </w:t>
      </w:r>
    </w:p>
    <w:p w14:paraId="59C36DC6">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1、本合同生效后发生不可抗力的，发生不可抗力的一方应立即通知对方，并在不可抗力发生之日起五天内提供不可抗力的详情及有关证明文件送交对方。 </w:t>
      </w:r>
    </w:p>
    <w:p w14:paraId="14F0FDE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2、发生不可抗力事件时，双方应协商以寻找一个合理的解决方法，并尽一切努力减轻不可抗 </w:t>
      </w:r>
    </w:p>
    <w:p w14:paraId="2E485AC6">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力产生的后果。如不可抗力影响双方合同正常执行的，双方应友好协商解决本合同是否继续 </w:t>
      </w:r>
    </w:p>
    <w:p w14:paraId="6605320F">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履行或终止。 </w:t>
      </w:r>
    </w:p>
    <w:p w14:paraId="1A0BA43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3、一方因不可抗力不能按本合同约定履行的，可以减轻或免除一方的违约责任，一方不能证 </w:t>
      </w:r>
    </w:p>
    <w:p w14:paraId="7FA7E92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明不能按本合同约定履行是因不可抗力的，应当承担本合同约定的违约和赔偿责任。 </w:t>
      </w:r>
    </w:p>
    <w:p w14:paraId="0CC948B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第九条：合同的解除和变更当合同一方要求变更或解除合同时，在新协议未达成前，原合同仍然有效。要求变更的一方应及时书面通知对方，对方在接到通知 15 日内书面给予答复，逾期 未答复则视为已同意。双方达成协议的，按新协议执行，并报采购人备案。 </w:t>
      </w:r>
    </w:p>
    <w:p w14:paraId="0BAD8D3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第十条：争议解决方式 </w:t>
      </w:r>
    </w:p>
    <w:p w14:paraId="026AD2CA">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甲乙双方在合同执行中发生争议，由甲乙双方协商解决，协商解决不了的，甲乙双方均有权 </w:t>
      </w:r>
    </w:p>
    <w:p w14:paraId="7E5D6861">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向财政厅投诉或向合同签署所在地人民法院提起诉讼。 </w:t>
      </w:r>
    </w:p>
    <w:p w14:paraId="334E383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第十一条：合同生效及其他 </w:t>
      </w:r>
    </w:p>
    <w:p w14:paraId="7154A3E3">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1、本合同经甲乙双方盖章和代表签字日期，即为本合同生效日期。如双方盖章签字日期不一 </w:t>
      </w:r>
    </w:p>
    <w:p w14:paraId="64C03A96">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致时，以最后盖章签字方的盖章签字日期为合同的生效日期。 </w:t>
      </w:r>
    </w:p>
    <w:p w14:paraId="50720B7E">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2、本合同一式陆份，甲伍份，乙方一份，政府采购办、招标代理公司各一套。 </w:t>
      </w:r>
    </w:p>
    <w:p w14:paraId="79232B2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3、本合同的未尽事项，必要时由甲乙双方另订补充协议，经甲乙双方盖章和双方授权代表签 </w:t>
      </w:r>
    </w:p>
    <w:p w14:paraId="4AEB13A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字后与本合同具有同等法律效力。 </w:t>
      </w:r>
    </w:p>
    <w:p w14:paraId="5E2F0CCD">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 xml:space="preserve">甲 方：                                        乙 方： </w:t>
      </w:r>
    </w:p>
    <w:p w14:paraId="0A6A212F">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地 址：                                        地 址： </w:t>
      </w:r>
    </w:p>
    <w:p w14:paraId="7320CFEE">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 xml:space="preserve">经办人：                                       经办人：            </w:t>
      </w:r>
    </w:p>
    <w:p w14:paraId="3EF3ABE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电 话：                                        电 话：                                        时 间：                                        时 间： </w:t>
      </w:r>
    </w:p>
    <w:p w14:paraId="396FB1D4">
      <w:pPr>
        <w:spacing w:line="360" w:lineRule="auto"/>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lang w:val="en-US" w:eastAsia="zh-CN"/>
        </w:rPr>
        <w:t>注：最终合同以实际签订为准。</w:t>
      </w:r>
    </w:p>
    <w:p w14:paraId="2BCE45A1">
      <w:pPr>
        <w:autoSpaceDE w:val="0"/>
        <w:autoSpaceDN w:val="0"/>
        <w:spacing w:line="560" w:lineRule="exact"/>
        <w:ind w:firstLine="560" w:firstLineChars="200"/>
        <w:outlineLvl w:val="9"/>
        <w:rPr>
          <w:rFonts w:hint="eastAsia" w:ascii="宋体" w:hAnsi="宋体" w:eastAsia="宋体" w:cs="宋体"/>
          <w:color w:val="auto"/>
          <w:sz w:val="28"/>
          <w:szCs w:val="28"/>
        </w:rPr>
        <w:sectPr>
          <w:footerReference r:id="rId12" w:type="first"/>
          <w:footerReference r:id="rId11" w:type="default"/>
          <w:pgSz w:w="12240" w:h="15840"/>
          <w:pgMar w:top="1503" w:right="1503" w:bottom="1503" w:left="1503" w:header="720" w:footer="839" w:gutter="0"/>
          <w:pgNumType w:fmt="decimal" w:start="1"/>
          <w:cols w:space="720" w:num="1"/>
          <w:titlePg/>
          <w:docGrid w:linePitch="299" w:charSpace="0"/>
        </w:sectPr>
      </w:pPr>
    </w:p>
    <w:p w14:paraId="2B375299">
      <w:pPr>
        <w:pStyle w:val="7"/>
        <w:spacing w:before="64" w:line="228" w:lineRule="auto"/>
        <w:jc w:val="center"/>
        <w:outlineLvl w:val="0"/>
        <w:rPr>
          <w:sz w:val="36"/>
          <w:szCs w:val="36"/>
        </w:rPr>
      </w:pPr>
      <w:r>
        <w:rPr>
          <w:b/>
          <w:bCs/>
          <w:spacing w:val="-7"/>
          <w:sz w:val="36"/>
          <w:szCs w:val="36"/>
        </w:rPr>
        <w:t>第七章</w:t>
      </w:r>
      <w:r>
        <w:rPr>
          <w:spacing w:val="23"/>
          <w:sz w:val="36"/>
          <w:szCs w:val="36"/>
        </w:rPr>
        <w:t xml:space="preserve">  </w:t>
      </w:r>
      <w:r>
        <w:rPr>
          <w:b/>
          <w:bCs/>
          <w:spacing w:val="-7"/>
          <w:sz w:val="36"/>
          <w:szCs w:val="36"/>
        </w:rPr>
        <w:t>附件</w:t>
      </w:r>
      <w:bookmarkEnd w:id="16"/>
    </w:p>
    <w:p w14:paraId="35CD0210">
      <w:pPr>
        <w:pStyle w:val="7"/>
        <w:spacing w:before="236" w:line="222" w:lineRule="auto"/>
        <w:jc w:val="center"/>
        <w:outlineLvl w:val="1"/>
        <w:rPr>
          <w:sz w:val="30"/>
          <w:szCs w:val="30"/>
        </w:rPr>
      </w:pPr>
      <w:bookmarkStart w:id="17" w:name="_Toc14646"/>
      <w:r>
        <w:rPr>
          <w:b/>
          <w:bCs/>
          <w:spacing w:val="-20"/>
          <w:sz w:val="30"/>
          <w:szCs w:val="30"/>
        </w:rPr>
        <w:t>附件</w:t>
      </w:r>
      <w:r>
        <w:rPr>
          <w:spacing w:val="-40"/>
          <w:sz w:val="30"/>
          <w:szCs w:val="30"/>
        </w:rPr>
        <w:t xml:space="preserve"> </w:t>
      </w:r>
      <w:r>
        <w:rPr>
          <w:b/>
          <w:bCs/>
          <w:spacing w:val="-20"/>
          <w:sz w:val="30"/>
          <w:szCs w:val="30"/>
        </w:rPr>
        <w:t>1：</w:t>
      </w:r>
      <w:r>
        <w:rPr>
          <w:b/>
          <w:bCs/>
          <w:spacing w:val="-5"/>
          <w:sz w:val="30"/>
          <w:szCs w:val="30"/>
        </w:rPr>
        <w:t>投标文件封面格式</w:t>
      </w:r>
      <w:bookmarkEnd w:id="17"/>
    </w:p>
    <w:p w14:paraId="42A6BE78">
      <w:pPr>
        <w:spacing w:line="255" w:lineRule="auto"/>
        <w:rPr>
          <w:rFonts w:ascii="Arial"/>
          <w:sz w:val="21"/>
        </w:rPr>
      </w:pPr>
    </w:p>
    <w:p w14:paraId="048B6A9E">
      <w:pPr>
        <w:spacing w:line="255" w:lineRule="auto"/>
        <w:rPr>
          <w:rFonts w:ascii="Arial"/>
          <w:sz w:val="21"/>
        </w:rPr>
      </w:pPr>
    </w:p>
    <w:p w14:paraId="174A8316">
      <w:pPr>
        <w:pStyle w:val="7"/>
        <w:spacing w:before="231" w:line="225" w:lineRule="auto"/>
        <w:jc w:val="center"/>
        <w:rPr>
          <w:sz w:val="71"/>
          <w:szCs w:val="71"/>
        </w:rPr>
      </w:pPr>
      <w:r>
        <w:rPr>
          <w:b/>
          <w:bCs/>
          <w:spacing w:val="-35"/>
          <w:sz w:val="71"/>
          <w:szCs w:val="71"/>
        </w:rPr>
        <w:t>投</w:t>
      </w:r>
      <w:r>
        <w:rPr>
          <w:spacing w:val="56"/>
          <w:sz w:val="71"/>
          <w:szCs w:val="71"/>
        </w:rPr>
        <w:t xml:space="preserve"> </w:t>
      </w:r>
      <w:r>
        <w:rPr>
          <w:b/>
          <w:bCs/>
          <w:spacing w:val="-35"/>
          <w:sz w:val="71"/>
          <w:szCs w:val="71"/>
        </w:rPr>
        <w:t>标</w:t>
      </w:r>
      <w:r>
        <w:rPr>
          <w:spacing w:val="55"/>
          <w:sz w:val="71"/>
          <w:szCs w:val="71"/>
        </w:rPr>
        <w:t xml:space="preserve"> </w:t>
      </w:r>
      <w:r>
        <w:rPr>
          <w:b/>
          <w:bCs/>
          <w:spacing w:val="-35"/>
          <w:sz w:val="71"/>
          <w:szCs w:val="71"/>
        </w:rPr>
        <w:t>文</w:t>
      </w:r>
      <w:r>
        <w:rPr>
          <w:spacing w:val="57"/>
          <w:sz w:val="71"/>
          <w:szCs w:val="71"/>
        </w:rPr>
        <w:t xml:space="preserve"> </w:t>
      </w:r>
      <w:r>
        <w:rPr>
          <w:b/>
          <w:bCs/>
          <w:spacing w:val="-35"/>
          <w:sz w:val="71"/>
          <w:szCs w:val="71"/>
        </w:rPr>
        <w:t>件</w:t>
      </w:r>
    </w:p>
    <w:p w14:paraId="5C242F1D">
      <w:pPr>
        <w:spacing w:line="255" w:lineRule="auto"/>
        <w:rPr>
          <w:rFonts w:ascii="Arial"/>
          <w:sz w:val="21"/>
        </w:rPr>
      </w:pPr>
    </w:p>
    <w:p w14:paraId="08005C07">
      <w:pPr>
        <w:spacing w:line="255" w:lineRule="auto"/>
        <w:rPr>
          <w:rFonts w:ascii="Arial"/>
          <w:sz w:val="21"/>
        </w:rPr>
      </w:pPr>
    </w:p>
    <w:p w14:paraId="587F233B">
      <w:pPr>
        <w:spacing w:line="256" w:lineRule="auto"/>
        <w:rPr>
          <w:rFonts w:ascii="Arial"/>
          <w:sz w:val="21"/>
        </w:rPr>
      </w:pPr>
    </w:p>
    <w:p w14:paraId="0150F813">
      <w:pPr>
        <w:spacing w:line="256" w:lineRule="auto"/>
        <w:rPr>
          <w:rFonts w:ascii="Arial"/>
          <w:sz w:val="21"/>
        </w:rPr>
      </w:pPr>
    </w:p>
    <w:p w14:paraId="78D11DB1">
      <w:pPr>
        <w:pStyle w:val="7"/>
        <w:spacing w:before="140" w:line="360" w:lineRule="auto"/>
        <w:ind w:firstLine="855" w:firstLineChars="200"/>
        <w:rPr>
          <w:rFonts w:hint="default" w:eastAsia="仿宋"/>
          <w:sz w:val="43"/>
          <w:szCs w:val="43"/>
          <w:u w:val="single"/>
          <w:lang w:val="en-US" w:eastAsia="zh-CN"/>
        </w:rPr>
      </w:pPr>
      <w:r>
        <w:rPr>
          <w:b/>
          <w:bCs/>
          <w:spacing w:val="-2"/>
          <w:sz w:val="43"/>
          <w:szCs w:val="43"/>
        </w:rPr>
        <w:t>项目名称</w:t>
      </w:r>
      <w:r>
        <w:rPr>
          <w:rFonts w:hint="eastAsia"/>
          <w:b/>
          <w:bCs/>
          <w:spacing w:val="-2"/>
          <w:sz w:val="43"/>
          <w:szCs w:val="43"/>
          <w:lang w:eastAsia="zh-CN"/>
        </w:rPr>
        <w:t>：</w:t>
      </w:r>
      <w:r>
        <w:rPr>
          <w:rFonts w:hint="eastAsia"/>
          <w:b/>
          <w:bCs/>
          <w:spacing w:val="-2"/>
          <w:sz w:val="43"/>
          <w:szCs w:val="43"/>
          <w:u w:val="single"/>
          <w:lang w:val="en-US" w:eastAsia="zh-CN"/>
        </w:rPr>
        <w:t xml:space="preserve">                        </w:t>
      </w:r>
    </w:p>
    <w:p w14:paraId="75D56632">
      <w:pPr>
        <w:pStyle w:val="7"/>
        <w:spacing w:before="333" w:line="360" w:lineRule="auto"/>
        <w:ind w:firstLine="859" w:firstLineChars="200"/>
        <w:rPr>
          <w:rFonts w:hint="default" w:eastAsia="仿宋"/>
          <w:sz w:val="43"/>
          <w:szCs w:val="43"/>
          <w:u w:val="single"/>
          <w:lang w:val="en-US" w:eastAsia="zh-CN"/>
        </w:rPr>
      </w:pPr>
      <w:r>
        <w:rPr>
          <w:rFonts w:hint="eastAsia"/>
          <w:b/>
          <w:bCs/>
          <w:spacing w:val="-1"/>
          <w:sz w:val="43"/>
          <w:szCs w:val="43"/>
          <w:lang w:val="en-US" w:eastAsia="zh-CN"/>
        </w:rPr>
        <w:t>项目编码</w:t>
      </w:r>
      <w:r>
        <w:rPr>
          <w:rFonts w:hint="eastAsia"/>
          <w:b/>
          <w:bCs/>
          <w:spacing w:val="-1"/>
          <w:sz w:val="43"/>
          <w:szCs w:val="43"/>
          <w:lang w:eastAsia="zh-CN"/>
        </w:rPr>
        <w:t>：</w:t>
      </w:r>
      <w:r>
        <w:rPr>
          <w:rFonts w:hint="eastAsia"/>
          <w:b/>
          <w:bCs/>
          <w:spacing w:val="-1"/>
          <w:sz w:val="43"/>
          <w:szCs w:val="43"/>
          <w:u w:val="single"/>
          <w:lang w:val="en-US" w:eastAsia="zh-CN"/>
        </w:rPr>
        <w:t xml:space="preserve">                        </w:t>
      </w:r>
    </w:p>
    <w:p w14:paraId="6ABD5F14">
      <w:pPr>
        <w:spacing w:line="268" w:lineRule="auto"/>
        <w:rPr>
          <w:rFonts w:ascii="Arial"/>
          <w:sz w:val="21"/>
        </w:rPr>
      </w:pPr>
    </w:p>
    <w:p w14:paraId="2F4A2804">
      <w:pPr>
        <w:spacing w:line="268" w:lineRule="auto"/>
        <w:rPr>
          <w:rFonts w:ascii="Arial"/>
          <w:sz w:val="21"/>
        </w:rPr>
      </w:pPr>
    </w:p>
    <w:p w14:paraId="3CC6E387">
      <w:pPr>
        <w:spacing w:line="268" w:lineRule="auto"/>
        <w:rPr>
          <w:rFonts w:ascii="Arial"/>
          <w:sz w:val="21"/>
        </w:rPr>
      </w:pPr>
    </w:p>
    <w:p w14:paraId="13BA6BA6">
      <w:pPr>
        <w:spacing w:line="255" w:lineRule="auto"/>
        <w:rPr>
          <w:rFonts w:ascii="Arial"/>
          <w:sz w:val="21"/>
        </w:rPr>
      </w:pPr>
    </w:p>
    <w:p w14:paraId="38DC4CA3">
      <w:pPr>
        <w:spacing w:line="256" w:lineRule="auto"/>
        <w:rPr>
          <w:rFonts w:ascii="Arial"/>
          <w:sz w:val="21"/>
        </w:rPr>
      </w:pPr>
    </w:p>
    <w:p w14:paraId="1AA8D1FF">
      <w:pPr>
        <w:spacing w:line="256" w:lineRule="auto"/>
        <w:rPr>
          <w:rFonts w:ascii="Arial"/>
          <w:sz w:val="21"/>
        </w:rPr>
      </w:pPr>
    </w:p>
    <w:p w14:paraId="3C9C6E09">
      <w:pPr>
        <w:spacing w:line="256" w:lineRule="auto"/>
        <w:rPr>
          <w:rFonts w:ascii="Arial"/>
          <w:sz w:val="21"/>
        </w:rPr>
      </w:pPr>
    </w:p>
    <w:p w14:paraId="5E3CE199">
      <w:pPr>
        <w:pStyle w:val="7"/>
        <w:spacing w:before="98" w:line="222" w:lineRule="auto"/>
        <w:ind w:left="840" w:leftChars="400" w:firstLine="0" w:firstLineChars="0"/>
        <w:rPr>
          <w:sz w:val="30"/>
          <w:szCs w:val="30"/>
        </w:rPr>
      </w:pPr>
      <w:r>
        <w:rPr>
          <w:b/>
          <w:bCs/>
          <w:spacing w:val="-7"/>
          <w:sz w:val="30"/>
          <w:szCs w:val="30"/>
        </w:rPr>
        <w:t>标项</w:t>
      </w:r>
      <w:r>
        <w:rPr>
          <w:rFonts w:hint="eastAsia"/>
          <w:b/>
          <w:bCs/>
          <w:spacing w:val="-7"/>
          <w:sz w:val="30"/>
          <w:szCs w:val="30"/>
          <w:lang w:val="en-US" w:eastAsia="zh-CN"/>
        </w:rPr>
        <w:t>名称</w:t>
      </w:r>
      <w:r>
        <w:rPr>
          <w:b/>
          <w:bCs/>
          <w:spacing w:val="-7"/>
          <w:sz w:val="30"/>
          <w:szCs w:val="30"/>
        </w:rPr>
        <w:t>：</w:t>
      </w:r>
      <w:r>
        <w:rPr>
          <w:sz w:val="30"/>
          <w:szCs w:val="30"/>
          <w:u w:val="single" w:color="auto"/>
        </w:rPr>
        <w:t xml:space="preserve">                       </w:t>
      </w:r>
    </w:p>
    <w:p w14:paraId="3EFB9FA6">
      <w:pPr>
        <w:pStyle w:val="7"/>
        <w:spacing w:before="222" w:line="221" w:lineRule="auto"/>
        <w:ind w:left="840" w:leftChars="400" w:firstLine="0" w:firstLineChars="0"/>
        <w:rPr>
          <w:sz w:val="30"/>
          <w:szCs w:val="30"/>
        </w:rPr>
      </w:pPr>
      <w:r>
        <w:rPr>
          <w:b/>
          <w:bCs/>
          <w:sz w:val="30"/>
          <w:szCs w:val="30"/>
        </w:rPr>
        <w:t>投标人名称</w:t>
      </w:r>
      <w:r>
        <w:rPr>
          <w:b/>
          <w:bCs/>
          <w:spacing w:val="-22"/>
          <w:sz w:val="30"/>
          <w:szCs w:val="30"/>
        </w:rPr>
        <w:t>：</w:t>
      </w:r>
      <w:r>
        <w:rPr>
          <w:sz w:val="30"/>
          <w:szCs w:val="30"/>
          <w:u w:val="single" w:color="auto"/>
        </w:rPr>
        <w:t xml:space="preserve">              </w:t>
      </w:r>
      <w:r>
        <w:rPr>
          <w:b/>
          <w:bCs/>
          <w:spacing w:val="-22"/>
          <w:sz w:val="30"/>
          <w:szCs w:val="30"/>
          <w:u w:val="single" w:color="auto"/>
        </w:rPr>
        <w:t>（</w:t>
      </w:r>
      <w:r>
        <w:rPr>
          <w:b/>
          <w:bCs/>
          <w:sz w:val="30"/>
          <w:szCs w:val="30"/>
          <w:u w:val="single" w:color="auto"/>
        </w:rPr>
        <w:t>公章）</w:t>
      </w:r>
    </w:p>
    <w:p w14:paraId="1A77B519">
      <w:pPr>
        <w:pStyle w:val="7"/>
        <w:spacing w:before="225" w:line="222" w:lineRule="auto"/>
        <w:ind w:left="840" w:leftChars="400" w:firstLine="0" w:firstLineChars="0"/>
        <w:rPr>
          <w:sz w:val="30"/>
          <w:szCs w:val="30"/>
        </w:rPr>
      </w:pPr>
      <w:r>
        <w:rPr>
          <w:b/>
          <w:bCs/>
          <w:spacing w:val="-6"/>
          <w:sz w:val="30"/>
          <w:szCs w:val="30"/>
        </w:rPr>
        <w:t>投标人地址：</w:t>
      </w:r>
      <w:r>
        <w:rPr>
          <w:sz w:val="30"/>
          <w:szCs w:val="30"/>
          <w:u w:val="single" w:color="auto"/>
        </w:rPr>
        <w:t xml:space="preserve">                       </w:t>
      </w:r>
    </w:p>
    <w:p w14:paraId="3FFD98BF">
      <w:pPr>
        <w:pStyle w:val="7"/>
        <w:spacing w:before="225" w:line="222" w:lineRule="auto"/>
        <w:ind w:left="840" w:leftChars="400" w:firstLine="0" w:firstLineChars="0"/>
        <w:rPr>
          <w:sz w:val="30"/>
          <w:szCs w:val="30"/>
        </w:rPr>
      </w:pPr>
      <w:r>
        <w:rPr>
          <w:b/>
          <w:bCs/>
          <w:spacing w:val="-5"/>
          <w:sz w:val="30"/>
          <w:szCs w:val="30"/>
        </w:rPr>
        <w:t>投标人法定代表人或授权代表人（签字或盖章</w:t>
      </w:r>
      <w:r>
        <w:rPr>
          <w:b/>
          <w:bCs/>
          <w:spacing w:val="3"/>
          <w:sz w:val="30"/>
          <w:szCs w:val="30"/>
        </w:rPr>
        <w:t>）：</w:t>
      </w:r>
      <w:r>
        <w:rPr>
          <w:sz w:val="30"/>
          <w:szCs w:val="30"/>
          <w:u w:val="single" w:color="auto"/>
        </w:rPr>
        <w:t xml:space="preserve">                </w:t>
      </w:r>
    </w:p>
    <w:p w14:paraId="598B5E0E">
      <w:pPr>
        <w:pStyle w:val="7"/>
        <w:spacing w:before="222" w:line="223" w:lineRule="auto"/>
        <w:ind w:left="840" w:leftChars="400" w:firstLine="0" w:firstLineChars="0"/>
        <w:rPr>
          <w:sz w:val="30"/>
          <w:szCs w:val="30"/>
        </w:rPr>
      </w:pPr>
      <w:r>
        <w:rPr>
          <w:b/>
          <w:bCs/>
          <w:spacing w:val="-6"/>
          <w:sz w:val="30"/>
          <w:szCs w:val="30"/>
        </w:rPr>
        <w:t>联系电话：</w:t>
      </w:r>
      <w:r>
        <w:rPr>
          <w:sz w:val="30"/>
          <w:szCs w:val="30"/>
          <w:u w:val="single" w:color="auto"/>
        </w:rPr>
        <w:t xml:space="preserve">                         </w:t>
      </w:r>
    </w:p>
    <w:p w14:paraId="2655EDB6">
      <w:pPr>
        <w:pStyle w:val="7"/>
        <w:tabs>
          <w:tab w:val="left" w:pos="5655"/>
        </w:tabs>
        <w:spacing w:before="221" w:line="222" w:lineRule="auto"/>
        <w:ind w:left="855" w:leftChars="0" w:firstLine="4200" w:firstLineChars="1400"/>
        <w:rPr>
          <w:sz w:val="30"/>
          <w:szCs w:val="30"/>
        </w:rPr>
      </w:pPr>
      <w:r>
        <w:rPr>
          <w:sz w:val="30"/>
          <w:szCs w:val="30"/>
          <w:u w:val="single" w:color="auto"/>
        </w:rPr>
        <w:tab/>
      </w:r>
      <w:r>
        <w:rPr>
          <w:spacing w:val="-123"/>
          <w:sz w:val="30"/>
          <w:szCs w:val="30"/>
        </w:rPr>
        <w:t xml:space="preserve"> </w:t>
      </w:r>
      <w:r>
        <w:rPr>
          <w:b/>
          <w:bCs/>
          <w:spacing w:val="-24"/>
          <w:sz w:val="30"/>
          <w:szCs w:val="30"/>
        </w:rPr>
        <w:t>年</w:t>
      </w:r>
      <w:r>
        <w:rPr>
          <w:spacing w:val="-148"/>
          <w:sz w:val="30"/>
          <w:szCs w:val="30"/>
        </w:rPr>
        <w:t xml:space="preserve"> </w:t>
      </w:r>
      <w:r>
        <w:rPr>
          <w:sz w:val="30"/>
          <w:szCs w:val="30"/>
          <w:u w:val="single" w:color="auto"/>
        </w:rPr>
        <w:t xml:space="preserve">  </w:t>
      </w:r>
      <w:r>
        <w:rPr>
          <w:spacing w:val="-115"/>
          <w:sz w:val="30"/>
          <w:szCs w:val="30"/>
        </w:rPr>
        <w:t xml:space="preserve"> </w:t>
      </w:r>
      <w:r>
        <w:rPr>
          <w:b/>
          <w:bCs/>
          <w:spacing w:val="-24"/>
          <w:sz w:val="30"/>
          <w:szCs w:val="30"/>
        </w:rPr>
        <w:t>月</w:t>
      </w:r>
      <w:r>
        <w:rPr>
          <w:spacing w:val="-149"/>
          <w:sz w:val="30"/>
          <w:szCs w:val="30"/>
        </w:rPr>
        <w:t xml:space="preserve"> </w:t>
      </w:r>
      <w:r>
        <w:rPr>
          <w:sz w:val="30"/>
          <w:szCs w:val="30"/>
          <w:u w:val="single" w:color="auto"/>
        </w:rPr>
        <w:t xml:space="preserve">  </w:t>
      </w:r>
      <w:r>
        <w:rPr>
          <w:spacing w:val="-66"/>
          <w:sz w:val="30"/>
          <w:szCs w:val="30"/>
        </w:rPr>
        <w:t xml:space="preserve"> </w:t>
      </w:r>
      <w:r>
        <w:rPr>
          <w:b/>
          <w:bCs/>
          <w:spacing w:val="-24"/>
          <w:sz w:val="30"/>
          <w:szCs w:val="30"/>
        </w:rPr>
        <w:t>日</w:t>
      </w:r>
    </w:p>
    <w:p w14:paraId="03DA9C48">
      <w:pPr>
        <w:spacing w:line="222" w:lineRule="auto"/>
        <w:rPr>
          <w:sz w:val="30"/>
          <w:szCs w:val="30"/>
        </w:rPr>
        <w:sectPr>
          <w:footerReference r:id="rId13" w:type="default"/>
          <w:pgSz w:w="11905" w:h="16838"/>
          <w:pgMar w:top="1440" w:right="1803" w:bottom="1440" w:left="1803" w:header="0" w:footer="975" w:gutter="0"/>
          <w:pgNumType w:fmt="decimal"/>
          <w:cols w:space="0" w:num="1"/>
          <w:rtlGutter w:val="0"/>
          <w:docGrid w:linePitch="0" w:charSpace="0"/>
        </w:sectPr>
      </w:pPr>
    </w:p>
    <w:p w14:paraId="49E68BEC">
      <w:pPr>
        <w:pStyle w:val="7"/>
        <w:spacing w:before="222" w:line="222" w:lineRule="auto"/>
        <w:jc w:val="center"/>
        <w:outlineLvl w:val="1"/>
        <w:rPr>
          <w:sz w:val="30"/>
          <w:szCs w:val="30"/>
        </w:rPr>
      </w:pPr>
      <w:bookmarkStart w:id="18" w:name="_Toc247"/>
      <w:r>
        <w:rPr>
          <w:b/>
          <w:bCs/>
          <w:spacing w:val="-4"/>
          <w:sz w:val="30"/>
          <w:szCs w:val="30"/>
        </w:rPr>
        <w:t>附件</w:t>
      </w:r>
      <w:r>
        <w:rPr>
          <w:spacing w:val="-60"/>
          <w:sz w:val="30"/>
          <w:szCs w:val="30"/>
        </w:rPr>
        <w:t xml:space="preserve"> </w:t>
      </w:r>
      <w:r>
        <w:rPr>
          <w:b/>
          <w:bCs/>
          <w:spacing w:val="-4"/>
          <w:sz w:val="30"/>
          <w:szCs w:val="30"/>
        </w:rPr>
        <w:t>2:</w:t>
      </w:r>
      <w:r>
        <w:rPr>
          <w:rFonts w:hint="eastAsia"/>
          <w:b/>
          <w:bCs/>
          <w:spacing w:val="-4"/>
          <w:sz w:val="30"/>
          <w:szCs w:val="30"/>
          <w:lang w:val="en-US" w:eastAsia="zh-CN"/>
        </w:rPr>
        <w:t xml:space="preserve">  </w:t>
      </w:r>
      <w:r>
        <w:rPr>
          <w:b/>
          <w:bCs/>
          <w:spacing w:val="-16"/>
          <w:sz w:val="30"/>
          <w:szCs w:val="30"/>
        </w:rPr>
        <w:t>投</w:t>
      </w:r>
      <w:r>
        <w:rPr>
          <w:spacing w:val="9"/>
          <w:sz w:val="30"/>
          <w:szCs w:val="30"/>
        </w:rPr>
        <w:t xml:space="preserve"> </w:t>
      </w:r>
      <w:r>
        <w:rPr>
          <w:b/>
          <w:bCs/>
          <w:spacing w:val="-16"/>
          <w:sz w:val="30"/>
          <w:szCs w:val="30"/>
        </w:rPr>
        <w:t>标</w:t>
      </w:r>
      <w:r>
        <w:rPr>
          <w:spacing w:val="24"/>
          <w:sz w:val="30"/>
          <w:szCs w:val="30"/>
        </w:rPr>
        <w:t xml:space="preserve"> </w:t>
      </w:r>
      <w:r>
        <w:rPr>
          <w:b/>
          <w:bCs/>
          <w:spacing w:val="-16"/>
          <w:sz w:val="30"/>
          <w:szCs w:val="30"/>
        </w:rPr>
        <w:t>函</w:t>
      </w:r>
      <w:bookmarkEnd w:id="18"/>
    </w:p>
    <w:p w14:paraId="2B0DE8B4">
      <w:pPr>
        <w:pStyle w:val="7"/>
        <w:spacing w:before="213" w:line="222" w:lineRule="auto"/>
        <w:rPr>
          <w:sz w:val="24"/>
          <w:szCs w:val="24"/>
        </w:rPr>
      </w:pPr>
      <w:r>
        <w:rPr>
          <w:b/>
          <w:bCs/>
          <w:spacing w:val="-2"/>
          <w:sz w:val="24"/>
          <w:szCs w:val="24"/>
        </w:rPr>
        <w:t>致：</w:t>
      </w:r>
      <w:r>
        <w:rPr>
          <w:spacing w:val="-2"/>
          <w:sz w:val="24"/>
          <w:szCs w:val="24"/>
          <w:u w:val="single" w:color="auto"/>
        </w:rPr>
        <w:t>新疆创越咨询管理有限公司</w:t>
      </w:r>
    </w:p>
    <w:p w14:paraId="59A3862A">
      <w:pPr>
        <w:pStyle w:val="7"/>
        <w:spacing w:before="178" w:line="239" w:lineRule="auto"/>
        <w:ind w:firstLine="457"/>
        <w:jc w:val="both"/>
        <w:rPr>
          <w:sz w:val="24"/>
          <w:szCs w:val="24"/>
        </w:rPr>
      </w:pPr>
      <w:r>
        <w:rPr>
          <w:spacing w:val="-1"/>
          <w:sz w:val="24"/>
          <w:szCs w:val="24"/>
        </w:rPr>
        <w:t>根据贵方</w:t>
      </w:r>
      <w:r>
        <w:rPr>
          <w:spacing w:val="-1"/>
          <w:sz w:val="24"/>
          <w:szCs w:val="24"/>
          <w:u w:val="single" w:color="auto"/>
        </w:rPr>
        <w:t xml:space="preserve">                            </w:t>
      </w:r>
      <w:r>
        <w:rPr>
          <w:spacing w:val="-1"/>
          <w:sz w:val="24"/>
          <w:szCs w:val="24"/>
        </w:rPr>
        <w:t>（项目名称、标项名称</w:t>
      </w:r>
      <w:r>
        <w:rPr>
          <w:spacing w:val="-2"/>
          <w:sz w:val="24"/>
          <w:szCs w:val="24"/>
        </w:rPr>
        <w:t>）的招标采购(标项编号:</w:t>
      </w:r>
      <w:r>
        <w:rPr>
          <w:spacing w:val="-2"/>
          <w:sz w:val="24"/>
          <w:szCs w:val="24"/>
          <w:u w:val="single" w:color="auto"/>
        </w:rPr>
        <w:t xml:space="preserve">                  </w:t>
      </w:r>
      <w:r>
        <w:rPr>
          <w:spacing w:val="-92"/>
          <w:sz w:val="24"/>
          <w:szCs w:val="24"/>
        </w:rPr>
        <w:t xml:space="preserve"> </w:t>
      </w:r>
      <w:r>
        <w:rPr>
          <w:spacing w:val="-2"/>
          <w:sz w:val="24"/>
          <w:szCs w:val="24"/>
        </w:rPr>
        <w:t>)，正式授权的下述签字人</w:t>
      </w:r>
      <w:r>
        <w:rPr>
          <w:spacing w:val="-120"/>
          <w:sz w:val="24"/>
          <w:szCs w:val="24"/>
        </w:rPr>
        <w:t xml:space="preserve"> </w:t>
      </w:r>
      <w:r>
        <w:rPr>
          <w:spacing w:val="-2"/>
          <w:sz w:val="24"/>
          <w:szCs w:val="24"/>
          <w:u w:val="single" w:color="auto"/>
        </w:rPr>
        <w:t xml:space="preserve">               </w:t>
      </w:r>
      <w:r>
        <w:rPr>
          <w:spacing w:val="-2"/>
          <w:sz w:val="24"/>
          <w:szCs w:val="24"/>
        </w:rPr>
        <w:t>（姓名和职务）代表投</w:t>
      </w:r>
      <w:r>
        <w:rPr>
          <w:spacing w:val="-1"/>
          <w:sz w:val="24"/>
          <w:szCs w:val="24"/>
        </w:rPr>
        <w:t>标人</w:t>
      </w:r>
      <w:r>
        <w:rPr>
          <w:spacing w:val="-1"/>
          <w:sz w:val="24"/>
          <w:szCs w:val="24"/>
          <w:u w:val="single" w:color="auto"/>
        </w:rPr>
        <w:t xml:space="preserve">                     </w:t>
      </w:r>
      <w:r>
        <w:rPr>
          <w:spacing w:val="-1"/>
          <w:sz w:val="24"/>
          <w:szCs w:val="24"/>
        </w:rPr>
        <w:t>（投</w:t>
      </w:r>
      <w:r>
        <w:rPr>
          <w:spacing w:val="-2"/>
          <w:sz w:val="24"/>
          <w:szCs w:val="24"/>
        </w:rPr>
        <w:t>标人名称</w:t>
      </w:r>
      <w:r>
        <w:rPr>
          <w:spacing w:val="8"/>
          <w:sz w:val="24"/>
          <w:szCs w:val="24"/>
        </w:rPr>
        <w:t>），</w:t>
      </w:r>
      <w:r>
        <w:rPr>
          <w:spacing w:val="-2"/>
          <w:sz w:val="24"/>
          <w:szCs w:val="24"/>
        </w:rPr>
        <w:t>提交招标文件要求投标人提交的全部文件。</w:t>
      </w:r>
    </w:p>
    <w:p w14:paraId="4777F084">
      <w:pPr>
        <w:pStyle w:val="7"/>
        <w:spacing w:line="220" w:lineRule="auto"/>
        <w:ind w:left="481"/>
        <w:rPr>
          <w:sz w:val="24"/>
          <w:szCs w:val="24"/>
        </w:rPr>
      </w:pPr>
      <w:r>
        <w:rPr>
          <w:spacing w:val="-1"/>
          <w:sz w:val="24"/>
          <w:szCs w:val="24"/>
        </w:rPr>
        <w:t>据此函，签字人兹宣布同意如下条款：</w:t>
      </w:r>
    </w:p>
    <w:p w14:paraId="3C3B94EC">
      <w:pPr>
        <w:pStyle w:val="7"/>
        <w:spacing w:before="182" w:line="221" w:lineRule="auto"/>
        <w:ind w:left="220" w:leftChars="0" w:firstLine="0" w:firstLineChars="0"/>
        <w:rPr>
          <w:sz w:val="24"/>
          <w:szCs w:val="24"/>
        </w:rPr>
      </w:pPr>
      <w:r>
        <w:rPr>
          <w:spacing w:val="-2"/>
          <w:sz w:val="24"/>
          <w:szCs w:val="24"/>
        </w:rPr>
        <w:t>(1)我们将按招标文件的规定履行合同责任</w:t>
      </w:r>
      <w:r>
        <w:rPr>
          <w:spacing w:val="-3"/>
          <w:sz w:val="24"/>
          <w:szCs w:val="24"/>
        </w:rPr>
        <w:t>和义务。</w:t>
      </w:r>
    </w:p>
    <w:p w14:paraId="57B99557">
      <w:pPr>
        <w:pStyle w:val="7"/>
        <w:spacing w:before="179" w:line="314" w:lineRule="auto"/>
        <w:ind w:left="0" w:leftChars="0" w:right="30" w:firstLine="220" w:firstLineChars="0"/>
        <w:rPr>
          <w:sz w:val="24"/>
          <w:szCs w:val="24"/>
        </w:rPr>
      </w:pPr>
      <w:r>
        <w:rPr>
          <w:spacing w:val="-3"/>
          <w:sz w:val="24"/>
          <w:szCs w:val="24"/>
        </w:rPr>
        <w:t>(2)我们已详细审查全部招标文件，包括修改意见（如有则附）以及全部参</w:t>
      </w:r>
      <w:r>
        <w:rPr>
          <w:spacing w:val="-4"/>
          <w:sz w:val="24"/>
          <w:szCs w:val="24"/>
        </w:rPr>
        <w:t>考资料和有</w:t>
      </w:r>
      <w:r>
        <w:rPr>
          <w:spacing w:val="1"/>
          <w:sz w:val="24"/>
          <w:szCs w:val="24"/>
        </w:rPr>
        <w:t>关附件。我们完全理解并同意放弃对这方面有不明及误解而要求招标方解释和承担</w:t>
      </w:r>
      <w:r>
        <w:rPr>
          <w:sz w:val="24"/>
          <w:szCs w:val="24"/>
        </w:rPr>
        <w:t>责任的</w:t>
      </w:r>
      <w:r>
        <w:rPr>
          <w:spacing w:val="-6"/>
          <w:sz w:val="24"/>
          <w:szCs w:val="24"/>
        </w:rPr>
        <w:t>权利。</w:t>
      </w:r>
    </w:p>
    <w:p w14:paraId="674F5980">
      <w:pPr>
        <w:pStyle w:val="7"/>
        <w:spacing w:before="176" w:line="290" w:lineRule="auto"/>
        <w:ind w:left="4" w:leftChars="0" w:right="32" w:firstLine="216" w:firstLineChars="0"/>
        <w:rPr>
          <w:sz w:val="24"/>
          <w:szCs w:val="24"/>
        </w:rPr>
      </w:pPr>
      <w:r>
        <w:rPr>
          <w:spacing w:val="-3"/>
          <w:sz w:val="24"/>
          <w:szCs w:val="24"/>
        </w:rPr>
        <w:t>(3)在投标人须知规定的投标有效期内遵循本投标文件，并在投标人须知规</w:t>
      </w:r>
      <w:r>
        <w:rPr>
          <w:spacing w:val="-4"/>
          <w:sz w:val="24"/>
          <w:szCs w:val="24"/>
        </w:rPr>
        <w:t>定的投标有</w:t>
      </w:r>
      <w:r>
        <w:rPr>
          <w:spacing w:val="-2"/>
          <w:sz w:val="24"/>
          <w:szCs w:val="24"/>
        </w:rPr>
        <w:t>效期期满之前具有约束力。</w:t>
      </w:r>
    </w:p>
    <w:p w14:paraId="6DFC7A96">
      <w:pPr>
        <w:pStyle w:val="7"/>
        <w:spacing w:before="180" w:line="219" w:lineRule="auto"/>
        <w:ind w:left="294" w:leftChars="112" w:hanging="59" w:hangingChars="25"/>
        <w:rPr>
          <w:sz w:val="24"/>
          <w:szCs w:val="24"/>
        </w:rPr>
      </w:pPr>
      <w:r>
        <w:rPr>
          <w:spacing w:val="-2"/>
          <w:sz w:val="24"/>
          <w:szCs w:val="24"/>
        </w:rPr>
        <w:t>(4)如果在规定的投标有效期内撤回投标，我们的投标保证金可被贵方没收。</w:t>
      </w:r>
    </w:p>
    <w:p w14:paraId="21FB35CB">
      <w:pPr>
        <w:pStyle w:val="7"/>
        <w:spacing w:before="183" w:line="220" w:lineRule="auto"/>
        <w:ind w:left="294" w:leftChars="112" w:hanging="59" w:hangingChars="25"/>
        <w:rPr>
          <w:sz w:val="24"/>
          <w:szCs w:val="24"/>
        </w:rPr>
      </w:pPr>
      <w:r>
        <w:rPr>
          <w:spacing w:val="-2"/>
          <w:sz w:val="24"/>
          <w:szCs w:val="24"/>
        </w:rPr>
        <w:t>(5)同意提供贵方可能要求的与本投标有关的任何证据或资料。</w:t>
      </w:r>
    </w:p>
    <w:p w14:paraId="1F681817">
      <w:pPr>
        <w:pStyle w:val="7"/>
        <w:spacing w:before="180" w:line="220" w:lineRule="auto"/>
        <w:ind w:left="294" w:leftChars="112" w:hanging="59" w:hangingChars="25"/>
        <w:rPr>
          <w:sz w:val="24"/>
          <w:szCs w:val="24"/>
        </w:rPr>
      </w:pPr>
      <w:r>
        <w:rPr>
          <w:spacing w:val="-2"/>
          <w:sz w:val="24"/>
          <w:szCs w:val="24"/>
        </w:rPr>
        <w:t>(6)我们同意提供按照招标单位可能出示的与其投标有关的一切数据或资料。</w:t>
      </w:r>
    </w:p>
    <w:p w14:paraId="21BAC1CA">
      <w:pPr>
        <w:pStyle w:val="7"/>
        <w:spacing w:before="182" w:line="222" w:lineRule="auto"/>
        <w:ind w:left="294" w:leftChars="112" w:hanging="59" w:hangingChars="25"/>
        <w:rPr>
          <w:sz w:val="24"/>
          <w:szCs w:val="24"/>
        </w:rPr>
      </w:pPr>
      <w:r>
        <w:rPr>
          <w:spacing w:val="-2"/>
          <w:sz w:val="24"/>
          <w:szCs w:val="24"/>
        </w:rPr>
        <w:t>(7)我们理解贵方不一定要接受最低报价的投标或收到的任何投标。</w:t>
      </w:r>
    </w:p>
    <w:p w14:paraId="6CBACE5E">
      <w:pPr>
        <w:pStyle w:val="7"/>
        <w:spacing w:before="177" w:line="222" w:lineRule="auto"/>
        <w:ind w:left="294" w:leftChars="112" w:hanging="59" w:hangingChars="25"/>
        <w:rPr>
          <w:sz w:val="24"/>
          <w:szCs w:val="24"/>
        </w:rPr>
      </w:pPr>
      <w:r>
        <w:rPr>
          <w:spacing w:val="-2"/>
          <w:sz w:val="24"/>
          <w:szCs w:val="24"/>
        </w:rPr>
        <w:t>(8)我方的投标有效期为自投标文件递交截止之日起为</w:t>
      </w:r>
      <w:r>
        <w:rPr>
          <w:spacing w:val="-2"/>
          <w:sz w:val="24"/>
          <w:szCs w:val="24"/>
          <w:u w:val="single" w:color="auto"/>
        </w:rPr>
        <w:t xml:space="preserve">        </w:t>
      </w:r>
      <w:r>
        <w:rPr>
          <w:spacing w:val="-96"/>
          <w:sz w:val="24"/>
          <w:szCs w:val="24"/>
        </w:rPr>
        <w:t xml:space="preserve"> </w:t>
      </w:r>
      <w:r>
        <w:rPr>
          <w:spacing w:val="-2"/>
          <w:sz w:val="24"/>
          <w:szCs w:val="24"/>
        </w:rPr>
        <w:t>个日历天。</w:t>
      </w:r>
    </w:p>
    <w:p w14:paraId="2FC372A7">
      <w:pPr>
        <w:pStyle w:val="7"/>
        <w:spacing w:before="178" w:line="291" w:lineRule="auto"/>
        <w:ind w:left="549" w:leftChars="0" w:right="83" w:hanging="329" w:firstLineChars="0"/>
        <w:rPr>
          <w:sz w:val="24"/>
          <w:szCs w:val="24"/>
        </w:rPr>
      </w:pPr>
      <w:r>
        <w:rPr>
          <w:spacing w:val="-3"/>
          <w:sz w:val="24"/>
          <w:szCs w:val="24"/>
        </w:rPr>
        <w:t>(9)与本投标有关的一切正式往来通讯请寄至：</w:t>
      </w:r>
      <w:r>
        <w:rPr>
          <w:sz w:val="24"/>
          <w:szCs w:val="24"/>
          <w:u w:val="single" w:color="auto"/>
        </w:rPr>
        <w:t xml:space="preserve">                                </w:t>
      </w:r>
      <w:r>
        <w:rPr>
          <w:spacing w:val="-15"/>
          <w:sz w:val="24"/>
          <w:szCs w:val="24"/>
        </w:rPr>
        <w:t>电话：</w:t>
      </w:r>
      <w:r>
        <w:rPr>
          <w:sz w:val="24"/>
          <w:szCs w:val="24"/>
          <w:u w:val="single" w:color="auto"/>
        </w:rPr>
        <w:t xml:space="preserve">                    </w:t>
      </w:r>
    </w:p>
    <w:p w14:paraId="461A4475">
      <w:pPr>
        <w:pStyle w:val="7"/>
        <w:spacing w:before="178" w:line="223" w:lineRule="auto"/>
        <w:ind w:left="483"/>
        <w:rPr>
          <w:sz w:val="24"/>
          <w:szCs w:val="24"/>
        </w:rPr>
      </w:pPr>
      <w:r>
        <w:rPr>
          <w:spacing w:val="-7"/>
          <w:sz w:val="24"/>
          <w:szCs w:val="24"/>
        </w:rPr>
        <w:t>传真：</w:t>
      </w:r>
      <w:r>
        <w:rPr>
          <w:sz w:val="24"/>
          <w:szCs w:val="24"/>
          <w:u w:val="single" w:color="auto"/>
        </w:rPr>
        <w:t xml:space="preserve">                      </w:t>
      </w:r>
    </w:p>
    <w:p w14:paraId="58CEE99C">
      <w:pPr>
        <w:spacing w:line="281" w:lineRule="auto"/>
        <w:rPr>
          <w:rFonts w:ascii="Arial"/>
          <w:sz w:val="21"/>
        </w:rPr>
      </w:pPr>
    </w:p>
    <w:p w14:paraId="6F0677EC">
      <w:pPr>
        <w:spacing w:line="281" w:lineRule="auto"/>
        <w:rPr>
          <w:rFonts w:ascii="Arial"/>
          <w:sz w:val="21"/>
        </w:rPr>
      </w:pPr>
    </w:p>
    <w:p w14:paraId="5C371FDE">
      <w:pPr>
        <w:pStyle w:val="7"/>
        <w:spacing w:before="78" w:line="221" w:lineRule="auto"/>
        <w:ind w:left="479"/>
        <w:rPr>
          <w:sz w:val="24"/>
          <w:szCs w:val="24"/>
        </w:rPr>
      </w:pPr>
      <w:r>
        <w:rPr>
          <w:spacing w:val="-2"/>
          <w:sz w:val="24"/>
          <w:szCs w:val="24"/>
        </w:rPr>
        <w:t>投标人名称（公章</w:t>
      </w:r>
      <w:r>
        <w:rPr>
          <w:sz w:val="24"/>
          <w:szCs w:val="24"/>
        </w:rPr>
        <w:t>）：</w:t>
      </w:r>
      <w:r>
        <w:rPr>
          <w:sz w:val="24"/>
          <w:szCs w:val="24"/>
          <w:u w:val="single" w:color="auto"/>
        </w:rPr>
        <w:t xml:space="preserve">                                  </w:t>
      </w:r>
    </w:p>
    <w:p w14:paraId="7151210D">
      <w:pPr>
        <w:pStyle w:val="7"/>
        <w:spacing w:before="179" w:line="222" w:lineRule="auto"/>
        <w:ind w:left="488"/>
        <w:rPr>
          <w:sz w:val="24"/>
          <w:szCs w:val="24"/>
        </w:rPr>
      </w:pPr>
      <w:r>
        <w:rPr>
          <w:spacing w:val="-2"/>
          <w:sz w:val="24"/>
          <w:szCs w:val="24"/>
        </w:rPr>
        <w:t>法定代表人或授权代表人（签字或盖章</w:t>
      </w:r>
      <w:r>
        <w:rPr>
          <w:spacing w:val="4"/>
          <w:sz w:val="24"/>
          <w:szCs w:val="24"/>
        </w:rPr>
        <w:t>）：</w:t>
      </w:r>
      <w:r>
        <w:rPr>
          <w:sz w:val="24"/>
          <w:szCs w:val="24"/>
          <w:u w:val="single" w:color="auto"/>
        </w:rPr>
        <w:t xml:space="preserve">                    </w:t>
      </w:r>
    </w:p>
    <w:p w14:paraId="3BB06C40">
      <w:pPr>
        <w:pStyle w:val="7"/>
        <w:spacing w:before="179" w:line="222" w:lineRule="auto"/>
        <w:ind w:left="531"/>
        <w:rPr>
          <w:sz w:val="24"/>
          <w:szCs w:val="24"/>
        </w:rPr>
      </w:pPr>
      <w:r>
        <w:rPr>
          <w:spacing w:val="-20"/>
          <w:sz w:val="24"/>
          <w:szCs w:val="24"/>
        </w:rPr>
        <w:t>日期：</w:t>
      </w:r>
      <w:r>
        <w:rPr>
          <w:spacing w:val="13"/>
          <w:sz w:val="24"/>
          <w:szCs w:val="24"/>
          <w:u w:val="single" w:color="auto"/>
        </w:rPr>
        <w:t xml:space="preserve">         </w:t>
      </w:r>
      <w:r>
        <w:rPr>
          <w:spacing w:val="-92"/>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4"/>
          <w:sz w:val="24"/>
          <w:szCs w:val="24"/>
        </w:rPr>
        <w:t xml:space="preserve"> </w:t>
      </w:r>
      <w:r>
        <w:rPr>
          <w:spacing w:val="-20"/>
          <w:sz w:val="24"/>
          <w:szCs w:val="24"/>
        </w:rPr>
        <w:t>日</w:t>
      </w:r>
    </w:p>
    <w:p w14:paraId="0C1BDB82">
      <w:pPr>
        <w:spacing w:line="222" w:lineRule="auto"/>
        <w:rPr>
          <w:sz w:val="24"/>
          <w:szCs w:val="24"/>
        </w:rPr>
        <w:sectPr>
          <w:footerReference r:id="rId14" w:type="default"/>
          <w:pgSz w:w="11905" w:h="16838"/>
          <w:pgMar w:top="1440" w:right="1803" w:bottom="1440" w:left="1803" w:header="0" w:footer="975" w:gutter="0"/>
          <w:pgNumType w:fmt="decimal"/>
          <w:cols w:space="0" w:num="1"/>
          <w:rtlGutter w:val="0"/>
          <w:docGrid w:linePitch="0" w:charSpace="0"/>
        </w:sectPr>
      </w:pPr>
    </w:p>
    <w:p w14:paraId="367EBA05">
      <w:pPr>
        <w:pStyle w:val="7"/>
        <w:spacing w:before="222" w:line="222" w:lineRule="auto"/>
        <w:jc w:val="center"/>
        <w:outlineLvl w:val="1"/>
        <w:rPr>
          <w:sz w:val="30"/>
          <w:szCs w:val="30"/>
        </w:rPr>
      </w:pPr>
      <w:bookmarkStart w:id="19" w:name="_Toc25557"/>
      <w:r>
        <w:rPr>
          <w:b/>
          <w:bCs/>
          <w:spacing w:val="-16"/>
          <w:sz w:val="30"/>
          <w:szCs w:val="30"/>
        </w:rPr>
        <w:t>附件</w:t>
      </w:r>
      <w:r>
        <w:rPr>
          <w:spacing w:val="-56"/>
          <w:sz w:val="30"/>
          <w:szCs w:val="30"/>
        </w:rPr>
        <w:t xml:space="preserve"> </w:t>
      </w:r>
      <w:r>
        <w:rPr>
          <w:b/>
          <w:bCs/>
          <w:spacing w:val="-16"/>
          <w:sz w:val="30"/>
          <w:szCs w:val="30"/>
        </w:rPr>
        <w:t>3：</w:t>
      </w:r>
      <w:r>
        <w:rPr>
          <w:b/>
          <w:bCs/>
          <w:spacing w:val="-6"/>
          <w:sz w:val="30"/>
          <w:szCs w:val="30"/>
        </w:rPr>
        <w:t>法定代表人身份证明</w:t>
      </w:r>
      <w:bookmarkEnd w:id="19"/>
    </w:p>
    <w:p w14:paraId="020F132F">
      <w:pPr>
        <w:pStyle w:val="7"/>
        <w:spacing w:before="61" w:line="222" w:lineRule="auto"/>
        <w:rPr>
          <w:sz w:val="30"/>
          <w:szCs w:val="30"/>
        </w:rPr>
      </w:pPr>
    </w:p>
    <w:p w14:paraId="3C3FD13C">
      <w:pPr>
        <w:pStyle w:val="7"/>
        <w:spacing w:before="213" w:line="221" w:lineRule="auto"/>
        <w:ind w:left="462"/>
        <w:rPr>
          <w:sz w:val="24"/>
          <w:szCs w:val="24"/>
        </w:rPr>
      </w:pPr>
      <w:r>
        <w:rPr>
          <w:spacing w:val="-3"/>
          <w:sz w:val="24"/>
          <w:szCs w:val="24"/>
        </w:rPr>
        <w:t>投标人名称：</w:t>
      </w:r>
    </w:p>
    <w:p w14:paraId="07000720">
      <w:pPr>
        <w:pStyle w:val="7"/>
        <w:spacing w:before="181" w:line="220" w:lineRule="auto"/>
        <w:ind w:left="467"/>
        <w:rPr>
          <w:sz w:val="24"/>
          <w:szCs w:val="24"/>
        </w:rPr>
      </w:pPr>
      <w:r>
        <w:rPr>
          <w:spacing w:val="-5"/>
          <w:sz w:val="24"/>
          <w:szCs w:val="24"/>
        </w:rPr>
        <w:t>单位性质：</w:t>
      </w:r>
    </w:p>
    <w:p w14:paraId="538B2DFF">
      <w:pPr>
        <w:pStyle w:val="7"/>
        <w:spacing w:before="179" w:line="232" w:lineRule="auto"/>
        <w:ind w:left="464"/>
        <w:rPr>
          <w:sz w:val="24"/>
          <w:szCs w:val="24"/>
        </w:rPr>
      </w:pPr>
      <w:r>
        <w:rPr>
          <w:spacing w:val="-6"/>
          <w:sz w:val="24"/>
          <w:szCs w:val="24"/>
        </w:rPr>
        <w:t>地址：</w:t>
      </w:r>
    </w:p>
    <w:p w14:paraId="229B57EE">
      <w:pPr>
        <w:pStyle w:val="7"/>
        <w:spacing w:before="164" w:line="222" w:lineRule="auto"/>
        <w:ind w:left="466"/>
        <w:rPr>
          <w:sz w:val="24"/>
          <w:szCs w:val="24"/>
        </w:rPr>
      </w:pPr>
      <w:r>
        <w:rPr>
          <w:spacing w:val="-9"/>
          <w:sz w:val="24"/>
          <w:szCs w:val="24"/>
        </w:rPr>
        <w:t>成立时间：</w:t>
      </w:r>
      <w:r>
        <w:rPr>
          <w:spacing w:val="12"/>
          <w:sz w:val="24"/>
          <w:szCs w:val="24"/>
        </w:rPr>
        <w:t xml:space="preserve">  </w:t>
      </w:r>
      <w:r>
        <w:rPr>
          <w:spacing w:val="-9"/>
          <w:sz w:val="24"/>
          <w:szCs w:val="24"/>
        </w:rPr>
        <w:t>年</w:t>
      </w:r>
      <w:r>
        <w:rPr>
          <w:spacing w:val="9"/>
          <w:sz w:val="24"/>
          <w:szCs w:val="24"/>
        </w:rPr>
        <w:t xml:space="preserve">   </w:t>
      </w:r>
      <w:r>
        <w:rPr>
          <w:spacing w:val="-9"/>
          <w:sz w:val="24"/>
          <w:szCs w:val="24"/>
        </w:rPr>
        <w:t>月</w:t>
      </w:r>
      <w:r>
        <w:rPr>
          <w:spacing w:val="22"/>
          <w:sz w:val="24"/>
          <w:szCs w:val="24"/>
        </w:rPr>
        <w:t xml:space="preserve">   </w:t>
      </w:r>
      <w:r>
        <w:rPr>
          <w:spacing w:val="-9"/>
          <w:sz w:val="24"/>
          <w:szCs w:val="24"/>
        </w:rPr>
        <w:t>日</w:t>
      </w:r>
    </w:p>
    <w:p w14:paraId="78EBD1D4">
      <w:pPr>
        <w:pStyle w:val="7"/>
        <w:spacing w:before="179" w:line="222" w:lineRule="auto"/>
        <w:ind w:left="463"/>
        <w:rPr>
          <w:sz w:val="24"/>
          <w:szCs w:val="24"/>
        </w:rPr>
      </w:pPr>
      <w:r>
        <w:rPr>
          <w:spacing w:val="-4"/>
          <w:sz w:val="24"/>
          <w:szCs w:val="24"/>
        </w:rPr>
        <w:t>经营期限：</w:t>
      </w:r>
    </w:p>
    <w:p w14:paraId="4437F9EC">
      <w:pPr>
        <w:pStyle w:val="7"/>
        <w:spacing w:before="177" w:line="220" w:lineRule="auto"/>
        <w:ind w:left="463"/>
        <w:rPr>
          <w:sz w:val="24"/>
          <w:szCs w:val="24"/>
        </w:rPr>
      </w:pPr>
      <w:r>
        <w:rPr>
          <w:spacing w:val="-4"/>
          <w:sz w:val="24"/>
          <w:szCs w:val="24"/>
        </w:rPr>
        <w:t>姓名：</w:t>
      </w:r>
      <w:r>
        <w:rPr>
          <w:spacing w:val="6"/>
          <w:sz w:val="24"/>
          <w:szCs w:val="24"/>
        </w:rPr>
        <w:t xml:space="preserve">    </w:t>
      </w:r>
      <w:r>
        <w:rPr>
          <w:spacing w:val="-4"/>
          <w:sz w:val="24"/>
          <w:szCs w:val="24"/>
        </w:rPr>
        <w:t>性别：</w:t>
      </w:r>
      <w:r>
        <w:rPr>
          <w:spacing w:val="5"/>
          <w:sz w:val="24"/>
          <w:szCs w:val="24"/>
        </w:rPr>
        <w:t xml:space="preserve">    </w:t>
      </w:r>
      <w:r>
        <w:rPr>
          <w:spacing w:val="-4"/>
          <w:sz w:val="24"/>
          <w:szCs w:val="24"/>
        </w:rPr>
        <w:t>年龄：    职务：</w:t>
      </w:r>
    </w:p>
    <w:p w14:paraId="600B3268">
      <w:pPr>
        <w:pStyle w:val="7"/>
        <w:spacing w:before="182" w:line="222" w:lineRule="auto"/>
        <w:ind w:left="463"/>
        <w:rPr>
          <w:sz w:val="24"/>
          <w:szCs w:val="24"/>
        </w:rPr>
      </w:pPr>
      <w:r>
        <w:rPr>
          <w:spacing w:val="-3"/>
          <w:sz w:val="24"/>
          <w:szCs w:val="24"/>
        </w:rPr>
        <w:t>身份证号码：</w:t>
      </w:r>
    </w:p>
    <w:p w14:paraId="4FD03B4D">
      <w:pPr>
        <w:pStyle w:val="7"/>
        <w:spacing w:before="179" w:line="221" w:lineRule="auto"/>
        <w:ind w:left="472"/>
        <w:rPr>
          <w:sz w:val="24"/>
          <w:szCs w:val="24"/>
        </w:rPr>
      </w:pPr>
      <w:r>
        <w:rPr>
          <w:spacing w:val="-3"/>
          <w:sz w:val="24"/>
          <w:szCs w:val="24"/>
        </w:rPr>
        <w:t xml:space="preserve">系 </w:t>
      </w:r>
      <w:r>
        <w:rPr>
          <w:spacing w:val="-3"/>
          <w:sz w:val="24"/>
          <w:szCs w:val="24"/>
          <w:u w:val="single" w:color="auto"/>
        </w:rPr>
        <w:t xml:space="preserve">          （</w:t>
      </w:r>
      <w:r>
        <w:rPr>
          <w:spacing w:val="-84"/>
          <w:sz w:val="24"/>
          <w:szCs w:val="24"/>
          <w:u w:val="single" w:color="auto"/>
        </w:rPr>
        <w:t xml:space="preserve"> </w:t>
      </w:r>
      <w:r>
        <w:rPr>
          <w:spacing w:val="-105"/>
          <w:sz w:val="24"/>
          <w:szCs w:val="24"/>
        </w:rPr>
        <w:t xml:space="preserve"> </w:t>
      </w:r>
      <w:r>
        <w:rPr>
          <w:spacing w:val="-3"/>
          <w:sz w:val="24"/>
          <w:szCs w:val="24"/>
        </w:rPr>
        <w:t>投标人名称）的法定代表人。</w:t>
      </w:r>
    </w:p>
    <w:p w14:paraId="04CA58FD">
      <w:pPr>
        <w:pStyle w:val="7"/>
        <w:spacing w:before="178" w:line="224" w:lineRule="auto"/>
        <w:ind w:left="942"/>
        <w:rPr>
          <w:sz w:val="24"/>
          <w:szCs w:val="24"/>
        </w:rPr>
      </w:pPr>
      <w:r>
        <w:rPr>
          <w:spacing w:val="-4"/>
          <w:sz w:val="24"/>
          <w:szCs w:val="24"/>
        </w:rPr>
        <w:t>特此证明。</w:t>
      </w:r>
    </w:p>
    <w:p w14:paraId="438CC69B">
      <w:pPr>
        <w:spacing w:line="358" w:lineRule="auto"/>
        <w:rPr>
          <w:rFonts w:ascii="Arial"/>
          <w:sz w:val="21"/>
        </w:rPr>
      </w:pPr>
    </w:p>
    <w:p w14:paraId="0CA8AC4C">
      <w:pPr>
        <w:spacing w:line="358" w:lineRule="auto"/>
        <w:rPr>
          <w:rFonts w:ascii="Arial"/>
          <w:sz w:val="21"/>
        </w:rPr>
      </w:pPr>
    </w:p>
    <w:p w14:paraId="7827D238">
      <w:pPr>
        <w:pStyle w:val="7"/>
        <w:spacing w:before="79" w:line="221" w:lineRule="auto"/>
        <w:ind w:left="462"/>
        <w:rPr>
          <w:sz w:val="24"/>
          <w:szCs w:val="24"/>
        </w:rPr>
      </w:pPr>
      <w:r>
        <w:rPr>
          <w:spacing w:val="-2"/>
          <w:sz w:val="24"/>
          <w:szCs w:val="24"/>
        </w:rPr>
        <w:t>投标人名称（公章</w:t>
      </w:r>
      <w:r>
        <w:rPr>
          <w:sz w:val="24"/>
          <w:szCs w:val="24"/>
        </w:rPr>
        <w:t>）：</w:t>
      </w:r>
    </w:p>
    <w:p w14:paraId="59F513E7">
      <w:pPr>
        <w:pStyle w:val="7"/>
        <w:spacing w:before="181" w:line="222" w:lineRule="auto"/>
        <w:ind w:left="470"/>
        <w:rPr>
          <w:sz w:val="24"/>
          <w:szCs w:val="24"/>
        </w:rPr>
      </w:pPr>
      <w:r>
        <w:rPr>
          <w:spacing w:val="-3"/>
          <w:sz w:val="24"/>
          <w:szCs w:val="24"/>
        </w:rPr>
        <w:t>法定代表人（签字或盖章</w:t>
      </w:r>
      <w:r>
        <w:rPr>
          <w:spacing w:val="4"/>
          <w:sz w:val="24"/>
          <w:szCs w:val="24"/>
        </w:rPr>
        <w:t>）：</w:t>
      </w:r>
    </w:p>
    <w:p w14:paraId="6C853004">
      <w:pPr>
        <w:pStyle w:val="7"/>
        <w:spacing w:before="177" w:line="222" w:lineRule="auto"/>
        <w:ind w:left="513"/>
        <w:rPr>
          <w:sz w:val="24"/>
          <w:szCs w:val="24"/>
        </w:rPr>
      </w:pPr>
      <w:r>
        <w:rPr>
          <w:spacing w:val="-20"/>
          <w:sz w:val="24"/>
          <w:szCs w:val="24"/>
        </w:rPr>
        <w:t>日期：</w:t>
      </w:r>
      <w:r>
        <w:rPr>
          <w:spacing w:val="25"/>
          <w:sz w:val="24"/>
          <w:szCs w:val="24"/>
        </w:rPr>
        <w:t xml:space="preserve"> </w:t>
      </w:r>
      <w:r>
        <w:rPr>
          <w:spacing w:val="-20"/>
          <w:sz w:val="24"/>
          <w:szCs w:val="24"/>
        </w:rPr>
        <w:t>年</w:t>
      </w:r>
      <w:r>
        <w:rPr>
          <w:spacing w:val="13"/>
          <w:sz w:val="24"/>
          <w:szCs w:val="24"/>
        </w:rPr>
        <w:t xml:space="preserve">  </w:t>
      </w:r>
      <w:r>
        <w:rPr>
          <w:spacing w:val="-20"/>
          <w:sz w:val="24"/>
          <w:szCs w:val="24"/>
        </w:rPr>
        <w:t>月</w:t>
      </w:r>
      <w:r>
        <w:rPr>
          <w:spacing w:val="33"/>
          <w:sz w:val="24"/>
          <w:szCs w:val="24"/>
        </w:rPr>
        <w:t xml:space="preserve">  </w:t>
      </w:r>
      <w:r>
        <w:rPr>
          <w:spacing w:val="-20"/>
          <w:sz w:val="24"/>
          <w:szCs w:val="24"/>
        </w:rPr>
        <w:t>日</w:t>
      </w:r>
    </w:p>
    <w:p w14:paraId="17B1A59F">
      <w:pPr>
        <w:spacing w:line="259" w:lineRule="auto"/>
        <w:rPr>
          <w:rFonts w:ascii="Arial"/>
          <w:sz w:val="21"/>
        </w:rPr>
      </w:pPr>
    </w:p>
    <w:p w14:paraId="4DF340CC">
      <w:pPr>
        <w:spacing w:line="259" w:lineRule="auto"/>
        <w:rPr>
          <w:rFonts w:ascii="Arial"/>
          <w:sz w:val="21"/>
        </w:rPr>
      </w:pPr>
    </w:p>
    <w:p w14:paraId="6A90B6FB">
      <w:pPr>
        <w:spacing w:line="259" w:lineRule="auto"/>
        <w:rPr>
          <w:rFonts w:ascii="Arial"/>
          <w:sz w:val="21"/>
        </w:rPr>
      </w:pPr>
    </w:p>
    <w:p w14:paraId="63247CFC">
      <w:pPr>
        <w:spacing w:line="260" w:lineRule="auto"/>
        <w:rPr>
          <w:rFonts w:ascii="Arial"/>
          <w:sz w:val="21"/>
        </w:rPr>
      </w:pPr>
    </w:p>
    <w:p w14:paraId="274F5947">
      <w:pPr>
        <w:spacing w:line="260" w:lineRule="auto"/>
        <w:rPr>
          <w:rFonts w:ascii="Arial"/>
          <w:sz w:val="21"/>
        </w:rPr>
      </w:pPr>
    </w:p>
    <w:p w14:paraId="43D9BB1A">
      <w:pPr>
        <w:pStyle w:val="7"/>
        <w:spacing w:before="78" w:line="222" w:lineRule="auto"/>
        <w:ind w:left="465"/>
        <w:rPr>
          <w:sz w:val="24"/>
          <w:szCs w:val="24"/>
        </w:rPr>
      </w:pPr>
      <w:r>
        <w:rPr>
          <w:b/>
          <w:bCs/>
          <w:spacing w:val="-3"/>
          <w:sz w:val="24"/>
          <w:szCs w:val="24"/>
        </w:rPr>
        <w:t>备注：1、附法定代表人身份证复印件（正面、反面）。</w:t>
      </w:r>
    </w:p>
    <w:p w14:paraId="7CDADD92">
      <w:pPr>
        <w:spacing w:line="222" w:lineRule="auto"/>
        <w:rPr>
          <w:sz w:val="24"/>
          <w:szCs w:val="24"/>
        </w:rPr>
        <w:sectPr>
          <w:footerReference r:id="rId15" w:type="default"/>
          <w:pgSz w:w="11905" w:h="16838"/>
          <w:pgMar w:top="1440" w:right="1803" w:bottom="1440" w:left="1803" w:header="0" w:footer="975" w:gutter="0"/>
          <w:pgNumType w:fmt="decimal"/>
          <w:cols w:space="0" w:num="1"/>
          <w:rtlGutter w:val="0"/>
          <w:docGrid w:linePitch="0" w:charSpace="0"/>
        </w:sectPr>
      </w:pPr>
    </w:p>
    <w:p w14:paraId="6FC963BD">
      <w:pPr>
        <w:pStyle w:val="7"/>
        <w:spacing w:before="61" w:line="222" w:lineRule="auto"/>
        <w:ind w:left="32"/>
        <w:jc w:val="center"/>
        <w:outlineLvl w:val="1"/>
        <w:rPr>
          <w:sz w:val="30"/>
          <w:szCs w:val="30"/>
        </w:rPr>
      </w:pPr>
      <w:bookmarkStart w:id="20" w:name="_Toc16654"/>
      <w:r>
        <w:rPr>
          <w:b/>
          <w:bCs/>
          <w:spacing w:val="-14"/>
          <w:sz w:val="30"/>
          <w:szCs w:val="30"/>
        </w:rPr>
        <w:t>附件</w:t>
      </w:r>
      <w:r>
        <w:rPr>
          <w:spacing w:val="-64"/>
          <w:sz w:val="30"/>
          <w:szCs w:val="30"/>
        </w:rPr>
        <w:t xml:space="preserve"> </w:t>
      </w:r>
      <w:r>
        <w:rPr>
          <w:b/>
          <w:bCs/>
          <w:spacing w:val="-14"/>
          <w:sz w:val="30"/>
          <w:szCs w:val="30"/>
        </w:rPr>
        <w:t>4：</w:t>
      </w:r>
      <w:r>
        <w:rPr>
          <w:b/>
          <w:bCs/>
          <w:spacing w:val="-7"/>
          <w:sz w:val="30"/>
          <w:szCs w:val="30"/>
        </w:rPr>
        <w:t>授权委托书</w:t>
      </w:r>
      <w:bookmarkEnd w:id="20"/>
    </w:p>
    <w:p w14:paraId="318DC72D">
      <w:pPr>
        <w:spacing w:line="298" w:lineRule="auto"/>
        <w:rPr>
          <w:rFonts w:ascii="Arial"/>
          <w:sz w:val="21"/>
        </w:rPr>
      </w:pPr>
    </w:p>
    <w:p w14:paraId="444EDB62">
      <w:pPr>
        <w:spacing w:line="299" w:lineRule="auto"/>
        <w:rPr>
          <w:rFonts w:ascii="Arial"/>
          <w:sz w:val="21"/>
        </w:rPr>
      </w:pPr>
    </w:p>
    <w:p w14:paraId="532C13C6">
      <w:pPr>
        <w:pStyle w:val="7"/>
        <w:tabs>
          <w:tab w:val="left" w:pos="2998"/>
          <w:tab w:val="left" w:pos="9410"/>
        </w:tabs>
        <w:spacing w:before="78" w:line="359" w:lineRule="auto"/>
        <w:ind w:right="76" w:firstLine="496"/>
        <w:jc w:val="both"/>
        <w:rPr>
          <w:sz w:val="24"/>
          <w:szCs w:val="24"/>
        </w:rPr>
      </w:pPr>
      <w:r>
        <w:rPr>
          <w:sz w:val="24"/>
          <w:szCs w:val="24"/>
        </w:rPr>
        <w:t>本授权委托书声明：我单位的</w:t>
      </w:r>
      <w:r>
        <w:rPr>
          <w:sz w:val="24"/>
          <w:szCs w:val="24"/>
          <w:u w:val="single" w:color="auto"/>
        </w:rPr>
        <w:t xml:space="preserve">              </w:t>
      </w:r>
      <w:r>
        <w:rPr>
          <w:spacing w:val="-1"/>
          <w:sz w:val="24"/>
          <w:szCs w:val="24"/>
          <w:u w:val="single" w:color="auto"/>
        </w:rPr>
        <w:t xml:space="preserve">  </w:t>
      </w:r>
      <w:r>
        <w:rPr>
          <w:spacing w:val="-1"/>
          <w:sz w:val="24"/>
          <w:szCs w:val="24"/>
        </w:rPr>
        <w:t>（法定代表人代表姓名、职务）代表</w:t>
      </w:r>
      <w:r>
        <w:rPr>
          <w:sz w:val="24"/>
          <w:szCs w:val="24"/>
        </w:rPr>
        <w:t>本单位授权</w:t>
      </w:r>
      <w:r>
        <w:rPr>
          <w:sz w:val="24"/>
          <w:szCs w:val="24"/>
          <w:u w:val="single" w:color="auto"/>
        </w:rPr>
        <w:t xml:space="preserve">                </w:t>
      </w:r>
      <w:r>
        <w:rPr>
          <w:sz w:val="24"/>
          <w:szCs w:val="24"/>
        </w:rPr>
        <w:t>（被授权人的姓名、职务）为本单位的合法代理人</w:t>
      </w:r>
      <w:r>
        <w:rPr>
          <w:spacing w:val="-1"/>
          <w:sz w:val="24"/>
          <w:szCs w:val="24"/>
        </w:rPr>
        <w:t>，就</w:t>
      </w:r>
      <w:r>
        <w:rPr>
          <w:sz w:val="24"/>
          <w:szCs w:val="24"/>
          <w:u w:val="single" w:color="auto"/>
        </w:rPr>
        <w:tab/>
      </w:r>
      <w:r>
        <w:rPr>
          <w:spacing w:val="-3"/>
          <w:sz w:val="24"/>
          <w:szCs w:val="24"/>
        </w:rPr>
        <w:t>项目的投标及合同的执行、完成，以本单位的</w:t>
      </w:r>
      <w:r>
        <w:rPr>
          <w:spacing w:val="-4"/>
          <w:sz w:val="24"/>
          <w:szCs w:val="24"/>
        </w:rPr>
        <w:t>名义处理一切与</w:t>
      </w:r>
      <w:r>
        <w:rPr>
          <w:spacing w:val="-1"/>
          <w:sz w:val="24"/>
          <w:szCs w:val="24"/>
        </w:rPr>
        <w:t>之有关的事务。</w:t>
      </w:r>
    </w:p>
    <w:p w14:paraId="049F6685">
      <w:pPr>
        <w:pStyle w:val="7"/>
        <w:spacing w:line="222" w:lineRule="auto"/>
        <w:ind w:left="554"/>
        <w:rPr>
          <w:sz w:val="24"/>
          <w:szCs w:val="24"/>
        </w:rPr>
      </w:pPr>
      <w:r>
        <w:rPr>
          <w:spacing w:val="-4"/>
          <w:sz w:val="24"/>
          <w:szCs w:val="24"/>
        </w:rPr>
        <w:t>本授权书于</w:t>
      </w:r>
      <w:r>
        <w:rPr>
          <w:spacing w:val="-4"/>
          <w:sz w:val="24"/>
          <w:szCs w:val="24"/>
          <w:u w:val="single" w:color="auto"/>
        </w:rPr>
        <w:t xml:space="preserve">       </w:t>
      </w:r>
      <w:r>
        <w:rPr>
          <w:spacing w:val="-99"/>
          <w:sz w:val="24"/>
          <w:szCs w:val="24"/>
        </w:rPr>
        <w:t xml:space="preserve"> </w:t>
      </w:r>
      <w:r>
        <w:rPr>
          <w:spacing w:val="-4"/>
          <w:sz w:val="24"/>
          <w:szCs w:val="24"/>
        </w:rPr>
        <w:t>年</w:t>
      </w:r>
      <w:r>
        <w:rPr>
          <w:spacing w:val="-4"/>
          <w:sz w:val="24"/>
          <w:szCs w:val="24"/>
          <w:u w:val="single" w:color="auto"/>
        </w:rPr>
        <w:t xml:space="preserve">    </w:t>
      </w:r>
      <w:r>
        <w:rPr>
          <w:spacing w:val="-92"/>
          <w:sz w:val="24"/>
          <w:szCs w:val="24"/>
        </w:rPr>
        <w:t xml:space="preserve"> </w:t>
      </w:r>
      <w:r>
        <w:rPr>
          <w:spacing w:val="-4"/>
          <w:sz w:val="24"/>
          <w:szCs w:val="24"/>
        </w:rPr>
        <w:t>月</w:t>
      </w:r>
      <w:r>
        <w:rPr>
          <w:spacing w:val="-4"/>
          <w:sz w:val="24"/>
          <w:szCs w:val="24"/>
          <w:u w:val="single" w:color="auto"/>
        </w:rPr>
        <w:t xml:space="preserve">    </w:t>
      </w:r>
      <w:r>
        <w:rPr>
          <w:spacing w:val="-53"/>
          <w:sz w:val="24"/>
          <w:szCs w:val="24"/>
        </w:rPr>
        <w:t xml:space="preserve"> </w:t>
      </w:r>
      <w:r>
        <w:rPr>
          <w:spacing w:val="-4"/>
          <w:sz w:val="24"/>
          <w:szCs w:val="24"/>
        </w:rPr>
        <w:t>日签字生效，特此声</w:t>
      </w:r>
      <w:r>
        <w:rPr>
          <w:spacing w:val="-5"/>
          <w:sz w:val="24"/>
          <w:szCs w:val="24"/>
        </w:rPr>
        <w:t>明。</w:t>
      </w:r>
    </w:p>
    <w:p w14:paraId="032262F7">
      <w:pPr>
        <w:spacing w:line="282" w:lineRule="auto"/>
        <w:rPr>
          <w:rFonts w:ascii="Arial"/>
          <w:sz w:val="21"/>
        </w:rPr>
      </w:pPr>
    </w:p>
    <w:p w14:paraId="3D825328">
      <w:pPr>
        <w:spacing w:line="283" w:lineRule="auto"/>
        <w:rPr>
          <w:rFonts w:ascii="Arial"/>
          <w:sz w:val="21"/>
        </w:rPr>
      </w:pPr>
    </w:p>
    <w:p w14:paraId="30C9DC55">
      <w:pPr>
        <w:pStyle w:val="7"/>
        <w:spacing w:before="78" w:line="221" w:lineRule="auto"/>
        <w:ind w:left="451"/>
        <w:rPr>
          <w:sz w:val="24"/>
          <w:szCs w:val="24"/>
        </w:rPr>
      </w:pPr>
      <w:r>
        <w:rPr>
          <w:b/>
          <w:bCs/>
          <w:spacing w:val="-4"/>
          <w:sz w:val="24"/>
          <w:szCs w:val="24"/>
        </w:rPr>
        <w:t>投标人名称（公章</w:t>
      </w:r>
      <w:r>
        <w:rPr>
          <w:b/>
          <w:bCs/>
          <w:spacing w:val="-2"/>
          <w:sz w:val="24"/>
          <w:szCs w:val="24"/>
        </w:rPr>
        <w:t>）：</w:t>
      </w:r>
      <w:r>
        <w:rPr>
          <w:sz w:val="24"/>
          <w:szCs w:val="24"/>
          <w:u w:val="single" w:color="auto"/>
        </w:rPr>
        <w:t xml:space="preserve">                           </w:t>
      </w:r>
    </w:p>
    <w:p w14:paraId="1D6B210D">
      <w:pPr>
        <w:pStyle w:val="7"/>
        <w:spacing w:before="299" w:line="222" w:lineRule="auto"/>
        <w:ind w:left="460"/>
        <w:rPr>
          <w:sz w:val="24"/>
          <w:szCs w:val="24"/>
        </w:rPr>
      </w:pPr>
      <w:r>
        <w:rPr>
          <w:b/>
          <w:bCs/>
          <w:spacing w:val="-4"/>
          <w:sz w:val="24"/>
          <w:szCs w:val="24"/>
        </w:rPr>
        <w:t>法定代表人（签字或盖章</w:t>
      </w:r>
      <w:r>
        <w:rPr>
          <w:b/>
          <w:bCs/>
          <w:spacing w:val="-2"/>
          <w:sz w:val="24"/>
          <w:szCs w:val="24"/>
        </w:rPr>
        <w:t>）：</w:t>
      </w:r>
      <w:r>
        <w:rPr>
          <w:sz w:val="24"/>
          <w:szCs w:val="24"/>
          <w:u w:val="single" w:color="auto"/>
        </w:rPr>
        <w:t xml:space="preserve">                             </w:t>
      </w:r>
    </w:p>
    <w:p w14:paraId="693B3106">
      <w:pPr>
        <w:pStyle w:val="7"/>
        <w:spacing w:before="300" w:line="222" w:lineRule="auto"/>
        <w:ind w:left="452"/>
        <w:rPr>
          <w:sz w:val="24"/>
          <w:szCs w:val="24"/>
        </w:rPr>
      </w:pPr>
      <w:r>
        <w:rPr>
          <w:b/>
          <w:bCs/>
          <w:spacing w:val="-4"/>
          <w:sz w:val="24"/>
          <w:szCs w:val="24"/>
        </w:rPr>
        <w:t>授权代表人（签字或盖章</w:t>
      </w:r>
      <w:r>
        <w:rPr>
          <w:b/>
          <w:bCs/>
          <w:spacing w:val="2"/>
          <w:sz w:val="24"/>
          <w:szCs w:val="24"/>
        </w:rPr>
        <w:t>）：</w:t>
      </w:r>
      <w:r>
        <w:rPr>
          <w:sz w:val="24"/>
          <w:szCs w:val="24"/>
          <w:u w:val="single" w:color="auto"/>
        </w:rPr>
        <w:t xml:space="preserve">                   </w:t>
      </w:r>
    </w:p>
    <w:p w14:paraId="4C7DEBD9">
      <w:pPr>
        <w:pStyle w:val="7"/>
        <w:spacing w:before="297" w:line="222" w:lineRule="auto"/>
        <w:ind w:left="503"/>
        <w:rPr>
          <w:sz w:val="24"/>
          <w:szCs w:val="24"/>
        </w:rPr>
      </w:pPr>
      <w:r>
        <w:rPr>
          <w:b/>
          <w:bCs/>
          <w:spacing w:val="-19"/>
          <w:sz w:val="24"/>
          <w:szCs w:val="24"/>
        </w:rPr>
        <w:t>日期：</w:t>
      </w:r>
      <w:r>
        <w:rPr>
          <w:spacing w:val="1"/>
          <w:sz w:val="24"/>
          <w:szCs w:val="24"/>
          <w:u w:val="single" w:color="auto"/>
        </w:rPr>
        <w:t xml:space="preserve">         </w:t>
      </w:r>
      <w:r>
        <w:rPr>
          <w:spacing w:val="-99"/>
          <w:sz w:val="24"/>
          <w:szCs w:val="24"/>
        </w:rPr>
        <w:t xml:space="preserve"> </w:t>
      </w:r>
      <w:r>
        <w:rPr>
          <w:b/>
          <w:bCs/>
          <w:spacing w:val="-19"/>
          <w:sz w:val="24"/>
          <w:szCs w:val="24"/>
        </w:rPr>
        <w:t>年</w:t>
      </w:r>
      <w:r>
        <w:rPr>
          <w:spacing w:val="-19"/>
          <w:sz w:val="24"/>
          <w:szCs w:val="24"/>
        </w:rPr>
        <w:t xml:space="preserve"> </w:t>
      </w:r>
      <w:r>
        <w:rPr>
          <w:sz w:val="24"/>
          <w:szCs w:val="24"/>
          <w:u w:val="single" w:color="auto"/>
        </w:rPr>
        <w:t xml:space="preserve">    </w:t>
      </w:r>
      <w:r>
        <w:rPr>
          <w:spacing w:val="-90"/>
          <w:sz w:val="24"/>
          <w:szCs w:val="24"/>
        </w:rPr>
        <w:t xml:space="preserve"> </w:t>
      </w:r>
      <w:r>
        <w:rPr>
          <w:b/>
          <w:bCs/>
          <w:spacing w:val="-19"/>
          <w:sz w:val="24"/>
          <w:szCs w:val="24"/>
        </w:rPr>
        <w:t>月</w:t>
      </w:r>
      <w:r>
        <w:rPr>
          <w:sz w:val="24"/>
          <w:szCs w:val="24"/>
          <w:u w:val="single" w:color="auto"/>
        </w:rPr>
        <w:t xml:space="preserve">      </w:t>
      </w:r>
      <w:r>
        <w:rPr>
          <w:spacing w:val="-52"/>
          <w:sz w:val="24"/>
          <w:szCs w:val="24"/>
        </w:rPr>
        <w:t xml:space="preserve"> </w:t>
      </w:r>
      <w:r>
        <w:rPr>
          <w:b/>
          <w:bCs/>
          <w:spacing w:val="-19"/>
          <w:sz w:val="24"/>
          <w:szCs w:val="24"/>
        </w:rPr>
        <w:t>日</w:t>
      </w:r>
    </w:p>
    <w:p w14:paraId="20324AC3">
      <w:pPr>
        <w:spacing w:line="249" w:lineRule="auto"/>
        <w:rPr>
          <w:rFonts w:ascii="Arial"/>
          <w:sz w:val="21"/>
        </w:rPr>
      </w:pPr>
    </w:p>
    <w:p w14:paraId="640DEA78">
      <w:pPr>
        <w:spacing w:line="249" w:lineRule="auto"/>
        <w:rPr>
          <w:rFonts w:ascii="Arial"/>
          <w:sz w:val="21"/>
        </w:rPr>
      </w:pPr>
    </w:p>
    <w:p w14:paraId="2AF3903A">
      <w:pPr>
        <w:spacing w:line="249" w:lineRule="auto"/>
        <w:rPr>
          <w:rFonts w:ascii="Arial"/>
          <w:sz w:val="21"/>
        </w:rPr>
      </w:pPr>
    </w:p>
    <w:p w14:paraId="290E7CE1">
      <w:pPr>
        <w:spacing w:line="249" w:lineRule="auto"/>
        <w:rPr>
          <w:rFonts w:ascii="Arial"/>
          <w:sz w:val="21"/>
        </w:rPr>
      </w:pPr>
    </w:p>
    <w:p w14:paraId="62311E5B">
      <w:pPr>
        <w:spacing w:line="249" w:lineRule="auto"/>
        <w:rPr>
          <w:rFonts w:ascii="Arial"/>
          <w:sz w:val="21"/>
        </w:rPr>
      </w:pPr>
    </w:p>
    <w:p w14:paraId="3A52AD06">
      <w:pPr>
        <w:spacing w:line="250" w:lineRule="auto"/>
        <w:rPr>
          <w:rFonts w:ascii="Arial"/>
          <w:sz w:val="21"/>
        </w:rPr>
      </w:pPr>
    </w:p>
    <w:p w14:paraId="600776B2">
      <w:pPr>
        <w:pStyle w:val="7"/>
        <w:spacing w:before="78" w:line="360" w:lineRule="auto"/>
        <w:ind w:left="16" w:firstLine="480"/>
        <w:rPr>
          <w:sz w:val="24"/>
          <w:szCs w:val="24"/>
        </w:rPr>
      </w:pPr>
      <w:r>
        <w:rPr>
          <w:b/>
          <w:bCs/>
          <w:spacing w:val="-9"/>
          <w:sz w:val="24"/>
          <w:szCs w:val="24"/>
        </w:rPr>
        <w:t>备注：1、附法定代表人身份证复印件（正面、反面）和被授权人身份证复印件（正面、反面）</w:t>
      </w:r>
    </w:p>
    <w:p w14:paraId="4AAB05ED">
      <w:pPr>
        <w:pStyle w:val="7"/>
        <w:spacing w:before="49" w:line="222" w:lineRule="auto"/>
        <w:ind w:left="1211"/>
        <w:rPr>
          <w:sz w:val="24"/>
          <w:szCs w:val="24"/>
        </w:rPr>
      </w:pPr>
      <w:r>
        <w:rPr>
          <w:b/>
          <w:bCs/>
          <w:spacing w:val="-3"/>
          <w:sz w:val="24"/>
          <w:szCs w:val="24"/>
        </w:rPr>
        <w:t>2、法定代表人投标时，无需提供此附件。</w:t>
      </w:r>
    </w:p>
    <w:p w14:paraId="07ECC44D">
      <w:pPr>
        <w:spacing w:line="222" w:lineRule="auto"/>
        <w:rPr>
          <w:sz w:val="24"/>
          <w:szCs w:val="24"/>
        </w:rPr>
        <w:sectPr>
          <w:footerReference r:id="rId16" w:type="default"/>
          <w:pgSz w:w="11905" w:h="16838"/>
          <w:pgMar w:top="1440" w:right="1803" w:bottom="1440" w:left="1803" w:header="0" w:footer="975" w:gutter="0"/>
          <w:pgNumType w:fmt="decimal"/>
          <w:cols w:space="0" w:num="1"/>
          <w:rtlGutter w:val="0"/>
          <w:docGrid w:linePitch="0" w:charSpace="0"/>
        </w:sectPr>
      </w:pPr>
    </w:p>
    <w:p w14:paraId="1E76C0B3">
      <w:pPr>
        <w:pStyle w:val="7"/>
        <w:spacing w:before="97" w:line="222" w:lineRule="auto"/>
        <w:jc w:val="center"/>
        <w:outlineLvl w:val="1"/>
        <w:rPr>
          <w:sz w:val="30"/>
          <w:szCs w:val="30"/>
        </w:rPr>
      </w:pPr>
      <w:bookmarkStart w:id="21" w:name="_Toc15196"/>
      <w:r>
        <w:rPr>
          <w:b/>
          <w:bCs/>
          <w:spacing w:val="-16"/>
          <w:sz w:val="30"/>
          <w:szCs w:val="30"/>
        </w:rPr>
        <w:t>附件</w:t>
      </w:r>
      <w:r>
        <w:rPr>
          <w:spacing w:val="-56"/>
          <w:sz w:val="30"/>
          <w:szCs w:val="30"/>
        </w:rPr>
        <w:t xml:space="preserve"> </w:t>
      </w:r>
      <w:r>
        <w:rPr>
          <w:b/>
          <w:bCs/>
          <w:spacing w:val="-16"/>
          <w:sz w:val="30"/>
          <w:szCs w:val="30"/>
        </w:rPr>
        <w:t>5：</w:t>
      </w:r>
      <w:r>
        <w:rPr>
          <w:b/>
          <w:bCs/>
          <w:spacing w:val="-5"/>
          <w:sz w:val="30"/>
          <w:szCs w:val="30"/>
        </w:rPr>
        <w:t>投标人资格证明材料</w:t>
      </w:r>
      <w:bookmarkEnd w:id="21"/>
    </w:p>
    <w:p w14:paraId="673984E2">
      <w:pPr>
        <w:spacing w:line="220" w:lineRule="auto"/>
        <w:jc w:val="center"/>
        <w:outlineLvl w:val="1"/>
        <w:rPr>
          <w:sz w:val="30"/>
          <w:szCs w:val="30"/>
        </w:rPr>
        <w:sectPr>
          <w:footerReference r:id="rId17" w:type="default"/>
          <w:pgSz w:w="11905" w:h="16838"/>
          <w:pgMar w:top="1440" w:right="1803" w:bottom="1440" w:left="1803" w:header="0" w:footer="975" w:gutter="0"/>
          <w:pgNumType w:fmt="decimal"/>
          <w:cols w:space="0" w:num="1"/>
          <w:rtlGutter w:val="0"/>
          <w:docGrid w:linePitch="0" w:charSpace="0"/>
        </w:sectPr>
      </w:pPr>
    </w:p>
    <w:p w14:paraId="10B56E69">
      <w:pPr>
        <w:pStyle w:val="7"/>
        <w:spacing w:before="61" w:line="222" w:lineRule="auto"/>
        <w:ind w:left="220"/>
        <w:jc w:val="center"/>
        <w:outlineLvl w:val="1"/>
        <w:rPr>
          <w:sz w:val="30"/>
          <w:szCs w:val="30"/>
        </w:rPr>
      </w:pPr>
      <w:bookmarkStart w:id="22" w:name="_Toc27699"/>
      <w:r>
        <w:rPr>
          <w:b/>
          <w:bCs/>
          <w:spacing w:val="-15"/>
          <w:sz w:val="30"/>
          <w:szCs w:val="30"/>
        </w:rPr>
        <w:t>附件</w:t>
      </w:r>
      <w:r>
        <w:rPr>
          <w:spacing w:val="-60"/>
          <w:sz w:val="30"/>
          <w:szCs w:val="30"/>
        </w:rPr>
        <w:t xml:space="preserve"> </w:t>
      </w:r>
      <w:r>
        <w:rPr>
          <w:b/>
          <w:bCs/>
          <w:spacing w:val="-15"/>
          <w:sz w:val="30"/>
          <w:szCs w:val="30"/>
        </w:rPr>
        <w:t>6：</w:t>
      </w:r>
      <w:r>
        <w:rPr>
          <w:b/>
          <w:bCs/>
          <w:spacing w:val="-4"/>
          <w:sz w:val="30"/>
          <w:szCs w:val="30"/>
        </w:rPr>
        <w:t>投标报价表（开标一览表）</w:t>
      </w:r>
      <w:bookmarkEnd w:id="22"/>
    </w:p>
    <w:p w14:paraId="0BE7950A">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p>
    <w:p w14:paraId="178A314C">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3C9F1EEF">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项目编号：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5F6F76B">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691A2503">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E09BF29">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574AE16C">
      <w:pPr>
        <w:keepNext w:val="0"/>
        <w:keepLines w:val="0"/>
        <w:pageBreakBefore w:val="0"/>
        <w:widowControl/>
        <w:kinsoku w:val="0"/>
        <w:wordWrap/>
        <w:overflowPunct/>
        <w:topLinePunct w:val="0"/>
        <w:autoSpaceDE w:val="0"/>
        <w:autoSpaceDN w:val="0"/>
        <w:bidi w:val="0"/>
        <w:adjustRightInd w:val="0"/>
        <w:snapToGrid w:val="0"/>
        <w:spacing w:line="240" w:lineRule="auto"/>
        <w:ind w:firstLine="5474" w:firstLineChars="2300"/>
        <w:textAlignment w:val="baseline"/>
      </w:pPr>
      <w:r>
        <w:rPr>
          <w:rFonts w:hint="eastAsia" w:ascii="仿宋" w:hAnsi="仿宋" w:eastAsia="仿宋" w:cs="仿宋"/>
          <w:color w:val="auto"/>
          <w:spacing w:val="-1"/>
          <w:sz w:val="24"/>
          <w:szCs w:val="24"/>
          <w:highlight w:val="none"/>
          <w:lang w:val="en-US" w:eastAsia="zh-CN"/>
        </w:rPr>
        <w:t>价格单位：人民币元</w:t>
      </w:r>
    </w:p>
    <w:tbl>
      <w:tblPr>
        <w:tblStyle w:val="24"/>
        <w:tblpPr w:leftFromText="180" w:rightFromText="180" w:vertAnchor="text" w:horzAnchor="page" w:tblpX="1826" w:tblpY="394"/>
        <w:tblOverlap w:val="never"/>
        <w:tblW w:w="80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5461"/>
      </w:tblGrid>
      <w:tr w14:paraId="1978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2603" w:type="dxa"/>
            <w:vAlign w:val="center"/>
          </w:tcPr>
          <w:p w14:paraId="45622C66">
            <w:pPr>
              <w:pStyle w:val="25"/>
              <w:spacing w:before="177" w:line="224" w:lineRule="auto"/>
              <w:jc w:val="center"/>
            </w:pPr>
            <w:r>
              <w:rPr>
                <w:spacing w:val="-2"/>
              </w:rPr>
              <w:t>投标报价（元）</w:t>
            </w:r>
          </w:p>
        </w:tc>
        <w:tc>
          <w:tcPr>
            <w:tcW w:w="5461" w:type="dxa"/>
            <w:vAlign w:val="top"/>
          </w:tcPr>
          <w:p w14:paraId="30548E17">
            <w:pPr>
              <w:pStyle w:val="25"/>
              <w:spacing w:before="78" w:line="222" w:lineRule="auto"/>
              <w:rPr>
                <w:spacing w:val="-2"/>
              </w:rPr>
            </w:pPr>
          </w:p>
          <w:p w14:paraId="2E2D2710">
            <w:pPr>
              <w:pStyle w:val="25"/>
              <w:spacing w:before="177" w:line="224" w:lineRule="auto"/>
              <w:rPr>
                <w:rFonts w:hint="eastAsia"/>
                <w:spacing w:val="-6"/>
                <w:lang w:val="zh-CN" w:eastAsia="zh-CN"/>
              </w:rPr>
            </w:pPr>
            <w:r>
              <w:rPr>
                <w:rFonts w:hint="eastAsia"/>
                <w:spacing w:val="-6"/>
                <w:lang w:val="zh-CN" w:eastAsia="zh-CN"/>
              </w:rPr>
              <w:t>小写：</w:t>
            </w:r>
          </w:p>
          <w:p w14:paraId="4094024A">
            <w:pPr>
              <w:pStyle w:val="25"/>
              <w:spacing w:before="177" w:line="224" w:lineRule="auto"/>
              <w:rPr>
                <w:rFonts w:hint="eastAsia"/>
                <w:spacing w:val="-6"/>
                <w:lang w:val="zh-CN" w:eastAsia="zh-CN"/>
              </w:rPr>
            </w:pPr>
          </w:p>
          <w:p w14:paraId="55125012">
            <w:pPr>
              <w:pStyle w:val="25"/>
              <w:spacing w:before="177" w:line="224" w:lineRule="auto"/>
              <w:rPr>
                <w:spacing w:val="-6"/>
              </w:rPr>
            </w:pPr>
            <w:r>
              <w:rPr>
                <w:rFonts w:hint="eastAsia"/>
                <w:spacing w:val="-6"/>
                <w:lang w:val="zh-CN" w:eastAsia="zh-CN"/>
              </w:rPr>
              <w:t xml:space="preserve">大写： </w:t>
            </w:r>
          </w:p>
        </w:tc>
      </w:tr>
      <w:tr w14:paraId="7F9B2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603" w:type="dxa"/>
            <w:vAlign w:val="center"/>
          </w:tcPr>
          <w:p w14:paraId="69C0C13E">
            <w:pPr>
              <w:pStyle w:val="25"/>
              <w:spacing w:before="177" w:line="224" w:lineRule="auto"/>
              <w:jc w:val="center"/>
              <w:rPr>
                <w:spacing w:val="-6"/>
              </w:rPr>
            </w:pPr>
            <w:r>
              <w:rPr>
                <w:rFonts w:hint="eastAsia"/>
                <w:spacing w:val="-6"/>
                <w:lang w:val="en-US" w:eastAsia="zh-CN"/>
              </w:rPr>
              <w:t>投标</w:t>
            </w:r>
            <w:r>
              <w:rPr>
                <w:rFonts w:hint="eastAsia"/>
                <w:spacing w:val="-6"/>
                <w:lang w:val="zh-CN" w:eastAsia="zh-CN"/>
              </w:rPr>
              <w:t>保证金</w:t>
            </w:r>
            <w:r>
              <w:rPr>
                <w:rFonts w:hint="eastAsia"/>
                <w:spacing w:val="-6"/>
                <w:lang w:val="en-US" w:eastAsia="zh-CN"/>
              </w:rPr>
              <w:t>金额及形式</w:t>
            </w:r>
          </w:p>
        </w:tc>
        <w:tc>
          <w:tcPr>
            <w:tcW w:w="5461" w:type="dxa"/>
            <w:vAlign w:val="top"/>
          </w:tcPr>
          <w:p w14:paraId="57CBE5B3">
            <w:pPr>
              <w:pStyle w:val="25"/>
              <w:spacing w:before="177" w:line="224" w:lineRule="auto"/>
              <w:rPr>
                <w:rFonts w:hint="eastAsia"/>
                <w:spacing w:val="-6"/>
                <w:lang w:val="en-US" w:eastAsia="zh-CN"/>
              </w:rPr>
            </w:pPr>
          </w:p>
        </w:tc>
      </w:tr>
      <w:tr w14:paraId="4A3A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2603" w:type="dxa"/>
            <w:vAlign w:val="center"/>
          </w:tcPr>
          <w:p w14:paraId="7890A3E8">
            <w:pPr>
              <w:spacing w:line="298" w:lineRule="auto"/>
              <w:jc w:val="center"/>
              <w:rPr>
                <w:rFonts w:ascii="Arial"/>
                <w:sz w:val="21"/>
              </w:rPr>
            </w:pPr>
          </w:p>
          <w:p w14:paraId="5E7E3FA5">
            <w:pPr>
              <w:pStyle w:val="25"/>
              <w:spacing w:before="78" w:line="222" w:lineRule="auto"/>
              <w:ind w:left="133"/>
              <w:jc w:val="center"/>
            </w:pPr>
            <w:r>
              <w:rPr>
                <w:rFonts w:hint="eastAsia" w:ascii="仿宋" w:hAnsi="仿宋" w:eastAsia="仿宋" w:cs="仿宋"/>
                <w:color w:val="auto"/>
                <w:kern w:val="2"/>
                <w:sz w:val="24"/>
                <w:szCs w:val="24"/>
                <w:highlight w:val="none"/>
                <w:lang w:val="en-US" w:eastAsia="zh-CN" w:bidi="ar-SA"/>
              </w:rPr>
              <w:t>供货期限</w:t>
            </w:r>
          </w:p>
        </w:tc>
        <w:tc>
          <w:tcPr>
            <w:tcW w:w="5461" w:type="dxa"/>
            <w:vAlign w:val="top"/>
          </w:tcPr>
          <w:p w14:paraId="31B4149D">
            <w:pPr>
              <w:pStyle w:val="25"/>
              <w:spacing w:before="78" w:line="222" w:lineRule="auto"/>
              <w:ind w:left="133"/>
              <w:rPr>
                <w:spacing w:val="-4"/>
              </w:rPr>
            </w:pPr>
          </w:p>
        </w:tc>
      </w:tr>
      <w:tr w14:paraId="7B12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2603" w:type="dxa"/>
            <w:vAlign w:val="center"/>
          </w:tcPr>
          <w:p w14:paraId="6128E5DC">
            <w:pPr>
              <w:pStyle w:val="25"/>
              <w:spacing w:before="78" w:line="222" w:lineRule="auto"/>
              <w:ind w:left="133"/>
              <w:jc w:val="center"/>
              <w:rPr>
                <w:rFonts w:hint="eastAsia" w:eastAsia="仿宋"/>
                <w:spacing w:val="-4"/>
                <w:lang w:val="en-US" w:eastAsia="zh-CN"/>
              </w:rPr>
            </w:pPr>
            <w:r>
              <w:rPr>
                <w:rFonts w:hint="eastAsia"/>
                <w:spacing w:val="-4"/>
                <w:lang w:val="en-US" w:eastAsia="zh-CN"/>
              </w:rPr>
              <w:t>质保期</w:t>
            </w:r>
          </w:p>
        </w:tc>
        <w:tc>
          <w:tcPr>
            <w:tcW w:w="5461" w:type="dxa"/>
            <w:vAlign w:val="top"/>
          </w:tcPr>
          <w:p w14:paraId="33428527">
            <w:pPr>
              <w:pStyle w:val="25"/>
              <w:spacing w:before="78" w:line="222" w:lineRule="auto"/>
              <w:ind w:left="133"/>
              <w:rPr>
                <w:spacing w:val="-4"/>
              </w:rPr>
            </w:pPr>
          </w:p>
        </w:tc>
      </w:tr>
      <w:tr w14:paraId="1C6D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064" w:type="dxa"/>
            <w:gridSpan w:val="2"/>
            <w:vAlign w:val="center"/>
          </w:tcPr>
          <w:p w14:paraId="6513D758">
            <w:pPr>
              <w:pStyle w:val="25"/>
              <w:spacing w:before="78" w:line="224" w:lineRule="auto"/>
              <w:jc w:val="both"/>
            </w:pPr>
            <w:r>
              <w:rPr>
                <w:spacing w:val="-6"/>
              </w:rPr>
              <w:t>备注：</w:t>
            </w:r>
          </w:p>
        </w:tc>
      </w:tr>
    </w:tbl>
    <w:p w14:paraId="3200AF70">
      <w:pPr>
        <w:spacing w:line="423" w:lineRule="auto"/>
        <w:rPr>
          <w:rFonts w:ascii="Arial"/>
          <w:sz w:val="21"/>
        </w:rPr>
      </w:pPr>
    </w:p>
    <w:p w14:paraId="79A8F3C0">
      <w:pPr>
        <w:pStyle w:val="7"/>
        <w:spacing w:before="78" w:line="359" w:lineRule="auto"/>
        <w:ind w:left="204" w:right="59" w:firstLine="6"/>
        <w:rPr>
          <w:sz w:val="24"/>
          <w:szCs w:val="24"/>
        </w:rPr>
      </w:pPr>
      <w:r>
        <w:rPr>
          <w:spacing w:val="-2"/>
          <w:sz w:val="24"/>
          <w:szCs w:val="24"/>
        </w:rPr>
        <w:t>注：所有报价均被视为已包含完成招标文件全部要求服务所发生</w:t>
      </w:r>
      <w:r>
        <w:rPr>
          <w:spacing w:val="-3"/>
          <w:sz w:val="24"/>
          <w:szCs w:val="24"/>
        </w:rPr>
        <w:t>一切费用和税</w:t>
      </w:r>
      <w:r>
        <w:rPr>
          <w:spacing w:val="-1"/>
          <w:sz w:val="24"/>
          <w:szCs w:val="24"/>
        </w:rPr>
        <w:t>金,是全部工作的价格体现，采购人不再承担任何费用；</w:t>
      </w:r>
    </w:p>
    <w:p w14:paraId="227841F4">
      <w:pPr>
        <w:pStyle w:val="7"/>
        <w:spacing w:before="2" w:line="220" w:lineRule="auto"/>
        <w:ind w:left="203"/>
        <w:rPr>
          <w:spacing w:val="-2"/>
          <w:sz w:val="24"/>
          <w:szCs w:val="24"/>
        </w:rPr>
      </w:pPr>
    </w:p>
    <w:p w14:paraId="10EA7E8F">
      <w:pPr>
        <w:pStyle w:val="7"/>
        <w:spacing w:before="2" w:line="220" w:lineRule="auto"/>
        <w:ind w:left="203"/>
        <w:rPr>
          <w:spacing w:val="-2"/>
          <w:sz w:val="24"/>
          <w:szCs w:val="24"/>
        </w:rPr>
      </w:pPr>
    </w:p>
    <w:p w14:paraId="115FD771">
      <w:pPr>
        <w:pStyle w:val="7"/>
        <w:spacing w:before="2" w:line="220" w:lineRule="auto"/>
        <w:ind w:left="203"/>
        <w:rPr>
          <w:spacing w:val="-2"/>
          <w:sz w:val="24"/>
          <w:szCs w:val="24"/>
        </w:rPr>
      </w:pPr>
    </w:p>
    <w:p w14:paraId="488AF311">
      <w:pPr>
        <w:pStyle w:val="7"/>
        <w:spacing w:before="2" w:line="220" w:lineRule="auto"/>
        <w:ind w:left="203"/>
        <w:rPr>
          <w:sz w:val="24"/>
          <w:szCs w:val="24"/>
        </w:rPr>
      </w:pPr>
      <w:r>
        <w:rPr>
          <w:spacing w:val="-2"/>
          <w:sz w:val="24"/>
          <w:szCs w:val="24"/>
        </w:rPr>
        <w:t>投标人名称（公章</w:t>
      </w:r>
      <w:r>
        <w:rPr>
          <w:spacing w:val="-1"/>
          <w:sz w:val="24"/>
          <w:szCs w:val="24"/>
        </w:rPr>
        <w:t>）：</w:t>
      </w:r>
      <w:r>
        <w:rPr>
          <w:sz w:val="24"/>
          <w:szCs w:val="24"/>
          <w:u w:val="single" w:color="auto"/>
        </w:rPr>
        <w:t xml:space="preserve">                                      </w:t>
      </w:r>
    </w:p>
    <w:p w14:paraId="5F46A70A">
      <w:pPr>
        <w:spacing w:line="283" w:lineRule="auto"/>
        <w:rPr>
          <w:rFonts w:ascii="Arial"/>
          <w:sz w:val="21"/>
        </w:rPr>
      </w:pPr>
    </w:p>
    <w:p w14:paraId="43F759AE">
      <w:pPr>
        <w:pStyle w:val="7"/>
        <w:spacing w:before="78" w:line="222" w:lineRule="auto"/>
        <w:ind w:left="211"/>
        <w:rPr>
          <w:sz w:val="24"/>
          <w:szCs w:val="24"/>
        </w:rPr>
      </w:pPr>
      <w:r>
        <w:rPr>
          <w:spacing w:val="-2"/>
          <w:sz w:val="24"/>
          <w:szCs w:val="24"/>
        </w:rPr>
        <w:t>法定代表人或被授权人（签字或盖章</w:t>
      </w:r>
      <w:r>
        <w:rPr>
          <w:spacing w:val="3"/>
          <w:sz w:val="24"/>
          <w:szCs w:val="24"/>
        </w:rPr>
        <w:t>）：</w:t>
      </w:r>
      <w:r>
        <w:rPr>
          <w:sz w:val="24"/>
          <w:szCs w:val="24"/>
          <w:u w:val="single" w:color="auto"/>
        </w:rPr>
        <w:t xml:space="preserve">                     </w:t>
      </w:r>
    </w:p>
    <w:p w14:paraId="13367A4F">
      <w:pPr>
        <w:spacing w:line="283" w:lineRule="auto"/>
        <w:rPr>
          <w:rFonts w:ascii="Arial"/>
          <w:sz w:val="21"/>
        </w:rPr>
      </w:pPr>
    </w:p>
    <w:p w14:paraId="752DC4DD">
      <w:pPr>
        <w:pStyle w:val="7"/>
        <w:spacing w:before="79" w:line="222" w:lineRule="auto"/>
        <w:ind w:left="254"/>
        <w:rPr>
          <w:sz w:val="24"/>
          <w:szCs w:val="24"/>
        </w:rPr>
      </w:pPr>
      <w:r>
        <w:rPr>
          <w:spacing w:val="-20"/>
          <w:sz w:val="24"/>
          <w:szCs w:val="24"/>
        </w:rPr>
        <w:t>日期：</w:t>
      </w:r>
      <w:r>
        <w:rPr>
          <w:sz w:val="24"/>
          <w:szCs w:val="24"/>
          <w:u w:val="single" w:color="auto"/>
        </w:rPr>
        <w:t xml:space="preserve">      </w:t>
      </w:r>
      <w:r>
        <w:rPr>
          <w:spacing w:val="-95"/>
          <w:sz w:val="24"/>
          <w:szCs w:val="24"/>
        </w:rPr>
        <w:t xml:space="preserve"> </w:t>
      </w:r>
      <w:r>
        <w:rPr>
          <w:spacing w:val="-20"/>
          <w:sz w:val="24"/>
          <w:szCs w:val="24"/>
        </w:rPr>
        <w:t>年</w:t>
      </w:r>
      <w:r>
        <w:rPr>
          <w:spacing w:val="39"/>
          <w:sz w:val="24"/>
          <w:szCs w:val="24"/>
          <w:u w:val="single" w:color="auto"/>
        </w:rPr>
        <w:t xml:space="preserve">   </w:t>
      </w:r>
      <w:r>
        <w:rPr>
          <w:spacing w:val="-90"/>
          <w:sz w:val="24"/>
          <w:szCs w:val="24"/>
        </w:rPr>
        <w:t xml:space="preserve"> </w:t>
      </w:r>
      <w:r>
        <w:rPr>
          <w:spacing w:val="-20"/>
          <w:sz w:val="24"/>
          <w:szCs w:val="24"/>
        </w:rPr>
        <w:t>月</w:t>
      </w:r>
      <w:r>
        <w:rPr>
          <w:spacing w:val="39"/>
          <w:sz w:val="24"/>
          <w:szCs w:val="24"/>
          <w:u w:val="single" w:color="auto"/>
        </w:rPr>
        <w:t xml:space="preserve">   </w:t>
      </w:r>
      <w:r>
        <w:rPr>
          <w:spacing w:val="-50"/>
          <w:sz w:val="24"/>
          <w:szCs w:val="24"/>
        </w:rPr>
        <w:t xml:space="preserve"> </w:t>
      </w:r>
      <w:r>
        <w:rPr>
          <w:spacing w:val="-20"/>
          <w:sz w:val="24"/>
          <w:szCs w:val="24"/>
        </w:rPr>
        <w:t>日</w:t>
      </w:r>
    </w:p>
    <w:p w14:paraId="27D40734">
      <w:pPr>
        <w:spacing w:line="222" w:lineRule="auto"/>
        <w:rPr>
          <w:sz w:val="24"/>
          <w:szCs w:val="24"/>
        </w:rPr>
        <w:sectPr>
          <w:footerReference r:id="rId18" w:type="default"/>
          <w:pgSz w:w="11905" w:h="16838"/>
          <w:pgMar w:top="1440" w:right="1803" w:bottom="1440" w:left="1803" w:header="0" w:footer="975" w:gutter="0"/>
          <w:pgNumType w:fmt="decimal"/>
          <w:cols w:space="0" w:num="1"/>
          <w:rtlGutter w:val="0"/>
          <w:docGrid w:linePitch="0" w:charSpace="0"/>
        </w:sectPr>
      </w:pPr>
    </w:p>
    <w:p w14:paraId="46B8CD6E">
      <w:pPr>
        <w:widowControl w:val="0"/>
        <w:shd w:val="clear" w:color="auto" w:fill="auto"/>
        <w:autoSpaceDE w:val="0"/>
        <w:autoSpaceDN w:val="0"/>
        <w:spacing w:before="159"/>
        <w:ind w:right="-90"/>
        <w:jc w:val="center"/>
        <w:outlineLvl w:val="9"/>
        <w:rPr>
          <w:rFonts w:hint="eastAsia" w:ascii="仿宋" w:hAnsi="仿宋" w:eastAsia="仿宋" w:cs="仿宋"/>
          <w:b/>
          <w:color w:val="auto"/>
          <w:spacing w:val="0"/>
          <w:w w:val="100"/>
          <w:position w:val="0"/>
          <w:sz w:val="32"/>
          <w:szCs w:val="32"/>
          <w:highlight w:val="none"/>
          <w:lang w:val="zh-CN" w:eastAsia="zh-CN" w:bidi="zh-CN"/>
        </w:rPr>
      </w:pPr>
      <w:r>
        <w:rPr>
          <w:rFonts w:hint="eastAsia" w:ascii="仿宋" w:hAnsi="仿宋" w:eastAsia="仿宋" w:cs="仿宋"/>
          <w:b/>
          <w:bCs/>
          <w:spacing w:val="-5"/>
          <w:sz w:val="32"/>
          <w:szCs w:val="32"/>
        </w:rPr>
        <w:t>附录：</w:t>
      </w:r>
      <w:r>
        <w:rPr>
          <w:rFonts w:hint="eastAsia" w:ascii="仿宋" w:hAnsi="仿宋" w:eastAsia="仿宋" w:cs="仿宋"/>
          <w:b/>
          <w:color w:val="auto"/>
          <w:spacing w:val="0"/>
          <w:w w:val="100"/>
          <w:position w:val="0"/>
          <w:sz w:val="32"/>
          <w:szCs w:val="32"/>
          <w:highlight w:val="none"/>
          <w:lang w:val="en-US" w:eastAsia="zh-CN" w:bidi="zh-CN"/>
        </w:rPr>
        <w:t>分项报价表</w:t>
      </w:r>
    </w:p>
    <w:p w14:paraId="26A0CEEA">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宋体" w:hAnsi="宋体" w:eastAsia="宋体" w:cs="宋体"/>
          <w:smallCaps w:val="0"/>
          <w:color w:val="auto"/>
          <w:spacing w:val="0"/>
          <w:position w:val="0"/>
          <w:sz w:val="21"/>
          <w:szCs w:val="21"/>
          <w:highlight w:val="none"/>
          <w:lang w:val="en-US" w:eastAsia="zh-CN" w:bidi="ar-SA"/>
        </w:rPr>
      </w:pPr>
    </w:p>
    <w:p w14:paraId="26C9CD56">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31D378D">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项目编号：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003E483">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41B20942">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140C7D9">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663EF9A3">
      <w:pPr>
        <w:keepNext w:val="0"/>
        <w:keepLines w:val="0"/>
        <w:pageBreakBefore w:val="0"/>
        <w:widowControl w:val="0"/>
        <w:kinsoku/>
        <w:wordWrap/>
        <w:overflowPunct/>
        <w:topLinePunct w:val="0"/>
        <w:autoSpaceDE w:val="0"/>
        <w:autoSpaceDN w:val="0"/>
        <w:bidi w:val="0"/>
        <w:adjustRightInd/>
        <w:snapToGrid/>
        <w:spacing w:line="480" w:lineRule="auto"/>
        <w:ind w:left="0"/>
        <w:jc w:val="right"/>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价格单位：人民币元</w:t>
      </w:r>
    </w:p>
    <w:tbl>
      <w:tblPr>
        <w:tblStyle w:val="19"/>
        <w:tblW w:w="101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10"/>
        <w:gridCol w:w="1590"/>
        <w:gridCol w:w="683"/>
        <w:gridCol w:w="2047"/>
        <w:gridCol w:w="1159"/>
        <w:gridCol w:w="1680"/>
        <w:gridCol w:w="915"/>
        <w:gridCol w:w="981"/>
        <w:gridCol w:w="564"/>
      </w:tblGrid>
      <w:tr w14:paraId="2CB50A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0380FF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26DC224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lang w:val="en-US" w:eastAsia="zh-CN"/>
              </w:rPr>
              <w:t>货物标的</w:t>
            </w:r>
            <w:r>
              <w:rPr>
                <w:rFonts w:hint="eastAsia" w:ascii="仿宋" w:hAnsi="仿宋" w:eastAsia="仿宋" w:cs="仿宋"/>
                <w:b/>
                <w:color w:val="auto"/>
                <w:sz w:val="22"/>
                <w:szCs w:val="21"/>
                <w:highlight w:val="none"/>
              </w:rPr>
              <w:t>名称</w:t>
            </w:r>
          </w:p>
        </w:tc>
        <w:tc>
          <w:tcPr>
            <w:tcW w:w="683" w:type="dxa"/>
            <w:tcBorders>
              <w:top w:val="single" w:color="auto" w:sz="4" w:space="0"/>
              <w:left w:val="single" w:color="auto" w:sz="4" w:space="0"/>
              <w:bottom w:val="single" w:color="auto" w:sz="4" w:space="0"/>
              <w:right w:val="single" w:color="auto" w:sz="4" w:space="0"/>
            </w:tcBorders>
            <w:vAlign w:val="center"/>
          </w:tcPr>
          <w:p w14:paraId="2AC14AB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数量</w:t>
            </w:r>
          </w:p>
        </w:tc>
        <w:tc>
          <w:tcPr>
            <w:tcW w:w="2047" w:type="dxa"/>
            <w:tcBorders>
              <w:top w:val="single" w:color="auto" w:sz="4" w:space="0"/>
              <w:left w:val="single" w:color="auto" w:sz="4" w:space="0"/>
              <w:bottom w:val="single" w:color="auto" w:sz="4" w:space="0"/>
              <w:right w:val="single" w:color="auto" w:sz="4" w:space="0"/>
            </w:tcBorders>
            <w:vAlign w:val="center"/>
          </w:tcPr>
          <w:p w14:paraId="60FA583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型号</w:t>
            </w:r>
            <w:r>
              <w:rPr>
                <w:rFonts w:hint="eastAsia" w:ascii="仿宋" w:hAnsi="仿宋" w:eastAsia="仿宋" w:cs="仿宋"/>
                <w:b/>
                <w:color w:val="auto"/>
                <w:sz w:val="22"/>
                <w:szCs w:val="21"/>
                <w:highlight w:val="none"/>
                <w:lang w:val="en-US" w:eastAsia="zh-CN"/>
              </w:rPr>
              <w:t>或</w:t>
            </w:r>
            <w:r>
              <w:rPr>
                <w:rFonts w:hint="eastAsia" w:ascii="仿宋" w:hAnsi="仿宋" w:eastAsia="仿宋" w:cs="仿宋"/>
                <w:b/>
                <w:color w:val="auto"/>
                <w:sz w:val="22"/>
                <w:szCs w:val="21"/>
                <w:highlight w:val="none"/>
              </w:rPr>
              <w:t>规格</w:t>
            </w:r>
          </w:p>
        </w:tc>
        <w:tc>
          <w:tcPr>
            <w:tcW w:w="1159" w:type="dxa"/>
            <w:tcBorders>
              <w:top w:val="single" w:color="auto" w:sz="4" w:space="0"/>
              <w:left w:val="single" w:color="auto" w:sz="4" w:space="0"/>
              <w:bottom w:val="single" w:color="auto" w:sz="4" w:space="0"/>
              <w:right w:val="single" w:color="auto" w:sz="4" w:space="0"/>
            </w:tcBorders>
            <w:vAlign w:val="center"/>
          </w:tcPr>
          <w:p w14:paraId="38A4E06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lang w:val="en-US"/>
              </w:rPr>
            </w:pPr>
            <w:r>
              <w:rPr>
                <w:rFonts w:hint="eastAsia" w:ascii="仿宋" w:hAnsi="仿宋" w:eastAsia="仿宋" w:cs="仿宋"/>
                <w:b/>
                <w:color w:val="auto"/>
                <w:sz w:val="22"/>
                <w:szCs w:val="21"/>
                <w:highlight w:val="none"/>
                <w:lang w:val="en-US"/>
              </w:rPr>
              <w:t>品牌</w:t>
            </w:r>
          </w:p>
        </w:tc>
        <w:tc>
          <w:tcPr>
            <w:tcW w:w="1680" w:type="dxa"/>
            <w:tcBorders>
              <w:top w:val="single" w:color="auto" w:sz="4" w:space="0"/>
              <w:left w:val="single" w:color="auto" w:sz="4" w:space="0"/>
              <w:bottom w:val="single" w:color="auto" w:sz="4" w:space="0"/>
              <w:right w:val="single" w:color="auto" w:sz="4" w:space="0"/>
            </w:tcBorders>
            <w:vAlign w:val="center"/>
          </w:tcPr>
          <w:p w14:paraId="39350C4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原产地和制造商名称</w:t>
            </w:r>
          </w:p>
        </w:tc>
        <w:tc>
          <w:tcPr>
            <w:tcW w:w="915" w:type="dxa"/>
            <w:tcBorders>
              <w:top w:val="single" w:color="auto" w:sz="4" w:space="0"/>
              <w:left w:val="single" w:color="auto" w:sz="4" w:space="0"/>
              <w:bottom w:val="single" w:color="auto" w:sz="4" w:space="0"/>
              <w:right w:val="single" w:color="auto" w:sz="4" w:space="0"/>
            </w:tcBorders>
            <w:vAlign w:val="center"/>
          </w:tcPr>
          <w:p w14:paraId="23D5FD09">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单价</w:t>
            </w:r>
          </w:p>
        </w:tc>
        <w:tc>
          <w:tcPr>
            <w:tcW w:w="981" w:type="dxa"/>
            <w:tcBorders>
              <w:top w:val="single" w:color="auto" w:sz="4" w:space="0"/>
              <w:left w:val="single" w:color="auto" w:sz="4" w:space="0"/>
              <w:bottom w:val="single" w:color="auto" w:sz="4" w:space="0"/>
              <w:right w:val="single" w:color="auto" w:sz="4" w:space="0"/>
            </w:tcBorders>
            <w:vAlign w:val="center"/>
          </w:tcPr>
          <w:p w14:paraId="2E08D64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分项合计</w:t>
            </w:r>
          </w:p>
        </w:tc>
        <w:tc>
          <w:tcPr>
            <w:tcW w:w="564" w:type="dxa"/>
            <w:tcBorders>
              <w:top w:val="single" w:color="auto" w:sz="4" w:space="0"/>
              <w:left w:val="single" w:color="auto" w:sz="4" w:space="0"/>
              <w:bottom w:val="single" w:color="auto" w:sz="4" w:space="0"/>
              <w:right w:val="single" w:color="auto" w:sz="4" w:space="0"/>
            </w:tcBorders>
            <w:vAlign w:val="center"/>
          </w:tcPr>
          <w:p w14:paraId="5272C90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lang w:val="en-US" w:eastAsia="zh-CN"/>
              </w:rPr>
            </w:pPr>
            <w:r>
              <w:rPr>
                <w:rFonts w:hint="eastAsia" w:ascii="仿宋" w:hAnsi="仿宋" w:eastAsia="仿宋" w:cs="仿宋"/>
                <w:b/>
                <w:color w:val="auto"/>
                <w:sz w:val="22"/>
                <w:szCs w:val="21"/>
                <w:highlight w:val="none"/>
                <w:lang w:val="en-US" w:eastAsia="zh-CN"/>
              </w:rPr>
              <w:t>备注</w:t>
            </w:r>
          </w:p>
        </w:tc>
      </w:tr>
      <w:tr w14:paraId="1A7A10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E7F7B0D">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16CA6E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3F8C49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0C42D05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C6A706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1D2C2AF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5C1240D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9BC56C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49420F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14404D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1F562E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5D4973F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765EAA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35EC66B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572E0D7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49C1791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405BB11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1ED0DF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3ACA8AA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0D23F0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78F882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9D0EA5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C95A96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2C4700E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CFF2BA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5346250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7420C15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BB82B0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383800B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664C12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52269C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1F2B834D">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0ECE12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59564E6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B8F830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3D0AE49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1C273D5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0C2A47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36DB07A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09FE8D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8220A1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52955CF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4E9CC6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3DACFA2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9F167C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28D819D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6D440B6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0F3B76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C0B4CE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66C45E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A144D6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736457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24A4A7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3F5A28D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56B20EE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156AF39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1160BD1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AE5903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F44FD1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50C1DA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70A640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2F4C32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712B57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4A41253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473B259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4CD56F3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0660BC8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27BA82F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614CF83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7C76C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2DF8529">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9AB57C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6D2CAA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3BEDB02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3589203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2ABF3AF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482B4549">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522B2C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2CC63F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0585F3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AF6510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FD1948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D7679A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40077B1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D6E1DD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2518955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309AA11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B8210A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136F19B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2B5698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C0E74B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B740F8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1EFDB2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5A1C36F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43945D3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0201386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04BC509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F994B8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8A2E55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265E5E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0EC100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62537A6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16A681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00DA5D8D">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1FB29F4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146B1D1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0695CFB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699C81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79F13E89">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0DE478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14:paraId="4787EF14">
            <w:pPr>
              <w:pStyle w:val="29"/>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lang w:val="en-US" w:eastAsia="zh-CN"/>
              </w:rPr>
              <w:t>投标</w:t>
            </w:r>
            <w:r>
              <w:rPr>
                <w:rFonts w:hint="eastAsia" w:ascii="仿宋" w:hAnsi="仿宋" w:eastAsia="仿宋" w:cs="仿宋"/>
                <w:color w:val="auto"/>
                <w:sz w:val="22"/>
                <w:szCs w:val="21"/>
                <w:highlight w:val="none"/>
              </w:rPr>
              <w:t>总价</w:t>
            </w:r>
          </w:p>
        </w:tc>
        <w:tc>
          <w:tcPr>
            <w:tcW w:w="981" w:type="dxa"/>
            <w:tcBorders>
              <w:top w:val="single" w:color="auto" w:sz="4" w:space="0"/>
              <w:left w:val="single" w:color="auto" w:sz="4" w:space="0"/>
              <w:bottom w:val="single" w:color="auto" w:sz="4" w:space="0"/>
              <w:right w:val="single" w:color="auto" w:sz="4" w:space="0"/>
            </w:tcBorders>
            <w:vAlign w:val="center"/>
          </w:tcPr>
          <w:p w14:paraId="0F1BB6F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65AAB1C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r>
    </w:tbl>
    <w:p w14:paraId="0DCE368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p>
    <w:p w14:paraId="50F52CF4">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注：</w:t>
      </w:r>
    </w:p>
    <w:p w14:paraId="308ECB45">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1.本表应按标项分别填写。</w:t>
      </w:r>
    </w:p>
    <w:p w14:paraId="3A2BB03F">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2.如果不提供分项报价将视为没有实质性响应招标文件。</w:t>
      </w:r>
    </w:p>
    <w:p w14:paraId="385A64A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3.上述各项的详细规格（如有），可另页描述。</w:t>
      </w:r>
    </w:p>
    <w:p w14:paraId="2C74B634">
      <w:pPr>
        <w:keepNext w:val="0"/>
        <w:keepLines w:val="0"/>
        <w:pageBreakBefore w:val="0"/>
        <w:widowControl/>
        <w:suppressLineNumbers w:val="0"/>
        <w:kinsoku/>
        <w:overflowPunct/>
        <w:topLinePunct w:val="0"/>
        <w:bidi w:val="0"/>
        <w:adjustRightInd/>
        <w:snapToGrid/>
        <w:spacing w:line="288" w:lineRule="auto"/>
        <w:jc w:val="lef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pacing w:val="-1"/>
          <w:sz w:val="24"/>
          <w:szCs w:val="24"/>
          <w:lang w:val="en-US" w:eastAsia="zh-CN"/>
        </w:rPr>
        <w:t>4.</w:t>
      </w:r>
      <w:r>
        <w:rPr>
          <w:rFonts w:hint="eastAsia" w:ascii="仿宋" w:hAnsi="仿宋" w:eastAsia="仿宋" w:cs="仿宋"/>
          <w:b/>
          <w:bCs/>
          <w:color w:val="auto"/>
          <w:sz w:val="24"/>
          <w:szCs w:val="24"/>
          <w:lang w:val="en-US" w:eastAsia="zh-CN"/>
        </w:rPr>
        <w:t>投标单位分项报价必须按照技术参数提供的序号及相对应的货物名称进行逐条报价，如不按顺序或有遗漏或未按数量报价，所造成的后果由投标单位自己承担。</w:t>
      </w:r>
    </w:p>
    <w:p w14:paraId="4957E77F">
      <w:pPr>
        <w:keepNext w:val="0"/>
        <w:keepLines w:val="0"/>
        <w:pageBreakBefore w:val="0"/>
        <w:widowControl w:val="0"/>
        <w:kinsoku/>
        <w:wordWrap/>
        <w:overflowPunct/>
        <w:topLinePunct w:val="0"/>
        <w:autoSpaceDE w:val="0"/>
        <w:autoSpaceDN w:val="0"/>
        <w:bidi w:val="0"/>
        <w:adjustRightInd/>
        <w:snapToGrid/>
        <w:spacing w:line="480" w:lineRule="auto"/>
        <w:ind w:left="0"/>
        <w:jc w:val="both"/>
        <w:textAlignment w:val="auto"/>
        <w:rPr>
          <w:rFonts w:hint="eastAsia" w:ascii="仿宋" w:hAnsi="仿宋" w:eastAsia="仿宋" w:cs="仿宋"/>
          <w:color w:val="auto"/>
          <w:spacing w:val="-1"/>
          <w:sz w:val="24"/>
          <w:szCs w:val="24"/>
          <w:lang w:val="en-US" w:eastAsia="zh-CN"/>
        </w:rPr>
      </w:pPr>
    </w:p>
    <w:p w14:paraId="63E85DA7">
      <w:pPr>
        <w:widowControl w:val="0"/>
        <w:autoSpaceDE w:val="0"/>
        <w:autoSpaceDN w:val="0"/>
        <w:adjustRightInd w:val="0"/>
        <w:spacing w:before="0" w:after="0" w:line="36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2CA1625">
      <w:pPr>
        <w:widowControl w:val="0"/>
        <w:autoSpaceDE w:val="0"/>
        <w:autoSpaceDN w:val="0"/>
        <w:adjustRightInd w:val="0"/>
        <w:spacing w:before="0" w:after="0" w:line="36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u w:val="none"/>
          <w:lang w:val="en-US" w:eastAsia="zh-CN" w:bidi="ar-SA"/>
        </w:rPr>
        <w:t>法定代表人或授权代表（签字或盖章）：</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85EE623">
      <w:pPr>
        <w:widowControl w:val="0"/>
        <w:autoSpaceDE w:val="0"/>
        <w:autoSpaceDN w:val="0"/>
        <w:adjustRightInd w:val="0"/>
        <w:spacing w:before="0" w:after="0" w:line="36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3B7CBEC8">
      <w:pPr>
        <w:pStyle w:val="7"/>
        <w:spacing w:before="61" w:line="222" w:lineRule="auto"/>
        <w:ind w:left="78"/>
        <w:jc w:val="center"/>
        <w:outlineLvl w:val="1"/>
        <w:rPr>
          <w:rFonts w:hint="eastAsia" w:ascii="仿宋" w:hAnsi="仿宋" w:eastAsia="仿宋" w:cs="仿宋"/>
          <w:sz w:val="32"/>
          <w:szCs w:val="32"/>
        </w:rPr>
      </w:pPr>
      <w:bookmarkStart w:id="23" w:name="_Toc14678"/>
      <w:r>
        <w:rPr>
          <w:rFonts w:hint="eastAsia" w:ascii="仿宋" w:hAnsi="仿宋" w:eastAsia="仿宋" w:cs="仿宋"/>
          <w:b/>
          <w:bCs/>
          <w:spacing w:val="-16"/>
          <w:sz w:val="32"/>
          <w:szCs w:val="32"/>
        </w:rPr>
        <w:t>附件</w:t>
      </w:r>
      <w:r>
        <w:rPr>
          <w:rFonts w:hint="eastAsia" w:ascii="仿宋" w:hAnsi="仿宋" w:eastAsia="仿宋" w:cs="仿宋"/>
          <w:spacing w:val="-56"/>
          <w:sz w:val="32"/>
          <w:szCs w:val="32"/>
        </w:rPr>
        <w:t xml:space="preserve"> </w:t>
      </w:r>
      <w:r>
        <w:rPr>
          <w:rFonts w:hint="eastAsia" w:ascii="仿宋" w:hAnsi="仿宋" w:eastAsia="仿宋" w:cs="仿宋"/>
          <w:b/>
          <w:bCs/>
          <w:spacing w:val="-16"/>
          <w:sz w:val="32"/>
          <w:szCs w:val="32"/>
        </w:rPr>
        <w:t>7：</w:t>
      </w: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需求偏离表格式</w:t>
      </w:r>
      <w:bookmarkEnd w:id="23"/>
    </w:p>
    <w:p w14:paraId="5910552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项目名称：</w:t>
      </w:r>
    </w:p>
    <w:p w14:paraId="5A04A9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项目编号：</w:t>
      </w:r>
    </w:p>
    <w:p w14:paraId="041DA4D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标项号：</w:t>
      </w:r>
      <w:r>
        <w:rPr>
          <w:rFonts w:hint="eastAsia" w:ascii="仿宋" w:hAnsi="仿宋" w:eastAsia="仿宋" w:cs="仿宋"/>
          <w:sz w:val="24"/>
          <w:szCs w:val="24"/>
        </w:rPr>
        <w:tab/>
      </w:r>
    </w:p>
    <w:p w14:paraId="10B8A5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标项名称：</w:t>
      </w:r>
    </w:p>
    <w:p w14:paraId="69AB7F4B">
      <w:pPr>
        <w:spacing w:line="222" w:lineRule="auto"/>
        <w:rPr>
          <w:rFonts w:hint="eastAsia" w:ascii="仿宋" w:hAnsi="仿宋" w:eastAsia="仿宋" w:cs="仿宋"/>
          <w:sz w:val="24"/>
          <w:szCs w:val="24"/>
        </w:rPr>
      </w:pP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2743"/>
        <w:gridCol w:w="1978"/>
        <w:gridCol w:w="1258"/>
        <w:gridCol w:w="1531"/>
      </w:tblGrid>
      <w:tr w14:paraId="726E6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31093668">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43" w:type="dxa"/>
            <w:noWrap w:val="0"/>
            <w:vAlign w:val="center"/>
          </w:tcPr>
          <w:p w14:paraId="6FD7A670">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招标</w:t>
            </w:r>
            <w:r>
              <w:rPr>
                <w:rFonts w:hint="eastAsia" w:ascii="仿宋" w:hAnsi="仿宋" w:eastAsia="仿宋" w:cs="仿宋"/>
                <w:sz w:val="24"/>
                <w:szCs w:val="24"/>
              </w:rPr>
              <w:t>文件规定的</w:t>
            </w:r>
            <w:r>
              <w:rPr>
                <w:rFonts w:hint="eastAsia" w:ascii="仿宋" w:hAnsi="仿宋" w:eastAsia="仿宋" w:cs="仿宋"/>
                <w:sz w:val="24"/>
                <w:szCs w:val="24"/>
                <w:lang w:val="en-US" w:eastAsia="zh-CN"/>
              </w:rPr>
              <w:t>采购需求商务技术内容要求</w:t>
            </w:r>
          </w:p>
        </w:tc>
        <w:tc>
          <w:tcPr>
            <w:tcW w:w="1978" w:type="dxa"/>
            <w:noWrap w:val="0"/>
            <w:vAlign w:val="center"/>
          </w:tcPr>
          <w:p w14:paraId="7B418D84">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投标</w:t>
            </w:r>
            <w:r>
              <w:rPr>
                <w:rFonts w:hint="eastAsia" w:ascii="仿宋" w:hAnsi="仿宋" w:eastAsia="仿宋" w:cs="仿宋"/>
                <w:sz w:val="24"/>
                <w:szCs w:val="24"/>
              </w:rPr>
              <w:t>文件响应的具体内容</w:t>
            </w:r>
          </w:p>
        </w:tc>
        <w:tc>
          <w:tcPr>
            <w:tcW w:w="1258" w:type="dxa"/>
            <w:noWrap w:val="0"/>
            <w:vAlign w:val="center"/>
          </w:tcPr>
          <w:p w14:paraId="18389E37">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是否偏离</w:t>
            </w:r>
          </w:p>
        </w:tc>
        <w:tc>
          <w:tcPr>
            <w:tcW w:w="1531" w:type="dxa"/>
            <w:noWrap w:val="0"/>
            <w:vAlign w:val="center"/>
          </w:tcPr>
          <w:p w14:paraId="4CDE4A23">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备注</w:t>
            </w:r>
          </w:p>
        </w:tc>
      </w:tr>
      <w:tr w14:paraId="32D2E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6FC55AE4">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1</w:t>
            </w:r>
          </w:p>
        </w:tc>
        <w:tc>
          <w:tcPr>
            <w:tcW w:w="2743" w:type="dxa"/>
            <w:noWrap w:val="0"/>
            <w:vAlign w:val="center"/>
          </w:tcPr>
          <w:p w14:paraId="4F2FC21E">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25CBDEC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BFABAD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1880095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159E2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22EB992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2</w:t>
            </w:r>
          </w:p>
        </w:tc>
        <w:tc>
          <w:tcPr>
            <w:tcW w:w="2743" w:type="dxa"/>
            <w:noWrap w:val="0"/>
            <w:vAlign w:val="center"/>
          </w:tcPr>
          <w:p w14:paraId="6E5F380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52ACE2AD">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15F6E2E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423D903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77BBD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3F4F07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3</w:t>
            </w:r>
          </w:p>
        </w:tc>
        <w:tc>
          <w:tcPr>
            <w:tcW w:w="2743" w:type="dxa"/>
            <w:noWrap w:val="0"/>
            <w:vAlign w:val="center"/>
          </w:tcPr>
          <w:p w14:paraId="41D0056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6324A814">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303DF84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6474643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247FB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3D8524F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4</w:t>
            </w:r>
          </w:p>
        </w:tc>
        <w:tc>
          <w:tcPr>
            <w:tcW w:w="2743" w:type="dxa"/>
            <w:noWrap w:val="0"/>
            <w:vAlign w:val="center"/>
          </w:tcPr>
          <w:p w14:paraId="3CFF006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77894FC1">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55DA3A4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4765457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3C35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29C9188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5</w:t>
            </w:r>
          </w:p>
        </w:tc>
        <w:tc>
          <w:tcPr>
            <w:tcW w:w="2743" w:type="dxa"/>
            <w:noWrap w:val="0"/>
            <w:vAlign w:val="center"/>
          </w:tcPr>
          <w:p w14:paraId="0D07C51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05D974C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561AEA3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395F3FE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433E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0A60A1ED">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6</w:t>
            </w:r>
          </w:p>
        </w:tc>
        <w:tc>
          <w:tcPr>
            <w:tcW w:w="2743" w:type="dxa"/>
            <w:noWrap w:val="0"/>
            <w:vAlign w:val="center"/>
          </w:tcPr>
          <w:p w14:paraId="67FC8FD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B5B8F8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3EB498D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3290046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FAF3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A2D52E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7</w:t>
            </w:r>
          </w:p>
        </w:tc>
        <w:tc>
          <w:tcPr>
            <w:tcW w:w="2743" w:type="dxa"/>
            <w:noWrap w:val="0"/>
            <w:vAlign w:val="center"/>
          </w:tcPr>
          <w:p w14:paraId="2F3E37BE">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6C30033A">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22F2FB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5072E52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5FD1E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6A6B7971">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8</w:t>
            </w:r>
          </w:p>
        </w:tc>
        <w:tc>
          <w:tcPr>
            <w:tcW w:w="2743" w:type="dxa"/>
            <w:noWrap w:val="0"/>
            <w:vAlign w:val="center"/>
          </w:tcPr>
          <w:p w14:paraId="67114FE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8A201D2">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539F03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0E631E2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07C4C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3F6A77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9</w:t>
            </w:r>
          </w:p>
        </w:tc>
        <w:tc>
          <w:tcPr>
            <w:tcW w:w="2743" w:type="dxa"/>
            <w:noWrap w:val="0"/>
            <w:vAlign w:val="center"/>
          </w:tcPr>
          <w:p w14:paraId="0A860382">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017355A6">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2F3E320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10B24D2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2346E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47F8A01A">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w:t>
            </w:r>
          </w:p>
        </w:tc>
        <w:tc>
          <w:tcPr>
            <w:tcW w:w="2743" w:type="dxa"/>
            <w:noWrap w:val="0"/>
            <w:vAlign w:val="center"/>
          </w:tcPr>
          <w:p w14:paraId="592124A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31F350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6305491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79D8F4A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bl>
    <w:p w14:paraId="05DA5966">
      <w:pPr>
        <w:spacing w:line="222" w:lineRule="auto"/>
        <w:rPr>
          <w:rFonts w:hint="eastAsia" w:ascii="仿宋" w:hAnsi="仿宋" w:eastAsia="仿宋" w:cs="仿宋"/>
          <w:sz w:val="24"/>
          <w:szCs w:val="24"/>
          <w:lang w:val="en-US" w:eastAsia="zh-CN"/>
        </w:rPr>
      </w:pPr>
    </w:p>
    <w:p w14:paraId="4D5BC9F1">
      <w:pPr>
        <w:spacing w:line="222" w:lineRule="auto"/>
        <w:rPr>
          <w:rFonts w:hint="eastAsia" w:ascii="仿宋" w:hAnsi="仿宋" w:eastAsia="仿宋" w:cs="仿宋"/>
          <w:sz w:val="24"/>
          <w:szCs w:val="24"/>
          <w:lang w:val="en-US" w:eastAsia="zh-CN"/>
        </w:rPr>
      </w:pPr>
    </w:p>
    <w:p w14:paraId="2CBFFAFB">
      <w:pPr>
        <w:spacing w:line="222" w:lineRule="auto"/>
        <w:rPr>
          <w:rFonts w:hint="eastAsia" w:ascii="仿宋" w:hAnsi="仿宋" w:eastAsia="仿宋" w:cs="仿宋"/>
          <w:sz w:val="24"/>
          <w:szCs w:val="24"/>
          <w:lang w:val="en-US" w:eastAsia="zh-CN"/>
        </w:rPr>
      </w:pPr>
    </w:p>
    <w:p w14:paraId="78EF1B0C">
      <w:pPr>
        <w:spacing w:line="222" w:lineRule="auto"/>
        <w:rPr>
          <w:rFonts w:hint="eastAsia" w:ascii="仿宋" w:hAnsi="仿宋" w:eastAsia="仿宋" w:cs="仿宋"/>
          <w:sz w:val="24"/>
          <w:szCs w:val="24"/>
          <w:lang w:val="en-US" w:eastAsia="zh-CN"/>
        </w:rPr>
      </w:pPr>
    </w:p>
    <w:p w14:paraId="37357E40">
      <w:pPr>
        <w:spacing w:line="222" w:lineRule="auto"/>
        <w:rPr>
          <w:rFonts w:hint="eastAsia" w:ascii="仿宋" w:hAnsi="仿宋" w:eastAsia="仿宋" w:cs="仿宋"/>
          <w:sz w:val="24"/>
          <w:szCs w:val="24"/>
          <w:lang w:val="en-US" w:eastAsia="zh-CN"/>
        </w:rPr>
      </w:pPr>
    </w:p>
    <w:p w14:paraId="0AF9C491">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42BBF7EB">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u w:val="none"/>
          <w:lang w:val="en-US" w:eastAsia="zh-CN" w:bidi="ar-SA"/>
        </w:rPr>
        <w:t>法定代表人或授权代表（签字或盖章）：</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8D0A6DD">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5D2989E">
      <w:pPr>
        <w:spacing w:line="222"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4E44D50C">
      <w:pPr>
        <w:spacing w:line="222" w:lineRule="auto"/>
        <w:rPr>
          <w:rFonts w:hint="eastAsia" w:ascii="仿宋" w:hAnsi="仿宋" w:eastAsia="仿宋" w:cs="仿宋"/>
          <w:sz w:val="24"/>
          <w:szCs w:val="24"/>
        </w:rPr>
      </w:pPr>
    </w:p>
    <w:p w14:paraId="66F45550">
      <w:pPr>
        <w:spacing w:line="222" w:lineRule="auto"/>
        <w:rPr>
          <w:rFonts w:hint="eastAsia" w:ascii="仿宋" w:hAnsi="仿宋" w:eastAsia="仿宋" w:cs="仿宋"/>
          <w:sz w:val="24"/>
          <w:szCs w:val="24"/>
        </w:rPr>
      </w:pPr>
      <w:r>
        <w:rPr>
          <w:rFonts w:hint="eastAsia" w:ascii="仿宋" w:hAnsi="仿宋" w:eastAsia="仿宋" w:cs="仿宋"/>
          <w:sz w:val="24"/>
          <w:szCs w:val="24"/>
        </w:rPr>
        <w:t>说明：</w:t>
      </w:r>
    </w:p>
    <w:p w14:paraId="2AE0D2D6">
      <w:pPr>
        <w:spacing w:line="222"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1.投标单位</w:t>
      </w:r>
      <w:r>
        <w:rPr>
          <w:rFonts w:hint="eastAsia" w:ascii="仿宋" w:hAnsi="仿宋" w:eastAsia="仿宋" w:cs="仿宋"/>
          <w:sz w:val="24"/>
          <w:szCs w:val="24"/>
        </w:rPr>
        <w:t>应当如实填写上表内容，对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文件提出的要求和条件作出明确响应，</w:t>
      </w:r>
      <w:r>
        <w:rPr>
          <w:rFonts w:hint="eastAsia" w:ascii="仿宋" w:hAnsi="仿宋" w:eastAsia="仿宋" w:cs="仿宋"/>
          <w:sz w:val="24"/>
          <w:szCs w:val="24"/>
          <w:lang w:val="en-US" w:eastAsia="zh-CN"/>
        </w:rPr>
        <w:t>投标单位</w:t>
      </w:r>
      <w:r>
        <w:rPr>
          <w:rFonts w:hint="eastAsia" w:ascii="仿宋" w:hAnsi="仿宋" w:eastAsia="仿宋" w:cs="仿宋"/>
          <w:sz w:val="24"/>
          <w:szCs w:val="24"/>
        </w:rPr>
        <w:t>需要说明的内容若需特殊表达，应先在本表中进行相应说明，再另页应答</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val="en-US" w:eastAsia="zh-CN"/>
        </w:rPr>
        <w:t>除本表所列明的所有偏离外，均视作投标单位已对之理解和响应。此表中若无任何文字说明，内容为空白的，</w:t>
      </w:r>
      <w:r>
        <w:rPr>
          <w:rFonts w:hint="eastAsia" w:ascii="仿宋" w:hAnsi="仿宋" w:eastAsia="仿宋" w:cs="仿宋"/>
          <w:b/>
          <w:bCs/>
          <w:color w:val="auto"/>
          <w:sz w:val="24"/>
          <w:szCs w:val="24"/>
          <w:highlight w:val="none"/>
          <w:lang w:val="en-US" w:eastAsia="zh-CN"/>
        </w:rPr>
        <w:t>响应无效</w:t>
      </w:r>
      <w:r>
        <w:rPr>
          <w:rFonts w:hint="eastAsia" w:ascii="仿宋" w:hAnsi="仿宋" w:eastAsia="仿宋" w:cs="仿宋"/>
          <w:color w:val="auto"/>
          <w:sz w:val="24"/>
          <w:szCs w:val="24"/>
          <w:highlight w:val="none"/>
          <w:lang w:val="en-US" w:eastAsia="zh-CN"/>
        </w:rPr>
        <w:t>。</w:t>
      </w:r>
    </w:p>
    <w:p w14:paraId="0E02FE32">
      <w:pPr>
        <w:spacing w:line="222"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.“是否偏离”项下应按下列规定填写：优于的，填写“正偏离”；符合的，填写“无偏离”；低于的，填写“负偏离”。</w:t>
      </w:r>
    </w:p>
    <w:p w14:paraId="3E847AB8">
      <w:pPr>
        <w:spacing w:line="222" w:lineRule="auto"/>
        <w:rPr>
          <w:rFonts w:hint="eastAsia" w:ascii="仿宋" w:hAnsi="仿宋" w:eastAsia="仿宋" w:cs="仿宋"/>
          <w:sz w:val="24"/>
          <w:szCs w:val="24"/>
        </w:rPr>
        <w:sectPr>
          <w:footerReference r:id="rId19" w:type="default"/>
          <w:pgSz w:w="11905" w:h="16838"/>
          <w:pgMar w:top="1440" w:right="1803" w:bottom="1440" w:left="1803" w:header="0" w:footer="975" w:gutter="0"/>
          <w:pgNumType w:fmt="decimal"/>
          <w:cols w:space="0" w:num="1"/>
          <w:rtlGutter w:val="0"/>
          <w:docGrid w:linePitch="0" w:charSpace="0"/>
        </w:sectPr>
      </w:pPr>
      <w:r>
        <w:rPr>
          <w:rFonts w:hint="eastAsia" w:ascii="仿宋" w:hAnsi="仿宋" w:eastAsia="仿宋" w:cs="仿宋"/>
          <w:sz w:val="24"/>
          <w:szCs w:val="24"/>
          <w:lang w:val="en-US" w:eastAsia="zh-CN"/>
        </w:rPr>
        <w:t>3.</w:t>
      </w:r>
      <w:r>
        <w:rPr>
          <w:rFonts w:hint="eastAsia" w:ascii="仿宋" w:hAnsi="仿宋" w:eastAsia="仿宋" w:cs="仿宋"/>
          <w:sz w:val="24"/>
          <w:szCs w:val="24"/>
        </w:rPr>
        <w:t>“备注”处可填写偏离情况的说明。</w:t>
      </w:r>
    </w:p>
    <w:p w14:paraId="369CE2C0">
      <w:pPr>
        <w:pStyle w:val="7"/>
        <w:spacing w:before="61" w:line="222" w:lineRule="auto"/>
        <w:jc w:val="center"/>
        <w:outlineLvl w:val="1"/>
        <w:rPr>
          <w:b/>
          <w:bCs/>
          <w:sz w:val="30"/>
          <w:szCs w:val="30"/>
        </w:rPr>
      </w:pPr>
      <w:bookmarkStart w:id="24" w:name="_Toc13865"/>
      <w:r>
        <w:rPr>
          <w:b/>
          <w:bCs/>
          <w:spacing w:val="-15"/>
          <w:sz w:val="30"/>
          <w:szCs w:val="30"/>
        </w:rPr>
        <w:t>附件</w:t>
      </w:r>
      <w:r>
        <w:rPr>
          <w:b/>
          <w:bCs/>
          <w:spacing w:val="-60"/>
          <w:sz w:val="30"/>
          <w:szCs w:val="30"/>
        </w:rPr>
        <w:t xml:space="preserve"> </w:t>
      </w:r>
      <w:r>
        <w:rPr>
          <w:rFonts w:hint="eastAsia"/>
          <w:b/>
          <w:bCs/>
          <w:spacing w:val="-60"/>
          <w:sz w:val="30"/>
          <w:szCs w:val="30"/>
          <w:lang w:val="en-US" w:eastAsia="zh-CN"/>
        </w:rPr>
        <w:t>8：</w:t>
      </w:r>
      <w:r>
        <w:rPr>
          <w:b/>
          <w:bCs/>
          <w:spacing w:val="-6"/>
          <w:sz w:val="30"/>
          <w:szCs w:val="30"/>
        </w:rPr>
        <w:t>公司业绩一览表</w:t>
      </w:r>
      <w:bookmarkEnd w:id="24"/>
    </w:p>
    <w:p w14:paraId="61BBEE7C">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项目名称：</w:t>
      </w:r>
    </w:p>
    <w:p w14:paraId="29EA1E50">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auto"/>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eastAsia="zh-CN"/>
        </w:rPr>
        <w:t>项目编号</w:t>
      </w:r>
      <w:r>
        <w:rPr>
          <w:rFonts w:hint="eastAsia" w:ascii="仿宋" w:hAnsi="仿宋" w:eastAsia="仿宋" w:cs="仿宋"/>
          <w:color w:val="auto"/>
          <w:spacing w:val="0"/>
          <w:w w:val="100"/>
          <w:position w:val="0"/>
          <w:sz w:val="24"/>
          <w:szCs w:val="24"/>
          <w:highlight w:val="none"/>
        </w:rPr>
        <w:t>：</w:t>
      </w:r>
    </w:p>
    <w:p w14:paraId="6881DD4E">
      <w:pPr>
        <w:pStyle w:val="18"/>
        <w:keepNext w:val="0"/>
        <w:keepLines w:val="0"/>
        <w:pageBreakBefore w:val="0"/>
        <w:widowControl/>
        <w:wordWrap/>
        <w:overflowPunct/>
        <w:topLinePunct w:val="0"/>
        <w:autoSpaceDE w:val="0"/>
        <w:autoSpaceDN w:val="0"/>
        <w:bidi w:val="0"/>
        <w:adjustRightInd w:val="0"/>
        <w:snapToGrid w:val="0"/>
        <w:spacing w:line="360" w:lineRule="auto"/>
        <w:ind w:left="0" w:leftChars="0" w:right="0" w:firstLine="0" w:firstLineChars="0"/>
        <w:rPr>
          <w:rFonts w:hint="eastAsia" w:ascii="仿宋" w:hAnsi="仿宋" w:eastAsia="仿宋" w:cs="仿宋"/>
          <w:sz w:val="24"/>
          <w:szCs w:val="24"/>
          <w:lang w:val="en-US" w:eastAsia="zh-CN"/>
        </w:rPr>
      </w:pPr>
      <w:r>
        <w:rPr>
          <w:rFonts w:hint="eastAsia" w:ascii="仿宋" w:hAnsi="仿宋" w:eastAsia="仿宋" w:cs="仿宋"/>
          <w:color w:val="auto"/>
          <w:spacing w:val="0"/>
          <w:w w:val="100"/>
          <w:position w:val="0"/>
          <w:sz w:val="24"/>
          <w:szCs w:val="24"/>
          <w:highlight w:val="none"/>
          <w:lang w:val="en-US" w:eastAsia="zh-CN"/>
        </w:rPr>
        <w:t>标项名称：</w:t>
      </w:r>
    </w:p>
    <w:p w14:paraId="09F1E47E">
      <w:pPr>
        <w:pStyle w:val="7"/>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mc:AlternateContent>
          <mc:Choice Requires="wps">
            <w:drawing>
              <wp:anchor distT="0" distB="0" distL="114300" distR="114300" simplePos="0" relativeHeight="251662336" behindDoc="0" locked="0" layoutInCell="1" allowOverlap="1">
                <wp:simplePos x="0" y="0"/>
                <wp:positionH relativeFrom="page">
                  <wp:posOffset>881380</wp:posOffset>
                </wp:positionH>
                <wp:positionV relativeFrom="paragraph">
                  <wp:posOffset>41275</wp:posOffset>
                </wp:positionV>
                <wp:extent cx="5971540" cy="2319655"/>
                <wp:effectExtent l="0" t="0" r="0" b="0"/>
                <wp:wrapNone/>
                <wp:docPr id="1031" name="矩形 1031"/>
                <wp:cNvGraphicFramePr/>
                <a:graphic xmlns:a="http://schemas.openxmlformats.org/drawingml/2006/main">
                  <a:graphicData uri="http://schemas.microsoft.com/office/word/2010/wordprocessingShape">
                    <wps:wsp>
                      <wps:cNvSpPr/>
                      <wps:spPr>
                        <a:xfrm>
                          <a:off x="0" y="0"/>
                          <a:ext cx="5971540" cy="2319655"/>
                        </a:xfrm>
                        <a:prstGeom prst="rect">
                          <a:avLst/>
                        </a:prstGeom>
                        <a:noFill/>
                        <a:ln>
                          <a:noFill/>
                        </a:ln>
                        <a:effectLst/>
                      </wps:spPr>
                      <wps:txbx>
                        <w:txbxContent>
                          <w:tbl>
                            <w:tblPr>
                              <w:tblStyle w:val="19"/>
                              <w:tblW w:w="918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1365"/>
                              <w:gridCol w:w="1629"/>
                              <w:gridCol w:w="1095"/>
                              <w:gridCol w:w="1080"/>
                              <w:gridCol w:w="1175"/>
                              <w:gridCol w:w="1255"/>
                              <w:gridCol w:w="855"/>
                            </w:tblGrid>
                            <w:tr w14:paraId="5C187E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726" w:type="dxa"/>
                                  <w:tcBorders>
                                    <w:top w:val="single" w:color="auto" w:sz="4" w:space="0"/>
                                    <w:left w:val="single" w:color="auto" w:sz="4" w:space="0"/>
                                    <w:bottom w:val="single" w:color="auto" w:sz="4" w:space="0"/>
                                    <w:right w:val="single" w:color="000000" w:sz="6" w:space="0"/>
                                  </w:tcBorders>
                                  <w:noWrap w:val="0"/>
                                  <w:vAlign w:val="center"/>
                                </w:tcPr>
                                <w:p w14:paraId="0626696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序号</w:t>
                                  </w:r>
                                </w:p>
                              </w:tc>
                              <w:tc>
                                <w:tcPr>
                                  <w:tcW w:w="1365" w:type="dxa"/>
                                  <w:tcBorders>
                                    <w:top w:val="single" w:color="auto" w:sz="4" w:space="0"/>
                                    <w:left w:val="single" w:color="000000" w:sz="6" w:space="0"/>
                                    <w:bottom w:val="single" w:color="auto" w:sz="4" w:space="0"/>
                                    <w:right w:val="single" w:color="000000" w:sz="6" w:space="0"/>
                                  </w:tcBorders>
                                  <w:noWrap w:val="0"/>
                                  <w:vAlign w:val="center"/>
                                </w:tcPr>
                                <w:p w14:paraId="6A78108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业主名称</w:t>
                                  </w:r>
                                </w:p>
                              </w:tc>
                              <w:tc>
                                <w:tcPr>
                                  <w:tcW w:w="1629" w:type="dxa"/>
                                  <w:tcBorders>
                                    <w:top w:val="single" w:color="auto" w:sz="4" w:space="0"/>
                                    <w:left w:val="single" w:color="000000" w:sz="6" w:space="0"/>
                                    <w:bottom w:val="single" w:color="auto" w:sz="4" w:space="0"/>
                                    <w:right w:val="single" w:color="000000" w:sz="6" w:space="0"/>
                                  </w:tcBorders>
                                  <w:noWrap w:val="0"/>
                                  <w:vAlign w:val="center"/>
                                </w:tcPr>
                                <w:p w14:paraId="2637198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项目内容</w:t>
                                  </w:r>
                                </w:p>
                              </w:tc>
                              <w:tc>
                                <w:tcPr>
                                  <w:tcW w:w="1095" w:type="dxa"/>
                                  <w:tcBorders>
                                    <w:top w:val="single" w:color="auto" w:sz="4" w:space="0"/>
                                    <w:left w:val="single" w:color="000000" w:sz="6" w:space="0"/>
                                    <w:bottom w:val="single" w:color="auto" w:sz="4" w:space="0"/>
                                    <w:right w:val="single" w:color="000000" w:sz="6" w:space="0"/>
                                  </w:tcBorders>
                                  <w:noWrap w:val="0"/>
                                  <w:vAlign w:val="center"/>
                                </w:tcPr>
                                <w:p w14:paraId="4355403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签约日期</w:t>
                                  </w:r>
                                </w:p>
                              </w:tc>
                              <w:tc>
                                <w:tcPr>
                                  <w:tcW w:w="1080" w:type="dxa"/>
                                  <w:tcBorders>
                                    <w:top w:val="single" w:color="auto" w:sz="4" w:space="0"/>
                                    <w:left w:val="single" w:color="000000" w:sz="6" w:space="0"/>
                                    <w:bottom w:val="single" w:color="auto" w:sz="4" w:space="0"/>
                                    <w:right w:val="single" w:color="auto" w:sz="4" w:space="0"/>
                                  </w:tcBorders>
                                  <w:noWrap w:val="0"/>
                                  <w:vAlign w:val="center"/>
                                </w:tcPr>
                                <w:p w14:paraId="6D74235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合同总价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BB3CE3">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项目负责人及电话</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3AF9CC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所在页码</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18422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lang w:val="en-US" w:eastAsia="zh-CN"/>
                                    </w:rPr>
                                  </w:pPr>
                                  <w:r>
                                    <w:rPr>
                                      <w:rFonts w:hint="eastAsia" w:ascii="仿宋" w:hAnsi="仿宋" w:eastAsia="仿宋" w:cs="仿宋"/>
                                      <w:b/>
                                      <w:sz w:val="22"/>
                                      <w:szCs w:val="22"/>
                                      <w:lang w:val="en-US" w:eastAsia="zh-CN"/>
                                    </w:rPr>
                                    <w:t>其他说明</w:t>
                                  </w:r>
                                </w:p>
                              </w:tc>
                            </w:tr>
                            <w:tr w14:paraId="486490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49A0E77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03744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42447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21D26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A044B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5CE9EE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58D81B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D276B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D3B4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21C638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536F7E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6A922ED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55247A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A121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1340D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11BED1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98A5F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7BC39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CE779C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00315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E486E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9BB5D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CE79D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9BCBE10">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279B18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F837F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2F247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54EAB15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BD1F44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5E10679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8777A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7AB08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A6F64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B23A77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F0882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E7E09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6836108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E59F1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BA9D5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22E2D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FD452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11C1AB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0B1B6D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5C1E05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13D0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7B91A5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2C8B7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EEF45F8">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13C54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3BDC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67326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8F672C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27B3B4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bl>
                          <w:p w14:paraId="74237436">
                            <w:pPr>
                              <w:pStyle w:val="7"/>
                            </w:pPr>
                          </w:p>
                        </w:txbxContent>
                      </wps:txbx>
                      <wps:bodyPr lIns="0" tIns="0" rIns="0" bIns="0" upright="1"/>
                    </wps:wsp>
                  </a:graphicData>
                </a:graphic>
              </wp:anchor>
            </w:drawing>
          </mc:Choice>
          <mc:Fallback>
            <w:pict>
              <v:rect id="_x0000_s1026" o:spid="_x0000_s1026" o:spt="1" style="position:absolute;left:0pt;margin-left:69.4pt;margin-top:3.25pt;height:182.65pt;width:470.2pt;mso-position-horizontal-relative:page;z-index:251662336;mso-width-relative:page;mso-height-relative:page;" filled="f" stroked="f" coordsize="21600,21600" o:gfxdata="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cCP9LaAAAACgEAAA8AAAAAAAAAAQAgAAAAIgAAAGRycy9kb3ducmV2LnhtbFBLAQIU&#10;ABQAAAAIAIdO4kBJ1Sh+uAEAAHoDAAAOAAAAAAAAAAEAIAAAACkBAABkcnMvZTJvRG9jLnhtbFBL&#10;BQYAAAAABgAGAFkBAABTBQAAAAA=&#10;">
                <v:fill on="f" focussize="0,0"/>
                <v:stroke on="f"/>
                <v:imagedata o:title=""/>
                <o:lock v:ext="edit" aspectratio="f"/>
                <v:textbox inset="0mm,0mm,0mm,0mm">
                  <w:txbxContent>
                    <w:tbl>
                      <w:tblPr>
                        <w:tblStyle w:val="19"/>
                        <w:tblW w:w="918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1365"/>
                        <w:gridCol w:w="1629"/>
                        <w:gridCol w:w="1095"/>
                        <w:gridCol w:w="1080"/>
                        <w:gridCol w:w="1175"/>
                        <w:gridCol w:w="1255"/>
                        <w:gridCol w:w="855"/>
                      </w:tblGrid>
                      <w:tr w14:paraId="5C187E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726" w:type="dxa"/>
                            <w:tcBorders>
                              <w:top w:val="single" w:color="auto" w:sz="4" w:space="0"/>
                              <w:left w:val="single" w:color="auto" w:sz="4" w:space="0"/>
                              <w:bottom w:val="single" w:color="auto" w:sz="4" w:space="0"/>
                              <w:right w:val="single" w:color="000000" w:sz="6" w:space="0"/>
                            </w:tcBorders>
                            <w:noWrap w:val="0"/>
                            <w:vAlign w:val="center"/>
                          </w:tcPr>
                          <w:p w14:paraId="0626696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序号</w:t>
                            </w:r>
                          </w:p>
                        </w:tc>
                        <w:tc>
                          <w:tcPr>
                            <w:tcW w:w="1365" w:type="dxa"/>
                            <w:tcBorders>
                              <w:top w:val="single" w:color="auto" w:sz="4" w:space="0"/>
                              <w:left w:val="single" w:color="000000" w:sz="6" w:space="0"/>
                              <w:bottom w:val="single" w:color="auto" w:sz="4" w:space="0"/>
                              <w:right w:val="single" w:color="000000" w:sz="6" w:space="0"/>
                            </w:tcBorders>
                            <w:noWrap w:val="0"/>
                            <w:vAlign w:val="center"/>
                          </w:tcPr>
                          <w:p w14:paraId="6A78108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业主名称</w:t>
                            </w:r>
                          </w:p>
                        </w:tc>
                        <w:tc>
                          <w:tcPr>
                            <w:tcW w:w="1629" w:type="dxa"/>
                            <w:tcBorders>
                              <w:top w:val="single" w:color="auto" w:sz="4" w:space="0"/>
                              <w:left w:val="single" w:color="000000" w:sz="6" w:space="0"/>
                              <w:bottom w:val="single" w:color="auto" w:sz="4" w:space="0"/>
                              <w:right w:val="single" w:color="000000" w:sz="6" w:space="0"/>
                            </w:tcBorders>
                            <w:noWrap w:val="0"/>
                            <w:vAlign w:val="center"/>
                          </w:tcPr>
                          <w:p w14:paraId="2637198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项目内容</w:t>
                            </w:r>
                          </w:p>
                        </w:tc>
                        <w:tc>
                          <w:tcPr>
                            <w:tcW w:w="1095" w:type="dxa"/>
                            <w:tcBorders>
                              <w:top w:val="single" w:color="auto" w:sz="4" w:space="0"/>
                              <w:left w:val="single" w:color="000000" w:sz="6" w:space="0"/>
                              <w:bottom w:val="single" w:color="auto" w:sz="4" w:space="0"/>
                              <w:right w:val="single" w:color="000000" w:sz="6" w:space="0"/>
                            </w:tcBorders>
                            <w:noWrap w:val="0"/>
                            <w:vAlign w:val="center"/>
                          </w:tcPr>
                          <w:p w14:paraId="4355403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签约日期</w:t>
                            </w:r>
                          </w:p>
                        </w:tc>
                        <w:tc>
                          <w:tcPr>
                            <w:tcW w:w="1080" w:type="dxa"/>
                            <w:tcBorders>
                              <w:top w:val="single" w:color="auto" w:sz="4" w:space="0"/>
                              <w:left w:val="single" w:color="000000" w:sz="6" w:space="0"/>
                              <w:bottom w:val="single" w:color="auto" w:sz="4" w:space="0"/>
                              <w:right w:val="single" w:color="auto" w:sz="4" w:space="0"/>
                            </w:tcBorders>
                            <w:noWrap w:val="0"/>
                            <w:vAlign w:val="center"/>
                          </w:tcPr>
                          <w:p w14:paraId="6D74235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合同总价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BB3CE3">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项目负责人及电话</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3AF9CC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所在页码</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18422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lang w:val="en-US" w:eastAsia="zh-CN"/>
                              </w:rPr>
                            </w:pPr>
                            <w:r>
                              <w:rPr>
                                <w:rFonts w:hint="eastAsia" w:ascii="仿宋" w:hAnsi="仿宋" w:eastAsia="仿宋" w:cs="仿宋"/>
                                <w:b/>
                                <w:sz w:val="22"/>
                                <w:szCs w:val="22"/>
                                <w:lang w:val="en-US" w:eastAsia="zh-CN"/>
                              </w:rPr>
                              <w:t>其他说明</w:t>
                            </w:r>
                          </w:p>
                        </w:tc>
                      </w:tr>
                      <w:tr w14:paraId="486490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49A0E77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03744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42447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21D26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A044B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5CE9EE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58D81B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D276B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D3B4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21C638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536F7E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6A922ED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55247A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A121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1340D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11BED1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98A5F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7BC39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CE779C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00315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E486E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9BB5D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CE79D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9BCBE10">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279B18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F837F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2F247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54EAB15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BD1F44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5E10679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8777A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7AB08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A6F64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B23A77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F0882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E7E09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6836108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E59F1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BA9D5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22E2D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FD452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11C1AB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0B1B6D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5C1E05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13D0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7B91A5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2C8B7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EEF45F8">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13C54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3BDC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67326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8F672C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27B3B4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bl>
                    <w:p w14:paraId="74237436">
                      <w:pPr>
                        <w:pStyle w:val="7"/>
                      </w:pPr>
                    </w:p>
                  </w:txbxContent>
                </v:textbox>
              </v:rect>
            </w:pict>
          </mc:Fallback>
        </mc:AlternateContent>
      </w:r>
    </w:p>
    <w:p w14:paraId="6E828157">
      <w:pPr>
        <w:pStyle w:val="7"/>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2C9E7A3A">
      <w:pPr>
        <w:pStyle w:val="7"/>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51B2B648">
      <w:pPr>
        <w:pStyle w:val="7"/>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58B76B73">
      <w:pPr>
        <w:pStyle w:val="7"/>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6202057C">
      <w:pPr>
        <w:pStyle w:val="28"/>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6E348291">
      <w:pPr>
        <w:pStyle w:val="28"/>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78D1C13C">
      <w:pPr>
        <w:pStyle w:val="7"/>
        <w:keepNext w:val="0"/>
        <w:keepLines w:val="0"/>
        <w:pageBreakBefore w:val="0"/>
        <w:widowControl/>
        <w:tabs>
          <w:tab w:val="left" w:pos="3603"/>
          <w:tab w:val="left" w:pos="9900"/>
        </w:tabs>
        <w:kinsoku/>
        <w:wordWrap/>
        <w:overflowPunct/>
        <w:topLinePunct w:val="0"/>
        <w:autoSpaceDE w:val="0"/>
        <w:autoSpaceDN w:val="0"/>
        <w:bidi w:val="0"/>
        <w:adjustRightInd w:val="0"/>
        <w:snapToGrid w:val="0"/>
        <w:spacing w:line="480" w:lineRule="exact"/>
        <w:ind w:left="0" w:right="0" w:rightChars="0"/>
        <w:jc w:val="both"/>
        <w:textAlignment w:val="auto"/>
        <w:outlineLvl w:val="9"/>
        <w:rPr>
          <w:rFonts w:hint="eastAsia" w:ascii="仿宋" w:hAnsi="仿宋" w:eastAsia="仿宋" w:cs="仿宋"/>
          <w:b/>
          <w:color w:val="auto"/>
          <w:spacing w:val="0"/>
          <w:w w:val="100"/>
          <w:position w:val="0"/>
          <w:sz w:val="24"/>
          <w:szCs w:val="24"/>
          <w:highlight w:val="none"/>
        </w:rPr>
      </w:pPr>
    </w:p>
    <w:p w14:paraId="6F7EA63B">
      <w:pPr>
        <w:pStyle w:val="7"/>
        <w:keepNext w:val="0"/>
        <w:keepLines w:val="0"/>
        <w:pageBreakBefore w:val="0"/>
        <w:widowControl/>
        <w:tabs>
          <w:tab w:val="left" w:pos="3603"/>
          <w:tab w:val="left" w:pos="9900"/>
        </w:tabs>
        <w:kinsoku/>
        <w:wordWrap/>
        <w:overflowPunct/>
        <w:topLinePunct w:val="0"/>
        <w:autoSpaceDE w:val="0"/>
        <w:autoSpaceDN w:val="0"/>
        <w:bidi w:val="0"/>
        <w:adjustRightInd w:val="0"/>
        <w:snapToGrid w:val="0"/>
        <w:spacing w:line="480" w:lineRule="exact"/>
        <w:ind w:left="0" w:right="0" w:rightChars="0"/>
        <w:jc w:val="both"/>
        <w:textAlignment w:val="auto"/>
        <w:outlineLvl w:val="9"/>
        <w:rPr>
          <w:rFonts w:hint="eastAsia" w:ascii="仿宋" w:hAnsi="仿宋" w:eastAsia="仿宋" w:cs="仿宋"/>
          <w:b/>
          <w:color w:val="auto"/>
          <w:spacing w:val="0"/>
          <w:w w:val="100"/>
          <w:position w:val="0"/>
          <w:sz w:val="24"/>
          <w:szCs w:val="24"/>
          <w:highlight w:val="none"/>
        </w:rPr>
      </w:pPr>
      <w:r>
        <w:rPr>
          <w:rFonts w:hint="eastAsia" w:ascii="仿宋" w:hAnsi="仿宋" w:eastAsia="仿宋" w:cs="仿宋"/>
          <w:b/>
          <w:color w:val="auto"/>
          <w:spacing w:val="0"/>
          <w:w w:val="100"/>
          <w:position w:val="0"/>
          <w:sz w:val="24"/>
          <w:szCs w:val="24"/>
          <w:highlight w:val="none"/>
        </w:rPr>
        <w:t>备注：提供同类项目经验（按采购项目内容或评分表要求为准提供有效的证明</w:t>
      </w:r>
      <w:r>
        <w:rPr>
          <w:rFonts w:hint="eastAsia" w:ascii="仿宋" w:hAnsi="仿宋" w:eastAsia="仿宋" w:cs="仿宋"/>
          <w:b/>
          <w:color w:val="auto"/>
          <w:spacing w:val="0"/>
          <w:w w:val="100"/>
          <w:position w:val="0"/>
          <w:sz w:val="24"/>
          <w:szCs w:val="24"/>
          <w:highlight w:val="none"/>
          <w:lang w:val="en-US" w:eastAsia="zh-CN"/>
        </w:rPr>
        <w:t>文</w:t>
      </w:r>
      <w:r>
        <w:rPr>
          <w:rFonts w:hint="eastAsia" w:ascii="仿宋" w:hAnsi="仿宋" w:eastAsia="仿宋" w:cs="仿宋"/>
          <w:b/>
          <w:color w:val="auto"/>
          <w:spacing w:val="0"/>
          <w:w w:val="100"/>
          <w:position w:val="0"/>
          <w:sz w:val="24"/>
          <w:szCs w:val="24"/>
          <w:highlight w:val="none"/>
        </w:rPr>
        <w:t>件）。</w:t>
      </w:r>
    </w:p>
    <w:p w14:paraId="2103AE3D">
      <w:pPr>
        <w:pStyle w:val="7"/>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pacing w:val="0"/>
          <w:w w:val="100"/>
          <w:position w:val="0"/>
          <w:sz w:val="24"/>
          <w:szCs w:val="24"/>
          <w:highlight w:val="none"/>
          <w:lang w:val="zh-CN" w:eastAsia="zh-CN" w:bidi="zh-CN"/>
        </w:rPr>
      </w:pPr>
    </w:p>
    <w:p w14:paraId="393FA9D8">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33433DA">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488D12D">
      <w:pPr>
        <w:pStyle w:val="7"/>
        <w:spacing w:before="78" w:line="222" w:lineRule="auto"/>
        <w:ind w:left="177"/>
        <w:rPr>
          <w:rFonts w:hint="eastAsia" w:ascii="仿宋" w:hAnsi="仿宋" w:eastAsia="仿宋" w:cs="仿宋"/>
          <w:sz w:val="24"/>
          <w:szCs w:val="24"/>
        </w:rPr>
      </w:pPr>
    </w:p>
    <w:p w14:paraId="79E0030C">
      <w:pPr>
        <w:spacing w:line="222" w:lineRule="auto"/>
        <w:rPr>
          <w:rFonts w:hint="eastAsia" w:ascii="仿宋" w:hAnsi="仿宋" w:eastAsia="仿宋" w:cs="仿宋"/>
          <w:sz w:val="24"/>
          <w:szCs w:val="24"/>
        </w:rPr>
        <w:sectPr>
          <w:footerReference r:id="rId20" w:type="default"/>
          <w:pgSz w:w="11905" w:h="16838"/>
          <w:pgMar w:top="1440" w:right="1803" w:bottom="1440" w:left="1803" w:header="0" w:footer="975" w:gutter="0"/>
          <w:pgNumType w:fmt="decimal"/>
          <w:cols w:space="0" w:num="1"/>
          <w:rtlGutter w:val="0"/>
          <w:docGrid w:linePitch="0" w:charSpace="0"/>
        </w:sectPr>
      </w:pPr>
    </w:p>
    <w:p w14:paraId="1F8D46E6">
      <w:pPr>
        <w:pStyle w:val="7"/>
        <w:spacing w:before="61" w:line="222" w:lineRule="auto"/>
        <w:jc w:val="center"/>
        <w:outlineLvl w:val="1"/>
        <w:rPr>
          <w:rFonts w:hint="eastAsia"/>
          <w:b/>
          <w:bCs/>
          <w:spacing w:val="-16"/>
          <w:sz w:val="30"/>
          <w:szCs w:val="30"/>
          <w:lang w:val="zh-CN" w:eastAsia="zh-CN"/>
        </w:rPr>
      </w:pPr>
      <w:bookmarkStart w:id="25" w:name="_Toc18800"/>
      <w:r>
        <w:rPr>
          <w:b/>
          <w:bCs/>
          <w:spacing w:val="-16"/>
          <w:sz w:val="30"/>
          <w:szCs w:val="30"/>
        </w:rPr>
        <w:t>附件</w:t>
      </w:r>
      <w:r>
        <w:rPr>
          <w:spacing w:val="-41"/>
          <w:sz w:val="30"/>
          <w:szCs w:val="30"/>
        </w:rPr>
        <w:t xml:space="preserve"> </w:t>
      </w:r>
      <w:r>
        <w:rPr>
          <w:rFonts w:hint="eastAsia"/>
          <w:b/>
          <w:bCs/>
          <w:spacing w:val="-16"/>
          <w:sz w:val="30"/>
          <w:szCs w:val="30"/>
          <w:lang w:val="en-US" w:eastAsia="zh-CN"/>
        </w:rPr>
        <w:t>9</w:t>
      </w:r>
      <w:r>
        <w:rPr>
          <w:b/>
          <w:bCs/>
          <w:spacing w:val="-16"/>
          <w:sz w:val="30"/>
          <w:szCs w:val="30"/>
        </w:rPr>
        <w:t>：</w:t>
      </w:r>
      <w:r>
        <w:rPr>
          <w:rFonts w:hint="eastAsia"/>
          <w:b/>
          <w:bCs/>
          <w:spacing w:val="-16"/>
          <w:sz w:val="30"/>
          <w:szCs w:val="30"/>
          <w:lang w:val="zh-CN" w:eastAsia="zh-CN"/>
        </w:rPr>
        <w:t>项目人员配备情况表</w:t>
      </w:r>
      <w:bookmarkEnd w:id="25"/>
    </w:p>
    <w:p w14:paraId="15665B2A">
      <w:pPr>
        <w:pStyle w:val="7"/>
        <w:spacing w:before="61" w:line="360"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项目名称：</w:t>
      </w:r>
    </w:p>
    <w:p w14:paraId="610F57F1">
      <w:pPr>
        <w:pStyle w:val="7"/>
        <w:spacing w:before="61" w:line="360"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lang w:eastAsia="zh-CN"/>
        </w:rPr>
        <w:t>项目编号</w:t>
      </w:r>
      <w:r>
        <w:rPr>
          <w:rFonts w:hint="eastAsia" w:ascii="仿宋" w:hAnsi="仿宋" w:eastAsia="仿宋" w:cs="仿宋"/>
          <w:b w:val="0"/>
          <w:bCs w:val="0"/>
          <w:spacing w:val="-16"/>
          <w:sz w:val="24"/>
          <w:szCs w:val="24"/>
        </w:rPr>
        <w:t>：</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994"/>
        <w:gridCol w:w="994"/>
        <w:gridCol w:w="994"/>
        <w:gridCol w:w="994"/>
        <w:gridCol w:w="856"/>
        <w:gridCol w:w="1372"/>
        <w:gridCol w:w="1287"/>
        <w:gridCol w:w="798"/>
      </w:tblGrid>
      <w:tr w14:paraId="1351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8" w:type="dxa"/>
            <w:vMerge w:val="restart"/>
            <w:noWrap w:val="0"/>
            <w:vAlign w:val="center"/>
          </w:tcPr>
          <w:p w14:paraId="56DF0DC1">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序号</w:t>
            </w:r>
          </w:p>
        </w:tc>
        <w:tc>
          <w:tcPr>
            <w:tcW w:w="994" w:type="dxa"/>
            <w:vMerge w:val="restart"/>
            <w:noWrap w:val="0"/>
            <w:vAlign w:val="center"/>
          </w:tcPr>
          <w:p w14:paraId="76BB0733">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姓名</w:t>
            </w:r>
          </w:p>
        </w:tc>
        <w:tc>
          <w:tcPr>
            <w:tcW w:w="994" w:type="dxa"/>
            <w:vMerge w:val="restart"/>
            <w:noWrap w:val="0"/>
            <w:vAlign w:val="center"/>
          </w:tcPr>
          <w:p w14:paraId="38FA63B6">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拟承担工作内容</w:t>
            </w:r>
          </w:p>
        </w:tc>
        <w:tc>
          <w:tcPr>
            <w:tcW w:w="994" w:type="dxa"/>
            <w:vMerge w:val="restart"/>
            <w:noWrap w:val="0"/>
            <w:vAlign w:val="center"/>
          </w:tcPr>
          <w:p w14:paraId="135F2FF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学历</w:t>
            </w:r>
          </w:p>
        </w:tc>
        <w:tc>
          <w:tcPr>
            <w:tcW w:w="994" w:type="dxa"/>
            <w:vMerge w:val="restart"/>
            <w:noWrap w:val="0"/>
            <w:vAlign w:val="center"/>
          </w:tcPr>
          <w:p w14:paraId="2C4D2350">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职称</w:t>
            </w:r>
          </w:p>
        </w:tc>
        <w:tc>
          <w:tcPr>
            <w:tcW w:w="856" w:type="dxa"/>
            <w:vMerge w:val="restart"/>
            <w:noWrap w:val="0"/>
            <w:vAlign w:val="center"/>
          </w:tcPr>
          <w:p w14:paraId="6045766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专业</w:t>
            </w:r>
          </w:p>
        </w:tc>
        <w:tc>
          <w:tcPr>
            <w:tcW w:w="2659" w:type="dxa"/>
            <w:gridSpan w:val="2"/>
            <w:noWrap w:val="0"/>
            <w:vAlign w:val="center"/>
          </w:tcPr>
          <w:p w14:paraId="2A43EBAC">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w:t>
            </w:r>
          </w:p>
        </w:tc>
        <w:tc>
          <w:tcPr>
            <w:tcW w:w="798" w:type="dxa"/>
            <w:vMerge w:val="restart"/>
            <w:noWrap w:val="0"/>
            <w:vAlign w:val="center"/>
          </w:tcPr>
          <w:p w14:paraId="715AA9C1">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工作年限</w:t>
            </w:r>
          </w:p>
        </w:tc>
      </w:tr>
      <w:tr w14:paraId="5DFF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Merge w:val="continue"/>
            <w:noWrap w:val="0"/>
            <w:vAlign w:val="center"/>
          </w:tcPr>
          <w:p w14:paraId="075F5D2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7322365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3D089B7E">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4D625017">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7B7578C0">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vMerge w:val="continue"/>
            <w:noWrap w:val="0"/>
            <w:vAlign w:val="center"/>
          </w:tcPr>
          <w:p w14:paraId="799F9DC5">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54466EE4">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证书名称及范围</w:t>
            </w:r>
          </w:p>
        </w:tc>
        <w:tc>
          <w:tcPr>
            <w:tcW w:w="1287" w:type="dxa"/>
            <w:noWrap w:val="0"/>
            <w:vAlign w:val="center"/>
          </w:tcPr>
          <w:p w14:paraId="260E229C">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w:t>
            </w:r>
          </w:p>
          <w:p w14:paraId="5751B07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编号</w:t>
            </w:r>
          </w:p>
        </w:tc>
        <w:tc>
          <w:tcPr>
            <w:tcW w:w="798" w:type="dxa"/>
            <w:vMerge w:val="continue"/>
            <w:noWrap w:val="0"/>
            <w:vAlign w:val="center"/>
          </w:tcPr>
          <w:p w14:paraId="01422FD9">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221B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58335985">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E79516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E319B3B">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CCD7986">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76BFC2F">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0CE56905">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3A179DF3">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60062AD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36AD4344">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7797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33575C31">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7DA48C2">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43D7181C">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4C1414B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AC09D46">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7F2798B">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3D464A38">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FB7E505">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47C2A3BC">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5064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EBE8D02">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A29DF0E">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222BB31">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28EA7B0">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2FA027F">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4D9B6353">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2305B41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1A9C0043">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2D3332BB">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3428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0C37B47">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79CB883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A80E119">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596181E">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DAE00A3">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5E0B0E1">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684F3280">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F768D73">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620989C4">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6BE2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22B7EC5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7E5B1E8">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54E5173">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CBBBD4E">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793A0EFB">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5A6CF69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75666FB1">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017FD68C">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7656B08B">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7AAB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100C239F">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A67A8A1">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385C46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E1E8290">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4814476">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54CFB8E">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0B98D26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41B00541">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0B931770">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64D1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6FF59AB6">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95122AF">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44C537F">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2A7ED72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5A781E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471FE5D4">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28F793EA">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2C771AF9">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22D4EA20">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53C7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5A4FB69">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1421394">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D5FB6C4">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20E1428E">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CF86C7C">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08A3B6A8">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0E9B1B75">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69F6DDE">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6136E77D">
            <w:pPr>
              <w:pStyle w:val="7"/>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bl>
    <w:p w14:paraId="0332930B">
      <w:pPr>
        <w:pStyle w:val="7"/>
        <w:spacing w:before="61" w:line="222" w:lineRule="auto"/>
        <w:jc w:val="both"/>
        <w:outlineLvl w:val="9"/>
        <w:rPr>
          <w:rFonts w:hint="eastAsia" w:ascii="仿宋" w:hAnsi="仿宋" w:eastAsia="仿宋" w:cs="仿宋"/>
          <w:b w:val="0"/>
          <w:bCs w:val="0"/>
          <w:spacing w:val="-16"/>
          <w:sz w:val="24"/>
          <w:szCs w:val="24"/>
        </w:rPr>
      </w:pPr>
    </w:p>
    <w:p w14:paraId="09C12EB1">
      <w:pPr>
        <w:pStyle w:val="7"/>
        <w:spacing w:before="61" w:line="222" w:lineRule="auto"/>
        <w:jc w:val="both"/>
        <w:outlineLvl w:val="9"/>
        <w:rPr>
          <w:rFonts w:hint="eastAsia" w:ascii="仿宋" w:hAnsi="仿宋" w:eastAsia="仿宋" w:cs="仿宋"/>
          <w:b w:val="0"/>
          <w:bCs w:val="0"/>
          <w:spacing w:val="-16"/>
          <w:sz w:val="24"/>
          <w:szCs w:val="24"/>
        </w:rPr>
      </w:pPr>
    </w:p>
    <w:p w14:paraId="53EC5184">
      <w:pPr>
        <w:pStyle w:val="7"/>
        <w:spacing w:before="61" w:line="222" w:lineRule="auto"/>
        <w:jc w:val="both"/>
        <w:outlineLvl w:val="9"/>
        <w:rPr>
          <w:rFonts w:hint="eastAsia" w:ascii="仿宋" w:hAnsi="仿宋" w:eastAsia="仿宋" w:cs="仿宋"/>
          <w:b w:val="0"/>
          <w:bCs w:val="0"/>
          <w:spacing w:val="-16"/>
          <w:sz w:val="24"/>
          <w:szCs w:val="24"/>
        </w:rPr>
      </w:pPr>
    </w:p>
    <w:p w14:paraId="068D83D4">
      <w:pPr>
        <w:pStyle w:val="7"/>
        <w:spacing w:before="61" w:line="222" w:lineRule="auto"/>
        <w:jc w:val="both"/>
        <w:outlineLvl w:val="9"/>
        <w:rPr>
          <w:rFonts w:hint="eastAsia" w:ascii="仿宋" w:hAnsi="仿宋" w:eastAsia="仿宋" w:cs="仿宋"/>
          <w:b w:val="0"/>
          <w:bCs w:val="0"/>
          <w:spacing w:val="-16"/>
          <w:sz w:val="24"/>
          <w:szCs w:val="24"/>
        </w:rPr>
      </w:pPr>
    </w:p>
    <w:p w14:paraId="01E4DEEE">
      <w:pPr>
        <w:pStyle w:val="7"/>
        <w:spacing w:before="61" w:line="222"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注：</w:t>
      </w:r>
    </w:p>
    <w:p w14:paraId="0D5A0738">
      <w:pPr>
        <w:pStyle w:val="7"/>
        <w:spacing w:before="61" w:line="222"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rPr>
        <w:t>1）</w:t>
      </w:r>
      <w:r>
        <w:rPr>
          <w:rFonts w:hint="eastAsia" w:ascii="仿宋" w:hAnsi="仿宋" w:eastAsia="仿宋" w:cs="仿宋"/>
          <w:b w:val="0"/>
          <w:bCs w:val="0"/>
          <w:spacing w:val="-16"/>
          <w:sz w:val="24"/>
          <w:szCs w:val="24"/>
          <w:lang w:val="en-US" w:eastAsia="zh-CN"/>
        </w:rPr>
        <w:t>投标单位根据评分要求</w:t>
      </w:r>
      <w:r>
        <w:rPr>
          <w:rFonts w:hint="eastAsia" w:ascii="仿宋" w:hAnsi="仿宋" w:eastAsia="仿宋" w:cs="仿宋"/>
          <w:b w:val="0"/>
          <w:bCs w:val="0"/>
          <w:spacing w:val="-16"/>
          <w:sz w:val="24"/>
          <w:szCs w:val="24"/>
        </w:rPr>
        <w:t>如实填写此表格</w:t>
      </w:r>
      <w:r>
        <w:rPr>
          <w:rFonts w:hint="eastAsia" w:ascii="仿宋" w:hAnsi="仿宋" w:eastAsia="仿宋" w:cs="仿宋"/>
          <w:b w:val="0"/>
          <w:bCs w:val="0"/>
          <w:spacing w:val="-16"/>
          <w:sz w:val="24"/>
          <w:szCs w:val="24"/>
          <w:lang w:eastAsia="zh-CN"/>
        </w:rPr>
        <w:t>；</w:t>
      </w:r>
    </w:p>
    <w:p w14:paraId="6BF0DE8E">
      <w:pPr>
        <w:pStyle w:val="7"/>
        <w:spacing w:before="61" w:line="222"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rPr>
        <w:t>2）</w:t>
      </w:r>
      <w:r>
        <w:rPr>
          <w:rFonts w:hint="eastAsia" w:ascii="仿宋" w:hAnsi="仿宋" w:eastAsia="仿宋" w:cs="仿宋"/>
          <w:b w:val="0"/>
          <w:bCs w:val="0"/>
          <w:spacing w:val="-16"/>
          <w:sz w:val="24"/>
          <w:szCs w:val="24"/>
          <w:lang w:val="en-US" w:eastAsia="zh-CN"/>
        </w:rPr>
        <w:t>按项目需求和</w:t>
      </w:r>
      <w:r>
        <w:rPr>
          <w:rFonts w:hint="eastAsia" w:ascii="仿宋" w:hAnsi="仿宋" w:eastAsia="仿宋" w:cs="仿宋"/>
          <w:b w:val="0"/>
          <w:bCs w:val="0"/>
          <w:spacing w:val="-16"/>
          <w:sz w:val="24"/>
          <w:szCs w:val="24"/>
        </w:rPr>
        <w:t>评分表要求为准提供有效的</w:t>
      </w:r>
      <w:r>
        <w:rPr>
          <w:rFonts w:hint="eastAsia" w:ascii="仿宋" w:hAnsi="仿宋" w:eastAsia="仿宋" w:cs="仿宋"/>
          <w:b w:val="0"/>
          <w:bCs w:val="0"/>
          <w:spacing w:val="-16"/>
          <w:sz w:val="24"/>
          <w:szCs w:val="24"/>
          <w:lang w:val="en-US" w:eastAsia="zh-CN"/>
        </w:rPr>
        <w:t>复印件</w:t>
      </w:r>
      <w:r>
        <w:rPr>
          <w:rFonts w:hint="eastAsia" w:ascii="仿宋" w:hAnsi="仿宋" w:eastAsia="仿宋" w:cs="仿宋"/>
          <w:b w:val="0"/>
          <w:bCs w:val="0"/>
          <w:spacing w:val="-16"/>
          <w:sz w:val="24"/>
          <w:szCs w:val="24"/>
        </w:rPr>
        <w:t>证明文件</w:t>
      </w:r>
      <w:r>
        <w:rPr>
          <w:rFonts w:hint="eastAsia" w:ascii="仿宋" w:hAnsi="仿宋" w:eastAsia="仿宋" w:cs="仿宋"/>
          <w:b w:val="0"/>
          <w:bCs w:val="0"/>
          <w:spacing w:val="-16"/>
          <w:sz w:val="24"/>
          <w:szCs w:val="24"/>
          <w:lang w:eastAsia="zh-CN"/>
        </w:rPr>
        <w:t>；</w:t>
      </w:r>
    </w:p>
    <w:p w14:paraId="532785EB">
      <w:pPr>
        <w:pStyle w:val="7"/>
        <w:spacing w:before="61" w:line="222"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lang w:val="en-US" w:eastAsia="zh-CN"/>
        </w:rPr>
        <w:t>3</w:t>
      </w:r>
      <w:r>
        <w:rPr>
          <w:rFonts w:hint="eastAsia" w:ascii="仿宋" w:hAnsi="仿宋" w:eastAsia="仿宋" w:cs="仿宋"/>
          <w:b w:val="0"/>
          <w:bCs w:val="0"/>
          <w:spacing w:val="-16"/>
          <w:sz w:val="24"/>
          <w:szCs w:val="24"/>
        </w:rPr>
        <w:t>）本表不够时按</w:t>
      </w:r>
      <w:r>
        <w:rPr>
          <w:rFonts w:hint="eastAsia" w:ascii="仿宋" w:hAnsi="仿宋" w:eastAsia="仿宋" w:cs="仿宋"/>
          <w:b w:val="0"/>
          <w:bCs w:val="0"/>
          <w:spacing w:val="-16"/>
          <w:sz w:val="24"/>
          <w:szCs w:val="24"/>
          <w:lang w:val="en-US" w:eastAsia="zh-CN"/>
        </w:rPr>
        <w:t>根据评分需求</w:t>
      </w:r>
      <w:r>
        <w:rPr>
          <w:rFonts w:hint="eastAsia" w:ascii="仿宋" w:hAnsi="仿宋" w:eastAsia="仿宋" w:cs="仿宋"/>
          <w:b w:val="0"/>
          <w:bCs w:val="0"/>
          <w:spacing w:val="-16"/>
          <w:sz w:val="24"/>
          <w:szCs w:val="24"/>
        </w:rPr>
        <w:t>自制。</w:t>
      </w:r>
    </w:p>
    <w:p w14:paraId="5F4C06D3">
      <w:pPr>
        <w:pStyle w:val="7"/>
        <w:spacing w:before="61" w:line="222" w:lineRule="auto"/>
        <w:jc w:val="center"/>
        <w:outlineLvl w:val="9"/>
        <w:sectPr>
          <w:footerReference r:id="rId21" w:type="default"/>
          <w:pgSz w:w="11905" w:h="16838"/>
          <w:pgMar w:top="1440" w:right="1803" w:bottom="1440" w:left="1803" w:header="0" w:footer="975" w:gutter="0"/>
          <w:pgNumType w:fmt="decimal"/>
          <w:cols w:space="0" w:num="1"/>
          <w:rtlGutter w:val="0"/>
          <w:docGrid w:linePitch="0" w:charSpace="0"/>
        </w:sectPr>
      </w:pPr>
    </w:p>
    <w:p w14:paraId="76D7B232">
      <w:pPr>
        <w:widowControl w:val="0"/>
        <w:autoSpaceDE w:val="0"/>
        <w:autoSpaceDN w:val="0"/>
        <w:spacing w:before="43" w:after="0" w:line="240" w:lineRule="auto"/>
        <w:ind w:left="363" w:right="437"/>
        <w:jc w:val="center"/>
        <w:outlineLvl w:val="1"/>
        <w:rPr>
          <w:rFonts w:hint="eastAsia" w:ascii="仿宋" w:hAnsi="仿宋" w:eastAsia="仿宋" w:cs="仿宋"/>
          <w:b/>
          <w:bCs/>
          <w:smallCaps w:val="0"/>
          <w:color w:val="auto"/>
          <w:spacing w:val="0"/>
          <w:position w:val="0"/>
          <w:sz w:val="30"/>
          <w:szCs w:val="30"/>
          <w:highlight w:val="none"/>
          <w:lang w:val="zh-CN" w:eastAsia="zh-CN" w:bidi="zh-CN"/>
        </w:rPr>
      </w:pPr>
      <w:bookmarkStart w:id="26" w:name="_Toc3852"/>
      <w:r>
        <w:rPr>
          <w:rFonts w:hint="eastAsia" w:ascii="仿宋" w:hAnsi="仿宋" w:eastAsia="仿宋" w:cs="仿宋"/>
          <w:b/>
          <w:bCs/>
          <w:spacing w:val="-16"/>
          <w:sz w:val="30"/>
          <w:szCs w:val="30"/>
        </w:rPr>
        <w:t>附件</w:t>
      </w:r>
      <w:r>
        <w:rPr>
          <w:rFonts w:hint="eastAsia" w:ascii="仿宋" w:hAnsi="仿宋" w:eastAsia="仿宋" w:cs="仿宋"/>
          <w:spacing w:val="-41"/>
          <w:sz w:val="30"/>
          <w:szCs w:val="30"/>
        </w:rPr>
        <w:t xml:space="preserve"> </w:t>
      </w:r>
      <w:r>
        <w:rPr>
          <w:rFonts w:hint="eastAsia" w:ascii="仿宋" w:hAnsi="仿宋" w:eastAsia="仿宋" w:cs="仿宋"/>
          <w:b/>
          <w:bCs/>
          <w:spacing w:val="-16"/>
          <w:sz w:val="30"/>
          <w:szCs w:val="30"/>
        </w:rPr>
        <w:t>10：</w:t>
      </w:r>
      <w:r>
        <w:rPr>
          <w:rFonts w:hint="eastAsia" w:ascii="仿宋" w:hAnsi="仿宋" w:eastAsia="仿宋" w:cs="仿宋"/>
          <w:b/>
          <w:bCs/>
          <w:smallCaps w:val="0"/>
          <w:color w:val="auto"/>
          <w:spacing w:val="0"/>
          <w:position w:val="0"/>
          <w:sz w:val="30"/>
          <w:szCs w:val="30"/>
          <w:highlight w:val="none"/>
          <w:lang w:val="zh-CN" w:eastAsia="zh-CN" w:bidi="zh-CN"/>
        </w:rPr>
        <w:t>其他商务技术文件材料</w:t>
      </w:r>
      <w:bookmarkEnd w:id="26"/>
    </w:p>
    <w:p w14:paraId="062BD16F">
      <w:pPr>
        <w:pStyle w:val="7"/>
        <w:spacing w:before="61" w:line="222" w:lineRule="auto"/>
        <w:jc w:val="center"/>
        <w:outlineLvl w:val="9"/>
        <w:rPr>
          <w:rFonts w:hint="eastAsia"/>
          <w:b w:val="0"/>
          <w:bCs w:val="0"/>
          <w:spacing w:val="-16"/>
          <w:sz w:val="28"/>
          <w:szCs w:val="28"/>
          <w:lang w:val="zh-CN" w:eastAsia="zh-CN"/>
        </w:rPr>
      </w:pPr>
    </w:p>
    <w:p w14:paraId="163BE349">
      <w:pPr>
        <w:pStyle w:val="7"/>
        <w:spacing w:before="61" w:line="222" w:lineRule="auto"/>
        <w:jc w:val="center"/>
        <w:outlineLvl w:val="9"/>
        <w:rPr>
          <w:rFonts w:hint="eastAsia"/>
          <w:b/>
          <w:bCs/>
          <w:spacing w:val="-16"/>
          <w:sz w:val="24"/>
          <w:szCs w:val="24"/>
          <w:lang w:val="zh-CN" w:eastAsia="zh-CN"/>
        </w:rPr>
      </w:pPr>
      <w:r>
        <w:rPr>
          <w:rFonts w:hint="eastAsia"/>
          <w:b/>
          <w:bCs/>
          <w:spacing w:val="-16"/>
          <w:sz w:val="24"/>
          <w:szCs w:val="24"/>
          <w:lang w:val="zh-CN" w:eastAsia="zh-CN"/>
        </w:rPr>
        <w:t>根据招标文件评分细则要求的或投标单位认为应当或有必要提供的资料</w:t>
      </w:r>
    </w:p>
    <w:p w14:paraId="5FC9FB4E">
      <w:pPr>
        <w:pStyle w:val="18"/>
        <w:rPr>
          <w:b/>
          <w:bCs/>
          <w:sz w:val="24"/>
          <w:szCs w:val="24"/>
        </w:rPr>
        <w:sectPr>
          <w:pgSz w:w="11905" w:h="16838"/>
          <w:pgMar w:top="1440" w:right="1803" w:bottom="1440" w:left="1803" w:header="0" w:footer="975" w:gutter="0"/>
          <w:pgNumType w:fmt="decimal"/>
          <w:cols w:space="0" w:num="1"/>
          <w:rtlGutter w:val="0"/>
          <w:docGrid w:linePitch="0" w:charSpace="0"/>
        </w:sectPr>
      </w:pPr>
    </w:p>
    <w:p w14:paraId="0719FA9D">
      <w:pPr>
        <w:pStyle w:val="7"/>
        <w:spacing w:before="98" w:line="222" w:lineRule="auto"/>
        <w:jc w:val="center"/>
        <w:outlineLvl w:val="1"/>
        <w:rPr>
          <w:rFonts w:hint="eastAsia"/>
          <w:b/>
          <w:bCs/>
          <w:spacing w:val="-16"/>
          <w:sz w:val="30"/>
          <w:szCs w:val="30"/>
        </w:rPr>
      </w:pPr>
      <w:bookmarkStart w:id="27" w:name="_Toc10707"/>
      <w:r>
        <w:rPr>
          <w:b/>
          <w:bCs/>
          <w:spacing w:val="-16"/>
          <w:sz w:val="30"/>
          <w:szCs w:val="30"/>
        </w:rPr>
        <w:t>附件</w:t>
      </w:r>
      <w:r>
        <w:rPr>
          <w:spacing w:val="-41"/>
          <w:sz w:val="30"/>
          <w:szCs w:val="30"/>
        </w:rPr>
        <w:t xml:space="preserve"> </w:t>
      </w:r>
      <w:r>
        <w:rPr>
          <w:b/>
          <w:bCs/>
          <w:spacing w:val="-16"/>
          <w:sz w:val="30"/>
          <w:szCs w:val="30"/>
        </w:rPr>
        <w:t>1</w:t>
      </w:r>
      <w:r>
        <w:rPr>
          <w:rFonts w:hint="eastAsia"/>
          <w:b/>
          <w:bCs/>
          <w:spacing w:val="-16"/>
          <w:sz w:val="30"/>
          <w:szCs w:val="30"/>
          <w:lang w:val="en-US" w:eastAsia="zh-CN"/>
        </w:rPr>
        <w:t>1</w:t>
      </w:r>
      <w:r>
        <w:rPr>
          <w:b/>
          <w:bCs/>
          <w:spacing w:val="-16"/>
          <w:sz w:val="30"/>
          <w:szCs w:val="30"/>
        </w:rPr>
        <w:t>：</w:t>
      </w:r>
      <w:bookmarkEnd w:id="27"/>
      <w:r>
        <w:rPr>
          <w:rFonts w:hint="eastAsia"/>
          <w:b/>
          <w:bCs/>
          <w:spacing w:val="-16"/>
          <w:sz w:val="30"/>
          <w:szCs w:val="30"/>
        </w:rPr>
        <w:t>中小企业声明函（货物）</w:t>
      </w:r>
    </w:p>
    <w:p w14:paraId="43377417">
      <w:pPr>
        <w:pStyle w:val="7"/>
        <w:spacing w:before="98" w:line="222" w:lineRule="auto"/>
        <w:jc w:val="center"/>
        <w:outlineLvl w:val="9"/>
        <w:rPr>
          <w:sz w:val="30"/>
          <w:szCs w:val="30"/>
        </w:rPr>
      </w:pPr>
    </w:p>
    <w:p w14:paraId="2A47F435">
      <w:pPr>
        <w:spacing w:line="264" w:lineRule="auto"/>
        <w:rPr>
          <w:rFonts w:ascii="Arial"/>
          <w:sz w:val="21"/>
        </w:rPr>
      </w:pPr>
    </w:p>
    <w:p w14:paraId="33F7C4DC">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 xml:space="preserve"> （单位名称）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采购活动，提供的货物全部由符合政策要求的中小企业制造。相关企业（ 含联合体中的中小企业、签订分包意向协议的中小企业）的具体情况如下：</w:t>
      </w:r>
    </w:p>
    <w:p w14:paraId="797CB377">
      <w:pPr>
        <w:pStyle w:val="32"/>
        <w:keepNext w:val="0"/>
        <w:keepLines w:val="0"/>
        <w:pageBreakBefore w:val="0"/>
        <w:widowControl w:val="0"/>
        <w:numPr>
          <w:ilvl w:val="0"/>
          <w:numId w:val="4"/>
        </w:numPr>
        <w:tabs>
          <w:tab w:val="left" w:pos="982"/>
          <w:tab w:val="left" w:pos="672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color w:val="auto"/>
          <w:sz w:val="24"/>
          <w:szCs w:val="24"/>
          <w:highlight w:val="none"/>
          <w:u w:val="single"/>
        </w:rPr>
        <w:t xml:space="preserve"> （采购文件中明确的所属行业）行业</w:t>
      </w:r>
      <w:r>
        <w:rPr>
          <w:rFonts w:hint="eastAsia" w:ascii="仿宋" w:hAnsi="仿宋" w:eastAsia="仿宋" w:cs="仿宋"/>
          <w:color w:val="auto"/>
          <w:sz w:val="24"/>
          <w:szCs w:val="24"/>
          <w:highlight w:val="none"/>
        </w:rPr>
        <w:t xml:space="preserve"> ；制造商为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 xml:space="preserve"> ，从业人员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万元，资产总额为万元 </w:t>
      </w:r>
      <w:r>
        <w:rPr>
          <w:rFonts w:hint="eastAsia" w:ascii="仿宋" w:hAnsi="仿宋" w:eastAsia="仿宋" w:cs="仿宋"/>
          <w:color w:val="auto"/>
          <w:sz w:val="24"/>
          <w:szCs w:val="24"/>
          <w:highlight w:val="none"/>
          <w:vertAlign w:val="superscript"/>
        </w:rPr>
        <w:t>1</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2A39FD70">
      <w:pPr>
        <w:pStyle w:val="32"/>
        <w:keepNext w:val="0"/>
        <w:keepLines w:val="0"/>
        <w:pageBreakBefore w:val="0"/>
        <w:widowControl w:val="0"/>
        <w:numPr>
          <w:ilvl w:val="0"/>
          <w:numId w:val="4"/>
        </w:numPr>
        <w:tabs>
          <w:tab w:val="left" w:pos="982"/>
          <w:tab w:val="left" w:pos="672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color w:val="auto"/>
          <w:sz w:val="24"/>
          <w:szCs w:val="24"/>
          <w:highlight w:val="none"/>
          <w:u w:val="single"/>
        </w:rPr>
        <w:t xml:space="preserve"> （采购文件中明确的所属行业）行业</w:t>
      </w:r>
      <w:r>
        <w:rPr>
          <w:rFonts w:hint="eastAsia" w:ascii="仿宋" w:hAnsi="仿宋" w:eastAsia="仿宋" w:cs="仿宋"/>
          <w:color w:val="auto"/>
          <w:sz w:val="24"/>
          <w:szCs w:val="24"/>
          <w:highlight w:val="none"/>
        </w:rPr>
        <w:t xml:space="preserve"> ；制造商为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 xml:space="preserve"> ，从业人员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万元，资产总额为万元，属于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79072D4C">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p w14:paraId="13481321">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2EB4339A">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461C2029">
      <w:pPr>
        <w:pStyle w:val="7"/>
        <w:rPr>
          <w:rFonts w:hint="eastAsia" w:ascii="仿宋" w:hAnsi="仿宋" w:eastAsia="仿宋" w:cs="仿宋"/>
          <w:color w:val="auto"/>
          <w:sz w:val="24"/>
          <w:szCs w:val="24"/>
          <w:highlight w:val="none"/>
        </w:rPr>
      </w:pPr>
    </w:p>
    <w:p w14:paraId="015306C3">
      <w:pPr>
        <w:pStyle w:val="7"/>
        <w:spacing w:before="9"/>
        <w:rPr>
          <w:rFonts w:hint="eastAsia" w:ascii="仿宋" w:hAnsi="仿宋" w:eastAsia="仿宋" w:cs="仿宋"/>
          <w:color w:val="auto"/>
          <w:sz w:val="24"/>
          <w:szCs w:val="24"/>
          <w:highlight w:val="none"/>
        </w:rPr>
      </w:pPr>
    </w:p>
    <w:p w14:paraId="6E30AE87">
      <w:pPr>
        <w:pStyle w:val="7"/>
        <w:spacing w:line="364" w:lineRule="auto"/>
        <w:ind w:left="2961" w:right="4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7BEF2D1F">
      <w:pPr>
        <w:spacing w:line="239" w:lineRule="auto"/>
        <w:rPr>
          <w:rFonts w:hint="eastAsia" w:ascii="仿宋" w:hAnsi="仿宋" w:eastAsia="仿宋" w:cs="仿宋"/>
          <w:sz w:val="24"/>
          <w:szCs w:val="24"/>
        </w:rPr>
      </w:pPr>
    </w:p>
    <w:p w14:paraId="5B9E0602">
      <w:pPr>
        <w:spacing w:line="239" w:lineRule="auto"/>
        <w:rPr>
          <w:rFonts w:hint="eastAsia" w:ascii="仿宋" w:hAnsi="仿宋" w:eastAsia="仿宋" w:cs="仿宋"/>
          <w:sz w:val="24"/>
          <w:szCs w:val="24"/>
        </w:rPr>
      </w:pPr>
    </w:p>
    <w:p w14:paraId="1B6A3EC5">
      <w:pPr>
        <w:spacing w:line="239" w:lineRule="auto"/>
        <w:rPr>
          <w:rFonts w:hint="eastAsia" w:ascii="仿宋" w:hAnsi="仿宋" w:eastAsia="仿宋" w:cs="仿宋"/>
          <w:sz w:val="22"/>
          <w:szCs w:val="22"/>
        </w:rPr>
      </w:pPr>
      <w:r>
        <w:rPr>
          <w:rFonts w:hint="eastAsia" w:ascii="仿宋" w:hAnsi="仿宋" w:eastAsia="仿宋" w:cs="仿宋"/>
          <w:sz w:val="22"/>
          <w:szCs w:val="22"/>
        </w:rPr>
        <w:t>1 从业人员、营业收入、资产总额填报上一年度数据，无上一年度数据的新成立企业可不填报。</w:t>
      </w:r>
    </w:p>
    <w:p w14:paraId="7F26D487">
      <w:pPr>
        <w:spacing w:line="239" w:lineRule="auto"/>
        <w:rPr>
          <w:rFonts w:hint="eastAsia"/>
          <w:sz w:val="24"/>
          <w:szCs w:val="24"/>
          <w:lang w:val="en-US" w:eastAsia="zh-CN"/>
        </w:rPr>
      </w:pPr>
    </w:p>
    <w:p w14:paraId="7FECB395">
      <w:pPr>
        <w:spacing w:line="239" w:lineRule="auto"/>
        <w:rPr>
          <w:sz w:val="24"/>
          <w:szCs w:val="24"/>
        </w:rPr>
        <w:sectPr>
          <w:headerReference r:id="rId22" w:type="default"/>
          <w:footerReference r:id="rId23" w:type="default"/>
          <w:pgSz w:w="11905" w:h="16838"/>
          <w:pgMar w:top="1440" w:right="1803" w:bottom="1440" w:left="1803" w:header="0" w:footer="975" w:gutter="0"/>
          <w:pgNumType w:fmt="decimal"/>
          <w:cols w:space="0" w:num="1"/>
          <w:rtlGutter w:val="0"/>
          <w:docGrid w:linePitch="0" w:charSpace="0"/>
        </w:sectPr>
      </w:pPr>
    </w:p>
    <w:p w14:paraId="32921155">
      <w:pPr>
        <w:pStyle w:val="7"/>
        <w:spacing w:before="101" w:line="228" w:lineRule="auto"/>
        <w:jc w:val="center"/>
        <w:outlineLvl w:val="1"/>
        <w:rPr>
          <w:sz w:val="30"/>
          <w:szCs w:val="30"/>
        </w:rPr>
      </w:pPr>
      <w:bookmarkStart w:id="28" w:name="_Toc6364"/>
      <w:r>
        <w:rPr>
          <w:b/>
          <w:bCs/>
          <w:spacing w:val="-11"/>
          <w:sz w:val="31"/>
          <w:szCs w:val="31"/>
        </w:rPr>
        <w:t>附件</w:t>
      </w:r>
      <w:r>
        <w:rPr>
          <w:spacing w:val="-40"/>
          <w:sz w:val="31"/>
          <w:szCs w:val="31"/>
        </w:rPr>
        <w:t xml:space="preserve"> </w:t>
      </w:r>
      <w:r>
        <w:rPr>
          <w:b/>
          <w:bCs/>
          <w:spacing w:val="-11"/>
          <w:sz w:val="31"/>
          <w:szCs w:val="31"/>
        </w:rPr>
        <w:t>1</w:t>
      </w:r>
      <w:r>
        <w:rPr>
          <w:rFonts w:hint="eastAsia"/>
          <w:b/>
          <w:bCs/>
          <w:spacing w:val="-11"/>
          <w:sz w:val="31"/>
          <w:szCs w:val="31"/>
          <w:lang w:val="en-US" w:eastAsia="zh-CN"/>
        </w:rPr>
        <w:t>2</w:t>
      </w:r>
      <w:r>
        <w:rPr>
          <w:b/>
          <w:bCs/>
          <w:spacing w:val="-11"/>
          <w:sz w:val="31"/>
          <w:szCs w:val="31"/>
        </w:rPr>
        <w:t>：</w:t>
      </w:r>
      <w:r>
        <w:rPr>
          <w:b/>
          <w:bCs/>
          <w:spacing w:val="6"/>
          <w:sz w:val="30"/>
          <w:szCs w:val="30"/>
        </w:rPr>
        <w:t>残疾人福利性单位声明函</w:t>
      </w:r>
      <w:r>
        <w:rPr>
          <w:b/>
          <w:bCs/>
          <w:spacing w:val="-9"/>
          <w:sz w:val="30"/>
          <w:szCs w:val="30"/>
        </w:rPr>
        <w:t>（如有）</w:t>
      </w:r>
      <w:bookmarkEnd w:id="28"/>
    </w:p>
    <w:p w14:paraId="2548E15B">
      <w:pPr>
        <w:spacing w:line="262" w:lineRule="auto"/>
        <w:rPr>
          <w:rFonts w:ascii="Arial"/>
          <w:sz w:val="21"/>
        </w:rPr>
      </w:pPr>
    </w:p>
    <w:p w14:paraId="2B845B2E">
      <w:pPr>
        <w:spacing w:line="263" w:lineRule="auto"/>
        <w:rPr>
          <w:rFonts w:ascii="Arial"/>
          <w:sz w:val="21"/>
        </w:rPr>
      </w:pPr>
    </w:p>
    <w:p w14:paraId="76E69FF9">
      <w:pPr>
        <w:pStyle w:val="7"/>
        <w:spacing w:before="78" w:line="359" w:lineRule="auto"/>
        <w:ind w:left="1" w:firstLine="503"/>
        <w:jc w:val="both"/>
        <w:rPr>
          <w:sz w:val="24"/>
          <w:szCs w:val="24"/>
        </w:rPr>
      </w:pPr>
      <w:r>
        <w:rPr>
          <w:spacing w:val="8"/>
          <w:sz w:val="24"/>
          <w:szCs w:val="24"/>
        </w:rPr>
        <w:t>本单位郑重声明，根据《财政部</w:t>
      </w:r>
      <w:r>
        <w:rPr>
          <w:spacing w:val="74"/>
          <w:sz w:val="24"/>
          <w:szCs w:val="24"/>
        </w:rPr>
        <w:t xml:space="preserve"> </w:t>
      </w:r>
      <w:r>
        <w:rPr>
          <w:spacing w:val="8"/>
          <w:sz w:val="24"/>
          <w:szCs w:val="24"/>
        </w:rPr>
        <w:t>民政部</w:t>
      </w:r>
      <w:r>
        <w:rPr>
          <w:spacing w:val="75"/>
          <w:sz w:val="24"/>
          <w:szCs w:val="24"/>
        </w:rPr>
        <w:t xml:space="preserve"> </w:t>
      </w:r>
      <w:r>
        <w:rPr>
          <w:spacing w:val="8"/>
          <w:sz w:val="24"/>
          <w:szCs w:val="24"/>
        </w:rPr>
        <w:t>中</w:t>
      </w:r>
      <w:r>
        <w:rPr>
          <w:spacing w:val="-62"/>
          <w:sz w:val="24"/>
          <w:szCs w:val="24"/>
        </w:rPr>
        <w:t xml:space="preserve"> </w:t>
      </w:r>
      <w:r>
        <w:rPr>
          <w:spacing w:val="8"/>
          <w:sz w:val="24"/>
          <w:szCs w:val="24"/>
        </w:rPr>
        <w:t>国残疾人联合会关于促进残疾</w:t>
      </w:r>
      <w:r>
        <w:rPr>
          <w:spacing w:val="7"/>
          <w:sz w:val="24"/>
          <w:szCs w:val="24"/>
        </w:rPr>
        <w:t>人就业政府采购政策的通知》</w:t>
      </w:r>
      <w:r>
        <w:rPr>
          <w:spacing w:val="-79"/>
          <w:sz w:val="24"/>
          <w:szCs w:val="24"/>
        </w:rPr>
        <w:t xml:space="preserve"> </w:t>
      </w:r>
      <w:r>
        <w:rPr>
          <w:spacing w:val="7"/>
          <w:sz w:val="24"/>
          <w:szCs w:val="24"/>
        </w:rPr>
        <w:t>（财库〔2017〕</w:t>
      </w:r>
      <w:r>
        <w:rPr>
          <w:spacing w:val="36"/>
          <w:sz w:val="24"/>
          <w:szCs w:val="24"/>
        </w:rPr>
        <w:t xml:space="preserve"> </w:t>
      </w:r>
      <w:r>
        <w:rPr>
          <w:spacing w:val="7"/>
          <w:sz w:val="24"/>
          <w:szCs w:val="24"/>
        </w:rPr>
        <w:t>141</w:t>
      </w:r>
      <w:r>
        <w:rPr>
          <w:spacing w:val="-36"/>
          <w:sz w:val="24"/>
          <w:szCs w:val="24"/>
        </w:rPr>
        <w:t xml:space="preserve"> </w:t>
      </w:r>
      <w:r>
        <w:rPr>
          <w:spacing w:val="7"/>
          <w:sz w:val="24"/>
          <w:szCs w:val="24"/>
        </w:rPr>
        <w:t>号）</w:t>
      </w:r>
      <w:r>
        <w:rPr>
          <w:spacing w:val="-61"/>
          <w:sz w:val="24"/>
          <w:szCs w:val="24"/>
        </w:rPr>
        <w:t xml:space="preserve"> </w:t>
      </w:r>
      <w:r>
        <w:rPr>
          <w:spacing w:val="7"/>
          <w:sz w:val="24"/>
          <w:szCs w:val="24"/>
        </w:rPr>
        <w:t>的规定，本单位为符合条件的残疾人</w:t>
      </w:r>
      <w:r>
        <w:rPr>
          <w:spacing w:val="10"/>
          <w:sz w:val="24"/>
          <w:szCs w:val="24"/>
        </w:rPr>
        <w:t>福利性单位，且本单位参加______单位的______项</w:t>
      </w:r>
      <w:r>
        <w:rPr>
          <w:spacing w:val="-48"/>
          <w:sz w:val="24"/>
          <w:szCs w:val="24"/>
        </w:rPr>
        <w:t xml:space="preserve"> </w:t>
      </w:r>
      <w:r>
        <w:rPr>
          <w:spacing w:val="10"/>
          <w:sz w:val="24"/>
          <w:szCs w:val="24"/>
        </w:rPr>
        <w:t>目采购活动提供本单位制造的</w:t>
      </w:r>
      <w:r>
        <w:rPr>
          <w:spacing w:val="9"/>
          <w:sz w:val="24"/>
          <w:szCs w:val="24"/>
        </w:rPr>
        <w:t>货物</w:t>
      </w:r>
      <w:r>
        <w:rPr>
          <w:spacing w:val="8"/>
          <w:sz w:val="24"/>
          <w:szCs w:val="24"/>
        </w:rPr>
        <w:t>（</w:t>
      </w:r>
      <w:r>
        <w:rPr>
          <w:spacing w:val="-60"/>
          <w:sz w:val="24"/>
          <w:szCs w:val="24"/>
        </w:rPr>
        <w:t xml:space="preserve"> </w:t>
      </w:r>
      <w:r>
        <w:rPr>
          <w:spacing w:val="8"/>
          <w:sz w:val="24"/>
          <w:szCs w:val="24"/>
        </w:rPr>
        <w:t>由本单位承担工程/提供服务</w:t>
      </w:r>
      <w:r>
        <w:rPr>
          <w:spacing w:val="16"/>
          <w:sz w:val="24"/>
          <w:szCs w:val="24"/>
        </w:rPr>
        <w:t>），</w:t>
      </w:r>
      <w:r>
        <w:rPr>
          <w:spacing w:val="8"/>
          <w:sz w:val="24"/>
          <w:szCs w:val="24"/>
        </w:rPr>
        <w:t>或者提供其他残疾人福利性单位制造的货物（不包</w:t>
      </w:r>
      <w:r>
        <w:rPr>
          <w:spacing w:val="10"/>
          <w:sz w:val="24"/>
          <w:szCs w:val="24"/>
        </w:rPr>
        <w:t>括使用非残疾人福利性单位注册商标的货物）。</w:t>
      </w:r>
    </w:p>
    <w:p w14:paraId="7C28983A">
      <w:pPr>
        <w:pStyle w:val="7"/>
        <w:spacing w:line="220" w:lineRule="auto"/>
        <w:ind w:left="505"/>
        <w:rPr>
          <w:sz w:val="24"/>
          <w:szCs w:val="24"/>
        </w:rPr>
      </w:pPr>
      <w:r>
        <w:rPr>
          <w:spacing w:val="10"/>
          <w:sz w:val="24"/>
          <w:szCs w:val="24"/>
        </w:rPr>
        <w:t>本单位对上述声明的真实性负责。如有虚假，将依法承担相应责任。</w:t>
      </w:r>
    </w:p>
    <w:p w14:paraId="05713D70">
      <w:pPr>
        <w:spacing w:line="247" w:lineRule="auto"/>
        <w:rPr>
          <w:rFonts w:ascii="Arial"/>
          <w:sz w:val="21"/>
        </w:rPr>
      </w:pPr>
    </w:p>
    <w:p w14:paraId="109D5DB8">
      <w:pPr>
        <w:spacing w:line="247" w:lineRule="auto"/>
        <w:rPr>
          <w:rFonts w:ascii="Arial"/>
          <w:sz w:val="21"/>
        </w:rPr>
      </w:pPr>
    </w:p>
    <w:p w14:paraId="42A0B8AE">
      <w:pPr>
        <w:spacing w:line="247" w:lineRule="auto"/>
        <w:rPr>
          <w:rFonts w:ascii="Arial"/>
          <w:sz w:val="21"/>
        </w:rPr>
      </w:pPr>
    </w:p>
    <w:p w14:paraId="1391E9F1">
      <w:pPr>
        <w:spacing w:line="247" w:lineRule="auto"/>
        <w:rPr>
          <w:rFonts w:ascii="Arial"/>
          <w:sz w:val="21"/>
        </w:rPr>
      </w:pPr>
    </w:p>
    <w:p w14:paraId="7BC5514C">
      <w:pPr>
        <w:spacing w:line="247" w:lineRule="auto"/>
        <w:rPr>
          <w:rFonts w:ascii="Arial"/>
          <w:sz w:val="21"/>
        </w:rPr>
      </w:pPr>
    </w:p>
    <w:p w14:paraId="7ED505BC">
      <w:pPr>
        <w:spacing w:line="247" w:lineRule="auto"/>
        <w:rPr>
          <w:rFonts w:ascii="Arial"/>
          <w:sz w:val="21"/>
        </w:rPr>
      </w:pPr>
    </w:p>
    <w:p w14:paraId="36161CCE">
      <w:pPr>
        <w:spacing w:line="248" w:lineRule="auto"/>
        <w:rPr>
          <w:rFonts w:ascii="Arial"/>
          <w:sz w:val="21"/>
        </w:rPr>
      </w:pPr>
    </w:p>
    <w:p w14:paraId="25B311D0">
      <w:pPr>
        <w:spacing w:line="248" w:lineRule="auto"/>
        <w:rPr>
          <w:rFonts w:ascii="Arial"/>
          <w:sz w:val="21"/>
        </w:rPr>
      </w:pPr>
    </w:p>
    <w:p w14:paraId="7CD375DD">
      <w:pPr>
        <w:spacing w:line="248" w:lineRule="auto"/>
        <w:rPr>
          <w:rFonts w:ascii="Arial"/>
          <w:sz w:val="21"/>
        </w:rPr>
      </w:pPr>
    </w:p>
    <w:p w14:paraId="780D8DC2">
      <w:pPr>
        <w:spacing w:line="248" w:lineRule="auto"/>
        <w:rPr>
          <w:rFonts w:ascii="Arial"/>
          <w:sz w:val="21"/>
        </w:rPr>
      </w:pPr>
    </w:p>
    <w:p w14:paraId="1F8D6697">
      <w:pPr>
        <w:spacing w:line="248" w:lineRule="auto"/>
        <w:rPr>
          <w:rFonts w:ascii="Arial"/>
          <w:sz w:val="21"/>
        </w:rPr>
      </w:pPr>
    </w:p>
    <w:p w14:paraId="72E3963A">
      <w:pPr>
        <w:spacing w:line="248" w:lineRule="auto"/>
        <w:rPr>
          <w:rFonts w:ascii="Arial"/>
          <w:sz w:val="21"/>
        </w:rPr>
      </w:pPr>
    </w:p>
    <w:p w14:paraId="3227EDEB">
      <w:pPr>
        <w:spacing w:line="248" w:lineRule="auto"/>
        <w:rPr>
          <w:rFonts w:ascii="Arial"/>
          <w:sz w:val="21"/>
        </w:rPr>
      </w:pPr>
    </w:p>
    <w:p w14:paraId="1F21462D">
      <w:pPr>
        <w:spacing w:line="248" w:lineRule="auto"/>
        <w:rPr>
          <w:rFonts w:ascii="Arial"/>
          <w:sz w:val="21"/>
        </w:rPr>
      </w:pPr>
    </w:p>
    <w:p w14:paraId="4DB18FE0">
      <w:pPr>
        <w:pStyle w:val="7"/>
        <w:spacing w:before="78" w:line="221" w:lineRule="auto"/>
        <w:rPr>
          <w:sz w:val="24"/>
          <w:szCs w:val="24"/>
        </w:rPr>
      </w:pPr>
      <w:r>
        <w:rPr>
          <w:spacing w:val="-2"/>
          <w:sz w:val="24"/>
          <w:szCs w:val="24"/>
        </w:rPr>
        <w:t>投标人名称（公章</w:t>
      </w:r>
      <w:r>
        <w:rPr>
          <w:sz w:val="24"/>
          <w:szCs w:val="24"/>
        </w:rPr>
        <w:t>）：</w:t>
      </w:r>
    </w:p>
    <w:p w14:paraId="0E2FC29E">
      <w:pPr>
        <w:pStyle w:val="7"/>
        <w:spacing w:before="178" w:line="222" w:lineRule="auto"/>
        <w:ind w:left="8"/>
        <w:rPr>
          <w:sz w:val="24"/>
          <w:szCs w:val="24"/>
        </w:rPr>
      </w:pPr>
      <w:r>
        <w:rPr>
          <w:spacing w:val="-2"/>
          <w:sz w:val="24"/>
          <w:szCs w:val="24"/>
        </w:rPr>
        <w:t>法定代表人或授权代表人（签字或盖章</w:t>
      </w:r>
      <w:r>
        <w:rPr>
          <w:spacing w:val="4"/>
          <w:sz w:val="24"/>
          <w:szCs w:val="24"/>
        </w:rPr>
        <w:t>）：</w:t>
      </w:r>
    </w:p>
    <w:p w14:paraId="3A3DA4C8">
      <w:pPr>
        <w:pStyle w:val="7"/>
        <w:spacing w:before="179" w:line="223" w:lineRule="auto"/>
        <w:ind w:left="51"/>
        <w:rPr>
          <w:sz w:val="24"/>
          <w:szCs w:val="24"/>
        </w:rPr>
      </w:pPr>
      <w:r>
        <w:rPr>
          <w:spacing w:val="-23"/>
          <w:sz w:val="24"/>
          <w:szCs w:val="24"/>
        </w:rPr>
        <w:t>日期：</w:t>
      </w:r>
    </w:p>
    <w:p w14:paraId="358580EA">
      <w:pPr>
        <w:spacing w:line="223" w:lineRule="auto"/>
        <w:rPr>
          <w:sz w:val="24"/>
          <w:szCs w:val="24"/>
        </w:rPr>
        <w:sectPr>
          <w:footerReference r:id="rId24" w:type="default"/>
          <w:pgSz w:w="11905" w:h="16838"/>
          <w:pgMar w:top="1440" w:right="1803" w:bottom="1440" w:left="1803" w:header="0" w:footer="975" w:gutter="0"/>
          <w:pgNumType w:fmt="decimal"/>
          <w:cols w:space="0" w:num="1"/>
          <w:rtlGutter w:val="0"/>
          <w:docGrid w:linePitch="0" w:charSpace="0"/>
        </w:sectPr>
      </w:pPr>
    </w:p>
    <w:p w14:paraId="33B4A9A7">
      <w:pPr>
        <w:pStyle w:val="7"/>
        <w:spacing w:before="98" w:line="222" w:lineRule="auto"/>
        <w:jc w:val="center"/>
        <w:outlineLvl w:val="1"/>
        <w:rPr>
          <w:sz w:val="24"/>
          <w:szCs w:val="24"/>
        </w:rPr>
      </w:pPr>
      <w:bookmarkStart w:id="29" w:name="_Toc18196"/>
      <w:r>
        <w:rPr>
          <w:b/>
          <w:bCs/>
          <w:spacing w:val="-16"/>
          <w:sz w:val="30"/>
          <w:szCs w:val="30"/>
        </w:rPr>
        <w:t>附件</w:t>
      </w:r>
      <w:r>
        <w:rPr>
          <w:spacing w:val="-41"/>
          <w:sz w:val="30"/>
          <w:szCs w:val="30"/>
        </w:rPr>
        <w:t xml:space="preserve"> </w:t>
      </w:r>
      <w:r>
        <w:rPr>
          <w:b/>
          <w:bCs/>
          <w:spacing w:val="-16"/>
          <w:sz w:val="30"/>
          <w:szCs w:val="30"/>
        </w:rPr>
        <w:t>1</w:t>
      </w:r>
      <w:r>
        <w:rPr>
          <w:rFonts w:hint="eastAsia"/>
          <w:b/>
          <w:bCs/>
          <w:spacing w:val="-16"/>
          <w:sz w:val="30"/>
          <w:szCs w:val="30"/>
          <w:lang w:val="en-US" w:eastAsia="zh-CN"/>
        </w:rPr>
        <w:t>3</w:t>
      </w:r>
      <w:r>
        <w:rPr>
          <w:b/>
          <w:bCs/>
          <w:spacing w:val="-16"/>
          <w:sz w:val="30"/>
          <w:szCs w:val="30"/>
        </w:rPr>
        <w:t>：</w:t>
      </w:r>
      <w:r>
        <w:rPr>
          <w:b/>
          <w:bCs/>
          <w:spacing w:val="-7"/>
          <w:sz w:val="30"/>
          <w:szCs w:val="30"/>
        </w:rPr>
        <w:t>监狱企业声明函</w:t>
      </w:r>
      <w:r>
        <w:rPr>
          <w:spacing w:val="-3"/>
          <w:sz w:val="24"/>
          <w:szCs w:val="24"/>
        </w:rPr>
        <w:t>（监狱企业适用）</w:t>
      </w:r>
      <w:bookmarkEnd w:id="29"/>
    </w:p>
    <w:p w14:paraId="1197A981">
      <w:pPr>
        <w:pStyle w:val="7"/>
        <w:spacing w:before="109" w:line="308" w:lineRule="auto"/>
        <w:ind w:left="3" w:firstLine="536"/>
        <w:rPr>
          <w:sz w:val="24"/>
          <w:szCs w:val="24"/>
        </w:rPr>
      </w:pPr>
      <w:r>
        <w:rPr>
          <w:spacing w:val="-1"/>
          <w:sz w:val="24"/>
          <w:szCs w:val="24"/>
        </w:rPr>
        <w:t>本公司郑重声明，根据《财政部、司法部关于政府采购支持监狱企业发展有关问题的</w:t>
      </w:r>
      <w:r>
        <w:rPr>
          <w:spacing w:val="-2"/>
          <w:sz w:val="24"/>
          <w:szCs w:val="24"/>
        </w:rPr>
        <w:t>通知》（财库[2014]68</w:t>
      </w:r>
      <w:r>
        <w:rPr>
          <w:spacing w:val="-24"/>
          <w:sz w:val="24"/>
          <w:szCs w:val="24"/>
        </w:rPr>
        <w:t xml:space="preserve"> </w:t>
      </w:r>
      <w:r>
        <w:rPr>
          <w:spacing w:val="-2"/>
          <w:sz w:val="24"/>
          <w:szCs w:val="24"/>
        </w:rPr>
        <w:t>号）的规定，本公司为监狱企业。</w:t>
      </w:r>
    </w:p>
    <w:p w14:paraId="33C1449E">
      <w:pPr>
        <w:pStyle w:val="7"/>
        <w:spacing w:before="2" w:line="306" w:lineRule="auto"/>
        <w:ind w:firstLine="539"/>
        <w:rPr>
          <w:sz w:val="24"/>
          <w:szCs w:val="24"/>
        </w:rPr>
      </w:pPr>
      <w:r>
        <w:rPr>
          <w:spacing w:val="-1"/>
          <w:sz w:val="24"/>
          <w:szCs w:val="24"/>
        </w:rPr>
        <w:t>本公司参加______单位的______项目采购活动，采购活动提供本企业（填写制造的货物，由本企业承担工程、提供服务）。</w:t>
      </w:r>
    </w:p>
    <w:p w14:paraId="3D148F7E">
      <w:pPr>
        <w:pStyle w:val="7"/>
        <w:spacing w:before="1" w:line="221" w:lineRule="auto"/>
        <w:ind w:left="539"/>
        <w:rPr>
          <w:sz w:val="24"/>
          <w:szCs w:val="24"/>
        </w:rPr>
      </w:pPr>
      <w:r>
        <w:rPr>
          <w:spacing w:val="-1"/>
          <w:sz w:val="24"/>
          <w:szCs w:val="24"/>
        </w:rPr>
        <w:t>本条所称货物不包括使用大型企业注册商标的货物和服务。</w:t>
      </w:r>
    </w:p>
    <w:p w14:paraId="104CAC24">
      <w:pPr>
        <w:pStyle w:val="7"/>
        <w:spacing w:before="114" w:line="220" w:lineRule="auto"/>
        <w:ind w:left="539"/>
        <w:rPr>
          <w:sz w:val="24"/>
          <w:szCs w:val="24"/>
        </w:rPr>
      </w:pPr>
      <w:r>
        <w:rPr>
          <w:spacing w:val="-1"/>
          <w:sz w:val="24"/>
          <w:szCs w:val="24"/>
        </w:rPr>
        <w:t>本公司对上述声明的真实性负责。如有虚假，将依法承担相应责任。</w:t>
      </w:r>
    </w:p>
    <w:p w14:paraId="0C61DC1D">
      <w:pPr>
        <w:spacing w:line="254" w:lineRule="auto"/>
        <w:rPr>
          <w:rFonts w:ascii="Arial"/>
          <w:sz w:val="21"/>
        </w:rPr>
      </w:pPr>
    </w:p>
    <w:p w14:paraId="59145245">
      <w:pPr>
        <w:spacing w:line="254" w:lineRule="auto"/>
        <w:rPr>
          <w:rFonts w:ascii="Arial"/>
          <w:sz w:val="21"/>
        </w:rPr>
      </w:pPr>
    </w:p>
    <w:p w14:paraId="492FB121">
      <w:pPr>
        <w:pStyle w:val="7"/>
        <w:spacing w:before="79" w:line="218" w:lineRule="auto"/>
        <w:ind w:left="478"/>
        <w:rPr>
          <w:sz w:val="24"/>
          <w:szCs w:val="24"/>
        </w:rPr>
      </w:pPr>
      <w:r>
        <w:rPr>
          <w:spacing w:val="-1"/>
          <w:sz w:val="24"/>
          <w:szCs w:val="24"/>
        </w:rPr>
        <w:t>投标人名称(公章)：____________</w:t>
      </w:r>
    </w:p>
    <w:p w14:paraId="2AD4BB3C">
      <w:pPr>
        <w:pStyle w:val="7"/>
        <w:spacing w:before="184" w:line="218" w:lineRule="auto"/>
        <w:ind w:left="529"/>
        <w:rPr>
          <w:sz w:val="24"/>
          <w:szCs w:val="24"/>
        </w:rPr>
      </w:pPr>
      <w:r>
        <w:rPr>
          <w:spacing w:val="-3"/>
          <w:sz w:val="24"/>
          <w:szCs w:val="24"/>
        </w:rPr>
        <w:t>日期：________________________</w:t>
      </w:r>
    </w:p>
    <w:p w14:paraId="2BFC24D5">
      <w:pPr>
        <w:spacing w:line="306" w:lineRule="auto"/>
        <w:rPr>
          <w:rFonts w:ascii="Arial"/>
          <w:sz w:val="21"/>
        </w:rPr>
      </w:pPr>
    </w:p>
    <w:p w14:paraId="71F862C1">
      <w:pPr>
        <w:spacing w:line="306" w:lineRule="auto"/>
        <w:rPr>
          <w:rFonts w:ascii="Arial"/>
          <w:sz w:val="21"/>
        </w:rPr>
      </w:pPr>
    </w:p>
    <w:p w14:paraId="60FB5378">
      <w:pPr>
        <w:pStyle w:val="7"/>
        <w:spacing w:before="92" w:line="241" w:lineRule="auto"/>
        <w:ind w:left="31" w:right="136" w:firstLine="537"/>
      </w:pPr>
      <w:r>
        <w:rPr>
          <w:b/>
          <w:bCs/>
          <w:spacing w:val="-3"/>
        </w:rPr>
        <w:t>注：应当提供由省级以上监狱管理局、戒毒管理局（含新疆生产建设兵</w:t>
      </w:r>
      <w:r>
        <w:rPr>
          <w:b/>
          <w:bCs/>
          <w:spacing w:val="-5"/>
        </w:rPr>
        <w:t>团）出具的属于监狱企业的证明文件。</w:t>
      </w:r>
    </w:p>
    <w:p w14:paraId="0E94001C">
      <w:pPr>
        <w:spacing w:line="241" w:lineRule="auto"/>
        <w:sectPr>
          <w:footerReference r:id="rId25" w:type="default"/>
          <w:pgSz w:w="11905" w:h="16838"/>
          <w:pgMar w:top="1440" w:right="1803" w:bottom="1440" w:left="1803" w:header="0" w:footer="975" w:gutter="0"/>
          <w:pgNumType w:fmt="decimal"/>
          <w:cols w:space="0" w:num="1"/>
          <w:rtlGutter w:val="0"/>
          <w:docGrid w:linePitch="0" w:charSpace="0"/>
        </w:sectPr>
      </w:pPr>
    </w:p>
    <w:p w14:paraId="1F2DC094">
      <w:pPr>
        <w:pStyle w:val="7"/>
        <w:spacing w:before="98" w:line="222" w:lineRule="auto"/>
        <w:jc w:val="center"/>
        <w:outlineLvl w:val="1"/>
        <w:rPr>
          <w:rFonts w:hint="eastAsia"/>
          <w:b/>
          <w:bCs/>
          <w:spacing w:val="-4"/>
          <w:sz w:val="30"/>
          <w:szCs w:val="30"/>
          <w:lang w:val="en-US" w:eastAsia="zh-CN"/>
        </w:rPr>
      </w:pPr>
      <w:bookmarkStart w:id="30" w:name="_Toc24104"/>
      <w:r>
        <w:rPr>
          <w:b/>
          <w:bCs/>
          <w:spacing w:val="-16"/>
          <w:sz w:val="30"/>
          <w:szCs w:val="30"/>
        </w:rPr>
        <w:t>附件</w:t>
      </w:r>
      <w:r>
        <w:rPr>
          <w:spacing w:val="-41"/>
          <w:sz w:val="30"/>
          <w:szCs w:val="30"/>
        </w:rPr>
        <w:t xml:space="preserve"> </w:t>
      </w:r>
      <w:r>
        <w:rPr>
          <w:b/>
          <w:bCs/>
          <w:spacing w:val="-16"/>
          <w:sz w:val="30"/>
          <w:szCs w:val="30"/>
        </w:rPr>
        <w:t>1</w:t>
      </w:r>
      <w:r>
        <w:rPr>
          <w:rFonts w:hint="eastAsia"/>
          <w:b/>
          <w:bCs/>
          <w:spacing w:val="-16"/>
          <w:sz w:val="30"/>
          <w:szCs w:val="30"/>
          <w:lang w:val="en-US" w:eastAsia="zh-CN"/>
        </w:rPr>
        <w:t>4</w:t>
      </w:r>
      <w:r>
        <w:rPr>
          <w:b/>
          <w:bCs/>
          <w:spacing w:val="-16"/>
          <w:sz w:val="30"/>
          <w:szCs w:val="30"/>
        </w:rPr>
        <w:t>：</w:t>
      </w:r>
      <w:r>
        <w:rPr>
          <w:b/>
          <w:bCs/>
          <w:spacing w:val="-4"/>
          <w:sz w:val="30"/>
          <w:szCs w:val="30"/>
        </w:rPr>
        <w:t>投标保证金汇款凭证</w:t>
      </w:r>
      <w:r>
        <w:rPr>
          <w:rFonts w:hint="eastAsia"/>
          <w:b/>
          <w:bCs/>
          <w:spacing w:val="-4"/>
          <w:sz w:val="30"/>
          <w:szCs w:val="30"/>
          <w:lang w:val="en-US" w:eastAsia="zh-CN"/>
        </w:rPr>
        <w:t>和退还保证金说明函</w:t>
      </w:r>
      <w:bookmarkEnd w:id="30"/>
    </w:p>
    <w:p w14:paraId="506C7B08">
      <w:pPr>
        <w:pStyle w:val="7"/>
        <w:spacing w:before="98" w:line="222" w:lineRule="auto"/>
        <w:jc w:val="center"/>
        <w:outlineLvl w:val="9"/>
        <w:rPr>
          <w:b/>
          <w:bCs/>
          <w:spacing w:val="-4"/>
          <w:sz w:val="30"/>
          <w:szCs w:val="30"/>
        </w:rPr>
      </w:pPr>
    </w:p>
    <w:p w14:paraId="3C982D84">
      <w:pPr>
        <w:pStyle w:val="18"/>
      </w:pPr>
    </w:p>
    <w:p w14:paraId="1E294767">
      <w:pPr>
        <w:pStyle w:val="18"/>
        <w:rPr>
          <w:rFonts w:hint="eastAsia"/>
          <w:sz w:val="24"/>
          <w:szCs w:val="24"/>
          <w:lang w:val="en-US"/>
        </w:rPr>
      </w:pPr>
      <w:r>
        <w:rPr>
          <w:rFonts w:hint="eastAsia"/>
          <w:sz w:val="24"/>
          <w:szCs w:val="24"/>
          <w:lang w:val="en-US"/>
        </w:rPr>
        <w:t>致：</w:t>
      </w:r>
      <w:r>
        <w:rPr>
          <w:rFonts w:hint="eastAsia"/>
          <w:sz w:val="24"/>
          <w:szCs w:val="24"/>
        </w:rPr>
        <w:t>【采购代理机构】</w:t>
      </w:r>
    </w:p>
    <w:p w14:paraId="7D6383EB">
      <w:pPr>
        <w:pStyle w:val="18"/>
        <w:rPr>
          <w:rFonts w:hint="eastAsia"/>
          <w:sz w:val="24"/>
          <w:szCs w:val="24"/>
          <w:lang w:val="en-US"/>
        </w:rPr>
      </w:pPr>
      <w:r>
        <w:rPr>
          <w:rFonts w:hint="eastAsia"/>
          <w:sz w:val="24"/>
          <w:szCs w:val="24"/>
          <w:lang w:val="en-US"/>
        </w:rPr>
        <w:t>我方于</w:t>
      </w:r>
      <w:r>
        <w:rPr>
          <w:rFonts w:hint="eastAsia"/>
          <w:sz w:val="24"/>
          <w:szCs w:val="24"/>
          <w:lang w:val="en-US"/>
        </w:rPr>
        <w:tab/>
      </w:r>
      <w:r>
        <w:rPr>
          <w:rFonts w:hint="eastAsia"/>
          <w:sz w:val="24"/>
          <w:szCs w:val="24"/>
          <w:lang w:val="en-US"/>
        </w:rPr>
        <w:t>年</w:t>
      </w:r>
      <w:r>
        <w:rPr>
          <w:rFonts w:hint="eastAsia"/>
          <w:sz w:val="24"/>
          <w:szCs w:val="24"/>
          <w:lang w:val="en-US"/>
        </w:rPr>
        <w:tab/>
      </w:r>
      <w:r>
        <w:rPr>
          <w:rFonts w:hint="eastAsia"/>
          <w:sz w:val="24"/>
          <w:szCs w:val="24"/>
          <w:lang w:val="en-US"/>
        </w:rPr>
        <w:t>月</w:t>
      </w:r>
      <w:r>
        <w:rPr>
          <w:rFonts w:hint="eastAsia"/>
          <w:sz w:val="24"/>
          <w:szCs w:val="24"/>
          <w:lang w:val="en-US"/>
        </w:rPr>
        <w:tab/>
      </w:r>
      <w:r>
        <w:rPr>
          <w:rFonts w:hint="eastAsia"/>
          <w:sz w:val="24"/>
          <w:szCs w:val="24"/>
          <w:lang w:val="en-US"/>
        </w:rPr>
        <w:t>日参加</w:t>
      </w:r>
      <w:r>
        <w:rPr>
          <w:rFonts w:hint="eastAsia"/>
          <w:sz w:val="24"/>
          <w:szCs w:val="24"/>
          <w:lang w:val="en-US"/>
        </w:rPr>
        <w:tab/>
      </w:r>
      <w:r>
        <w:rPr>
          <w:rFonts w:hint="eastAsia"/>
          <w:sz w:val="24"/>
          <w:szCs w:val="24"/>
          <w:lang w:val="en-US"/>
        </w:rPr>
        <w:t>（项目名称）的</w:t>
      </w:r>
      <w:r>
        <w:rPr>
          <w:rFonts w:hint="eastAsia"/>
          <w:sz w:val="24"/>
          <w:szCs w:val="24"/>
          <w:lang w:val="en-US" w:eastAsia="zh-CN"/>
        </w:rPr>
        <w:t>投标</w:t>
      </w:r>
      <w:r>
        <w:rPr>
          <w:rFonts w:hint="eastAsia"/>
          <w:sz w:val="24"/>
          <w:szCs w:val="24"/>
          <w:lang w:val="en-US"/>
        </w:rPr>
        <w:t>，现保证：我方在规定的</w:t>
      </w:r>
      <w:r>
        <w:rPr>
          <w:rFonts w:hint="eastAsia"/>
          <w:sz w:val="24"/>
          <w:szCs w:val="24"/>
          <w:lang w:val="en-US" w:eastAsia="zh-CN"/>
        </w:rPr>
        <w:t>投标</w:t>
      </w:r>
      <w:r>
        <w:rPr>
          <w:rFonts w:hint="eastAsia"/>
          <w:sz w:val="24"/>
          <w:szCs w:val="24"/>
          <w:lang w:val="en-US"/>
        </w:rPr>
        <w:t>有效期内撤销或修改</w:t>
      </w:r>
      <w:r>
        <w:rPr>
          <w:rFonts w:hint="eastAsia"/>
          <w:sz w:val="24"/>
          <w:szCs w:val="24"/>
          <w:lang w:val="en-US" w:eastAsia="zh-CN"/>
        </w:rPr>
        <w:t>投标文件</w:t>
      </w:r>
      <w:r>
        <w:rPr>
          <w:rFonts w:hint="eastAsia"/>
          <w:sz w:val="24"/>
          <w:szCs w:val="24"/>
          <w:lang w:val="en-US"/>
        </w:rPr>
        <w:t>的，或者在收到</w:t>
      </w:r>
      <w:r>
        <w:rPr>
          <w:rFonts w:hint="eastAsia"/>
          <w:sz w:val="24"/>
          <w:szCs w:val="24"/>
          <w:lang w:val="en-US" w:eastAsia="zh-CN"/>
        </w:rPr>
        <w:t>中标</w:t>
      </w:r>
      <w:r>
        <w:rPr>
          <w:rFonts w:hint="eastAsia"/>
          <w:sz w:val="24"/>
          <w:szCs w:val="24"/>
          <w:lang w:val="en-US"/>
        </w:rPr>
        <w:t>通知书后无正当理由拒签合同或拒交规定履约担保的，</w:t>
      </w:r>
      <w:r>
        <w:rPr>
          <w:rFonts w:hint="eastAsia"/>
          <w:sz w:val="24"/>
          <w:szCs w:val="24"/>
          <w:lang w:val="en-US" w:eastAsia="zh-CN"/>
        </w:rPr>
        <w:t>投标保证金</w:t>
      </w:r>
      <w:r>
        <w:rPr>
          <w:rFonts w:hint="eastAsia"/>
          <w:sz w:val="24"/>
          <w:szCs w:val="24"/>
          <w:lang w:val="en-US"/>
        </w:rPr>
        <w:t>不予退还。</w:t>
      </w:r>
    </w:p>
    <w:p w14:paraId="34A3B510">
      <w:pPr>
        <w:pStyle w:val="18"/>
        <w:rPr>
          <w:rFonts w:hint="eastAsia"/>
          <w:sz w:val="24"/>
          <w:szCs w:val="24"/>
          <w:lang w:val="en-US"/>
        </w:rPr>
      </w:pPr>
    </w:p>
    <w:p w14:paraId="59EE4964">
      <w:pPr>
        <w:pStyle w:val="18"/>
        <w:rPr>
          <w:rFonts w:hint="eastAsia"/>
          <w:sz w:val="24"/>
          <w:szCs w:val="24"/>
          <w:lang w:val="en-US"/>
        </w:rPr>
      </w:pPr>
    </w:p>
    <w:p w14:paraId="5306DD84">
      <w:pPr>
        <w:pStyle w:val="18"/>
        <w:rPr>
          <w:rFonts w:hint="eastAsia"/>
          <w:sz w:val="24"/>
          <w:szCs w:val="24"/>
          <w:lang w:val="en-US" w:eastAsia="zh-CN"/>
        </w:rPr>
      </w:pPr>
      <w:r>
        <w:rPr>
          <w:rFonts w:hint="eastAsia"/>
          <w:sz w:val="24"/>
          <w:szCs w:val="24"/>
          <w:lang w:val="en-US" w:eastAsia="zh-CN"/>
        </w:rPr>
        <w:t>投标单位名称（公章</w:t>
      </w:r>
      <w:r>
        <w:rPr>
          <w:rFonts w:hint="eastAsia"/>
          <w:sz w:val="24"/>
          <w:szCs w:val="24"/>
          <w:lang w:val="zh-CN" w:eastAsia="zh-CN"/>
        </w:rPr>
        <w:t>）</w:t>
      </w:r>
      <w:r>
        <w:rPr>
          <w:rFonts w:hint="eastAsia"/>
          <w:sz w:val="24"/>
          <w:szCs w:val="24"/>
          <w:lang w:val="en-US" w:eastAsia="zh-CN"/>
        </w:rPr>
        <w:t xml:space="preserve">：                            </w:t>
      </w:r>
    </w:p>
    <w:p w14:paraId="41E0FFF7">
      <w:pPr>
        <w:pStyle w:val="18"/>
        <w:rPr>
          <w:rFonts w:hint="eastAsia"/>
          <w:sz w:val="24"/>
          <w:szCs w:val="24"/>
          <w:lang w:val="en-US" w:eastAsia="zh-CN"/>
        </w:rPr>
      </w:pPr>
      <w:r>
        <w:rPr>
          <w:rFonts w:hint="eastAsia"/>
          <w:sz w:val="24"/>
          <w:szCs w:val="24"/>
          <w:lang w:val="en-US" w:eastAsia="zh-CN"/>
        </w:rPr>
        <w:t xml:space="preserve">日期 ：                             </w:t>
      </w:r>
    </w:p>
    <w:p w14:paraId="065C5D97">
      <w:pPr>
        <w:pStyle w:val="18"/>
        <w:rPr>
          <w:rFonts w:hint="default"/>
          <w:sz w:val="24"/>
          <w:szCs w:val="24"/>
          <w:lang w:val="en-US" w:eastAsia="zh-CN"/>
        </w:rPr>
      </w:pPr>
      <w:r>
        <w:rPr>
          <w:rFonts w:hint="eastAsia"/>
          <w:sz w:val="24"/>
          <w:szCs w:val="24"/>
          <w:lang w:val="en-US" w:eastAsia="zh-CN"/>
        </w:rPr>
        <w:t>转账</w:t>
      </w:r>
      <w:r>
        <w:rPr>
          <w:rFonts w:hint="eastAsia"/>
          <w:sz w:val="24"/>
          <w:szCs w:val="24"/>
          <w:lang w:val="en-US"/>
        </w:rPr>
        <w:t>或汇款的银行凭证</w:t>
      </w:r>
      <w:r>
        <w:rPr>
          <w:rFonts w:hint="eastAsia"/>
          <w:sz w:val="24"/>
          <w:szCs w:val="24"/>
          <w:lang w:val="en-US" w:eastAsia="zh-CN"/>
        </w:rPr>
        <w:t>或电子保函证明</w:t>
      </w:r>
    </w:p>
    <w:tbl>
      <w:tblPr>
        <w:tblStyle w:val="1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7857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noWrap w:val="0"/>
            <w:vAlign w:val="center"/>
          </w:tcPr>
          <w:p w14:paraId="3C7CBA88">
            <w:pPr>
              <w:pStyle w:val="18"/>
              <w:keepNext w:val="0"/>
              <w:keepLines w:val="0"/>
              <w:widowControl/>
              <w:suppressLineNumbers w:val="0"/>
              <w:spacing w:before="0" w:beforeAutospacing="0" w:after="0" w:afterAutospacing="0"/>
              <w:ind w:left="0" w:right="0"/>
              <w:rPr>
                <w:rFonts w:hint="eastAsia"/>
                <w:sz w:val="24"/>
                <w:szCs w:val="24"/>
                <w:lang w:val="en-US"/>
              </w:rPr>
            </w:pPr>
            <w:r>
              <w:rPr>
                <w:rFonts w:hint="eastAsia"/>
                <w:sz w:val="24"/>
                <w:szCs w:val="24"/>
                <w:lang w:val="en-US"/>
              </w:rPr>
              <w:t>（粘贴</w:t>
            </w:r>
            <w:r>
              <w:rPr>
                <w:rFonts w:hint="eastAsia"/>
                <w:sz w:val="24"/>
                <w:szCs w:val="24"/>
                <w:lang w:val="en-US" w:eastAsia="zh-CN"/>
              </w:rPr>
              <w:t>转账</w:t>
            </w:r>
            <w:r>
              <w:rPr>
                <w:rFonts w:hint="eastAsia"/>
                <w:sz w:val="24"/>
                <w:szCs w:val="24"/>
                <w:lang w:val="en-US"/>
              </w:rPr>
              <w:t>或汇款的银行凭证复印件）</w:t>
            </w:r>
          </w:p>
        </w:tc>
      </w:tr>
    </w:tbl>
    <w:p w14:paraId="14E58E6A">
      <w:pPr>
        <w:pStyle w:val="18"/>
        <w:rPr>
          <w:rFonts w:hint="eastAsia"/>
          <w:sz w:val="24"/>
          <w:szCs w:val="24"/>
          <w:lang w:val="en-US" w:eastAsia="zh-CN"/>
        </w:rPr>
      </w:pPr>
      <w:r>
        <w:rPr>
          <w:rFonts w:hint="eastAsia"/>
          <w:sz w:val="24"/>
          <w:szCs w:val="24"/>
          <w:lang w:val="en-US" w:eastAsia="zh-CN"/>
        </w:rPr>
        <w:t>★备注：投标保证金缴费证明复印件加盖公章</w:t>
      </w:r>
    </w:p>
    <w:p w14:paraId="135C68EC">
      <w:pPr>
        <w:pStyle w:val="18"/>
        <w:rPr>
          <w:rFonts w:hint="eastAsia"/>
          <w:sz w:val="24"/>
          <w:szCs w:val="24"/>
          <w:lang w:val="en-US" w:eastAsia="zh-CN"/>
        </w:rPr>
      </w:pPr>
      <w:r>
        <w:rPr>
          <w:rFonts w:hint="eastAsia"/>
          <w:sz w:val="24"/>
          <w:szCs w:val="24"/>
          <w:lang w:val="en-US" w:eastAsia="zh-CN"/>
        </w:rPr>
        <w:t>说明：投标保证金提交方式为银行电汇或其他方式缴纳，电汇须从投标单位基本账户转出，投标保证金必须在递交投标文件截止时间前到指定的账户，并在汇款单上注明所投项目名称。未领取招标文件、缴纳保证金的投标单位不得参与投标，投标保证金以其他方式递交未按规定时间到账的，由投标单位自行承担。</w:t>
      </w:r>
    </w:p>
    <w:p w14:paraId="17118404">
      <w:pPr>
        <w:pStyle w:val="18"/>
        <w:rPr>
          <w:sz w:val="24"/>
          <w:szCs w:val="24"/>
        </w:rPr>
        <w:sectPr>
          <w:footerReference r:id="rId26" w:type="default"/>
          <w:pgSz w:w="11905" w:h="16838"/>
          <w:pgMar w:top="1440" w:right="1803" w:bottom="1440" w:left="1803" w:header="0" w:footer="975" w:gutter="0"/>
          <w:pgNumType w:fmt="decimal"/>
          <w:cols w:space="0" w:num="1"/>
          <w:rtlGutter w:val="0"/>
          <w:docGrid w:linePitch="0" w:charSpace="0"/>
        </w:sectPr>
      </w:pPr>
    </w:p>
    <w:p w14:paraId="74A5360B">
      <w:pPr>
        <w:pStyle w:val="18"/>
        <w:jc w:val="center"/>
        <w:rPr>
          <w:rFonts w:hint="eastAsia"/>
          <w:b/>
          <w:bCs/>
          <w:sz w:val="28"/>
          <w:szCs w:val="28"/>
          <w:lang w:val="en-US" w:eastAsia="zh-CN"/>
        </w:rPr>
      </w:pPr>
      <w:r>
        <w:rPr>
          <w:rFonts w:hint="eastAsia"/>
          <w:b/>
          <w:bCs/>
          <w:sz w:val="28"/>
          <w:szCs w:val="28"/>
          <w:lang w:val="en-US" w:eastAsia="zh-CN"/>
        </w:rPr>
        <w:t>退还保证金说明函</w:t>
      </w:r>
    </w:p>
    <w:p w14:paraId="0351D946">
      <w:pPr>
        <w:pStyle w:val="18"/>
        <w:rPr>
          <w:rFonts w:hint="eastAsia"/>
          <w:sz w:val="24"/>
          <w:szCs w:val="24"/>
          <w:lang w:val="en-US"/>
        </w:rPr>
      </w:pPr>
    </w:p>
    <w:p w14:paraId="2F3A015C">
      <w:pPr>
        <w:pStyle w:val="18"/>
        <w:rPr>
          <w:rFonts w:hint="eastAsia"/>
          <w:sz w:val="24"/>
          <w:szCs w:val="24"/>
          <w:lang w:val="en-US"/>
        </w:rPr>
      </w:pPr>
      <w:r>
        <w:rPr>
          <w:rFonts w:hint="eastAsia"/>
          <w:sz w:val="24"/>
          <w:szCs w:val="24"/>
          <w:lang w:val="en-US"/>
        </w:rPr>
        <w:t>致：</w:t>
      </w:r>
      <w:r>
        <w:rPr>
          <w:rFonts w:hint="eastAsia"/>
          <w:sz w:val="24"/>
          <w:szCs w:val="24"/>
        </w:rPr>
        <w:t>【采购代理机构】</w:t>
      </w:r>
    </w:p>
    <w:p w14:paraId="72D609C6">
      <w:pPr>
        <w:pStyle w:val="18"/>
        <w:rPr>
          <w:rFonts w:hint="eastAsia"/>
          <w:sz w:val="24"/>
          <w:szCs w:val="24"/>
          <w:lang w:val="en-US"/>
        </w:rPr>
      </w:pPr>
      <w:r>
        <w:rPr>
          <w:rFonts w:hint="eastAsia"/>
          <w:sz w:val="24"/>
          <w:szCs w:val="24"/>
          <w:lang w:val="en-US"/>
        </w:rPr>
        <w:t>我单位已按项目（项目号：）的</w:t>
      </w:r>
      <w:r>
        <w:rPr>
          <w:rFonts w:hint="eastAsia"/>
          <w:sz w:val="24"/>
          <w:szCs w:val="24"/>
          <w:lang w:val="en-US" w:eastAsia="zh-CN"/>
        </w:rPr>
        <w:t>招标文件</w:t>
      </w:r>
      <w:r>
        <w:rPr>
          <w:rFonts w:hint="eastAsia"/>
          <w:sz w:val="24"/>
          <w:szCs w:val="24"/>
          <w:lang w:val="en-US"/>
        </w:rPr>
        <w:t>要求，提交的报价保证金（大写金额）元，请贵公司退还时划到以下账户：</w:t>
      </w:r>
    </w:p>
    <w:p w14:paraId="66122394">
      <w:pPr>
        <w:pStyle w:val="18"/>
        <w:rPr>
          <w:rFonts w:hint="eastAsia"/>
          <w:sz w:val="24"/>
          <w:szCs w:val="24"/>
          <w:lang w:val="en-US"/>
        </w:rPr>
      </w:pPr>
    </w:p>
    <w:p w14:paraId="332429FD">
      <w:pPr>
        <w:pStyle w:val="18"/>
        <w:rPr>
          <w:rFonts w:hint="eastAsia"/>
          <w:sz w:val="24"/>
          <w:szCs w:val="24"/>
          <w:lang w:val="en-US"/>
        </w:rPr>
      </w:pPr>
      <w:r>
        <w:rPr>
          <w:rFonts w:hint="eastAsia"/>
          <w:sz w:val="24"/>
          <w:szCs w:val="24"/>
          <w:lang w:val="en-US"/>
        </w:rPr>
        <w:t>收款单位：</w:t>
      </w:r>
    </w:p>
    <w:p w14:paraId="6D8B40EE">
      <w:pPr>
        <w:pStyle w:val="18"/>
        <w:rPr>
          <w:rFonts w:hint="eastAsia"/>
          <w:sz w:val="24"/>
          <w:szCs w:val="24"/>
          <w:lang w:val="en-US"/>
        </w:rPr>
      </w:pPr>
      <w:r>
        <w:rPr>
          <w:rFonts w:hint="eastAsia"/>
          <w:sz w:val="24"/>
          <w:szCs w:val="24"/>
          <w:lang w:val="en-US"/>
        </w:rPr>
        <w:t>收款单位地址：</w:t>
      </w:r>
    </w:p>
    <w:p w14:paraId="3351F8D4">
      <w:pPr>
        <w:pStyle w:val="18"/>
        <w:rPr>
          <w:rFonts w:hint="eastAsia"/>
          <w:sz w:val="24"/>
          <w:szCs w:val="24"/>
          <w:lang w:val="en-US"/>
        </w:rPr>
      </w:pPr>
      <w:r>
        <w:rPr>
          <w:rFonts w:hint="eastAsia"/>
          <w:sz w:val="24"/>
          <w:szCs w:val="24"/>
          <w:lang w:val="en-US"/>
        </w:rPr>
        <w:t>开户银行：</w:t>
      </w:r>
    </w:p>
    <w:p w14:paraId="250D3B68">
      <w:pPr>
        <w:pStyle w:val="18"/>
        <w:rPr>
          <w:rFonts w:hint="eastAsia"/>
          <w:sz w:val="24"/>
          <w:szCs w:val="24"/>
          <w:lang w:val="en-US"/>
        </w:rPr>
      </w:pPr>
      <w:r>
        <w:rPr>
          <w:rFonts w:hint="eastAsia"/>
          <w:sz w:val="24"/>
          <w:szCs w:val="24"/>
          <w:lang w:val="en-US" w:eastAsia="zh-CN"/>
        </w:rPr>
        <w:t>账号</w:t>
      </w:r>
      <w:r>
        <w:rPr>
          <w:rFonts w:hint="eastAsia"/>
          <w:sz w:val="24"/>
          <w:szCs w:val="24"/>
          <w:lang w:val="en-US"/>
        </w:rPr>
        <w:t>：</w:t>
      </w:r>
    </w:p>
    <w:p w14:paraId="54F25AD9">
      <w:pPr>
        <w:pStyle w:val="18"/>
        <w:rPr>
          <w:rFonts w:hint="eastAsia"/>
          <w:sz w:val="24"/>
          <w:szCs w:val="24"/>
          <w:lang w:val="en-US"/>
        </w:rPr>
      </w:pPr>
      <w:r>
        <w:rPr>
          <w:rFonts w:hint="eastAsia"/>
          <w:sz w:val="24"/>
          <w:szCs w:val="24"/>
          <w:lang w:val="en-US"/>
        </w:rPr>
        <w:t>联系人：</w:t>
      </w:r>
    </w:p>
    <w:p w14:paraId="21C833BD">
      <w:pPr>
        <w:pStyle w:val="18"/>
        <w:rPr>
          <w:rFonts w:hint="eastAsia"/>
          <w:sz w:val="24"/>
          <w:szCs w:val="24"/>
          <w:lang w:val="en-US"/>
        </w:rPr>
      </w:pPr>
      <w:r>
        <w:rPr>
          <w:rFonts w:hint="eastAsia"/>
          <w:sz w:val="24"/>
          <w:szCs w:val="24"/>
          <w:lang w:val="en-US"/>
        </w:rPr>
        <w:t>联系电话：</w:t>
      </w:r>
    </w:p>
    <w:p w14:paraId="1CD25B60">
      <w:pPr>
        <w:pStyle w:val="18"/>
        <w:rPr>
          <w:rFonts w:hint="eastAsia"/>
          <w:sz w:val="24"/>
          <w:szCs w:val="24"/>
          <w:lang w:val="en-US"/>
        </w:rPr>
      </w:pPr>
      <w:r>
        <w:rPr>
          <w:rFonts w:hint="eastAsia"/>
          <w:sz w:val="24"/>
          <w:szCs w:val="24"/>
          <w:lang w:val="en-US"/>
        </w:rPr>
        <w:t>行号：</w:t>
      </w:r>
    </w:p>
    <w:p w14:paraId="15939098">
      <w:pPr>
        <w:pStyle w:val="18"/>
        <w:rPr>
          <w:rFonts w:hint="eastAsia"/>
          <w:sz w:val="24"/>
          <w:szCs w:val="24"/>
          <w:lang w:val="en-US" w:eastAsia="zh-CN"/>
        </w:rPr>
      </w:pPr>
      <w:r>
        <w:rPr>
          <w:rFonts w:hint="eastAsia"/>
          <w:sz w:val="24"/>
          <w:szCs w:val="24"/>
          <w:lang w:val="en-US" w:eastAsia="zh-CN"/>
        </w:rPr>
        <w:t>备注：</w:t>
      </w:r>
    </w:p>
    <w:p w14:paraId="16E0F661">
      <w:pPr>
        <w:pStyle w:val="18"/>
        <w:rPr>
          <w:rFonts w:hint="eastAsia"/>
          <w:sz w:val="24"/>
          <w:szCs w:val="24"/>
          <w:lang w:val="en-US"/>
        </w:rPr>
      </w:pPr>
    </w:p>
    <w:p w14:paraId="54AAC624">
      <w:pPr>
        <w:pStyle w:val="18"/>
        <w:rPr>
          <w:rFonts w:hint="eastAsia"/>
          <w:sz w:val="24"/>
          <w:szCs w:val="24"/>
          <w:lang w:val="en-US"/>
        </w:rPr>
      </w:pPr>
      <w:r>
        <w:rPr>
          <w:rFonts w:hint="eastAsia"/>
          <w:sz w:val="24"/>
          <w:szCs w:val="24"/>
          <w:lang w:val="en-US"/>
        </w:rPr>
        <w:t>（联系人和电话请填写财务人员，以便我公司财务人员核实退还保证金账户正确性）</w:t>
      </w:r>
    </w:p>
    <w:p w14:paraId="27A0BDF8">
      <w:pPr>
        <w:pStyle w:val="18"/>
        <w:rPr>
          <w:rFonts w:hint="eastAsia"/>
          <w:sz w:val="24"/>
          <w:szCs w:val="24"/>
          <w:lang w:val="en-US" w:eastAsia="zh-CN"/>
        </w:rPr>
      </w:pPr>
      <w:r>
        <w:rPr>
          <w:rFonts w:hint="eastAsia"/>
          <w:sz w:val="24"/>
          <w:szCs w:val="24"/>
          <w:lang w:val="en-US" w:eastAsia="zh-CN"/>
        </w:rPr>
        <w:t>注：退款账户应与汇款账户保持一致。</w:t>
      </w:r>
    </w:p>
    <w:p w14:paraId="117E4B7C">
      <w:pPr>
        <w:pStyle w:val="18"/>
        <w:rPr>
          <w:rFonts w:hint="eastAsia"/>
          <w:sz w:val="24"/>
          <w:szCs w:val="24"/>
          <w:lang w:val="en-US" w:eastAsia="zh-CN"/>
        </w:rPr>
      </w:pPr>
    </w:p>
    <w:p w14:paraId="0E3D7699">
      <w:pPr>
        <w:pStyle w:val="18"/>
        <w:rPr>
          <w:rFonts w:hint="eastAsia"/>
          <w:sz w:val="24"/>
          <w:szCs w:val="24"/>
          <w:lang w:val="en-US" w:eastAsia="zh-CN"/>
        </w:rPr>
      </w:pPr>
    </w:p>
    <w:p w14:paraId="6FE24968">
      <w:pPr>
        <w:pStyle w:val="18"/>
        <w:rPr>
          <w:rFonts w:hint="eastAsia"/>
          <w:sz w:val="24"/>
          <w:szCs w:val="24"/>
          <w:lang w:val="en-US" w:eastAsia="zh-CN"/>
        </w:rPr>
      </w:pPr>
    </w:p>
    <w:p w14:paraId="69A78290">
      <w:pPr>
        <w:pStyle w:val="18"/>
        <w:rPr>
          <w:rFonts w:hint="eastAsia"/>
          <w:sz w:val="24"/>
          <w:szCs w:val="24"/>
          <w:lang w:val="en-US" w:eastAsia="zh-CN"/>
        </w:rPr>
      </w:pPr>
      <w:r>
        <w:rPr>
          <w:rFonts w:hint="eastAsia"/>
          <w:sz w:val="24"/>
          <w:szCs w:val="24"/>
          <w:lang w:val="en-US" w:eastAsia="zh-CN"/>
        </w:rPr>
        <w:t>投标单位名称（公章</w:t>
      </w:r>
      <w:r>
        <w:rPr>
          <w:rFonts w:hint="eastAsia"/>
          <w:sz w:val="24"/>
          <w:szCs w:val="24"/>
          <w:lang w:val="zh-CN" w:eastAsia="zh-CN"/>
        </w:rPr>
        <w:t>）</w:t>
      </w:r>
      <w:r>
        <w:rPr>
          <w:rFonts w:hint="eastAsia"/>
          <w:sz w:val="24"/>
          <w:szCs w:val="24"/>
          <w:lang w:val="en-US" w:eastAsia="zh-CN"/>
        </w:rPr>
        <w:t xml:space="preserve">：                            </w:t>
      </w:r>
    </w:p>
    <w:p w14:paraId="392C2BEF">
      <w:pPr>
        <w:pStyle w:val="18"/>
        <w:rPr>
          <w:rFonts w:hint="eastAsia"/>
          <w:sz w:val="24"/>
          <w:szCs w:val="24"/>
          <w:lang w:val="en-US" w:eastAsia="zh-CN"/>
        </w:rPr>
      </w:pPr>
      <w:r>
        <w:rPr>
          <w:rFonts w:hint="eastAsia"/>
          <w:sz w:val="24"/>
          <w:szCs w:val="24"/>
          <w:lang w:val="en-US" w:eastAsia="zh-CN"/>
        </w:rPr>
        <w:t xml:space="preserve">日期 ：                             </w:t>
      </w:r>
    </w:p>
    <w:p w14:paraId="5944C455">
      <w:pPr>
        <w:pStyle w:val="18"/>
        <w:rPr>
          <w:sz w:val="24"/>
          <w:szCs w:val="24"/>
        </w:rPr>
        <w:sectPr>
          <w:pgSz w:w="11905" w:h="16838"/>
          <w:pgMar w:top="1440" w:right="1803" w:bottom="1440" w:left="1803" w:header="0" w:footer="975" w:gutter="0"/>
          <w:pgNumType w:fmt="decimal"/>
          <w:cols w:space="0" w:num="1"/>
          <w:rtlGutter w:val="0"/>
          <w:docGrid w:linePitch="0" w:charSpace="0"/>
        </w:sectPr>
      </w:pPr>
    </w:p>
    <w:p w14:paraId="5F20EF27">
      <w:pPr>
        <w:pStyle w:val="18"/>
        <w:jc w:val="center"/>
        <w:outlineLvl w:val="1"/>
        <w:rPr>
          <w:rFonts w:hint="eastAsia"/>
          <w:b/>
          <w:bCs/>
          <w:spacing w:val="-16"/>
          <w:sz w:val="32"/>
          <w:szCs w:val="32"/>
          <w:lang w:val="zh-CN" w:eastAsia="zh-CN"/>
        </w:rPr>
      </w:pPr>
      <w:bookmarkStart w:id="31" w:name="_Toc14501"/>
      <w:r>
        <w:rPr>
          <w:b/>
          <w:bCs/>
          <w:spacing w:val="-16"/>
          <w:sz w:val="32"/>
          <w:szCs w:val="32"/>
        </w:rPr>
        <w:t>附件</w:t>
      </w:r>
      <w:r>
        <w:rPr>
          <w:spacing w:val="-41"/>
          <w:sz w:val="32"/>
          <w:szCs w:val="32"/>
        </w:rPr>
        <w:t xml:space="preserve"> </w:t>
      </w:r>
      <w:r>
        <w:rPr>
          <w:b/>
          <w:bCs/>
          <w:spacing w:val="-16"/>
          <w:sz w:val="32"/>
          <w:szCs w:val="32"/>
        </w:rPr>
        <w:t>1</w:t>
      </w:r>
      <w:r>
        <w:rPr>
          <w:rFonts w:hint="eastAsia"/>
          <w:b/>
          <w:bCs/>
          <w:spacing w:val="-16"/>
          <w:sz w:val="32"/>
          <w:szCs w:val="32"/>
          <w:lang w:val="en-US" w:eastAsia="zh-CN"/>
        </w:rPr>
        <w:t>5</w:t>
      </w:r>
      <w:r>
        <w:rPr>
          <w:b/>
          <w:bCs/>
          <w:spacing w:val="-16"/>
          <w:sz w:val="32"/>
          <w:szCs w:val="32"/>
        </w:rPr>
        <w:t>：</w:t>
      </w:r>
      <w:r>
        <w:rPr>
          <w:rFonts w:hint="eastAsia"/>
          <w:b/>
          <w:bCs/>
          <w:spacing w:val="-16"/>
          <w:sz w:val="32"/>
          <w:szCs w:val="32"/>
          <w:lang w:val="zh-CN" w:eastAsia="zh-CN"/>
        </w:rPr>
        <w:t>代理服务费承诺函格式</w:t>
      </w:r>
      <w:bookmarkEnd w:id="31"/>
    </w:p>
    <w:p w14:paraId="6FA48F8F">
      <w:pPr>
        <w:pStyle w:val="18"/>
        <w:spacing w:line="360" w:lineRule="auto"/>
        <w:jc w:val="center"/>
        <w:outlineLvl w:val="9"/>
        <w:rPr>
          <w:rFonts w:hint="eastAsia" w:ascii="仿宋" w:hAnsi="仿宋" w:eastAsia="仿宋" w:cs="仿宋"/>
          <w:b/>
          <w:bCs/>
          <w:sz w:val="24"/>
          <w:szCs w:val="24"/>
        </w:rPr>
      </w:pPr>
    </w:p>
    <w:p w14:paraId="733DFA6D">
      <w:pPr>
        <w:widowControl w:val="0"/>
        <w:autoSpaceDE w:val="0"/>
        <w:autoSpaceDN w:val="0"/>
        <w:spacing w:before="9" w:after="0" w:line="360" w:lineRule="auto"/>
        <w:ind w:right="474"/>
        <w:jc w:val="both"/>
        <w:rPr>
          <w:rFonts w:hint="eastAsia" w:ascii="仿宋" w:hAnsi="仿宋" w:eastAsia="仿宋" w:cs="仿宋"/>
          <w:b/>
          <w:bCs/>
          <w:color w:val="auto"/>
          <w:spacing w:val="0"/>
          <w:w w:val="100"/>
          <w:position w:val="0"/>
          <w:sz w:val="24"/>
          <w:szCs w:val="24"/>
          <w:highlight w:val="none"/>
          <w:lang w:val="zh-CN" w:eastAsia="zh-CN" w:bidi="zh-CN"/>
        </w:rPr>
      </w:pPr>
      <w:r>
        <w:rPr>
          <w:rFonts w:hint="eastAsia" w:ascii="仿宋" w:hAnsi="仿宋" w:eastAsia="仿宋" w:cs="仿宋"/>
          <w:b/>
          <w:bCs/>
          <w:color w:val="auto"/>
          <w:spacing w:val="0"/>
          <w:w w:val="100"/>
          <w:position w:val="0"/>
          <w:sz w:val="24"/>
          <w:szCs w:val="24"/>
          <w:highlight w:val="none"/>
          <w:lang w:val="zh-CN" w:eastAsia="zh-CN" w:bidi="zh-CN"/>
        </w:rPr>
        <w:t>致：【采购代理机构】</w:t>
      </w:r>
    </w:p>
    <w:p w14:paraId="2D7F6BBF">
      <w:pPr>
        <w:widowControl w:val="0"/>
        <w:autoSpaceDE w:val="0"/>
        <w:autoSpaceDN w:val="0"/>
        <w:spacing w:before="9" w:after="0" w:line="360" w:lineRule="auto"/>
        <w:ind w:left="400" w:right="474" w:firstLine="479"/>
        <w:jc w:val="both"/>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我司在贵公司组织的</w:t>
      </w:r>
      <w:r>
        <w:rPr>
          <w:rFonts w:hint="eastAsia" w:ascii="仿宋" w:hAnsi="仿宋" w:eastAsia="仿宋" w:cs="仿宋"/>
          <w:color w:val="auto"/>
          <w:spacing w:val="0"/>
          <w:w w:val="100"/>
          <w:position w:val="0"/>
          <w:sz w:val="24"/>
          <w:szCs w:val="24"/>
          <w:highlight w:val="none"/>
          <w:u w:val="single"/>
          <w:lang w:val="zh-CN" w:eastAsia="zh-CN" w:bidi="zh-CN"/>
        </w:rPr>
        <w:t xml:space="preserve"> 【项目名称】  </w:t>
      </w:r>
      <w:r>
        <w:rPr>
          <w:rFonts w:hint="eastAsia" w:ascii="仿宋" w:hAnsi="仿宋" w:eastAsia="仿宋" w:cs="仿宋"/>
          <w:color w:val="auto"/>
          <w:spacing w:val="0"/>
          <w:w w:val="100"/>
          <w:position w:val="0"/>
          <w:sz w:val="24"/>
          <w:szCs w:val="24"/>
          <w:highlight w:val="none"/>
          <w:lang w:val="zh-CN" w:eastAsia="zh-CN" w:bidi="zh-CN"/>
        </w:rPr>
        <w:t>项目（项目编号：</w:t>
      </w:r>
      <w:r>
        <w:rPr>
          <w:rFonts w:hint="eastAsia" w:ascii="仿宋" w:hAnsi="仿宋" w:eastAsia="仿宋" w:cs="仿宋"/>
          <w:color w:val="auto"/>
          <w:spacing w:val="0"/>
          <w:w w:val="100"/>
          <w:position w:val="0"/>
          <w:sz w:val="24"/>
          <w:szCs w:val="24"/>
          <w:highlight w:val="none"/>
          <w:u w:val="single"/>
          <w:lang w:val="zh-CN" w:eastAsia="zh-CN" w:bidi="zh-CN"/>
        </w:rPr>
        <w:t xml:space="preserve">  【项目编号】</w:t>
      </w:r>
      <w:r>
        <w:rPr>
          <w:rFonts w:hint="eastAsia" w:ascii="仿宋" w:hAnsi="仿宋" w:eastAsia="仿宋" w:cs="仿宋"/>
          <w:color w:val="auto"/>
          <w:spacing w:val="0"/>
          <w:w w:val="100"/>
          <w:position w:val="0"/>
          <w:sz w:val="24"/>
          <w:szCs w:val="24"/>
          <w:highlight w:val="none"/>
          <w:lang w:val="zh-CN" w:eastAsia="zh-CN" w:bidi="zh-CN"/>
        </w:rPr>
        <w:t>_）</w:t>
      </w:r>
      <w:r>
        <w:rPr>
          <w:rFonts w:hint="eastAsia" w:ascii="仿宋" w:hAnsi="仿宋" w:eastAsia="仿宋" w:cs="仿宋"/>
          <w:color w:val="auto"/>
          <w:spacing w:val="0"/>
          <w:w w:val="100"/>
          <w:position w:val="0"/>
          <w:sz w:val="24"/>
          <w:szCs w:val="24"/>
          <w:highlight w:val="none"/>
          <w:lang w:val="en-US" w:eastAsia="zh-CN" w:bidi="zh-CN"/>
        </w:rPr>
        <w:t>投标</w:t>
      </w:r>
      <w:r>
        <w:rPr>
          <w:rFonts w:hint="eastAsia" w:ascii="仿宋" w:hAnsi="仿宋" w:eastAsia="仿宋" w:cs="仿宋"/>
          <w:color w:val="auto"/>
          <w:spacing w:val="0"/>
          <w:w w:val="100"/>
          <w:position w:val="0"/>
          <w:sz w:val="24"/>
          <w:szCs w:val="24"/>
          <w:highlight w:val="none"/>
          <w:lang w:val="zh-CN" w:eastAsia="zh-CN" w:bidi="zh-CN"/>
        </w:rPr>
        <w:t>中若获</w:t>
      </w:r>
      <w:r>
        <w:rPr>
          <w:rFonts w:hint="eastAsia" w:ascii="仿宋" w:hAnsi="仿宋" w:eastAsia="仿宋" w:cs="仿宋"/>
          <w:color w:val="auto"/>
          <w:spacing w:val="0"/>
          <w:w w:val="100"/>
          <w:position w:val="0"/>
          <w:sz w:val="24"/>
          <w:szCs w:val="24"/>
          <w:highlight w:val="none"/>
          <w:lang w:val="en-US" w:eastAsia="zh-CN" w:bidi="zh-CN"/>
        </w:rPr>
        <w:t>中标</w:t>
      </w:r>
      <w:r>
        <w:rPr>
          <w:rFonts w:hint="eastAsia" w:ascii="仿宋" w:hAnsi="仿宋" w:eastAsia="仿宋" w:cs="仿宋"/>
          <w:color w:val="auto"/>
          <w:spacing w:val="0"/>
          <w:w w:val="100"/>
          <w:position w:val="0"/>
          <w:sz w:val="24"/>
          <w:szCs w:val="24"/>
          <w:highlight w:val="none"/>
          <w:lang w:val="zh-CN" w:eastAsia="zh-CN" w:bidi="zh-CN"/>
        </w:rPr>
        <w:t>，我司保证在接到</w:t>
      </w:r>
      <w:r>
        <w:rPr>
          <w:rFonts w:hint="eastAsia" w:ascii="仿宋" w:hAnsi="仿宋" w:eastAsia="仿宋" w:cs="仿宋"/>
          <w:color w:val="auto"/>
          <w:spacing w:val="0"/>
          <w:w w:val="100"/>
          <w:position w:val="0"/>
          <w:sz w:val="24"/>
          <w:szCs w:val="24"/>
          <w:highlight w:val="none"/>
          <w:lang w:val="en-US" w:eastAsia="zh-CN" w:bidi="zh-CN"/>
        </w:rPr>
        <w:t>成交</w:t>
      </w:r>
      <w:r>
        <w:rPr>
          <w:rFonts w:hint="eastAsia" w:ascii="仿宋" w:hAnsi="仿宋" w:eastAsia="仿宋" w:cs="仿宋"/>
          <w:color w:val="auto"/>
          <w:spacing w:val="0"/>
          <w:w w:val="100"/>
          <w:position w:val="0"/>
          <w:sz w:val="24"/>
          <w:szCs w:val="24"/>
          <w:highlight w:val="none"/>
          <w:lang w:val="zh-CN" w:eastAsia="zh-CN" w:bidi="zh-CN"/>
        </w:rPr>
        <w:t>通知后三日内按</w:t>
      </w:r>
      <w:r>
        <w:rPr>
          <w:rFonts w:hint="eastAsia" w:ascii="仿宋" w:hAnsi="仿宋" w:eastAsia="仿宋" w:cs="仿宋"/>
          <w:color w:val="auto"/>
          <w:spacing w:val="0"/>
          <w:w w:val="100"/>
          <w:position w:val="0"/>
          <w:sz w:val="24"/>
          <w:szCs w:val="24"/>
          <w:highlight w:val="none"/>
          <w:lang w:val="en-US" w:eastAsia="zh-CN" w:bidi="zh-CN"/>
        </w:rPr>
        <w:t>招标</w:t>
      </w:r>
      <w:r>
        <w:rPr>
          <w:rFonts w:hint="eastAsia" w:ascii="仿宋" w:hAnsi="仿宋" w:eastAsia="仿宋" w:cs="仿宋"/>
          <w:color w:val="auto"/>
          <w:spacing w:val="0"/>
          <w:w w:val="100"/>
          <w:position w:val="0"/>
          <w:sz w:val="24"/>
          <w:szCs w:val="24"/>
          <w:highlight w:val="none"/>
          <w:lang w:val="zh-CN" w:eastAsia="zh-CN" w:bidi="zh-CN"/>
        </w:rPr>
        <w:t>文件的规定，以</w:t>
      </w:r>
      <w:r>
        <w:rPr>
          <w:rFonts w:hint="eastAsia" w:ascii="仿宋" w:hAnsi="仿宋" w:eastAsia="仿宋" w:cs="仿宋"/>
          <w:color w:val="auto"/>
          <w:spacing w:val="0"/>
          <w:position w:val="0"/>
          <w:sz w:val="24"/>
          <w:szCs w:val="24"/>
          <w:highlight w:val="none"/>
          <w:lang w:val="en-US"/>
        </w:rPr>
        <w:t>网上银行支付</w:t>
      </w:r>
      <w:r>
        <w:rPr>
          <w:rFonts w:hint="eastAsia" w:ascii="仿宋" w:hAnsi="仿宋" w:eastAsia="仿宋" w:cs="仿宋"/>
          <w:color w:val="auto"/>
          <w:spacing w:val="0"/>
          <w:w w:val="100"/>
          <w:position w:val="0"/>
          <w:sz w:val="24"/>
          <w:szCs w:val="24"/>
          <w:highlight w:val="none"/>
          <w:lang w:val="zh-CN" w:eastAsia="zh-CN" w:bidi="zh-CN"/>
        </w:rPr>
        <w:t>形式向</w:t>
      </w:r>
      <w:r>
        <w:rPr>
          <w:rFonts w:hint="eastAsia" w:ascii="仿宋" w:hAnsi="仿宋" w:eastAsia="仿宋" w:cs="仿宋"/>
          <w:color w:val="auto"/>
          <w:spacing w:val="0"/>
          <w:w w:val="100"/>
          <w:position w:val="0"/>
          <w:sz w:val="24"/>
          <w:szCs w:val="24"/>
          <w:highlight w:val="none"/>
          <w:lang w:val="en-US" w:eastAsia="zh-CN" w:bidi="zh-CN"/>
        </w:rPr>
        <w:t>招标代理服务费</w:t>
      </w:r>
      <w:r>
        <w:rPr>
          <w:rFonts w:hint="eastAsia" w:ascii="仿宋" w:hAnsi="仿宋" w:eastAsia="仿宋" w:cs="仿宋"/>
          <w:color w:val="auto"/>
          <w:spacing w:val="0"/>
          <w:w w:val="100"/>
          <w:position w:val="0"/>
          <w:sz w:val="24"/>
          <w:szCs w:val="24"/>
          <w:highlight w:val="none"/>
          <w:lang w:val="zh-CN" w:eastAsia="zh-CN" w:bidi="zh-CN"/>
        </w:rPr>
        <w:t>账户支付服务费（</w:t>
      </w:r>
      <w:r>
        <w:rPr>
          <w:rFonts w:hint="eastAsia" w:ascii="仿宋" w:hAnsi="仿宋" w:eastAsia="仿宋" w:cs="仿宋"/>
          <w:color w:val="auto"/>
          <w:spacing w:val="0"/>
          <w:w w:val="100"/>
          <w:position w:val="0"/>
          <w:sz w:val="24"/>
          <w:szCs w:val="24"/>
          <w:highlight w:val="none"/>
          <w:lang w:val="en-US" w:eastAsia="zh-CN" w:bidi="zh-CN"/>
        </w:rPr>
        <w:t>中标</w:t>
      </w:r>
      <w:r>
        <w:rPr>
          <w:rFonts w:hint="eastAsia" w:ascii="仿宋" w:hAnsi="仿宋" w:eastAsia="仿宋" w:cs="仿宋"/>
          <w:color w:val="auto"/>
          <w:spacing w:val="0"/>
          <w:w w:val="100"/>
          <w:position w:val="0"/>
          <w:sz w:val="24"/>
          <w:szCs w:val="24"/>
          <w:highlight w:val="none"/>
          <w:lang w:val="zh-CN" w:eastAsia="zh-CN" w:bidi="zh-CN"/>
        </w:rPr>
        <w:t>人须按</w:t>
      </w:r>
      <w:r>
        <w:rPr>
          <w:rFonts w:hint="eastAsia" w:ascii="仿宋" w:hAnsi="仿宋" w:eastAsia="仿宋" w:cs="仿宋"/>
          <w:color w:val="auto"/>
          <w:spacing w:val="0"/>
          <w:w w:val="100"/>
          <w:position w:val="0"/>
          <w:sz w:val="24"/>
          <w:szCs w:val="24"/>
          <w:highlight w:val="none"/>
          <w:lang w:val="en-US" w:eastAsia="zh-CN" w:bidi="zh-CN"/>
        </w:rPr>
        <w:t>投保人</w:t>
      </w:r>
      <w:r>
        <w:rPr>
          <w:rFonts w:hint="eastAsia" w:ascii="仿宋" w:hAnsi="仿宋" w:eastAsia="仿宋" w:cs="仿宋"/>
          <w:color w:val="auto"/>
          <w:spacing w:val="0"/>
          <w:w w:val="100"/>
          <w:position w:val="0"/>
          <w:sz w:val="24"/>
          <w:szCs w:val="24"/>
          <w:highlight w:val="none"/>
          <w:lang w:val="zh-CN" w:eastAsia="zh-CN" w:bidi="zh-CN"/>
        </w:rPr>
        <w:t>须知规定的标准向采购代理机构支付</w:t>
      </w:r>
      <w:r>
        <w:rPr>
          <w:rFonts w:hint="eastAsia" w:ascii="仿宋" w:hAnsi="仿宋" w:eastAsia="仿宋" w:cs="仿宋"/>
          <w:color w:val="auto"/>
          <w:spacing w:val="0"/>
          <w:w w:val="100"/>
          <w:position w:val="0"/>
          <w:sz w:val="24"/>
          <w:szCs w:val="24"/>
          <w:highlight w:val="none"/>
          <w:lang w:val="en-US" w:eastAsia="zh-CN" w:bidi="zh-CN"/>
        </w:rPr>
        <w:t>采购</w:t>
      </w:r>
      <w:r>
        <w:rPr>
          <w:rFonts w:hint="eastAsia" w:ascii="仿宋" w:hAnsi="仿宋" w:eastAsia="仿宋" w:cs="仿宋"/>
          <w:color w:val="auto"/>
          <w:spacing w:val="0"/>
          <w:w w:val="100"/>
          <w:position w:val="0"/>
          <w:sz w:val="24"/>
          <w:szCs w:val="24"/>
          <w:highlight w:val="none"/>
          <w:lang w:val="zh-CN" w:eastAsia="zh-CN" w:bidi="zh-CN"/>
        </w:rPr>
        <w:t>代理服务费）。由此产生的一切法律后果和责任由我司承担，我司声明放弃对此提出任何异议和追索的权利。</w:t>
      </w:r>
    </w:p>
    <w:p w14:paraId="42F95E82">
      <w:pPr>
        <w:widowControl w:val="0"/>
        <w:autoSpaceDE w:val="0"/>
        <w:autoSpaceDN w:val="0"/>
        <w:spacing w:before="0" w:after="0" w:line="360" w:lineRule="auto"/>
        <w:ind w:left="363" w:right="7206"/>
        <w:jc w:val="center"/>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特此承诺！</w:t>
      </w:r>
    </w:p>
    <w:p w14:paraId="2EDCC336">
      <w:pPr>
        <w:widowControl w:val="0"/>
        <w:autoSpaceDE w:val="0"/>
        <w:autoSpaceDN w:val="0"/>
        <w:spacing w:before="10" w:after="0" w:line="360" w:lineRule="auto"/>
        <w:ind w:left="0" w:right="0"/>
        <w:jc w:val="left"/>
        <w:rPr>
          <w:rFonts w:hint="eastAsia" w:ascii="仿宋" w:hAnsi="仿宋" w:eastAsia="仿宋" w:cs="仿宋"/>
          <w:smallCaps w:val="0"/>
          <w:color w:val="auto"/>
          <w:spacing w:val="0"/>
          <w:position w:val="0"/>
          <w:sz w:val="24"/>
          <w:szCs w:val="24"/>
          <w:highlight w:val="none"/>
          <w:lang w:val="zh-CN" w:eastAsia="zh-CN" w:bidi="zh-CN"/>
        </w:rPr>
      </w:pPr>
    </w:p>
    <w:p w14:paraId="663F4DAD">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jc w:val="left"/>
        <w:textAlignment w:val="auto"/>
        <w:rPr>
          <w:rFonts w:hint="eastAsia" w:ascii="仿宋" w:hAnsi="仿宋" w:eastAsia="仿宋" w:cs="仿宋"/>
          <w:smallCaps w:val="0"/>
          <w:color w:val="auto"/>
          <w:spacing w:val="0"/>
          <w:position w:val="0"/>
          <w:sz w:val="24"/>
          <w:szCs w:val="24"/>
          <w:highlight w:val="none"/>
          <w:lang w:val="en-US" w:eastAsia="zh-CN" w:bidi="zh-CN"/>
        </w:rPr>
      </w:pPr>
    </w:p>
    <w:p w14:paraId="549E4426">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jc w:val="left"/>
        <w:textAlignment w:val="auto"/>
        <w:rPr>
          <w:rFonts w:hint="eastAsia" w:ascii="仿宋" w:hAnsi="仿宋" w:eastAsia="仿宋" w:cs="仿宋"/>
          <w:smallCaps w:val="0"/>
          <w:color w:val="auto"/>
          <w:spacing w:val="0"/>
          <w:position w:val="0"/>
          <w:sz w:val="24"/>
          <w:szCs w:val="24"/>
          <w:highlight w:val="none"/>
          <w:lang w:val="en-US" w:eastAsia="zh-CN" w:bidi="zh-CN"/>
        </w:rPr>
      </w:pPr>
    </w:p>
    <w:p w14:paraId="75D92473">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en-US" w:eastAsia="zh-CN" w:bidi="zh-CN"/>
        </w:rPr>
        <w:t>投标单位</w:t>
      </w:r>
      <w:r>
        <w:rPr>
          <w:rFonts w:hint="eastAsia" w:ascii="仿宋" w:hAnsi="仿宋" w:eastAsia="仿宋" w:cs="仿宋"/>
          <w:smallCaps w:val="0"/>
          <w:color w:val="auto"/>
          <w:spacing w:val="0"/>
          <w:position w:val="0"/>
          <w:sz w:val="24"/>
          <w:szCs w:val="24"/>
          <w:highlight w:val="none"/>
          <w:lang w:val="zh-CN" w:eastAsia="zh-CN" w:bidi="zh-CN"/>
        </w:rPr>
        <w:t>名称（</w:t>
      </w:r>
      <w:r>
        <w:rPr>
          <w:rFonts w:hint="eastAsia" w:ascii="仿宋" w:hAnsi="仿宋" w:eastAsia="仿宋" w:cs="仿宋"/>
          <w:smallCaps w:val="0"/>
          <w:color w:val="auto"/>
          <w:spacing w:val="0"/>
          <w:position w:val="0"/>
          <w:sz w:val="24"/>
          <w:szCs w:val="24"/>
          <w:highlight w:val="none"/>
          <w:lang w:val="en-US" w:eastAsia="zh-CN" w:bidi="zh-CN"/>
        </w:rPr>
        <w:t>公章）</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1CB92080">
      <w:pPr>
        <w:keepNext w:val="0"/>
        <w:keepLines w:val="0"/>
        <w:pageBreakBefore w:val="0"/>
        <w:widowControl w:val="0"/>
        <w:tabs>
          <w:tab w:val="left" w:pos="3640"/>
          <w:tab w:val="left" w:pos="4175"/>
          <w:tab w:val="left" w:pos="6936"/>
        </w:tabs>
        <w:kinsoku/>
        <w:wordWrap/>
        <w:overflowPunct/>
        <w:topLinePunct w:val="0"/>
        <w:autoSpaceDE w:val="0"/>
        <w:autoSpaceDN w:val="0"/>
        <w:bidi w:val="0"/>
        <w:adjustRightInd/>
        <w:snapToGrid/>
        <w:spacing w:after="0" w:line="360" w:lineRule="auto"/>
        <w:ind w:left="0" w:right="0" w:firstLine="480" w:firstLineChars="200"/>
        <w:jc w:val="both"/>
        <w:textAlignment w:val="auto"/>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法定代表人</w:t>
      </w:r>
      <w:r>
        <w:rPr>
          <w:rFonts w:hint="eastAsia" w:ascii="仿宋" w:hAnsi="仿宋" w:eastAsia="仿宋" w:cs="仿宋"/>
          <w:smallCaps w:val="0"/>
          <w:color w:val="auto"/>
          <w:spacing w:val="0"/>
          <w:position w:val="0"/>
          <w:sz w:val="24"/>
          <w:szCs w:val="24"/>
          <w:highlight w:val="none"/>
          <w:lang w:val="en-US" w:eastAsia="zh-CN" w:bidi="zh-CN"/>
        </w:rPr>
        <w:t>或授权代理人</w:t>
      </w:r>
      <w:r>
        <w:rPr>
          <w:rFonts w:hint="eastAsia" w:ascii="仿宋" w:hAnsi="仿宋" w:eastAsia="仿宋" w:cs="仿宋"/>
          <w:smallCaps w:val="0"/>
          <w:color w:val="auto"/>
          <w:spacing w:val="0"/>
          <w:position w:val="0"/>
          <w:sz w:val="24"/>
          <w:szCs w:val="24"/>
          <w:highlight w:val="none"/>
          <w:lang w:val="zh-CN" w:eastAsia="zh-CN" w:bidi="zh-CN"/>
        </w:rPr>
        <w:t>（签字或盖章）：</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lang w:val="zh-CN" w:eastAsia="zh-CN" w:bidi="zh-CN"/>
        </w:rPr>
        <w:t xml:space="preserve">   </w:t>
      </w:r>
    </w:p>
    <w:p w14:paraId="5F5E076F">
      <w:pPr>
        <w:keepNext w:val="0"/>
        <w:keepLines w:val="0"/>
        <w:pageBreakBefore w:val="0"/>
        <w:widowControl w:val="0"/>
        <w:tabs>
          <w:tab w:val="left" w:pos="3640"/>
          <w:tab w:val="left" w:pos="4175"/>
          <w:tab w:val="left" w:pos="6936"/>
        </w:tabs>
        <w:kinsoku/>
        <w:wordWrap/>
        <w:overflowPunct/>
        <w:topLinePunct w:val="0"/>
        <w:autoSpaceDE w:val="0"/>
        <w:autoSpaceDN w:val="0"/>
        <w:bidi w:val="0"/>
        <w:adjustRightInd/>
        <w:snapToGrid/>
        <w:spacing w:after="0" w:line="360" w:lineRule="auto"/>
        <w:ind w:left="0" w:right="0" w:firstLine="480" w:firstLineChars="200"/>
        <w:jc w:val="both"/>
        <w:textAlignment w:val="auto"/>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承诺日期：</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ab/>
      </w:r>
    </w:p>
    <w:p w14:paraId="600952EC">
      <w:pPr>
        <w:pStyle w:val="18"/>
        <w:spacing w:line="360" w:lineRule="auto"/>
        <w:jc w:val="center"/>
        <w:outlineLvl w:val="1"/>
        <w:rPr>
          <w:rFonts w:hint="eastAsia" w:ascii="仿宋" w:hAnsi="仿宋" w:eastAsia="仿宋" w:cs="仿宋"/>
          <w:sz w:val="24"/>
          <w:szCs w:val="24"/>
        </w:rPr>
        <w:sectPr>
          <w:pgSz w:w="11905" w:h="16838"/>
          <w:pgMar w:top="1440" w:right="1803" w:bottom="1440" w:left="1803" w:header="0" w:footer="975" w:gutter="0"/>
          <w:pgNumType w:fmt="decimal"/>
          <w:cols w:space="0" w:num="1"/>
          <w:rtlGutter w:val="0"/>
          <w:docGrid w:linePitch="0" w:charSpace="0"/>
        </w:sectPr>
      </w:pPr>
    </w:p>
    <w:p w14:paraId="03E3C969">
      <w:pPr>
        <w:spacing w:before="212" w:after="0" w:line="240" w:lineRule="auto"/>
        <w:ind w:left="0" w:right="113"/>
        <w:jc w:val="center"/>
        <w:rPr>
          <w:rFonts w:hint="eastAsia" w:ascii="仿宋" w:hAnsi="仿宋" w:eastAsia="仿宋" w:cs="仿宋"/>
          <w:b/>
          <w:smallCaps w:val="0"/>
          <w:color w:val="auto"/>
          <w:spacing w:val="0"/>
          <w:position w:val="0"/>
          <w:sz w:val="28"/>
          <w:szCs w:val="28"/>
          <w:highlight w:val="none"/>
        </w:rPr>
      </w:pPr>
      <w:r>
        <w:rPr>
          <w:rFonts w:hint="eastAsia" w:ascii="仿宋" w:hAnsi="仿宋" w:eastAsia="仿宋" w:cs="仿宋"/>
          <w:b/>
          <w:smallCaps w:val="0"/>
          <w:color w:val="auto"/>
          <w:spacing w:val="0"/>
          <w:position w:val="0"/>
          <w:sz w:val="28"/>
          <w:szCs w:val="28"/>
          <w:highlight w:val="none"/>
          <w:lang w:val="en-US" w:eastAsia="zh-CN"/>
        </w:rPr>
        <w:t>投标单位</w:t>
      </w:r>
      <w:r>
        <w:rPr>
          <w:rFonts w:hint="eastAsia" w:ascii="仿宋" w:hAnsi="仿宋" w:eastAsia="仿宋" w:cs="仿宋"/>
          <w:b/>
          <w:smallCaps w:val="0"/>
          <w:color w:val="auto"/>
          <w:spacing w:val="0"/>
          <w:position w:val="0"/>
          <w:sz w:val="28"/>
          <w:szCs w:val="28"/>
          <w:highlight w:val="none"/>
        </w:rPr>
        <w:t>开票信息表格式</w:t>
      </w:r>
    </w:p>
    <w:p w14:paraId="6639878F">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lang w:val="zh-CN" w:eastAsia="zh-CN" w:bidi="zh-CN"/>
        </w:rPr>
      </w:pPr>
    </w:p>
    <w:p w14:paraId="663F96B8">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项目名称：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51595BA8">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u w:val="single"/>
          <w:lang w:val="en-US" w:eastAsia="zh-CN" w:bidi="zh-CN"/>
        </w:rPr>
      </w:pPr>
      <w:r>
        <w:rPr>
          <w:rFonts w:hint="eastAsia" w:ascii="仿宋" w:hAnsi="仿宋" w:eastAsia="仿宋" w:cs="仿宋"/>
          <w:smallCaps w:val="0"/>
          <w:color w:val="auto"/>
          <w:spacing w:val="0"/>
          <w:position w:val="0"/>
          <w:sz w:val="24"/>
          <w:szCs w:val="24"/>
          <w:highlight w:val="none"/>
          <w:lang w:val="zh-CN" w:eastAsia="zh-CN" w:bidi="zh-CN"/>
        </w:rPr>
        <w:t>项目编号：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p>
    <w:p w14:paraId="2420B5D4">
      <w:pPr>
        <w:widowControl w:val="0"/>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如果我单位中标/成交，请贵单位开具服务费发票：</w:t>
      </w:r>
    </w:p>
    <w:p w14:paraId="2202153F">
      <w:pPr>
        <w:widowControl w:val="0"/>
        <w:tabs>
          <w:tab w:val="left" w:pos="3348"/>
          <w:tab w:val="left" w:pos="5509"/>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我单位开票信息为：</w:t>
      </w:r>
    </w:p>
    <w:p w14:paraId="227C8AFB">
      <w:pPr>
        <w:widowControl w:val="0"/>
        <w:tabs>
          <w:tab w:val="left" w:pos="53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单位全称：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35F5EA7F">
      <w:pPr>
        <w:widowControl w:val="0"/>
        <w:tabs>
          <w:tab w:val="left" w:pos="580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纳税人识别号：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489D12DC">
      <w:pPr>
        <w:widowControl w:val="0"/>
        <w:tabs>
          <w:tab w:val="left" w:pos="65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地址：</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46DCE88E">
      <w:pPr>
        <w:widowControl w:val="0"/>
        <w:tabs>
          <w:tab w:val="left" w:pos="65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电话：</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293B3D07">
      <w:pPr>
        <w:widowControl w:val="0"/>
        <w:tabs>
          <w:tab w:val="left" w:pos="724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开户行名称：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0DDCE9E2">
      <w:pPr>
        <w:widowControl w:val="0"/>
        <w:tabs>
          <w:tab w:val="left" w:pos="724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开户行账号：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2B88D9F3">
      <w:pPr>
        <w:widowControl w:val="0"/>
        <w:autoSpaceDE w:val="0"/>
        <w:autoSpaceDN w:val="0"/>
        <w:spacing w:before="3" w:after="0" w:line="360" w:lineRule="auto"/>
        <w:ind w:left="0" w:right="0" w:firstLine="960" w:firstLineChars="400"/>
        <w:jc w:val="left"/>
        <w:rPr>
          <w:rFonts w:hint="eastAsia" w:ascii="仿宋" w:hAnsi="仿宋" w:eastAsia="仿宋" w:cs="仿宋"/>
          <w:smallCaps w:val="0"/>
          <w:color w:val="auto"/>
          <w:spacing w:val="0"/>
          <w:position w:val="0"/>
          <w:sz w:val="24"/>
          <w:szCs w:val="24"/>
          <w:highlight w:val="none"/>
          <w:lang w:val="en-US" w:eastAsia="zh-CN" w:bidi="zh-CN"/>
        </w:rPr>
      </w:pPr>
    </w:p>
    <w:p w14:paraId="23FE5407">
      <w:pPr>
        <w:widowControl w:val="0"/>
        <w:autoSpaceDE w:val="0"/>
        <w:autoSpaceDN w:val="0"/>
        <w:spacing w:before="3" w:after="0" w:line="360" w:lineRule="auto"/>
        <w:ind w:left="0" w:right="0" w:firstLine="960" w:firstLineChars="400"/>
        <w:jc w:val="left"/>
        <w:rPr>
          <w:rFonts w:hint="eastAsia" w:ascii="仿宋" w:hAnsi="仿宋" w:eastAsia="仿宋" w:cs="仿宋"/>
          <w:smallCaps w:val="0"/>
          <w:color w:val="auto"/>
          <w:spacing w:val="0"/>
          <w:position w:val="0"/>
          <w:sz w:val="24"/>
          <w:szCs w:val="24"/>
          <w:highlight w:val="none"/>
          <w:u w:val="single"/>
          <w:lang w:val="en-US" w:eastAsia="zh-CN" w:bidi="zh-CN"/>
        </w:rPr>
      </w:pPr>
      <w:r>
        <w:rPr>
          <w:rFonts w:hint="eastAsia" w:ascii="仿宋" w:hAnsi="仿宋" w:eastAsia="仿宋" w:cs="仿宋"/>
          <w:smallCaps w:val="0"/>
          <w:color w:val="auto"/>
          <w:spacing w:val="0"/>
          <w:position w:val="0"/>
          <w:sz w:val="24"/>
          <w:szCs w:val="24"/>
          <w:highlight w:val="none"/>
          <w:lang w:val="en-US" w:eastAsia="zh-CN" w:bidi="zh-CN"/>
        </w:rPr>
        <w:t>发票接收邮箱：</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p>
    <w:p w14:paraId="7F6A09EC">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p>
    <w:p w14:paraId="3ABDBA32">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注：</w:t>
      </w:r>
      <w:r>
        <w:rPr>
          <w:rFonts w:hint="eastAsia" w:ascii="仿宋" w:hAnsi="仿宋" w:eastAsia="仿宋" w:cs="仿宋"/>
          <w:color w:val="auto"/>
          <w:spacing w:val="0"/>
          <w:position w:val="0"/>
          <w:sz w:val="24"/>
          <w:szCs w:val="24"/>
          <w:highlight w:val="none"/>
          <w:lang w:val="en-US" w:eastAsia="zh-CN"/>
        </w:rPr>
        <w:t>代理服务费到账后，</w:t>
      </w:r>
      <w:r>
        <w:rPr>
          <w:rFonts w:hint="eastAsia" w:ascii="仿宋" w:hAnsi="仿宋" w:eastAsia="仿宋" w:cs="仿宋"/>
          <w:color w:val="auto"/>
          <w:spacing w:val="0"/>
          <w:position w:val="0"/>
          <w:sz w:val="24"/>
          <w:szCs w:val="24"/>
          <w:highlight w:val="none"/>
        </w:rPr>
        <w:t>我单位将</w:t>
      </w:r>
      <w:r>
        <w:rPr>
          <w:rFonts w:hint="eastAsia" w:ascii="仿宋" w:hAnsi="仿宋" w:eastAsia="仿宋" w:cs="仿宋"/>
          <w:color w:val="auto"/>
          <w:spacing w:val="0"/>
          <w:position w:val="0"/>
          <w:sz w:val="24"/>
          <w:szCs w:val="24"/>
          <w:highlight w:val="none"/>
          <w:lang w:val="en-US" w:eastAsia="zh-CN"/>
        </w:rPr>
        <w:t>电子</w:t>
      </w:r>
      <w:r>
        <w:rPr>
          <w:rFonts w:hint="eastAsia" w:ascii="仿宋" w:hAnsi="仿宋" w:eastAsia="仿宋" w:cs="仿宋"/>
          <w:color w:val="auto"/>
          <w:spacing w:val="0"/>
          <w:position w:val="0"/>
          <w:sz w:val="24"/>
          <w:szCs w:val="24"/>
          <w:highlight w:val="none"/>
        </w:rPr>
        <w:t>发票</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普票</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开出，会发至</w:t>
      </w:r>
      <w:r>
        <w:rPr>
          <w:rFonts w:hint="eastAsia" w:ascii="仿宋" w:hAnsi="仿宋" w:eastAsia="仿宋" w:cs="仿宋"/>
          <w:color w:val="auto"/>
          <w:spacing w:val="0"/>
          <w:position w:val="0"/>
          <w:sz w:val="24"/>
          <w:szCs w:val="24"/>
          <w:highlight w:val="none"/>
          <w:lang w:val="en-US" w:eastAsia="zh-CN"/>
        </w:rPr>
        <w:t>接收</w:t>
      </w:r>
      <w:r>
        <w:rPr>
          <w:rFonts w:hint="eastAsia" w:ascii="仿宋" w:hAnsi="仿宋" w:eastAsia="仿宋" w:cs="仿宋"/>
          <w:color w:val="auto"/>
          <w:spacing w:val="0"/>
          <w:position w:val="0"/>
          <w:sz w:val="24"/>
          <w:szCs w:val="24"/>
          <w:highlight w:val="none"/>
        </w:rPr>
        <w:t>邮箱。</w:t>
      </w:r>
    </w:p>
    <w:p w14:paraId="734ACF9C">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p>
    <w:p w14:paraId="62D8A403">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5C2F0E4">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0715A12">
      <w:pPr>
        <w:pStyle w:val="18"/>
        <w:spacing w:line="360" w:lineRule="auto"/>
        <w:jc w:val="center"/>
        <w:outlineLvl w:val="1"/>
        <w:rPr>
          <w:rFonts w:hint="eastAsia" w:ascii="仿宋" w:hAnsi="仿宋" w:eastAsia="仿宋" w:cs="仿宋"/>
          <w:sz w:val="24"/>
          <w:szCs w:val="24"/>
        </w:rPr>
        <w:sectPr>
          <w:pgSz w:w="11905" w:h="16838"/>
          <w:pgMar w:top="1440" w:right="1803" w:bottom="1440" w:left="1803" w:header="0" w:footer="975" w:gutter="0"/>
          <w:pgNumType w:fmt="decimal"/>
          <w:cols w:space="0" w:num="1"/>
          <w:rtlGutter w:val="0"/>
          <w:docGrid w:linePitch="0" w:charSpace="0"/>
        </w:sectPr>
      </w:pPr>
    </w:p>
    <w:p w14:paraId="6DEAB7D7">
      <w:pPr>
        <w:pStyle w:val="13"/>
        <w:spacing w:after="0"/>
        <w:ind w:firstLine="562"/>
        <w:jc w:val="center"/>
        <w:outlineLvl w:val="1"/>
        <w:rPr>
          <w:rFonts w:hint="eastAsia" w:ascii="宋体" w:hAnsi="宋体" w:eastAsia="宋体" w:cs="宋体"/>
          <w:color w:val="auto"/>
        </w:rPr>
      </w:pPr>
      <w:bookmarkStart w:id="32" w:name="_Toc31536"/>
      <w:r>
        <w:rPr>
          <w:rFonts w:hint="eastAsia" w:ascii="仿宋" w:hAnsi="仿宋" w:eastAsia="仿宋" w:cs="仿宋"/>
          <w:b/>
          <w:bCs/>
          <w:spacing w:val="-16"/>
          <w:sz w:val="32"/>
          <w:szCs w:val="32"/>
        </w:rPr>
        <w:t>附件</w:t>
      </w:r>
      <w:r>
        <w:rPr>
          <w:rFonts w:hint="eastAsia" w:ascii="仿宋" w:hAnsi="仿宋" w:eastAsia="仿宋" w:cs="仿宋"/>
          <w:spacing w:val="-41"/>
          <w:sz w:val="32"/>
          <w:szCs w:val="32"/>
        </w:rPr>
        <w:t xml:space="preserve"> </w:t>
      </w:r>
      <w:r>
        <w:rPr>
          <w:rFonts w:hint="eastAsia" w:ascii="仿宋" w:hAnsi="仿宋" w:eastAsia="仿宋" w:cs="仿宋"/>
          <w:b/>
          <w:bCs/>
          <w:spacing w:val="-16"/>
          <w:sz w:val="32"/>
          <w:szCs w:val="32"/>
        </w:rPr>
        <w:t>1</w:t>
      </w:r>
      <w:r>
        <w:rPr>
          <w:rFonts w:hint="eastAsia" w:ascii="仿宋" w:hAnsi="仿宋" w:eastAsia="仿宋" w:cs="仿宋"/>
          <w:b/>
          <w:bCs/>
          <w:spacing w:val="-16"/>
          <w:sz w:val="32"/>
          <w:szCs w:val="32"/>
          <w:lang w:val="en-US" w:eastAsia="zh-CN"/>
        </w:rPr>
        <w:t xml:space="preserve">6 </w:t>
      </w:r>
      <w:r>
        <w:rPr>
          <w:rFonts w:hint="eastAsia" w:ascii="仿宋" w:hAnsi="仿宋" w:eastAsia="仿宋" w:cs="仿宋"/>
          <w:b/>
          <w:i w:val="0"/>
          <w:iCs w:val="0"/>
          <w:color w:val="auto"/>
          <w:spacing w:val="0"/>
          <w:sz w:val="32"/>
          <w:szCs w:val="32"/>
        </w:rPr>
        <w:t>同意</w:t>
      </w:r>
      <w:r>
        <w:rPr>
          <w:rFonts w:hint="eastAsia" w:ascii="仿宋" w:hAnsi="仿宋" w:eastAsia="仿宋" w:cs="仿宋"/>
          <w:b/>
          <w:i w:val="0"/>
          <w:iCs w:val="0"/>
          <w:color w:val="auto"/>
          <w:spacing w:val="0"/>
          <w:sz w:val="32"/>
          <w:szCs w:val="32"/>
          <w:lang w:eastAsia="zh-CN"/>
        </w:rPr>
        <w:t>招标文件</w:t>
      </w:r>
      <w:r>
        <w:rPr>
          <w:rFonts w:hint="eastAsia" w:ascii="仿宋" w:hAnsi="仿宋" w:eastAsia="仿宋" w:cs="仿宋"/>
          <w:b/>
          <w:i w:val="0"/>
          <w:iCs w:val="0"/>
          <w:color w:val="auto"/>
          <w:spacing w:val="0"/>
          <w:sz w:val="32"/>
          <w:szCs w:val="32"/>
        </w:rPr>
        <w:t>条款声明</w:t>
      </w:r>
      <w:bookmarkEnd w:id="32"/>
    </w:p>
    <w:p w14:paraId="11976EA1">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致：</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招标人或代理公司名称</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rPr>
        <w:t xml:space="preserve"> </w:t>
      </w:r>
    </w:p>
    <w:p w14:paraId="40FBDCFE">
      <w:pPr>
        <w:pStyle w:val="9"/>
        <w:adjustRightInd w:val="0"/>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为响应你方组织的</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28"/>
          <w:sz w:val="24"/>
          <w:szCs w:val="24"/>
        </w:rPr>
        <w:t xml:space="preserve"> 项目的</w:t>
      </w:r>
      <w:r>
        <w:rPr>
          <w:rFonts w:hint="eastAsia" w:ascii="仿宋" w:hAnsi="仿宋" w:eastAsia="仿宋" w:cs="仿宋"/>
          <w:color w:val="auto"/>
          <w:kern w:val="28"/>
          <w:sz w:val="24"/>
          <w:szCs w:val="24"/>
          <w:lang w:eastAsia="zh-CN"/>
        </w:rPr>
        <w:t>招标文件</w:t>
      </w:r>
      <w:r>
        <w:rPr>
          <w:rFonts w:hint="eastAsia" w:ascii="仿宋" w:hAnsi="仿宋" w:eastAsia="仿宋" w:cs="仿宋"/>
          <w:color w:val="auto"/>
          <w:sz w:val="24"/>
          <w:szCs w:val="24"/>
        </w:rPr>
        <w:t>，项目编号为：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，我方在参与报价前已详细研究了</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的所有内容，包括修改或更改（正）文件（如果有的话）和所有已提供的参考资料以及有关附件，我方完全明白并认为此</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没有倾向性，也没有存在排斥潜在</w:t>
      </w:r>
      <w:r>
        <w:rPr>
          <w:rFonts w:hint="eastAsia" w:ascii="仿宋" w:hAnsi="仿宋" w:eastAsia="仿宋" w:cs="仿宋"/>
          <w:color w:val="auto"/>
          <w:sz w:val="24"/>
          <w:szCs w:val="24"/>
          <w:lang w:val="en-US" w:eastAsia="zh-CN"/>
        </w:rPr>
        <w:t>投保人</w:t>
      </w:r>
      <w:r>
        <w:rPr>
          <w:rFonts w:hint="eastAsia" w:ascii="仿宋" w:hAnsi="仿宋" w:eastAsia="仿宋" w:cs="仿宋"/>
          <w:color w:val="auto"/>
          <w:sz w:val="24"/>
          <w:szCs w:val="24"/>
        </w:rPr>
        <w:t>的内容，我方同意</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的相关条款并承诺参与报价后不再对</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的任何条款提出质疑或异议。</w:t>
      </w:r>
    </w:p>
    <w:p w14:paraId="0B047225">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特此声明。</w:t>
      </w:r>
    </w:p>
    <w:p w14:paraId="561114A7">
      <w:pPr>
        <w:pStyle w:val="9"/>
        <w:adjustRightInd w:val="0"/>
        <w:snapToGrid w:val="0"/>
        <w:spacing w:line="360" w:lineRule="auto"/>
        <w:rPr>
          <w:rFonts w:hint="eastAsia" w:ascii="仿宋" w:hAnsi="仿宋" w:eastAsia="仿宋" w:cs="仿宋"/>
          <w:color w:val="auto"/>
          <w:sz w:val="24"/>
          <w:szCs w:val="24"/>
        </w:rPr>
      </w:pPr>
    </w:p>
    <w:p w14:paraId="33208B57">
      <w:pPr>
        <w:pStyle w:val="9"/>
        <w:adjustRightInd w:val="0"/>
        <w:snapToGrid w:val="0"/>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投标单位</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14:paraId="5F78DAE2">
      <w:pPr>
        <w:pStyle w:val="6"/>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Cs w:val="24"/>
        </w:rPr>
        <w:t>法定代表人或授权代表（签字或盖章）：</w:t>
      </w:r>
      <w:r>
        <w:rPr>
          <w:rFonts w:hint="eastAsia" w:ascii="仿宋" w:hAnsi="仿宋" w:eastAsia="仿宋" w:cs="仿宋"/>
          <w:color w:val="auto"/>
          <w:szCs w:val="24"/>
          <w:u w:val="single"/>
          <w:lang w:val="en-US" w:eastAsia="zh-CN"/>
        </w:rPr>
        <w:t xml:space="preserve">                        </w:t>
      </w:r>
    </w:p>
    <w:p w14:paraId="299307A2">
      <w:pPr>
        <w:tabs>
          <w:tab w:val="left" w:pos="3060"/>
        </w:tabs>
        <w:spacing w:line="360" w:lineRule="auto"/>
        <w:ind w:firstLine="482"/>
        <w:rPr>
          <w:rFonts w:hint="eastAsia" w:ascii="仿宋" w:hAnsi="仿宋" w:eastAsia="仿宋" w:cs="仿宋"/>
          <w:b/>
          <w:bCs/>
          <w:color w:val="auto"/>
          <w:sz w:val="24"/>
        </w:rPr>
      </w:pPr>
    </w:p>
    <w:p w14:paraId="683CD5E2">
      <w:pPr>
        <w:tabs>
          <w:tab w:val="left" w:pos="3060"/>
        </w:tabs>
        <w:spacing w:line="360" w:lineRule="auto"/>
        <w:ind w:firstLine="5760" w:firstLineChars="2400"/>
        <w:rPr>
          <w:rFonts w:hint="eastAsia" w:ascii="仿宋" w:hAnsi="仿宋" w:eastAsia="仿宋" w:cs="仿宋"/>
          <w:color w:val="auto"/>
          <w:sz w:val="24"/>
        </w:rPr>
      </w:pPr>
      <w:r>
        <w:rPr>
          <w:rFonts w:hint="eastAsia" w:ascii="仿宋" w:hAnsi="仿宋" w:eastAsia="仿宋" w:cs="仿宋"/>
          <w:color w:val="auto"/>
          <w:sz w:val="24"/>
        </w:rPr>
        <w:t>年     月     日</w:t>
      </w:r>
    </w:p>
    <w:p w14:paraId="604868A3">
      <w:pPr>
        <w:pStyle w:val="18"/>
        <w:spacing w:line="360" w:lineRule="auto"/>
        <w:jc w:val="center"/>
        <w:outlineLvl w:val="1"/>
        <w:rPr>
          <w:rFonts w:hint="eastAsia" w:ascii="仿宋" w:hAnsi="仿宋" w:eastAsia="仿宋" w:cs="仿宋"/>
          <w:sz w:val="24"/>
          <w:szCs w:val="24"/>
          <w:lang w:val="en-US" w:eastAsia="zh-CN"/>
        </w:rPr>
        <w:sectPr>
          <w:pgSz w:w="11905" w:h="16838"/>
          <w:pgMar w:top="1440" w:right="1803" w:bottom="1440" w:left="1803" w:header="0" w:footer="975" w:gutter="0"/>
          <w:pgNumType w:fmt="decimal"/>
          <w:cols w:space="0" w:num="1"/>
          <w:rtlGutter w:val="0"/>
          <w:docGrid w:linePitch="0" w:charSpace="0"/>
        </w:sectPr>
      </w:pPr>
    </w:p>
    <w:p w14:paraId="2B4D51C0">
      <w:pPr>
        <w:pStyle w:val="13"/>
        <w:spacing w:after="0"/>
        <w:jc w:val="center"/>
        <w:outlineLvl w:val="1"/>
        <w:rPr>
          <w:rFonts w:hint="eastAsia" w:ascii="仿宋" w:hAnsi="仿宋" w:eastAsia="仿宋" w:cs="仿宋"/>
          <w:color w:val="auto"/>
          <w:sz w:val="24"/>
        </w:rPr>
      </w:pPr>
      <w:bookmarkStart w:id="33" w:name="_Toc12977_WPSOffice_Level1"/>
      <w:bookmarkStart w:id="34" w:name="_Toc27133"/>
      <w:bookmarkStart w:id="35" w:name="_Toc13954_WPSOffice_Level1"/>
      <w:bookmarkStart w:id="36" w:name="_Toc17138_WPSOffice_Level1"/>
      <w:r>
        <w:rPr>
          <w:rFonts w:hint="eastAsia" w:ascii="仿宋" w:hAnsi="仿宋" w:eastAsia="仿宋" w:cs="仿宋"/>
          <w:b/>
          <w:bCs/>
          <w:spacing w:val="-16"/>
          <w:sz w:val="32"/>
          <w:szCs w:val="32"/>
        </w:rPr>
        <w:t>附件</w:t>
      </w:r>
      <w:r>
        <w:rPr>
          <w:rFonts w:hint="eastAsia" w:ascii="仿宋" w:hAnsi="仿宋" w:eastAsia="仿宋" w:cs="仿宋"/>
          <w:spacing w:val="-41"/>
          <w:sz w:val="32"/>
          <w:szCs w:val="32"/>
        </w:rPr>
        <w:t xml:space="preserve"> </w:t>
      </w:r>
      <w:r>
        <w:rPr>
          <w:rFonts w:hint="eastAsia" w:ascii="仿宋" w:hAnsi="仿宋" w:eastAsia="仿宋" w:cs="仿宋"/>
          <w:b/>
          <w:bCs/>
          <w:spacing w:val="-16"/>
          <w:sz w:val="32"/>
          <w:szCs w:val="32"/>
        </w:rPr>
        <w:t>1</w:t>
      </w:r>
      <w:r>
        <w:rPr>
          <w:rFonts w:hint="eastAsia" w:ascii="仿宋" w:hAnsi="仿宋" w:eastAsia="仿宋" w:cs="仿宋"/>
          <w:b/>
          <w:bCs/>
          <w:spacing w:val="-16"/>
          <w:sz w:val="32"/>
          <w:szCs w:val="32"/>
          <w:lang w:val="en-US" w:eastAsia="zh-CN"/>
        </w:rPr>
        <w:t xml:space="preserve">7 </w:t>
      </w:r>
      <w:r>
        <w:rPr>
          <w:rFonts w:hint="eastAsia" w:ascii="仿宋" w:hAnsi="仿宋" w:eastAsia="仿宋" w:cs="仿宋"/>
          <w:b/>
          <w:i w:val="0"/>
          <w:iCs w:val="0"/>
          <w:color w:val="auto"/>
          <w:spacing w:val="0"/>
          <w:sz w:val="32"/>
          <w:szCs w:val="32"/>
        </w:rPr>
        <w:t>虚假应标承担责任声明</w:t>
      </w:r>
      <w:bookmarkEnd w:id="33"/>
      <w:bookmarkEnd w:id="34"/>
      <w:bookmarkEnd w:id="35"/>
      <w:bookmarkEnd w:id="36"/>
    </w:p>
    <w:p w14:paraId="4DC7FC28">
      <w:pPr>
        <w:pStyle w:val="9"/>
        <w:adjustRightInd w:val="0"/>
        <w:snapToGrid w:val="0"/>
        <w:spacing w:line="360" w:lineRule="auto"/>
        <w:outlineLvl w:val="9"/>
        <w:rPr>
          <w:rFonts w:hint="eastAsia" w:ascii="仿宋" w:hAnsi="仿宋" w:eastAsia="仿宋" w:cs="仿宋"/>
          <w:b/>
          <w:color w:val="auto"/>
          <w:sz w:val="24"/>
          <w:szCs w:val="24"/>
        </w:rPr>
      </w:pPr>
    </w:p>
    <w:p w14:paraId="39C015E9">
      <w:pPr>
        <w:pStyle w:val="9"/>
        <w:adjustRightInd w:val="0"/>
        <w:snapToGrid w:val="0"/>
        <w:spacing w:line="360" w:lineRule="auto"/>
        <w:rPr>
          <w:rFonts w:hint="eastAsia" w:ascii="仿宋" w:hAnsi="仿宋" w:eastAsia="仿宋" w:cs="仿宋"/>
          <w:b/>
          <w:color w:val="auto"/>
          <w:spacing w:val="4"/>
          <w:sz w:val="24"/>
          <w:szCs w:val="24"/>
        </w:rPr>
      </w:pPr>
      <w:r>
        <w:rPr>
          <w:rFonts w:hint="eastAsia" w:ascii="仿宋" w:hAnsi="仿宋" w:eastAsia="仿宋" w:cs="仿宋"/>
          <w:b/>
          <w:color w:val="auto"/>
          <w:sz w:val="24"/>
          <w:szCs w:val="24"/>
        </w:rPr>
        <w:t>致：</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招标人或代理公司名称</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b/>
          <w:color w:val="auto"/>
          <w:spacing w:val="4"/>
          <w:sz w:val="24"/>
          <w:szCs w:val="24"/>
        </w:rPr>
        <w:t xml:space="preserve"> </w:t>
      </w:r>
    </w:p>
    <w:p w14:paraId="14134A83">
      <w:pPr>
        <w:pStyle w:val="9"/>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我公司承诺所提供的</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（包括一切技术资料、技术承诺、商务承诺等）均真实有效，若在项目</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过程中（包括评标、成交公示过程）及履行合同期间（包括验收过程）发现我公司产品（或服务）与报价响应（文件）不一致，或发现我公司提供了不真实的</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（虚假材料），我公司愿意承担一切法律责任并认可采购人或采购代理机构作出的取消成交资格、罚没保证金等决定。</w:t>
      </w:r>
    </w:p>
    <w:p w14:paraId="7FF3D1DF">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特此声明。</w:t>
      </w:r>
    </w:p>
    <w:p w14:paraId="4AE825AA">
      <w:pPr>
        <w:pStyle w:val="9"/>
        <w:adjustRightInd w:val="0"/>
        <w:snapToGrid w:val="0"/>
        <w:spacing w:line="360" w:lineRule="auto"/>
        <w:rPr>
          <w:rFonts w:hint="eastAsia" w:ascii="仿宋" w:hAnsi="仿宋" w:eastAsia="仿宋" w:cs="仿宋"/>
          <w:color w:val="auto"/>
          <w:sz w:val="24"/>
          <w:szCs w:val="24"/>
        </w:rPr>
      </w:pPr>
    </w:p>
    <w:p w14:paraId="54C69834">
      <w:pPr>
        <w:pStyle w:val="9"/>
        <w:adjustRightInd w:val="0"/>
        <w:snapToGrid w:val="0"/>
        <w:spacing w:line="360" w:lineRule="auto"/>
        <w:rPr>
          <w:rFonts w:hint="eastAsia" w:ascii="仿宋" w:hAnsi="仿宋" w:eastAsia="仿宋" w:cs="仿宋"/>
          <w:color w:val="auto"/>
          <w:sz w:val="24"/>
          <w:szCs w:val="24"/>
        </w:rPr>
      </w:pPr>
    </w:p>
    <w:p w14:paraId="6A42E527">
      <w:pPr>
        <w:pStyle w:val="9"/>
        <w:adjustRightInd w:val="0"/>
        <w:snapToGrid w:val="0"/>
        <w:spacing w:line="360" w:lineRule="auto"/>
        <w:rPr>
          <w:rFonts w:hint="eastAsia" w:ascii="仿宋" w:hAnsi="仿宋" w:eastAsia="仿宋" w:cs="仿宋"/>
          <w:color w:val="auto"/>
          <w:sz w:val="24"/>
          <w:szCs w:val="24"/>
        </w:rPr>
      </w:pPr>
    </w:p>
    <w:p w14:paraId="27F5D19C">
      <w:pPr>
        <w:pStyle w:val="9"/>
        <w:adjustRightInd w:val="0"/>
        <w:snapToGrid w:val="0"/>
        <w:spacing w:line="48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投标单位</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14:paraId="34BBACFB">
      <w:pPr>
        <w:pStyle w:val="6"/>
        <w:spacing w:line="48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Cs w:val="24"/>
        </w:rPr>
        <w:t>法定代表人或授权代表（签字或盖章）：</w:t>
      </w:r>
      <w:r>
        <w:rPr>
          <w:rFonts w:hint="eastAsia" w:ascii="仿宋" w:hAnsi="仿宋" w:eastAsia="仿宋" w:cs="仿宋"/>
          <w:color w:val="auto"/>
          <w:szCs w:val="24"/>
          <w:u w:val="single"/>
          <w:lang w:val="en-US" w:eastAsia="zh-CN"/>
        </w:rPr>
        <w:t xml:space="preserve">                        </w:t>
      </w:r>
    </w:p>
    <w:p w14:paraId="7CBB60CC">
      <w:pPr>
        <w:tabs>
          <w:tab w:val="left" w:pos="3060"/>
        </w:tabs>
        <w:spacing w:line="480" w:lineRule="auto"/>
        <w:ind w:firstLine="482"/>
        <w:rPr>
          <w:rFonts w:hint="eastAsia" w:ascii="仿宋" w:hAnsi="仿宋" w:eastAsia="仿宋" w:cs="仿宋"/>
          <w:b/>
          <w:bCs/>
          <w:color w:val="auto"/>
          <w:sz w:val="24"/>
        </w:rPr>
      </w:pPr>
    </w:p>
    <w:p w14:paraId="4B8AF377">
      <w:pPr>
        <w:tabs>
          <w:tab w:val="left" w:pos="3060"/>
        </w:tabs>
        <w:spacing w:line="480" w:lineRule="auto"/>
        <w:ind w:firstLine="5760" w:firstLineChars="2400"/>
        <w:rPr>
          <w:rFonts w:hint="eastAsia" w:ascii="仿宋" w:hAnsi="仿宋" w:eastAsia="仿宋" w:cs="仿宋"/>
          <w:color w:val="auto"/>
          <w:sz w:val="24"/>
        </w:rPr>
      </w:pPr>
      <w:r>
        <w:rPr>
          <w:rFonts w:hint="eastAsia" w:ascii="仿宋" w:hAnsi="仿宋" w:eastAsia="仿宋" w:cs="仿宋"/>
          <w:color w:val="auto"/>
          <w:sz w:val="24"/>
        </w:rPr>
        <w:t>年     月     日</w:t>
      </w:r>
    </w:p>
    <w:p w14:paraId="5270F9E0">
      <w:pPr>
        <w:pStyle w:val="18"/>
        <w:spacing w:line="360" w:lineRule="auto"/>
        <w:jc w:val="center"/>
        <w:outlineLvl w:val="1"/>
        <w:rPr>
          <w:rFonts w:hint="eastAsia" w:ascii="仿宋" w:hAnsi="仿宋" w:eastAsia="仿宋" w:cs="仿宋"/>
          <w:sz w:val="24"/>
          <w:szCs w:val="24"/>
          <w:lang w:val="en-US" w:eastAsia="zh-CN"/>
        </w:rPr>
        <w:sectPr>
          <w:pgSz w:w="11905" w:h="16838"/>
          <w:pgMar w:top="1440" w:right="1803" w:bottom="1440" w:left="1803" w:header="0" w:footer="975" w:gutter="0"/>
          <w:pgNumType w:fmt="decimal"/>
          <w:cols w:space="0" w:num="1"/>
          <w:rtlGutter w:val="0"/>
          <w:docGrid w:linePitch="0" w:charSpace="0"/>
        </w:sectPr>
      </w:pPr>
    </w:p>
    <w:p w14:paraId="62204AEF">
      <w:pPr>
        <w:pStyle w:val="7"/>
        <w:spacing w:before="98" w:line="222" w:lineRule="auto"/>
        <w:jc w:val="center"/>
        <w:outlineLvl w:val="1"/>
        <w:rPr>
          <w:sz w:val="30"/>
          <w:szCs w:val="30"/>
        </w:rPr>
      </w:pPr>
      <w:bookmarkStart w:id="37" w:name="_Toc13560"/>
      <w:r>
        <w:rPr>
          <w:b/>
          <w:bCs/>
          <w:spacing w:val="-16"/>
          <w:sz w:val="30"/>
          <w:szCs w:val="30"/>
        </w:rPr>
        <w:t>附件</w:t>
      </w:r>
      <w:r>
        <w:rPr>
          <w:spacing w:val="-41"/>
          <w:sz w:val="30"/>
          <w:szCs w:val="30"/>
        </w:rPr>
        <w:t xml:space="preserve"> </w:t>
      </w:r>
      <w:r>
        <w:rPr>
          <w:b/>
          <w:bCs/>
          <w:spacing w:val="-16"/>
          <w:sz w:val="30"/>
          <w:szCs w:val="30"/>
        </w:rPr>
        <w:t>1</w:t>
      </w:r>
      <w:r>
        <w:rPr>
          <w:rFonts w:hint="eastAsia"/>
          <w:b/>
          <w:bCs/>
          <w:spacing w:val="-16"/>
          <w:sz w:val="30"/>
          <w:szCs w:val="30"/>
          <w:lang w:val="en-US" w:eastAsia="zh-CN"/>
        </w:rPr>
        <w:t>8</w:t>
      </w:r>
      <w:r>
        <w:rPr>
          <w:b/>
          <w:bCs/>
          <w:spacing w:val="-16"/>
          <w:sz w:val="30"/>
          <w:szCs w:val="30"/>
        </w:rPr>
        <w:t>：</w:t>
      </w:r>
      <w:r>
        <w:rPr>
          <w:b/>
          <w:bCs/>
          <w:spacing w:val="-4"/>
          <w:sz w:val="30"/>
          <w:szCs w:val="30"/>
        </w:rPr>
        <w:t>投标人认为有必要提交的其他相关证明材料</w:t>
      </w:r>
      <w:bookmarkEnd w:id="37"/>
    </w:p>
    <w:sectPr>
      <w:footerReference r:id="rId27" w:type="default"/>
      <w:pgSz w:w="11905" w:h="16838"/>
      <w:pgMar w:top="1440" w:right="1803" w:bottom="1440" w:left="1803" w:header="0" w:footer="97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3500">
    <w:pPr>
      <w:spacing w:line="226" w:lineRule="exact"/>
      <w:ind w:left="465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96F9">
    <w:pPr>
      <w:spacing w:line="226" w:lineRule="exact"/>
      <w:ind w:left="46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5F2B2">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85F2B2">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A12C">
    <w:pPr>
      <w:spacing w:line="226" w:lineRule="exact"/>
      <w:ind w:left="45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C1C23">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A0C1C23">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4765">
    <w:pPr>
      <w:spacing w:line="226" w:lineRule="exact"/>
      <w:ind w:left="46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3DC91">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953DC91">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2F0F">
    <w:pPr>
      <w:spacing w:line="226" w:lineRule="exact"/>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10477">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010477">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6127">
    <w:pPr>
      <w:spacing w:line="226" w:lineRule="exact"/>
      <w:ind w:left="47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E9D63">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5E9D63">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1C6A">
    <w:pPr>
      <w:spacing w:line="226" w:lineRule="exact"/>
      <w:ind w:left="46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71925">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1B71925">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DB1F">
    <w:pPr>
      <w:spacing w:line="226" w:lineRule="exact"/>
      <w:ind w:left="47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7FD57">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4E7FD57">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66F7">
    <w:pPr>
      <w:spacing w:line="226" w:lineRule="exact"/>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B4256">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38B4256">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BB50">
    <w:pPr>
      <w:spacing w:line="226" w:lineRule="exact"/>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6A921">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76A921">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4CF6E">
    <w:pPr>
      <w:spacing w:line="226" w:lineRule="exact"/>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AC748">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29AC748">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DBCEC">
    <w:pPr>
      <w:spacing w:line="226" w:lineRule="exact"/>
      <w:ind w:left="46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78469">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778469">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65DB">
    <w:pPr>
      <w:spacing w:line="226" w:lineRule="exact"/>
      <w:ind w:left="46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80947">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FB80947">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B730">
    <w:pPr>
      <w:spacing w:line="226" w:lineRule="exact"/>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74489">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3A74489">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4AE5">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2E74F">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CD2E74F">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C490">
    <w:pPr>
      <w:spacing w:line="226" w:lineRule="exact"/>
      <w:ind w:left="48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F56AC">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FF56AC">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9E91">
    <w:pPr>
      <w:spacing w:line="226" w:lineRule="exact"/>
      <w:ind w:left="46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9A60A">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29A60A">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59ED3">
    <w:pPr>
      <w:spacing w:line="226" w:lineRule="exact"/>
      <w:ind w:left="46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B6C9B">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CB6C9B">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F495">
    <w:pPr>
      <w:spacing w:line="226" w:lineRule="exact"/>
      <w:ind w:left="41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A9AA9">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4A9AA9">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A995">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770384">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CxIjcHTAQAApQMAAA4AAAAAAAAAAQAgAAAA&#10;IgEAAGRycy9lMm9Eb2MueG1sUEsFBgAAAAAGAAYAWQEAAGcFAAAAAA==&#10;">
              <v:fill on="f" focussize="0,0"/>
              <v:stroke on="f" weight="1.25pt"/>
              <v:imagedata o:title=""/>
              <o:lock v:ext="edit" aspectratio="f"/>
              <v:textbox inset="0mm,0mm,0mm,0mm" style="mso-fit-shape-to-text:t;">
                <w:txbxContent>
                  <w:p w14:paraId="12770384">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5165FE71">
    <w:pPr>
      <w:pStyle w:val="7"/>
      <w:spacing w:line="14" w:lineRule="auto"/>
      <w:rPr>
        <w:sz w:val="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33324">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884C40">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ro0uHSAQAAp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BY34YYSywxO/PTj++nn&#10;79OvbwR9KFDvoca8Z4+ZcXhwAybPfkBn4j3IYNIXGRGMo7zHs7xiiISnR9WyqkoMcYzNF8QvXp77&#10;APG9cIYko6EB55dlZYePEMfUOSVVs+5RaZ1nqC3pEfW6ur3OL84hRNcWiyQWY7fJisN2mKhtXXtE&#10;Zj0uQUMt7jwl+oNFjdO+zEaYje1s7H1Quy4vVGoF/P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ujS4dIBAAClAwAADgAAAAAAAAABACAAAAAi&#10;AQAAZHJzL2Uyb0RvYy54bWxQSwUGAAAAAAYABgBZAQAAZgUAAAAA&#10;">
              <v:fill on="f" focussize="0,0"/>
              <v:stroke on="f" weight="1.25pt"/>
              <v:imagedata o:title=""/>
              <o:lock v:ext="edit" aspectratio="f"/>
              <v:textbox inset="0mm,0mm,0mm,0mm" style="mso-fit-shape-to-text:t;">
                <w:txbxContent>
                  <w:p w14:paraId="2A884C4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3D4E">
    <w:pPr>
      <w:spacing w:line="226" w:lineRule="exact"/>
      <w:ind w:left="45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C4DFD">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2C4DFD">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280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94EDC"/>
    <w:multiLevelType w:val="singleLevel"/>
    <w:tmpl w:val="88C94EDC"/>
    <w:lvl w:ilvl="0" w:tentative="0">
      <w:start w:val="2"/>
      <w:numFmt w:val="chineseCounting"/>
      <w:suff w:val="nothing"/>
      <w:lvlText w:val="（%1）"/>
      <w:lvlJc w:val="left"/>
      <w:rPr>
        <w:rFonts w:hint="eastAsia"/>
      </w:rPr>
    </w:lvl>
  </w:abstractNum>
  <w:abstractNum w:abstractNumId="1">
    <w:nsid w:val="4D94DA66"/>
    <w:multiLevelType w:val="multilevel"/>
    <w:tmpl w:val="4D94DA66"/>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2">
    <w:nsid w:val="54B82108"/>
    <w:multiLevelType w:val="singleLevel"/>
    <w:tmpl w:val="54B82108"/>
    <w:lvl w:ilvl="0" w:tentative="0">
      <w:start w:val="1"/>
      <w:numFmt w:val="chineseCounting"/>
      <w:suff w:val="nothing"/>
      <w:lvlText w:val="%1、"/>
      <w:lvlJc w:val="left"/>
      <w:rPr>
        <w:rFonts w:hint="eastAsia"/>
      </w:rPr>
    </w:lvl>
  </w:abstractNum>
  <w:abstractNum w:abstractNumId="3">
    <w:nsid w:val="5D5A6F3F"/>
    <w:multiLevelType w:val="singleLevel"/>
    <w:tmpl w:val="5D5A6F3F"/>
    <w:lvl w:ilvl="0" w:tentative="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GMwMmNiMTUwYWJkNjdlNWM1NjM5YTZiYTk4MzEzYzgifQ=="/>
  </w:docVars>
  <w:rsids>
    <w:rsidRoot w:val="00000000"/>
    <w:rsid w:val="00557C18"/>
    <w:rsid w:val="00692FA7"/>
    <w:rsid w:val="008B443F"/>
    <w:rsid w:val="008C34FC"/>
    <w:rsid w:val="00A3470B"/>
    <w:rsid w:val="00E60B4F"/>
    <w:rsid w:val="00ED5986"/>
    <w:rsid w:val="010E2099"/>
    <w:rsid w:val="011473B7"/>
    <w:rsid w:val="011E602F"/>
    <w:rsid w:val="01293268"/>
    <w:rsid w:val="016A6FD7"/>
    <w:rsid w:val="01931471"/>
    <w:rsid w:val="01DC7134"/>
    <w:rsid w:val="01EE2FD6"/>
    <w:rsid w:val="022B6AF0"/>
    <w:rsid w:val="023C3FDD"/>
    <w:rsid w:val="02993131"/>
    <w:rsid w:val="029F2DC3"/>
    <w:rsid w:val="02ED1C6E"/>
    <w:rsid w:val="03C30C20"/>
    <w:rsid w:val="03E94B2B"/>
    <w:rsid w:val="03F76EB6"/>
    <w:rsid w:val="04081259"/>
    <w:rsid w:val="04103C70"/>
    <w:rsid w:val="047A598B"/>
    <w:rsid w:val="047F723D"/>
    <w:rsid w:val="04EE6171"/>
    <w:rsid w:val="05234C3E"/>
    <w:rsid w:val="05432019"/>
    <w:rsid w:val="058058AC"/>
    <w:rsid w:val="059960DD"/>
    <w:rsid w:val="05E45697"/>
    <w:rsid w:val="05E52234"/>
    <w:rsid w:val="0671283A"/>
    <w:rsid w:val="0677688D"/>
    <w:rsid w:val="071579E5"/>
    <w:rsid w:val="073C692E"/>
    <w:rsid w:val="075334EF"/>
    <w:rsid w:val="076B1143"/>
    <w:rsid w:val="08037802"/>
    <w:rsid w:val="082E0141"/>
    <w:rsid w:val="08345247"/>
    <w:rsid w:val="089210F5"/>
    <w:rsid w:val="08AC3188"/>
    <w:rsid w:val="08C43471"/>
    <w:rsid w:val="08EC649A"/>
    <w:rsid w:val="09265ED9"/>
    <w:rsid w:val="09322AD0"/>
    <w:rsid w:val="0950391B"/>
    <w:rsid w:val="09C000DC"/>
    <w:rsid w:val="09FD74CB"/>
    <w:rsid w:val="0A00497C"/>
    <w:rsid w:val="0A293ADA"/>
    <w:rsid w:val="0A801C83"/>
    <w:rsid w:val="0A853552"/>
    <w:rsid w:val="0A9B4C4C"/>
    <w:rsid w:val="0AB721C4"/>
    <w:rsid w:val="0AB731E2"/>
    <w:rsid w:val="0AF43676"/>
    <w:rsid w:val="0AF8063A"/>
    <w:rsid w:val="0B0A49FC"/>
    <w:rsid w:val="0B413B67"/>
    <w:rsid w:val="0B6251C3"/>
    <w:rsid w:val="0BCB0C8C"/>
    <w:rsid w:val="0BE140C4"/>
    <w:rsid w:val="0C1F4E62"/>
    <w:rsid w:val="0C3B1C9C"/>
    <w:rsid w:val="0C542D5E"/>
    <w:rsid w:val="0C6E59F3"/>
    <w:rsid w:val="0CE554F7"/>
    <w:rsid w:val="0CE73BD2"/>
    <w:rsid w:val="0D25147A"/>
    <w:rsid w:val="0DA92A95"/>
    <w:rsid w:val="0DDA54E4"/>
    <w:rsid w:val="0F0D2CC4"/>
    <w:rsid w:val="0F363427"/>
    <w:rsid w:val="0F5240F7"/>
    <w:rsid w:val="0F9D5C41"/>
    <w:rsid w:val="0FDA30C2"/>
    <w:rsid w:val="0FED61AF"/>
    <w:rsid w:val="103E0B0C"/>
    <w:rsid w:val="10A67900"/>
    <w:rsid w:val="111F258B"/>
    <w:rsid w:val="11452B0A"/>
    <w:rsid w:val="115D121F"/>
    <w:rsid w:val="117937AD"/>
    <w:rsid w:val="11BA6625"/>
    <w:rsid w:val="11C113C0"/>
    <w:rsid w:val="11E04AC9"/>
    <w:rsid w:val="11EC514B"/>
    <w:rsid w:val="127B54E8"/>
    <w:rsid w:val="12D82725"/>
    <w:rsid w:val="133574DA"/>
    <w:rsid w:val="13AB701B"/>
    <w:rsid w:val="14344D47"/>
    <w:rsid w:val="14787805"/>
    <w:rsid w:val="14A10B0A"/>
    <w:rsid w:val="156758B0"/>
    <w:rsid w:val="156D6C3E"/>
    <w:rsid w:val="160077F4"/>
    <w:rsid w:val="1695644C"/>
    <w:rsid w:val="16C51846"/>
    <w:rsid w:val="16E6314C"/>
    <w:rsid w:val="170831C7"/>
    <w:rsid w:val="176537EF"/>
    <w:rsid w:val="1779281B"/>
    <w:rsid w:val="17ED6058"/>
    <w:rsid w:val="17FF3FA5"/>
    <w:rsid w:val="180B10BC"/>
    <w:rsid w:val="181E2A6D"/>
    <w:rsid w:val="18645E17"/>
    <w:rsid w:val="18910E95"/>
    <w:rsid w:val="18A838FD"/>
    <w:rsid w:val="18AE6CD8"/>
    <w:rsid w:val="19524AC9"/>
    <w:rsid w:val="1977452F"/>
    <w:rsid w:val="19B72B7E"/>
    <w:rsid w:val="1A11228E"/>
    <w:rsid w:val="1A646279"/>
    <w:rsid w:val="1A690581"/>
    <w:rsid w:val="1A7D44BD"/>
    <w:rsid w:val="1B216501"/>
    <w:rsid w:val="1B587854"/>
    <w:rsid w:val="1BB4074B"/>
    <w:rsid w:val="1C175FE9"/>
    <w:rsid w:val="1C1F2B28"/>
    <w:rsid w:val="1C315911"/>
    <w:rsid w:val="1C3B30F7"/>
    <w:rsid w:val="1C4A101B"/>
    <w:rsid w:val="1C6E39C8"/>
    <w:rsid w:val="1C913B5A"/>
    <w:rsid w:val="1CB747D9"/>
    <w:rsid w:val="1CF2328E"/>
    <w:rsid w:val="1CF23C90"/>
    <w:rsid w:val="1D1B3925"/>
    <w:rsid w:val="1D7028E8"/>
    <w:rsid w:val="1D7E08BA"/>
    <w:rsid w:val="1DC8497E"/>
    <w:rsid w:val="1E546D6D"/>
    <w:rsid w:val="1E62198E"/>
    <w:rsid w:val="1E727979"/>
    <w:rsid w:val="1F0B7991"/>
    <w:rsid w:val="1F737547"/>
    <w:rsid w:val="1F974FE3"/>
    <w:rsid w:val="1FA871F0"/>
    <w:rsid w:val="1FB212F0"/>
    <w:rsid w:val="1FC90C74"/>
    <w:rsid w:val="202C6073"/>
    <w:rsid w:val="205D447F"/>
    <w:rsid w:val="20BD5F40"/>
    <w:rsid w:val="20C937EF"/>
    <w:rsid w:val="21265248"/>
    <w:rsid w:val="21275322"/>
    <w:rsid w:val="213B1DA9"/>
    <w:rsid w:val="21511470"/>
    <w:rsid w:val="21787F78"/>
    <w:rsid w:val="217934DB"/>
    <w:rsid w:val="217F6677"/>
    <w:rsid w:val="21890080"/>
    <w:rsid w:val="21A659B2"/>
    <w:rsid w:val="21E30AD6"/>
    <w:rsid w:val="2219699E"/>
    <w:rsid w:val="2234120F"/>
    <w:rsid w:val="22453837"/>
    <w:rsid w:val="228850B7"/>
    <w:rsid w:val="22DD5403"/>
    <w:rsid w:val="230C5CE8"/>
    <w:rsid w:val="233939C9"/>
    <w:rsid w:val="23563407"/>
    <w:rsid w:val="23613B99"/>
    <w:rsid w:val="237A0029"/>
    <w:rsid w:val="244905A6"/>
    <w:rsid w:val="24575689"/>
    <w:rsid w:val="24A02595"/>
    <w:rsid w:val="24CF5372"/>
    <w:rsid w:val="25091608"/>
    <w:rsid w:val="255C6FF9"/>
    <w:rsid w:val="260929B3"/>
    <w:rsid w:val="26471549"/>
    <w:rsid w:val="268963F7"/>
    <w:rsid w:val="26A801C0"/>
    <w:rsid w:val="26EC3602"/>
    <w:rsid w:val="27005865"/>
    <w:rsid w:val="2700600B"/>
    <w:rsid w:val="272F1FA5"/>
    <w:rsid w:val="273F48DE"/>
    <w:rsid w:val="281D44F4"/>
    <w:rsid w:val="28D4613A"/>
    <w:rsid w:val="28F50EA2"/>
    <w:rsid w:val="29227034"/>
    <w:rsid w:val="292408DB"/>
    <w:rsid w:val="29822076"/>
    <w:rsid w:val="29D90840"/>
    <w:rsid w:val="2A014CE0"/>
    <w:rsid w:val="2A225DF1"/>
    <w:rsid w:val="2A293624"/>
    <w:rsid w:val="2A652F92"/>
    <w:rsid w:val="2A790F71"/>
    <w:rsid w:val="2C380DB6"/>
    <w:rsid w:val="2C8B1726"/>
    <w:rsid w:val="2CCB47A8"/>
    <w:rsid w:val="2CF241A1"/>
    <w:rsid w:val="2D214B42"/>
    <w:rsid w:val="2D285E15"/>
    <w:rsid w:val="2D40601C"/>
    <w:rsid w:val="2D4F33A1"/>
    <w:rsid w:val="2D87372E"/>
    <w:rsid w:val="2D956230"/>
    <w:rsid w:val="2D964B2C"/>
    <w:rsid w:val="2DC55993"/>
    <w:rsid w:val="2DC8655D"/>
    <w:rsid w:val="2E0D01AD"/>
    <w:rsid w:val="2E0D4ED4"/>
    <w:rsid w:val="2E1274C5"/>
    <w:rsid w:val="2E1C5D7E"/>
    <w:rsid w:val="2EE04268"/>
    <w:rsid w:val="2F0E4B96"/>
    <w:rsid w:val="2F665F9B"/>
    <w:rsid w:val="2FC46D35"/>
    <w:rsid w:val="2FC501B6"/>
    <w:rsid w:val="2FD35FE3"/>
    <w:rsid w:val="30122706"/>
    <w:rsid w:val="308A47E2"/>
    <w:rsid w:val="30C25BF4"/>
    <w:rsid w:val="30D97831"/>
    <w:rsid w:val="31175F84"/>
    <w:rsid w:val="3127200B"/>
    <w:rsid w:val="31631620"/>
    <w:rsid w:val="317A1163"/>
    <w:rsid w:val="319A0B00"/>
    <w:rsid w:val="31E00A6C"/>
    <w:rsid w:val="32453B10"/>
    <w:rsid w:val="328C03C6"/>
    <w:rsid w:val="32950EC6"/>
    <w:rsid w:val="329F4D04"/>
    <w:rsid w:val="339976AE"/>
    <w:rsid w:val="33B73A4E"/>
    <w:rsid w:val="33E26A13"/>
    <w:rsid w:val="342C7F98"/>
    <w:rsid w:val="34936269"/>
    <w:rsid w:val="34B14942"/>
    <w:rsid w:val="34B65AB4"/>
    <w:rsid w:val="34F75FA4"/>
    <w:rsid w:val="351F3659"/>
    <w:rsid w:val="35635FE6"/>
    <w:rsid w:val="35B91D00"/>
    <w:rsid w:val="3600792F"/>
    <w:rsid w:val="36044FBC"/>
    <w:rsid w:val="360F1920"/>
    <w:rsid w:val="3617514D"/>
    <w:rsid w:val="36C2077B"/>
    <w:rsid w:val="370945C1"/>
    <w:rsid w:val="370C1E61"/>
    <w:rsid w:val="374B2E2B"/>
    <w:rsid w:val="37A155FC"/>
    <w:rsid w:val="37EE37B7"/>
    <w:rsid w:val="383C09C6"/>
    <w:rsid w:val="38804D57"/>
    <w:rsid w:val="38C033A5"/>
    <w:rsid w:val="38CD2A1D"/>
    <w:rsid w:val="39795861"/>
    <w:rsid w:val="3A027AA6"/>
    <w:rsid w:val="3A1E4827"/>
    <w:rsid w:val="3A2B6F44"/>
    <w:rsid w:val="3A3B1E79"/>
    <w:rsid w:val="3A4027CA"/>
    <w:rsid w:val="3A4E0DDD"/>
    <w:rsid w:val="3A7C63CB"/>
    <w:rsid w:val="3AE32F3A"/>
    <w:rsid w:val="3B1B0D67"/>
    <w:rsid w:val="3B602C1D"/>
    <w:rsid w:val="3B9340E2"/>
    <w:rsid w:val="3BD33F4D"/>
    <w:rsid w:val="3BEE0D20"/>
    <w:rsid w:val="3C1F35D9"/>
    <w:rsid w:val="3C9963E7"/>
    <w:rsid w:val="3C9C15DA"/>
    <w:rsid w:val="3D2739F3"/>
    <w:rsid w:val="3D756378"/>
    <w:rsid w:val="3DE5283E"/>
    <w:rsid w:val="3E0C3BB0"/>
    <w:rsid w:val="3E1D441D"/>
    <w:rsid w:val="3E21128D"/>
    <w:rsid w:val="3E781BD9"/>
    <w:rsid w:val="3E7E2C56"/>
    <w:rsid w:val="3E907F9B"/>
    <w:rsid w:val="3EAB0654"/>
    <w:rsid w:val="3EAD435E"/>
    <w:rsid w:val="3EF773F5"/>
    <w:rsid w:val="3F06588A"/>
    <w:rsid w:val="3F181FD3"/>
    <w:rsid w:val="3F3F68EA"/>
    <w:rsid w:val="3F6F6028"/>
    <w:rsid w:val="3FE61DE6"/>
    <w:rsid w:val="3FEB6F5A"/>
    <w:rsid w:val="401008FA"/>
    <w:rsid w:val="401A08E5"/>
    <w:rsid w:val="40282B8C"/>
    <w:rsid w:val="40537DE8"/>
    <w:rsid w:val="40556AC9"/>
    <w:rsid w:val="406A5E97"/>
    <w:rsid w:val="407A02DD"/>
    <w:rsid w:val="40C9210B"/>
    <w:rsid w:val="40EA0199"/>
    <w:rsid w:val="40EF1B07"/>
    <w:rsid w:val="410A6510"/>
    <w:rsid w:val="411C7360"/>
    <w:rsid w:val="417452F0"/>
    <w:rsid w:val="417D6C9C"/>
    <w:rsid w:val="41A50301"/>
    <w:rsid w:val="42370FBA"/>
    <w:rsid w:val="42A24E54"/>
    <w:rsid w:val="42E65415"/>
    <w:rsid w:val="42FC5CA1"/>
    <w:rsid w:val="434F69ED"/>
    <w:rsid w:val="43BA7072"/>
    <w:rsid w:val="43C05056"/>
    <w:rsid w:val="442A5A15"/>
    <w:rsid w:val="44765407"/>
    <w:rsid w:val="448160DE"/>
    <w:rsid w:val="44A01F6C"/>
    <w:rsid w:val="44EC5964"/>
    <w:rsid w:val="44FC39B7"/>
    <w:rsid w:val="456D2292"/>
    <w:rsid w:val="4582210E"/>
    <w:rsid w:val="45AD6B17"/>
    <w:rsid w:val="45E5016B"/>
    <w:rsid w:val="45E779A6"/>
    <w:rsid w:val="45F26AAE"/>
    <w:rsid w:val="466A5B37"/>
    <w:rsid w:val="46705B6E"/>
    <w:rsid w:val="4684362B"/>
    <w:rsid w:val="46EB5ED9"/>
    <w:rsid w:val="46F451E2"/>
    <w:rsid w:val="470D3C59"/>
    <w:rsid w:val="474F7594"/>
    <w:rsid w:val="47AB54F0"/>
    <w:rsid w:val="47B73BC5"/>
    <w:rsid w:val="47D47AF4"/>
    <w:rsid w:val="47EC7861"/>
    <w:rsid w:val="48345216"/>
    <w:rsid w:val="48541414"/>
    <w:rsid w:val="48561666"/>
    <w:rsid w:val="4859312C"/>
    <w:rsid w:val="4867518A"/>
    <w:rsid w:val="48BE7F80"/>
    <w:rsid w:val="48CC0136"/>
    <w:rsid w:val="48D82045"/>
    <w:rsid w:val="4905669E"/>
    <w:rsid w:val="490E156B"/>
    <w:rsid w:val="492178D9"/>
    <w:rsid w:val="49284D7B"/>
    <w:rsid w:val="49380D49"/>
    <w:rsid w:val="495F2B40"/>
    <w:rsid w:val="4977360C"/>
    <w:rsid w:val="4A3749D0"/>
    <w:rsid w:val="4A655B5A"/>
    <w:rsid w:val="4B182BCD"/>
    <w:rsid w:val="4B302753"/>
    <w:rsid w:val="4B871B00"/>
    <w:rsid w:val="4BB149C9"/>
    <w:rsid w:val="4BF71A1A"/>
    <w:rsid w:val="4C451577"/>
    <w:rsid w:val="4C766A43"/>
    <w:rsid w:val="4C826015"/>
    <w:rsid w:val="4C91592D"/>
    <w:rsid w:val="4CB10F8C"/>
    <w:rsid w:val="4CFF76AA"/>
    <w:rsid w:val="4D0413BF"/>
    <w:rsid w:val="4D9323C6"/>
    <w:rsid w:val="4E0D3F4C"/>
    <w:rsid w:val="4E395334"/>
    <w:rsid w:val="4E990CEC"/>
    <w:rsid w:val="4EB41C4F"/>
    <w:rsid w:val="4ED211D4"/>
    <w:rsid w:val="4F210FA4"/>
    <w:rsid w:val="4F6B5CDE"/>
    <w:rsid w:val="4F8265E1"/>
    <w:rsid w:val="502E69EF"/>
    <w:rsid w:val="504772CE"/>
    <w:rsid w:val="50871452"/>
    <w:rsid w:val="50C644F5"/>
    <w:rsid w:val="50D15CF8"/>
    <w:rsid w:val="50FE6F89"/>
    <w:rsid w:val="512A365A"/>
    <w:rsid w:val="51686BCE"/>
    <w:rsid w:val="516C77CE"/>
    <w:rsid w:val="518E34B5"/>
    <w:rsid w:val="519C4558"/>
    <w:rsid w:val="51CD2963"/>
    <w:rsid w:val="51E56D7F"/>
    <w:rsid w:val="51F17FF2"/>
    <w:rsid w:val="521B69AA"/>
    <w:rsid w:val="526112FD"/>
    <w:rsid w:val="52C804AE"/>
    <w:rsid w:val="53263B8C"/>
    <w:rsid w:val="534454E2"/>
    <w:rsid w:val="536674B6"/>
    <w:rsid w:val="536B6A5E"/>
    <w:rsid w:val="53876B42"/>
    <w:rsid w:val="53A94339"/>
    <w:rsid w:val="53C66876"/>
    <w:rsid w:val="53D66D2F"/>
    <w:rsid w:val="53DD2FD0"/>
    <w:rsid w:val="54772376"/>
    <w:rsid w:val="54A13C33"/>
    <w:rsid w:val="54B576DE"/>
    <w:rsid w:val="54C811C0"/>
    <w:rsid w:val="54EF3588"/>
    <w:rsid w:val="55241026"/>
    <w:rsid w:val="55452810"/>
    <w:rsid w:val="55596428"/>
    <w:rsid w:val="556D1D67"/>
    <w:rsid w:val="557F21C6"/>
    <w:rsid w:val="55837096"/>
    <w:rsid w:val="55CA71B9"/>
    <w:rsid w:val="55FE031F"/>
    <w:rsid w:val="568D1A15"/>
    <w:rsid w:val="56B45E9F"/>
    <w:rsid w:val="56CE4C52"/>
    <w:rsid w:val="56DA6530"/>
    <w:rsid w:val="57057D01"/>
    <w:rsid w:val="573B52B7"/>
    <w:rsid w:val="57450C1B"/>
    <w:rsid w:val="579D26F3"/>
    <w:rsid w:val="57CF2661"/>
    <w:rsid w:val="582B222F"/>
    <w:rsid w:val="584559A7"/>
    <w:rsid w:val="588B70D4"/>
    <w:rsid w:val="58DD0927"/>
    <w:rsid w:val="592B54C9"/>
    <w:rsid w:val="598D4786"/>
    <w:rsid w:val="59AC5E01"/>
    <w:rsid w:val="59B83EF9"/>
    <w:rsid w:val="5B02221D"/>
    <w:rsid w:val="5B562D97"/>
    <w:rsid w:val="5BA25496"/>
    <w:rsid w:val="5BCF7320"/>
    <w:rsid w:val="5C822937"/>
    <w:rsid w:val="5CA1075B"/>
    <w:rsid w:val="5CAC6809"/>
    <w:rsid w:val="5CB343C4"/>
    <w:rsid w:val="5CBC07E6"/>
    <w:rsid w:val="5CBD5382"/>
    <w:rsid w:val="5CEF5A65"/>
    <w:rsid w:val="5D2D4044"/>
    <w:rsid w:val="5D7E2FBA"/>
    <w:rsid w:val="5D8A23DD"/>
    <w:rsid w:val="5DCA0445"/>
    <w:rsid w:val="5DD6277E"/>
    <w:rsid w:val="5DFB460D"/>
    <w:rsid w:val="5E6761D0"/>
    <w:rsid w:val="5E980CCD"/>
    <w:rsid w:val="5EDC6298"/>
    <w:rsid w:val="5EE4431C"/>
    <w:rsid w:val="5EF62FE7"/>
    <w:rsid w:val="5F2B21C9"/>
    <w:rsid w:val="5F383F3E"/>
    <w:rsid w:val="5FDA449D"/>
    <w:rsid w:val="60150B9A"/>
    <w:rsid w:val="604A15B9"/>
    <w:rsid w:val="60611848"/>
    <w:rsid w:val="607448F1"/>
    <w:rsid w:val="60D15169"/>
    <w:rsid w:val="619365D9"/>
    <w:rsid w:val="61FC1372"/>
    <w:rsid w:val="61FF0CA7"/>
    <w:rsid w:val="622130CE"/>
    <w:rsid w:val="622639C9"/>
    <w:rsid w:val="626F0EC9"/>
    <w:rsid w:val="627F25AF"/>
    <w:rsid w:val="628F526D"/>
    <w:rsid w:val="62AF4DCC"/>
    <w:rsid w:val="62B323C5"/>
    <w:rsid w:val="62E27386"/>
    <w:rsid w:val="62E75CD9"/>
    <w:rsid w:val="63051831"/>
    <w:rsid w:val="634941E6"/>
    <w:rsid w:val="638304BF"/>
    <w:rsid w:val="64B654D9"/>
    <w:rsid w:val="64D82142"/>
    <w:rsid w:val="64F564ED"/>
    <w:rsid w:val="653410B2"/>
    <w:rsid w:val="656B62C3"/>
    <w:rsid w:val="65740A5B"/>
    <w:rsid w:val="65CB7EF0"/>
    <w:rsid w:val="65DC2D1D"/>
    <w:rsid w:val="65F77B57"/>
    <w:rsid w:val="66344CC4"/>
    <w:rsid w:val="663D1266"/>
    <w:rsid w:val="6698125A"/>
    <w:rsid w:val="669F3BDF"/>
    <w:rsid w:val="672470BD"/>
    <w:rsid w:val="672745A0"/>
    <w:rsid w:val="673D264B"/>
    <w:rsid w:val="67550FD9"/>
    <w:rsid w:val="675F3C06"/>
    <w:rsid w:val="67773AF4"/>
    <w:rsid w:val="67C13401"/>
    <w:rsid w:val="68082B43"/>
    <w:rsid w:val="684F09F9"/>
    <w:rsid w:val="68617509"/>
    <w:rsid w:val="68B13E76"/>
    <w:rsid w:val="68BE548C"/>
    <w:rsid w:val="68E819D9"/>
    <w:rsid w:val="69126A56"/>
    <w:rsid w:val="6942558D"/>
    <w:rsid w:val="699C0E64"/>
    <w:rsid w:val="6A667059"/>
    <w:rsid w:val="6A6A0A42"/>
    <w:rsid w:val="6A8219B9"/>
    <w:rsid w:val="6A8F51C2"/>
    <w:rsid w:val="6A9A4F55"/>
    <w:rsid w:val="6A9C6F1F"/>
    <w:rsid w:val="6AD14C52"/>
    <w:rsid w:val="6AE56B1D"/>
    <w:rsid w:val="6AF13D11"/>
    <w:rsid w:val="6B6932A5"/>
    <w:rsid w:val="6B9B7D89"/>
    <w:rsid w:val="6C482A24"/>
    <w:rsid w:val="6C863145"/>
    <w:rsid w:val="6CC61B91"/>
    <w:rsid w:val="6CD04C5E"/>
    <w:rsid w:val="6DAE6F72"/>
    <w:rsid w:val="6DB57538"/>
    <w:rsid w:val="6DD662A4"/>
    <w:rsid w:val="6E40415E"/>
    <w:rsid w:val="6EC97A06"/>
    <w:rsid w:val="6ECA1BEA"/>
    <w:rsid w:val="6EE05257"/>
    <w:rsid w:val="6EFC5E00"/>
    <w:rsid w:val="6F4C1CB0"/>
    <w:rsid w:val="6FD73E1E"/>
    <w:rsid w:val="7011717B"/>
    <w:rsid w:val="702C061C"/>
    <w:rsid w:val="704D7E21"/>
    <w:rsid w:val="705363EE"/>
    <w:rsid w:val="70664B1E"/>
    <w:rsid w:val="70904E30"/>
    <w:rsid w:val="70CD1CC2"/>
    <w:rsid w:val="71051B71"/>
    <w:rsid w:val="712F1DB0"/>
    <w:rsid w:val="712F681E"/>
    <w:rsid w:val="71D1732D"/>
    <w:rsid w:val="72021CC8"/>
    <w:rsid w:val="72032BB5"/>
    <w:rsid w:val="725A2C95"/>
    <w:rsid w:val="725B76BF"/>
    <w:rsid w:val="72727364"/>
    <w:rsid w:val="730613D9"/>
    <w:rsid w:val="734A27AC"/>
    <w:rsid w:val="73B9644B"/>
    <w:rsid w:val="73F424B7"/>
    <w:rsid w:val="747A3D00"/>
    <w:rsid w:val="754E1438"/>
    <w:rsid w:val="75AD0232"/>
    <w:rsid w:val="75E4177A"/>
    <w:rsid w:val="763B583E"/>
    <w:rsid w:val="76CC7942"/>
    <w:rsid w:val="76F0436B"/>
    <w:rsid w:val="776641EE"/>
    <w:rsid w:val="77B71EFC"/>
    <w:rsid w:val="78006DF8"/>
    <w:rsid w:val="786D2338"/>
    <w:rsid w:val="7875590E"/>
    <w:rsid w:val="78A82F32"/>
    <w:rsid w:val="78D058FE"/>
    <w:rsid w:val="790F0DA0"/>
    <w:rsid w:val="79507AB6"/>
    <w:rsid w:val="79510E55"/>
    <w:rsid w:val="797F0283"/>
    <w:rsid w:val="79A234E1"/>
    <w:rsid w:val="79F521A7"/>
    <w:rsid w:val="7A2F3CBE"/>
    <w:rsid w:val="7A8619D4"/>
    <w:rsid w:val="7AB14320"/>
    <w:rsid w:val="7B354743"/>
    <w:rsid w:val="7B54425C"/>
    <w:rsid w:val="7C1F058E"/>
    <w:rsid w:val="7C432E7D"/>
    <w:rsid w:val="7C4C6DB3"/>
    <w:rsid w:val="7C8E4220"/>
    <w:rsid w:val="7C9C45CC"/>
    <w:rsid w:val="7CA303D3"/>
    <w:rsid w:val="7D6946B1"/>
    <w:rsid w:val="7D807FDA"/>
    <w:rsid w:val="7D9D51F9"/>
    <w:rsid w:val="7E1C5F55"/>
    <w:rsid w:val="7E56012D"/>
    <w:rsid w:val="7EA146AC"/>
    <w:rsid w:val="7EBF5EC4"/>
    <w:rsid w:val="7EE2719E"/>
    <w:rsid w:val="7EEA6053"/>
    <w:rsid w:val="7EF07385"/>
    <w:rsid w:val="7F1C410C"/>
    <w:rsid w:val="7F8E1DDD"/>
    <w:rsid w:val="7FAC3308"/>
    <w:rsid w:val="7FEA5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qFormat/>
    <w:uiPriority w:val="0"/>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customStyle="1" w:styleId="3">
    <w:name w:val="正文首缩两字"/>
    <w:basedOn w:val="1"/>
    <w:autoRedefine/>
    <w:qFormat/>
    <w:uiPriority w:val="0"/>
    <w:pPr>
      <w:spacing w:afterLines="30" w:line="360" w:lineRule="auto"/>
      <w:ind w:left="210" w:right="210" w:firstLine="480" w:firstLineChars="200"/>
      <w:jc w:val="left"/>
    </w:pPr>
    <w:rPr>
      <w:rFonts w:ascii="宋体" w:hAnsi="宋体" w:eastAsia="仿宋_GB2312"/>
      <w:kern w:val="0"/>
      <w:sz w:val="24"/>
    </w:rPr>
  </w:style>
  <w:style w:type="paragraph" w:styleId="4">
    <w:name w:val="Normal Indent"/>
    <w:basedOn w:val="1"/>
    <w:qFormat/>
    <w:uiPriority w:val="0"/>
    <w:pPr>
      <w:ind w:firstLine="420"/>
    </w:pPr>
    <w:rPr>
      <w:sz w:val="20"/>
    </w:rPr>
  </w:style>
  <w:style w:type="paragraph" w:styleId="5">
    <w:name w:val="toa heading"/>
    <w:basedOn w:val="1"/>
    <w:next w:val="1"/>
    <w:qFormat/>
    <w:uiPriority w:val="0"/>
    <w:pPr>
      <w:spacing w:before="120"/>
    </w:pPr>
    <w:rPr>
      <w:rFonts w:ascii="Cambria" w:hAnsi="Cambria" w:cs="Times New Roman"/>
      <w:sz w:val="24"/>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w:basedOn w:val="1"/>
    <w:semiHidden/>
    <w:qFormat/>
    <w:uiPriority w:val="0"/>
    <w:rPr>
      <w:rFonts w:ascii="仿宋" w:hAnsi="仿宋" w:eastAsia="仿宋" w:cs="仿宋"/>
      <w:sz w:val="28"/>
      <w:szCs w:val="28"/>
      <w:lang w:val="en-US" w:eastAsia="en-US" w:bidi="ar-SA"/>
    </w:rPr>
  </w:style>
  <w:style w:type="paragraph" w:styleId="8">
    <w:name w:val="Body Text Indent"/>
    <w:basedOn w:val="1"/>
    <w:qFormat/>
    <w:uiPriority w:val="0"/>
    <w:pPr>
      <w:spacing w:before="0" w:after="0" w:line="360" w:lineRule="exact"/>
      <w:ind w:left="420" w:firstLine="1188"/>
      <w:outlineLvl w:val="0"/>
    </w:pPr>
    <w:rPr>
      <w:rFonts w:ascii="Calibri" w:hAnsi="Calibri" w:eastAsia="宋体" w:cs="Times New Roman"/>
      <w:lang w:val="en-US" w:eastAsia="zh-CN" w:bidi="ar-SA"/>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4">
    <w:name w:val="toc 6"/>
    <w:basedOn w:val="1"/>
    <w:next w:val="1"/>
    <w:qFormat/>
    <w:uiPriority w:val="0"/>
    <w:pPr>
      <w:widowControl w:val="0"/>
      <w:autoSpaceDE w:val="0"/>
      <w:autoSpaceDN w:val="0"/>
      <w:spacing w:before="0" w:after="0" w:line="240" w:lineRule="auto"/>
      <w:ind w:left="1050" w:right="0"/>
      <w:jc w:val="left"/>
    </w:pPr>
    <w:rPr>
      <w:rFonts w:ascii="宋体" w:hAnsi="宋体" w:eastAsia="宋体" w:cs="宋体"/>
      <w:sz w:val="18"/>
      <w:szCs w:val="18"/>
      <w:lang w:val="zh-CN" w:eastAsia="zh-CN" w:bidi="zh-CN"/>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18">
    <w:name w:val="Body Text First Indent"/>
    <w:basedOn w:val="7"/>
    <w:next w:val="14"/>
    <w:qFormat/>
    <w:uiPriority w:val="0"/>
    <w:pPr>
      <w:ind w:firstLine="420" w:firstLineChars="100"/>
    </w:pPr>
    <w:rPr>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HTML Sample"/>
    <w:basedOn w:val="21"/>
    <w:qFormat/>
    <w:uiPriority w:val="0"/>
    <w:rPr>
      <w:rFonts w:ascii="Courier New" w:hAnsi="Courier New"/>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paragraph" w:customStyle="1" w:styleId="2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8">
    <w:name w:val="Default"/>
    <w:basedOn w:val="17"/>
    <w:qFormat/>
    <w:uiPriority w:val="0"/>
    <w:pPr>
      <w:widowControl w:val="0"/>
      <w:tabs>
        <w:tab w:val="left" w:pos="924"/>
      </w:tabs>
      <w:autoSpaceDE w:val="0"/>
      <w:autoSpaceDN w:val="0"/>
      <w:adjustRightInd w:val="0"/>
    </w:pPr>
    <w:rPr>
      <w:rFonts w:ascii="Arial" w:hAnsi="Arial" w:cs="Arial"/>
      <w:color w:val="000000"/>
      <w:sz w:val="24"/>
      <w:szCs w:val="24"/>
      <w:lang w:val="en-US" w:eastAsia="zh-CN" w:bidi="ar-SA"/>
    </w:rPr>
  </w:style>
  <w:style w:type="paragraph" w:customStyle="1" w:styleId="29">
    <w:name w:val="Table Paragraph"/>
    <w:basedOn w:val="1"/>
    <w:qFormat/>
    <w:uiPriority w:val="1"/>
    <w:pPr>
      <w:jc w:val="left"/>
    </w:pPr>
    <w:rPr>
      <w:rFonts w:ascii="Calibri" w:hAnsi="Calibri"/>
      <w:kern w:val="0"/>
      <w:sz w:val="22"/>
      <w:szCs w:val="22"/>
      <w:lang w:eastAsia="en-US"/>
    </w:rPr>
  </w:style>
  <w:style w:type="paragraph" w:customStyle="1" w:styleId="3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31">
    <w:name w:val="正文缩进1"/>
    <w:basedOn w:val="1"/>
    <w:next w:val="8"/>
    <w:autoRedefine/>
    <w:qFormat/>
    <w:uiPriority w:val="0"/>
    <w:pPr>
      <w:ind w:firstLine="420" w:firstLineChars="200"/>
    </w:pPr>
  </w:style>
  <w:style w:type="paragraph" w:styleId="32">
    <w:name w:val="List Paragraph"/>
    <w:basedOn w:val="1"/>
    <w:autoRedefine/>
    <w:qFormat/>
    <w:uiPriority w:val="1"/>
    <w:pPr>
      <w:ind w:left="2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header" Target="header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7170</Words>
  <Characters>7950</Characters>
  <Lines>1</Lines>
  <Paragraphs>1</Paragraphs>
  <TotalTime>22</TotalTime>
  <ScaleCrop>false</ScaleCrop>
  <LinksUpToDate>false</LinksUpToDate>
  <CharactersWithSpaces>8171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2025-08-07T16:19:00Z</dcterms:created>
  <dc:creator>Administrator</dc:creator>
  <cp:lastModifiedBy>幸福芳儿</cp:lastModifiedBy>
  <dcterms:modified xsi:type="dcterms:W3CDTF">2026-04-20T04:53:13Z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2026-01-19T16:31:30Z</vt:filetime>
  </property>
  <property fmtid="{D5CDD505-2E9C-101B-9397-08002B2CF9AE}" pid="4" name="KSOTemplateDocerSaveRecord">
    <vt:lpwstr>eyJoZGlkIjoiMTNmYjE4Y2M3MDM4ODBjZjlhM2I3ZjQ2OGY0MTZjMmIiLCJ1c2VySWQiOiIxMTk4OTkxMTc4In0=</vt:lpwstr>
  </property>
  <property fmtid="{D5CDD505-2E9C-101B-9397-08002B2CF9AE}" pid="5" name="KSOProductBuildVer">
    <vt:lpwstr>2052-12.1.0.25225</vt:lpwstr>
  </property>
  <property fmtid="{D5CDD505-2E9C-101B-9397-08002B2CF9AE}" pid="6" name="ICV">
    <vt:lpwstr>E709962BE01D4BA3967EC4673BA4BEFF_12</vt:lpwstr>
  </property>
</Properties>
</file>