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D74F8">
      <w:pPr>
        <w:pStyle w:val="78"/>
        <w:spacing w:line="480" w:lineRule="auto"/>
        <w:jc w:val="center"/>
        <w:rPr>
          <w:rFonts w:hAnsi="宋体"/>
          <w:b/>
          <w:color w:val="auto"/>
          <w:sz w:val="72"/>
          <w:szCs w:val="72"/>
          <w:highlight w:val="none"/>
        </w:rPr>
      </w:pPr>
    </w:p>
    <w:p w14:paraId="4325587B">
      <w:pPr>
        <w:pStyle w:val="78"/>
        <w:spacing w:line="480" w:lineRule="auto"/>
        <w:jc w:val="center"/>
        <w:rPr>
          <w:b/>
          <w:color w:val="auto"/>
          <w:sz w:val="72"/>
          <w:szCs w:val="72"/>
          <w:highlight w:val="none"/>
        </w:rPr>
      </w:pPr>
      <w:r>
        <w:rPr>
          <w:rFonts w:hAnsi="宋体"/>
          <w:b/>
          <w:color w:val="auto"/>
          <w:sz w:val="72"/>
          <w:szCs w:val="72"/>
          <w:highlight w:val="none"/>
        </w:rPr>
        <w:t>政府采购</w:t>
      </w:r>
      <w:r>
        <w:rPr>
          <w:rFonts w:hint="eastAsia" w:hAnsi="宋体"/>
          <w:b/>
          <w:color w:val="auto"/>
          <w:sz w:val="72"/>
          <w:szCs w:val="72"/>
          <w:highlight w:val="none"/>
        </w:rPr>
        <w:t>公开招标</w:t>
      </w:r>
    </w:p>
    <w:p w14:paraId="7E2718B3">
      <w:pPr>
        <w:pStyle w:val="78"/>
        <w:spacing w:line="480" w:lineRule="auto"/>
        <w:jc w:val="center"/>
        <w:rPr>
          <w:rFonts w:hint="eastAsia" w:hAnsi="宋体"/>
          <w:b/>
          <w:color w:val="auto"/>
          <w:sz w:val="72"/>
          <w:szCs w:val="72"/>
          <w:highlight w:val="none"/>
        </w:rPr>
      </w:pPr>
      <w:r>
        <w:rPr>
          <w:rFonts w:hint="eastAsia" w:hAnsi="宋体"/>
          <w:b/>
          <w:color w:val="auto"/>
          <w:sz w:val="72"/>
          <w:szCs w:val="72"/>
          <w:highlight w:val="none"/>
        </w:rPr>
        <w:t>采购文件</w:t>
      </w:r>
    </w:p>
    <w:p w14:paraId="66667F92">
      <w:pPr>
        <w:pStyle w:val="78"/>
        <w:spacing w:line="480" w:lineRule="auto"/>
        <w:jc w:val="center"/>
        <w:rPr>
          <w:rFonts w:hint="eastAsia" w:hAnsi="宋体"/>
          <w:b/>
          <w:color w:val="auto"/>
          <w:sz w:val="72"/>
          <w:szCs w:val="72"/>
          <w:highlight w:val="none"/>
        </w:rPr>
      </w:pPr>
    </w:p>
    <w:p w14:paraId="1CF5D8AE">
      <w:pPr>
        <w:pStyle w:val="78"/>
        <w:spacing w:line="360" w:lineRule="auto"/>
        <w:jc w:val="center"/>
        <w:rPr>
          <w:color w:val="auto"/>
          <w:sz w:val="32"/>
          <w:highlight w:val="none"/>
        </w:rPr>
      </w:pPr>
      <w:r>
        <w:rPr>
          <w:color w:val="auto"/>
          <w:highlight w:val="none"/>
        </w:rPr>
        <w:drawing>
          <wp:inline distT="0" distB="0" distL="114300" distR="114300">
            <wp:extent cx="3002915" cy="2438400"/>
            <wp:effectExtent l="0" t="0" r="8890" b="127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3"/>
                    <a:stretch>
                      <a:fillRect/>
                    </a:stretch>
                  </pic:blipFill>
                  <pic:spPr>
                    <a:xfrm>
                      <a:off x="0" y="0"/>
                      <a:ext cx="3002915" cy="2438400"/>
                    </a:xfrm>
                    <a:prstGeom prst="rect">
                      <a:avLst/>
                    </a:prstGeom>
                    <a:noFill/>
                    <a:ln w="9525">
                      <a:noFill/>
                      <a:miter/>
                    </a:ln>
                  </pic:spPr>
                </pic:pic>
              </a:graphicData>
            </a:graphic>
          </wp:inline>
        </w:drawing>
      </w:r>
    </w:p>
    <w:p w14:paraId="592C1FD7">
      <w:pPr>
        <w:pStyle w:val="78"/>
        <w:spacing w:line="360" w:lineRule="auto"/>
        <w:ind w:firstLine="1920" w:firstLineChars="600"/>
        <w:rPr>
          <w:color w:val="auto"/>
          <w:sz w:val="32"/>
          <w:highlight w:val="none"/>
        </w:rPr>
      </w:pPr>
    </w:p>
    <w:p w14:paraId="3670D3D2">
      <w:pPr>
        <w:pStyle w:val="78"/>
        <w:spacing w:line="360" w:lineRule="auto"/>
        <w:ind w:firstLine="1920" w:firstLineChars="600"/>
        <w:rPr>
          <w:color w:val="auto"/>
          <w:sz w:val="32"/>
          <w:highlight w:val="none"/>
        </w:rPr>
      </w:pPr>
    </w:p>
    <w:p w14:paraId="7F96BA84">
      <w:pPr>
        <w:pStyle w:val="78"/>
        <w:spacing w:line="360" w:lineRule="auto"/>
        <w:rPr>
          <w:rFonts w:hint="eastAsia" w:hAnsi="宋体" w:eastAsia="宋体"/>
          <w:b/>
          <w:color w:val="auto"/>
          <w:sz w:val="32"/>
          <w:szCs w:val="31"/>
          <w:highlight w:val="none"/>
          <w:lang w:eastAsia="zh-CN"/>
        </w:rPr>
      </w:pPr>
      <w:r>
        <w:rPr>
          <w:rFonts w:hAnsi="宋体"/>
          <w:b/>
          <w:color w:val="auto"/>
          <w:sz w:val="32"/>
          <w:szCs w:val="31"/>
          <w:highlight w:val="none"/>
        </w:rPr>
        <w:t>项目名称：</w:t>
      </w:r>
      <w:r>
        <w:rPr>
          <w:rFonts w:hint="eastAsia" w:hAnsi="宋体"/>
          <w:b/>
          <w:color w:val="auto"/>
          <w:sz w:val="32"/>
          <w:szCs w:val="31"/>
          <w:highlight w:val="none"/>
          <w:lang w:val="en-US" w:eastAsia="zh-CN"/>
        </w:rPr>
        <w:t>“</w:t>
      </w:r>
      <w:r>
        <w:rPr>
          <w:rFonts w:hint="default" w:hAnsi="宋体"/>
          <w:b/>
          <w:color w:val="auto"/>
          <w:sz w:val="32"/>
          <w:szCs w:val="31"/>
          <w:highlight w:val="none"/>
          <w:lang w:val="en-US" w:eastAsia="zh-CN"/>
        </w:rPr>
        <w:t>公益福彩</w:t>
      </w:r>
      <w:r>
        <w:rPr>
          <w:rFonts w:hint="eastAsia" w:hAnsi="宋体"/>
          <w:b/>
          <w:color w:val="auto"/>
          <w:sz w:val="32"/>
          <w:szCs w:val="31"/>
          <w:highlight w:val="none"/>
          <w:lang w:val="en-US" w:eastAsia="zh-CN"/>
        </w:rPr>
        <w:t>·情暖</w:t>
      </w:r>
      <w:r>
        <w:rPr>
          <w:rFonts w:hint="default" w:hAnsi="宋体"/>
          <w:b/>
          <w:color w:val="auto"/>
          <w:sz w:val="32"/>
          <w:szCs w:val="31"/>
          <w:highlight w:val="none"/>
          <w:lang w:val="en-US" w:eastAsia="zh-CN"/>
        </w:rPr>
        <w:t>天山</w:t>
      </w:r>
      <w:r>
        <w:rPr>
          <w:rFonts w:hint="eastAsia" w:hAnsi="宋体"/>
          <w:b/>
          <w:color w:val="auto"/>
          <w:sz w:val="32"/>
          <w:szCs w:val="31"/>
          <w:highlight w:val="none"/>
          <w:lang w:val="en-US" w:eastAsia="zh-CN"/>
        </w:rPr>
        <w:t>”2026年</w:t>
      </w:r>
      <w:r>
        <w:rPr>
          <w:rFonts w:hint="default" w:hAnsi="宋体"/>
          <w:b/>
          <w:color w:val="auto"/>
          <w:sz w:val="32"/>
          <w:szCs w:val="31"/>
          <w:highlight w:val="none"/>
          <w:lang w:val="en-US" w:eastAsia="zh-CN"/>
        </w:rPr>
        <w:t>公益宣传及品牌推广服务项目</w:t>
      </w:r>
    </w:p>
    <w:p w14:paraId="4F2779BF">
      <w:pPr>
        <w:pStyle w:val="78"/>
        <w:spacing w:line="360" w:lineRule="auto"/>
        <w:rPr>
          <w:rFonts w:hint="default" w:eastAsia="宋体"/>
          <w:b/>
          <w:color w:val="auto"/>
          <w:sz w:val="32"/>
          <w:szCs w:val="31"/>
          <w:highlight w:val="none"/>
          <w:lang w:val="en-US" w:eastAsia="zh-CN"/>
        </w:rPr>
      </w:pPr>
      <w:r>
        <w:rPr>
          <w:rFonts w:hAnsi="宋体"/>
          <w:b/>
          <w:color w:val="auto"/>
          <w:sz w:val="32"/>
          <w:szCs w:val="31"/>
          <w:highlight w:val="none"/>
        </w:rPr>
        <w:t>项目编号</w:t>
      </w:r>
      <w:r>
        <w:rPr>
          <w:rFonts w:hint="eastAsia" w:hAnsi="宋体"/>
          <w:b/>
          <w:color w:val="auto"/>
          <w:sz w:val="32"/>
          <w:szCs w:val="31"/>
          <w:highlight w:val="none"/>
          <w:lang w:eastAsia="zh-CN"/>
        </w:rPr>
        <w:t>：</w:t>
      </w:r>
      <w:r>
        <w:rPr>
          <w:rFonts w:hint="eastAsia" w:hAnsi="宋体"/>
          <w:b/>
          <w:color w:val="auto"/>
          <w:sz w:val="32"/>
          <w:szCs w:val="31"/>
          <w:highlight w:val="none"/>
          <w:lang w:val="en-US" w:eastAsia="zh-CN"/>
        </w:rPr>
        <w:t>FW8-SJ202601</w:t>
      </w:r>
    </w:p>
    <w:p w14:paraId="7AF330F7">
      <w:pPr>
        <w:pStyle w:val="78"/>
        <w:spacing w:line="360" w:lineRule="auto"/>
        <w:rPr>
          <w:rFonts w:hint="eastAsia"/>
          <w:b/>
          <w:bCs/>
          <w:color w:val="auto"/>
          <w:sz w:val="30"/>
          <w:szCs w:val="30"/>
          <w:highlight w:val="none"/>
        </w:rPr>
      </w:pPr>
      <w:r>
        <w:rPr>
          <w:rFonts w:hAnsi="宋体"/>
          <w:b/>
          <w:color w:val="auto"/>
          <w:sz w:val="32"/>
          <w:szCs w:val="31"/>
          <w:highlight w:val="none"/>
        </w:rPr>
        <w:t>采购人：</w:t>
      </w:r>
      <w:r>
        <w:rPr>
          <w:rFonts w:hint="eastAsia" w:hAnsi="宋体"/>
          <w:b/>
          <w:color w:val="auto"/>
          <w:sz w:val="32"/>
          <w:szCs w:val="31"/>
          <w:highlight w:val="none"/>
          <w:lang w:eastAsia="zh-CN"/>
        </w:rPr>
        <w:t>新疆维吾尔自治区福利彩票发行中心</w:t>
      </w:r>
    </w:p>
    <w:p w14:paraId="1691CCA8">
      <w:pPr>
        <w:pStyle w:val="78"/>
        <w:spacing w:line="360" w:lineRule="auto"/>
        <w:rPr>
          <w:rFonts w:hint="eastAsia" w:hAnsi="宋体" w:eastAsia="宋体"/>
          <w:b/>
          <w:color w:val="auto"/>
          <w:sz w:val="32"/>
          <w:szCs w:val="31"/>
          <w:highlight w:val="none"/>
          <w:lang w:eastAsia="zh-CN"/>
        </w:rPr>
      </w:pPr>
      <w:r>
        <w:rPr>
          <w:rFonts w:hAnsi="宋体"/>
          <w:b/>
          <w:color w:val="auto"/>
          <w:sz w:val="32"/>
          <w:szCs w:val="31"/>
          <w:highlight w:val="none"/>
        </w:rPr>
        <w:t>采购代理机构：</w:t>
      </w:r>
      <w:r>
        <w:rPr>
          <w:rFonts w:hint="eastAsia" w:hAnsi="宋体"/>
          <w:b/>
          <w:color w:val="auto"/>
          <w:sz w:val="32"/>
          <w:szCs w:val="31"/>
          <w:highlight w:val="none"/>
          <w:lang w:eastAsia="zh-CN"/>
        </w:rPr>
        <w:t>新疆世嘉工程项目管理有限公司</w:t>
      </w:r>
    </w:p>
    <w:p w14:paraId="0819A046">
      <w:pPr>
        <w:jc w:val="center"/>
        <w:rPr>
          <w:rFonts w:hint="eastAsia" w:ascii="黑体" w:hAnsi="黑体" w:eastAsia="黑体"/>
          <w:color w:val="auto"/>
          <w:sz w:val="48"/>
          <w:szCs w:val="48"/>
          <w:highlight w:val="none"/>
        </w:rPr>
      </w:pPr>
      <w:r>
        <w:rPr>
          <w:rFonts w:hint="eastAsia" w:hAnsi="宋体"/>
          <w:b/>
          <w:color w:val="auto"/>
          <w:sz w:val="32"/>
          <w:szCs w:val="31"/>
          <w:highlight w:val="none"/>
        </w:rPr>
        <w:t>202</w:t>
      </w:r>
      <w:r>
        <w:rPr>
          <w:rFonts w:hint="eastAsia"/>
          <w:b/>
          <w:color w:val="auto"/>
          <w:sz w:val="32"/>
          <w:szCs w:val="31"/>
          <w:highlight w:val="none"/>
          <w:lang w:val="en-US" w:eastAsia="zh-CN"/>
        </w:rPr>
        <w:t>6</w:t>
      </w:r>
      <w:r>
        <w:rPr>
          <w:rFonts w:hint="eastAsia" w:hAnsi="宋体"/>
          <w:b/>
          <w:color w:val="auto"/>
          <w:sz w:val="32"/>
          <w:szCs w:val="31"/>
          <w:highlight w:val="none"/>
        </w:rPr>
        <w:t>年</w:t>
      </w:r>
      <w:r>
        <w:rPr>
          <w:rFonts w:hint="eastAsia"/>
          <w:b/>
          <w:color w:val="auto"/>
          <w:sz w:val="32"/>
          <w:szCs w:val="31"/>
          <w:highlight w:val="none"/>
          <w:lang w:val="en-US" w:eastAsia="zh-CN"/>
        </w:rPr>
        <w:t>3</w:t>
      </w:r>
      <w:r>
        <w:rPr>
          <w:rFonts w:hint="eastAsia" w:hAnsi="宋体"/>
          <w:b/>
          <w:color w:val="auto"/>
          <w:sz w:val="32"/>
          <w:szCs w:val="31"/>
          <w:highlight w:val="none"/>
        </w:rPr>
        <w:t>月</w:t>
      </w:r>
    </w:p>
    <w:p w14:paraId="3557BA0E">
      <w:pPr>
        <w:jc w:val="center"/>
        <w:rPr>
          <w:rFonts w:hint="eastAsia" w:ascii="黑体" w:hAnsi="黑体" w:eastAsia="黑体"/>
          <w:color w:val="auto"/>
          <w:sz w:val="48"/>
          <w:szCs w:val="48"/>
          <w:highlight w:val="none"/>
        </w:rPr>
      </w:pPr>
    </w:p>
    <w:p w14:paraId="48E38EF1">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41E2ACA5">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 录</w:t>
      </w:r>
    </w:p>
    <w:p w14:paraId="1A2A9B7E">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"1-4" \h \z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_Toc8881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 xml:space="preserve">第一章 </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_Toc8881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FAE275C">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_Toc5645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_Toc5645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- 5 -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1AB399">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第三章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_Toc21746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- 38 -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FFDA418">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_Toc17715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第四章 资格审查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_Toc17715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- 47 -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0581812">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_Toc18814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第五章 评标方法及标准</w:t>
      </w:r>
      <w:r>
        <w:rPr>
          <w:rFonts w:hint="eastAsia" w:ascii="宋体" w:hAnsi="宋体" w:eastAsia="宋体" w:cs="宋体"/>
          <w:bCs/>
          <w:color w:val="auto"/>
          <w:kern w:val="2"/>
          <w:sz w:val="24"/>
          <w:szCs w:val="24"/>
          <w:highlight w:val="none"/>
          <w:lang w:val="hr-HR" w:eastAsia="zh-CN" w:bidi="ar-SA"/>
        </w:rPr>
        <w:t>【</w:t>
      </w:r>
      <w:r>
        <w:rPr>
          <w:rFonts w:hint="eastAsia" w:ascii="宋体" w:hAnsi="宋体" w:eastAsia="宋体" w:cs="宋体"/>
          <w:bCs/>
          <w:color w:val="auto"/>
          <w:kern w:val="44"/>
          <w:sz w:val="24"/>
          <w:szCs w:val="24"/>
          <w:highlight w:val="none"/>
          <w:lang w:val="en-US" w:eastAsia="zh-CN" w:bidi="ar-SA"/>
        </w:rPr>
        <w:t>综合评分法</w:t>
      </w:r>
      <w:r>
        <w:rPr>
          <w:rFonts w:hint="eastAsia" w:ascii="宋体" w:hAnsi="宋体" w:eastAsia="宋体" w:cs="宋体"/>
          <w:bCs/>
          <w:color w:val="auto"/>
          <w:kern w:val="2"/>
          <w:sz w:val="24"/>
          <w:szCs w:val="24"/>
          <w:highlight w:val="none"/>
          <w:lang w:val="hr-HR" w:eastAsia="zh-CN" w:bidi="ar-SA"/>
        </w:rPr>
        <w:t>】</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_Toc18814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- 48 -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721FEAD">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_Toc17112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zh-CN" w:eastAsia="zh-CN" w:bidi="ar-SA"/>
        </w:rPr>
        <w:t>第六章 合同草案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_Toc17112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- 63 -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F999E99">
      <w:pPr>
        <w:pStyle w:val="23"/>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_Toc4770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44"/>
          <w:sz w:val="24"/>
          <w:szCs w:val="24"/>
          <w:highlight w:val="none"/>
          <w:lang w:val="en-US" w:eastAsia="zh-CN" w:bidi="ar-SA"/>
        </w:rPr>
        <w:t>第七章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_Toc4770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- 76 -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4CB0E7">
      <w:pPr>
        <w:pStyle w:val="2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_Toc29969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投标文件</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_Toc26966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资格证明文件</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_Toc26966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- 77 -</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2A2FC3E3">
      <w:pPr>
        <w:pStyle w:val="2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_Toc25215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一、满足《中华人民共和国政府采购法》第二十二条规定</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_Toc25215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- 78 -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6DB34D1">
      <w:pPr>
        <w:pStyle w:val="2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_Toc21383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二、</w:t>
      </w:r>
      <w:r>
        <w:rPr>
          <w:rFonts w:hint="eastAsia" w:ascii="宋体" w:hAnsi="宋体" w:eastAsia="宋体" w:cs="宋体"/>
          <w:bCs/>
          <w:color w:val="auto"/>
          <w:kern w:val="2"/>
          <w:sz w:val="24"/>
          <w:szCs w:val="24"/>
          <w:highlight w:val="none"/>
          <w:lang w:val="zh-CN" w:eastAsia="zh-CN" w:bidi="ar-SA"/>
        </w:rPr>
        <w:t>联合体协议书</w:t>
      </w:r>
      <w:r>
        <w:rPr>
          <w:rFonts w:hint="eastAsia" w:ascii="宋体" w:hAnsi="宋体" w:eastAsia="宋体" w:cs="宋体"/>
          <w:bCs w:val="0"/>
          <w:color w:val="auto"/>
          <w:kern w:val="2"/>
          <w:sz w:val="24"/>
          <w:szCs w:val="24"/>
          <w:highlight w:val="none"/>
          <w:lang w:val="zh-CN" w:eastAsia="zh-CN" w:bidi="ar-SA"/>
        </w:rPr>
        <w:t>【如适用】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_Toc21383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- 82 -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E42F28A">
      <w:pPr>
        <w:pStyle w:val="2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_Toc31421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三、</w:t>
      </w:r>
      <w:r>
        <w:rPr>
          <w:rFonts w:hint="eastAsia" w:ascii="宋体" w:hAnsi="宋体" w:eastAsia="宋体" w:cs="宋体"/>
          <w:bCs/>
          <w:color w:val="auto"/>
          <w:kern w:val="2"/>
          <w:sz w:val="24"/>
          <w:szCs w:val="24"/>
          <w:highlight w:val="none"/>
          <w:lang w:val="zh-CN" w:eastAsia="zh-CN" w:bidi="ar-SA"/>
        </w:rPr>
        <w:t>分包意向协议书</w:t>
      </w:r>
      <w:r>
        <w:rPr>
          <w:rFonts w:hint="eastAsia" w:ascii="宋体" w:hAnsi="宋体" w:eastAsia="宋体" w:cs="宋体"/>
          <w:bCs w:val="0"/>
          <w:color w:val="auto"/>
          <w:kern w:val="2"/>
          <w:sz w:val="24"/>
          <w:szCs w:val="24"/>
          <w:highlight w:val="none"/>
          <w:lang w:val="zh-CN" w:eastAsia="zh-CN" w:bidi="ar-SA"/>
        </w:rPr>
        <w:t>【如适用】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_Toc31421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- 84 -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C16A76C">
      <w:pPr>
        <w:pStyle w:val="2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_Toc8875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四、落实政府采购政策相关证明文件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_Toc8875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- 86 -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C792313">
      <w:pPr>
        <w:pStyle w:val="2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_Toc24696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五、不参与围标串标承诺书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_Toc24696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- 97 -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58625AA">
      <w:pPr>
        <w:pStyle w:val="2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六、</w:t>
      </w:r>
      <w:r>
        <w:rPr>
          <w:rFonts w:hint="eastAsia" w:ascii="宋体" w:hAnsi="宋体" w:eastAsia="宋体" w:cs="宋体"/>
          <w:bCs/>
          <w:color w:val="auto"/>
          <w:kern w:val="2"/>
          <w:sz w:val="24"/>
          <w:szCs w:val="24"/>
          <w:highlight w:val="none"/>
          <w:lang w:val="zh-CN" w:eastAsia="zh-CN" w:bidi="ar-SA"/>
        </w:rPr>
        <w:t>其他资格证明文件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- 98 -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6F69770">
      <w:pPr>
        <w:pStyle w:val="2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_Toc19075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投标文件</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_Toc11387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lang w:val="en-US" w:eastAsia="zh-CN"/>
        </w:rPr>
        <w:t>报价文件</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_Toc11387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- 99 -</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6B0E7724">
      <w:pPr>
        <w:pStyle w:val="2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_Toc28928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一、开标一览表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_Toc28928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- 100 -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CA651B7">
      <w:pPr>
        <w:pStyle w:val="2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_Toc17062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二、分项报价表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_Toc17062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- 101 -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F7A5587">
      <w:pPr>
        <w:pStyle w:val="2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_Toc27080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投标文件</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_Toc15320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lang w:val="en-US" w:eastAsia="zh-CN"/>
        </w:rPr>
        <w:t>商务技术文件</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_Toc15320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- 102 -</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06EDB133">
      <w:pPr>
        <w:pStyle w:val="2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_Toc23604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一、投标函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_Toc23604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- 103 -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D65EEF">
      <w:pPr>
        <w:pStyle w:val="2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_Toc12459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二、法定代表人（单位负责人）身份证明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_Toc12459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- 105 -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B568A72">
      <w:pPr>
        <w:pStyle w:val="2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_Toc26391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三、授权委托书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_Toc26391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- 106 -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340B661">
      <w:pPr>
        <w:pStyle w:val="2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_Toc27408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四、</w:t>
      </w:r>
      <w:r>
        <w:rPr>
          <w:rFonts w:hint="eastAsia" w:ascii="宋体" w:hAnsi="宋体" w:eastAsia="宋体" w:cs="宋体"/>
          <w:bCs/>
          <w:color w:val="auto"/>
          <w:kern w:val="2"/>
          <w:sz w:val="24"/>
          <w:szCs w:val="24"/>
          <w:highlight w:val="none"/>
          <w:lang w:val="zh-CN" w:eastAsia="zh-CN" w:bidi="ar-SA"/>
        </w:rPr>
        <w:t>政府采购</w:t>
      </w:r>
      <w:r>
        <w:rPr>
          <w:rFonts w:hint="eastAsia" w:ascii="宋体" w:hAnsi="宋体" w:eastAsia="宋体" w:cs="宋体"/>
          <w:bCs/>
          <w:color w:val="auto"/>
          <w:kern w:val="2"/>
          <w:sz w:val="24"/>
          <w:szCs w:val="24"/>
          <w:highlight w:val="none"/>
          <w:lang w:val="en-US" w:eastAsia="zh-CN" w:bidi="ar-SA"/>
        </w:rPr>
        <w:t>投标人</w:t>
      </w:r>
      <w:r>
        <w:rPr>
          <w:rFonts w:hint="eastAsia" w:ascii="宋体" w:hAnsi="宋体" w:eastAsia="宋体" w:cs="宋体"/>
          <w:bCs/>
          <w:color w:val="auto"/>
          <w:kern w:val="2"/>
          <w:sz w:val="24"/>
          <w:szCs w:val="24"/>
          <w:highlight w:val="none"/>
          <w:lang w:val="zh-CN" w:eastAsia="zh-CN" w:bidi="ar-SA"/>
        </w:rPr>
        <w:t>廉洁自律承诺书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_Toc27408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- 107 -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9E3C45">
      <w:pPr>
        <w:pStyle w:val="2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fldChar w:fldCharType="begin"/>
      </w:r>
      <w:r>
        <w:rPr>
          <w:rFonts w:hint="eastAsia" w:ascii="宋体" w:hAnsi="宋体" w:eastAsia="宋体" w:cs="宋体"/>
          <w:bCs/>
          <w:color w:val="auto"/>
          <w:kern w:val="2"/>
          <w:sz w:val="24"/>
          <w:szCs w:val="24"/>
          <w:highlight w:val="none"/>
          <w:lang w:val="en-US" w:eastAsia="zh-CN" w:bidi="ar-SA"/>
        </w:rPr>
        <w:instrText xml:space="preserve"> HYPERLINK \l _Toc24923 </w:instrText>
      </w:r>
      <w:r>
        <w:rPr>
          <w:rFonts w:hint="eastAsia" w:ascii="宋体" w:hAnsi="宋体" w:eastAsia="宋体" w:cs="宋体"/>
          <w:bCs/>
          <w:color w:val="auto"/>
          <w:kern w:val="2"/>
          <w:sz w:val="24"/>
          <w:szCs w:val="24"/>
          <w:highlight w:val="none"/>
          <w:lang w:val="en-US" w:eastAsia="zh-CN" w:bidi="ar-SA"/>
        </w:rPr>
        <w:fldChar w:fldCharType="separate"/>
      </w:r>
      <w:r>
        <w:rPr>
          <w:rFonts w:hint="eastAsia" w:ascii="宋体" w:hAnsi="宋体" w:eastAsia="宋体" w:cs="宋体"/>
          <w:bCs/>
          <w:color w:val="auto"/>
          <w:kern w:val="2"/>
          <w:sz w:val="24"/>
          <w:szCs w:val="24"/>
          <w:highlight w:val="none"/>
          <w:lang w:val="en-US" w:eastAsia="zh-CN" w:bidi="ar-SA"/>
        </w:rPr>
        <w:t>五、</w:t>
      </w:r>
      <w:r>
        <w:rPr>
          <w:rFonts w:hint="eastAsia" w:ascii="宋体" w:hAnsi="宋体" w:eastAsia="宋体" w:cs="宋体"/>
          <w:bCs/>
          <w:color w:val="auto"/>
          <w:kern w:val="2"/>
          <w:sz w:val="24"/>
          <w:szCs w:val="24"/>
          <w:highlight w:val="none"/>
          <w:lang w:val="zh-CN" w:eastAsia="zh-CN" w:bidi="ar-SA"/>
        </w:rPr>
        <w:t>实质性响应一览表【</w:t>
      </w:r>
      <w:r>
        <w:rPr>
          <w:rFonts w:hint="eastAsia" w:ascii="宋体" w:hAnsi="宋体" w:eastAsia="宋体" w:cs="宋体"/>
          <w:bCs/>
          <w:color w:val="auto"/>
          <w:kern w:val="2"/>
          <w:sz w:val="24"/>
          <w:szCs w:val="24"/>
          <w:highlight w:val="none"/>
          <w:lang w:val="en-US" w:eastAsia="zh-CN" w:bidi="ar-SA"/>
        </w:rPr>
        <w:t>本表须与第五章的一致】</w:t>
      </w:r>
      <w:r>
        <w:rPr>
          <w:rFonts w:hint="eastAsia" w:ascii="宋体" w:hAnsi="宋体" w:eastAsia="宋体" w:cs="宋体"/>
          <w:bCs/>
          <w:color w:val="auto"/>
          <w:kern w:val="2"/>
          <w:sz w:val="24"/>
          <w:szCs w:val="24"/>
          <w:highlight w:val="none"/>
          <w:lang w:val="en-US" w:eastAsia="zh-CN" w:bidi="ar-SA"/>
        </w:rPr>
        <w:tab/>
      </w:r>
      <w:r>
        <w:rPr>
          <w:rFonts w:hint="eastAsia" w:ascii="宋体" w:hAnsi="宋体" w:eastAsia="宋体" w:cs="宋体"/>
          <w:bCs/>
          <w:color w:val="auto"/>
          <w:kern w:val="2"/>
          <w:sz w:val="24"/>
          <w:szCs w:val="24"/>
          <w:highlight w:val="none"/>
          <w:lang w:val="en-US" w:eastAsia="zh-CN" w:bidi="ar-SA"/>
        </w:rPr>
        <w:fldChar w:fldCharType="begin"/>
      </w:r>
      <w:r>
        <w:rPr>
          <w:rFonts w:hint="eastAsia" w:ascii="宋体" w:hAnsi="宋体" w:eastAsia="宋体" w:cs="宋体"/>
          <w:bCs/>
          <w:color w:val="auto"/>
          <w:kern w:val="2"/>
          <w:sz w:val="24"/>
          <w:szCs w:val="24"/>
          <w:highlight w:val="none"/>
          <w:lang w:val="en-US" w:eastAsia="zh-CN" w:bidi="ar-SA"/>
        </w:rPr>
        <w:instrText xml:space="preserve"> PAGEREF _Toc24923 \h </w:instrText>
      </w:r>
      <w:r>
        <w:rPr>
          <w:rFonts w:hint="eastAsia" w:ascii="宋体" w:hAnsi="宋体" w:eastAsia="宋体" w:cs="宋体"/>
          <w:bCs/>
          <w:color w:val="auto"/>
          <w:kern w:val="2"/>
          <w:sz w:val="24"/>
          <w:szCs w:val="24"/>
          <w:highlight w:val="none"/>
          <w:lang w:val="en-US" w:eastAsia="zh-CN" w:bidi="ar-SA"/>
        </w:rPr>
        <w:fldChar w:fldCharType="separate"/>
      </w:r>
      <w:r>
        <w:rPr>
          <w:rFonts w:hint="eastAsia" w:ascii="宋体" w:hAnsi="宋体" w:eastAsia="宋体" w:cs="宋体"/>
          <w:bCs/>
          <w:color w:val="auto"/>
          <w:kern w:val="2"/>
          <w:sz w:val="24"/>
          <w:szCs w:val="24"/>
          <w:highlight w:val="none"/>
          <w:lang w:val="en-US" w:eastAsia="zh-CN" w:bidi="ar-SA"/>
        </w:rPr>
        <w:t>- 108 -</w:t>
      </w:r>
      <w:r>
        <w:rPr>
          <w:rFonts w:hint="eastAsia" w:ascii="宋体" w:hAnsi="宋体" w:eastAsia="宋体" w:cs="宋体"/>
          <w:bCs/>
          <w:color w:val="auto"/>
          <w:kern w:val="2"/>
          <w:sz w:val="24"/>
          <w:szCs w:val="24"/>
          <w:highlight w:val="none"/>
          <w:lang w:val="en-US" w:eastAsia="zh-CN" w:bidi="ar-SA"/>
        </w:rPr>
        <w:fldChar w:fldCharType="end"/>
      </w:r>
      <w:r>
        <w:rPr>
          <w:rFonts w:hint="eastAsia" w:ascii="宋体" w:hAnsi="宋体" w:eastAsia="宋体" w:cs="宋体"/>
          <w:bCs/>
          <w:color w:val="auto"/>
          <w:kern w:val="2"/>
          <w:sz w:val="24"/>
          <w:szCs w:val="24"/>
          <w:highlight w:val="none"/>
          <w:lang w:val="en-US" w:eastAsia="zh-CN" w:bidi="ar-SA"/>
        </w:rPr>
        <w:fldChar w:fldCharType="end"/>
      </w:r>
    </w:p>
    <w:p w14:paraId="01310B21">
      <w:pPr>
        <w:pStyle w:val="2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2"/>
          <w:sz w:val="24"/>
          <w:szCs w:val="24"/>
          <w:highlight w:val="none"/>
          <w:lang w:val="en-US" w:eastAsia="zh-CN" w:bidi="ar-SA"/>
        </w:rPr>
        <w:fldChar w:fldCharType="begin"/>
      </w:r>
      <w:r>
        <w:rPr>
          <w:rFonts w:hint="eastAsia" w:ascii="宋体" w:hAnsi="宋体" w:eastAsia="宋体" w:cs="宋体"/>
          <w:bCs/>
          <w:color w:val="auto"/>
          <w:kern w:val="2"/>
          <w:sz w:val="24"/>
          <w:szCs w:val="24"/>
          <w:highlight w:val="none"/>
          <w:lang w:val="en-US" w:eastAsia="zh-CN" w:bidi="ar-SA"/>
        </w:rPr>
        <w:instrText xml:space="preserve"> HYPERLINK \l _Toc20481 </w:instrText>
      </w:r>
      <w:r>
        <w:rPr>
          <w:rFonts w:hint="eastAsia" w:ascii="宋体" w:hAnsi="宋体" w:eastAsia="宋体" w:cs="宋体"/>
          <w:bCs/>
          <w:color w:val="auto"/>
          <w:kern w:val="2"/>
          <w:sz w:val="24"/>
          <w:szCs w:val="24"/>
          <w:highlight w:val="none"/>
          <w:lang w:val="en-US" w:eastAsia="zh-CN" w:bidi="ar-SA"/>
        </w:rPr>
        <w:fldChar w:fldCharType="separate"/>
      </w:r>
      <w:r>
        <w:rPr>
          <w:rFonts w:hint="eastAsia" w:ascii="宋体" w:hAnsi="宋体" w:eastAsia="宋体" w:cs="宋体"/>
          <w:bCs/>
          <w:color w:val="auto"/>
          <w:kern w:val="2"/>
          <w:sz w:val="24"/>
          <w:szCs w:val="24"/>
          <w:highlight w:val="none"/>
          <w:lang w:val="en-US" w:eastAsia="zh-CN" w:bidi="ar-SA"/>
        </w:rPr>
        <w:t>六、商务响应偏离表</w:t>
      </w:r>
      <w:r>
        <w:rPr>
          <w:rFonts w:hint="eastAsia" w:ascii="宋体" w:hAnsi="宋体" w:eastAsia="宋体" w:cs="宋体"/>
          <w:bCs/>
          <w:color w:val="auto"/>
          <w:kern w:val="2"/>
          <w:sz w:val="24"/>
          <w:szCs w:val="24"/>
          <w:highlight w:val="none"/>
          <w:lang w:val="en-US" w:eastAsia="zh-CN" w:bidi="ar-SA"/>
        </w:rPr>
        <w:tab/>
      </w:r>
      <w:r>
        <w:rPr>
          <w:rFonts w:hint="eastAsia" w:ascii="宋体" w:hAnsi="宋体" w:eastAsia="宋体" w:cs="宋体"/>
          <w:bCs/>
          <w:color w:val="auto"/>
          <w:kern w:val="2"/>
          <w:sz w:val="24"/>
          <w:szCs w:val="24"/>
          <w:highlight w:val="none"/>
          <w:lang w:val="en-US" w:eastAsia="zh-CN" w:bidi="ar-SA"/>
        </w:rPr>
        <w:fldChar w:fldCharType="begin"/>
      </w:r>
      <w:r>
        <w:rPr>
          <w:rFonts w:hint="eastAsia" w:ascii="宋体" w:hAnsi="宋体" w:eastAsia="宋体" w:cs="宋体"/>
          <w:bCs/>
          <w:color w:val="auto"/>
          <w:kern w:val="2"/>
          <w:sz w:val="24"/>
          <w:szCs w:val="24"/>
          <w:highlight w:val="none"/>
          <w:lang w:val="en-US" w:eastAsia="zh-CN" w:bidi="ar-SA"/>
        </w:rPr>
        <w:instrText xml:space="preserve"> PAGEREF _Toc20481 \h </w:instrText>
      </w:r>
      <w:r>
        <w:rPr>
          <w:rFonts w:hint="eastAsia" w:ascii="宋体" w:hAnsi="宋体" w:eastAsia="宋体" w:cs="宋体"/>
          <w:bCs/>
          <w:color w:val="auto"/>
          <w:kern w:val="2"/>
          <w:sz w:val="24"/>
          <w:szCs w:val="24"/>
          <w:highlight w:val="none"/>
          <w:lang w:val="en-US" w:eastAsia="zh-CN" w:bidi="ar-SA"/>
        </w:rPr>
        <w:fldChar w:fldCharType="separate"/>
      </w:r>
      <w:r>
        <w:rPr>
          <w:rFonts w:hint="eastAsia" w:ascii="宋体" w:hAnsi="宋体" w:eastAsia="宋体" w:cs="宋体"/>
          <w:bCs/>
          <w:color w:val="auto"/>
          <w:kern w:val="2"/>
          <w:sz w:val="24"/>
          <w:szCs w:val="24"/>
          <w:highlight w:val="none"/>
          <w:lang w:val="en-US" w:eastAsia="zh-CN" w:bidi="ar-SA"/>
        </w:rPr>
        <w:t>- 109 -</w:t>
      </w:r>
      <w:r>
        <w:rPr>
          <w:rFonts w:hint="eastAsia" w:ascii="宋体" w:hAnsi="宋体" w:eastAsia="宋体" w:cs="宋体"/>
          <w:bCs/>
          <w:color w:val="auto"/>
          <w:kern w:val="2"/>
          <w:sz w:val="24"/>
          <w:szCs w:val="24"/>
          <w:highlight w:val="none"/>
          <w:lang w:val="en-US" w:eastAsia="zh-CN" w:bidi="ar-SA"/>
        </w:rPr>
        <w:fldChar w:fldCharType="end"/>
      </w:r>
      <w:r>
        <w:rPr>
          <w:rFonts w:hint="eastAsia" w:ascii="宋体" w:hAnsi="宋体" w:eastAsia="宋体" w:cs="宋体"/>
          <w:bCs/>
          <w:color w:val="auto"/>
          <w:kern w:val="2"/>
          <w:sz w:val="24"/>
          <w:szCs w:val="24"/>
          <w:highlight w:val="none"/>
          <w:lang w:val="en-US" w:eastAsia="zh-CN" w:bidi="ar-SA"/>
        </w:rPr>
        <w:fldChar w:fldCharType="end"/>
      </w:r>
    </w:p>
    <w:p w14:paraId="39318276">
      <w:pPr>
        <w:pStyle w:val="2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_Toc18155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七、业绩证明文件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_Toc18155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- 110 -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ECB995">
      <w:pPr>
        <w:pStyle w:val="2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_Toc13134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八、拟派项目团队</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_Toc13134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- 111 -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3F663E3">
      <w:pPr>
        <w:pStyle w:val="2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_Toc28083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九、技术响应偏离表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_Toc28083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- 112 -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665017">
      <w:pPr>
        <w:pStyle w:val="2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_Toc9988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十、技术方案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_Toc9988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- 113 -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C910139">
      <w:pPr>
        <w:pStyle w:val="27"/>
        <w:keepNext w:val="0"/>
        <w:keepLines w:val="0"/>
        <w:pageBreakBefore w:val="0"/>
        <w:widowControl w:val="0"/>
        <w:tabs>
          <w:tab w:val="right" w:leader="dot" w:pos="8306"/>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_Toc19458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kern w:val="2"/>
          <w:sz w:val="24"/>
          <w:szCs w:val="24"/>
          <w:highlight w:val="none"/>
          <w:lang w:val="en-US" w:eastAsia="zh-CN" w:bidi="ar-SA"/>
        </w:rPr>
        <w:t>十一、其他文件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_Toc19458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- 114 -</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19B97B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Cs w:val="24"/>
          <w:highlight w:val="none"/>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5392797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Cs w:val="24"/>
          <w:highlight w:val="none"/>
        </w:rPr>
        <w:fldChar w:fldCharType="end"/>
      </w:r>
      <w:bookmarkStart w:id="0" w:name="_Toc155185859"/>
      <w:bookmarkStart w:id="1" w:name="_Toc8881"/>
      <w:bookmarkStart w:id="2" w:name="_Hlk130458318"/>
      <w:r>
        <w:rPr>
          <w:rFonts w:hint="eastAsia" w:ascii="宋体" w:hAnsi="宋体" w:eastAsia="宋体" w:cs="宋体"/>
          <w:b/>
          <w:bCs/>
          <w:color w:val="auto"/>
          <w:kern w:val="44"/>
          <w:sz w:val="36"/>
          <w:szCs w:val="36"/>
          <w:highlight w:val="none"/>
          <w:lang w:val="en-US" w:eastAsia="zh-CN" w:bidi="ar-SA"/>
        </w:rPr>
        <w:t xml:space="preserve">第一章 </w:t>
      </w:r>
      <w:bookmarkEnd w:id="0"/>
      <w:r>
        <w:rPr>
          <w:rFonts w:hint="eastAsia" w:ascii="宋体" w:hAnsi="宋体" w:eastAsia="宋体" w:cs="宋体"/>
          <w:color w:val="auto"/>
          <w:sz w:val="36"/>
          <w:szCs w:val="36"/>
          <w:highlight w:val="none"/>
          <w:lang w:val="en-US" w:eastAsia="zh-CN"/>
        </w:rPr>
        <w:t>招标公告</w:t>
      </w:r>
      <w:bookmarkEnd w:id="1"/>
    </w:p>
    <w:bookmarkEnd w:id="2"/>
    <w:p w14:paraId="7412B8B9">
      <w:pPr>
        <w:spacing w:line="400" w:lineRule="exact"/>
        <w:jc w:val="center"/>
        <w:rPr>
          <w:rFonts w:ascii="Times New Roman" w:hAnsi="Times New Roman" w:cs="Times New Roman"/>
          <w:b/>
          <w:color w:val="auto"/>
          <w:sz w:val="28"/>
          <w:szCs w:val="28"/>
          <w:highlight w:val="none"/>
          <w:lang w:val="en-US"/>
        </w:rPr>
      </w:pPr>
      <w:r>
        <w:rPr>
          <w:rFonts w:hint="eastAsia" w:ascii="Times New Roman" w:hAnsi="Times New Roman" w:cs="Times New Roman"/>
          <w:b/>
          <w:color w:val="auto"/>
          <w:sz w:val="28"/>
          <w:szCs w:val="28"/>
          <w:highlight w:val="none"/>
          <w:lang w:val="en-US" w:eastAsia="zh-CN"/>
        </w:rPr>
        <w:t>“公益福彩·情暖天山”2026年公益宣传及品牌推广服务项目</w:t>
      </w:r>
      <w:r>
        <w:rPr>
          <w:rFonts w:hint="eastAsia" w:ascii="Times New Roman" w:hAnsi="Times New Roman" w:cs="Times New Roman"/>
          <w:b/>
          <w:color w:val="auto"/>
          <w:sz w:val="28"/>
          <w:szCs w:val="28"/>
          <w:highlight w:val="none"/>
          <w:lang w:val="en-US"/>
        </w:rPr>
        <w:t>的公开招标公告</w:t>
      </w:r>
    </w:p>
    <w:p w14:paraId="010DDC5E">
      <w:pPr>
        <w:pStyle w:val="8"/>
        <w:spacing w:before="0" w:beforeAutospacing="0" w:after="0" w:afterAutospacing="0"/>
        <w:ind w:right="96" w:rightChars="40"/>
        <w:rPr>
          <w:rFonts w:hint="eastAsia" w:ascii="宋体" w:hAnsi="宋体" w:eastAsia="宋体" w:cs="宋体"/>
          <w:color w:val="auto"/>
          <w:sz w:val="21"/>
          <w:szCs w:val="21"/>
          <w:highlight w:val="none"/>
        </w:rPr>
      </w:pPr>
    </w:p>
    <w:p w14:paraId="0D417BBA">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5E74D9B0">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textAlignment w:val="auto"/>
        <w:rPr>
          <w:rFonts w:hint="eastAsia" w:ascii="宋体" w:hAnsi="宋体" w:eastAsia="宋体" w:cs="宋体"/>
          <w:color w:val="auto"/>
          <w:sz w:val="24"/>
          <w:szCs w:val="24"/>
          <w:highlight w:val="none"/>
        </w:rPr>
      </w:pPr>
      <w:r>
        <w:rPr>
          <w:rFonts w:hint="eastAsia" w:cs="宋体"/>
          <w:color w:val="auto"/>
          <w:sz w:val="24"/>
          <w:szCs w:val="24"/>
          <w:highlight w:val="none"/>
          <w:u w:val="single"/>
          <w:lang w:eastAsia="zh-CN"/>
        </w:rPr>
        <w:t>“公益福彩·情暖天山”2026年公益宣传及品牌推广服务项目</w:t>
      </w:r>
      <w:r>
        <w:rPr>
          <w:rFonts w:hint="eastAsia" w:ascii="宋体" w:hAnsi="宋体" w:eastAsia="宋体" w:cs="宋体"/>
          <w:color w:val="auto"/>
          <w:sz w:val="24"/>
          <w:szCs w:val="24"/>
          <w:highlight w:val="none"/>
        </w:rPr>
        <w:t>招标项目的潜在供应商应在政采云平台，申请获取</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文件，并于</w:t>
      </w:r>
      <w:r>
        <w:rPr>
          <w:rFonts w:hint="eastAsia" w:cs="宋体"/>
          <w:color w:val="auto"/>
          <w:sz w:val="24"/>
          <w:szCs w:val="24"/>
          <w:highlight w:val="none"/>
          <w:lang w:eastAsia="zh-CN"/>
        </w:rPr>
        <w:t>投标截止时间之</w:t>
      </w:r>
      <w:r>
        <w:rPr>
          <w:rFonts w:hint="eastAsia" w:ascii="宋体" w:hAnsi="宋体" w:eastAsia="宋体" w:cs="宋体"/>
          <w:color w:val="auto"/>
          <w:sz w:val="24"/>
          <w:szCs w:val="24"/>
          <w:highlight w:val="none"/>
        </w:rPr>
        <w:t>前递交</w:t>
      </w:r>
      <w:r>
        <w:rPr>
          <w:rFonts w:hint="eastAsia"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w:t>
      </w:r>
    </w:p>
    <w:p w14:paraId="27AE6EA7">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jc w:val="both"/>
        <w:textAlignment w:val="auto"/>
        <w:rPr>
          <w:rFonts w:hint="eastAsia" w:ascii="宋体" w:hAnsi="宋体" w:eastAsia="宋体" w:cs="宋体"/>
          <w:color w:val="auto"/>
          <w:sz w:val="24"/>
          <w:szCs w:val="24"/>
          <w:highlight w:val="none"/>
        </w:rPr>
      </w:pPr>
      <w:r>
        <w:rPr>
          <w:rStyle w:val="35"/>
          <w:rFonts w:hint="eastAsia" w:ascii="宋体" w:hAnsi="宋体" w:eastAsia="宋体" w:cs="宋体"/>
          <w:color w:val="auto"/>
          <w:sz w:val="24"/>
          <w:szCs w:val="24"/>
          <w:highlight w:val="none"/>
        </w:rPr>
        <w:t>一、项目基本情况</w:t>
      </w:r>
    </w:p>
    <w:p w14:paraId="36BC8C17">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项目编号：</w:t>
      </w:r>
      <w:r>
        <w:rPr>
          <w:rFonts w:hint="eastAsia" w:cs="宋体"/>
          <w:color w:val="auto"/>
          <w:sz w:val="24"/>
          <w:szCs w:val="24"/>
          <w:highlight w:val="none"/>
          <w:lang w:eastAsia="zh-CN"/>
        </w:rPr>
        <w:t>FW8-SJ202601</w:t>
      </w:r>
    </w:p>
    <w:p w14:paraId="0DBC6E77">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eastAsia" w:eastAsia="宋体" w:cs="宋体"/>
          <w:color w:val="auto"/>
          <w:sz w:val="24"/>
          <w:szCs w:val="24"/>
          <w:highlight w:val="none"/>
          <w:u w:val="none"/>
          <w:lang w:eastAsia="zh-CN"/>
        </w:rPr>
      </w:pPr>
      <w:r>
        <w:rPr>
          <w:rFonts w:hint="eastAsia" w:ascii="宋体" w:hAnsi="宋体" w:eastAsia="宋体" w:cs="宋体"/>
          <w:color w:val="auto"/>
          <w:sz w:val="24"/>
          <w:szCs w:val="24"/>
          <w:highlight w:val="none"/>
        </w:rPr>
        <w:t>项目名称：</w:t>
      </w:r>
      <w:r>
        <w:rPr>
          <w:rFonts w:hint="eastAsia" w:cs="宋体"/>
          <w:color w:val="auto"/>
          <w:sz w:val="24"/>
          <w:szCs w:val="24"/>
          <w:highlight w:val="none"/>
          <w:lang w:eastAsia="zh-CN"/>
        </w:rPr>
        <w:t>“公益福彩·情暖天山”2026年公益宣传及品牌推广服务项目</w:t>
      </w:r>
    </w:p>
    <w:p w14:paraId="08400D10">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采购方式：</w:t>
      </w:r>
      <w:r>
        <w:rPr>
          <w:rFonts w:hint="eastAsia" w:eastAsia="宋体" w:cs="宋体"/>
          <w:color w:val="auto"/>
          <w:sz w:val="24"/>
          <w:szCs w:val="24"/>
          <w:highlight w:val="none"/>
          <w:lang w:eastAsia="zh-CN"/>
        </w:rPr>
        <w:t>公开招标</w:t>
      </w:r>
    </w:p>
    <w:p w14:paraId="78402B40">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预算金额（元）：</w:t>
      </w:r>
      <w:r>
        <w:rPr>
          <w:rFonts w:hint="eastAsia" w:ascii="宋体" w:hAnsi="宋体" w:eastAsia="宋体" w:cs="宋体"/>
          <w:color w:val="auto"/>
          <w:sz w:val="24"/>
          <w:szCs w:val="24"/>
          <w:highlight w:val="none"/>
          <w:lang w:val="en-US" w:eastAsia="zh-CN"/>
        </w:rPr>
        <w:t>546</w:t>
      </w:r>
      <w:r>
        <w:rPr>
          <w:rFonts w:hint="eastAsia" w:ascii="宋体" w:hAnsi="宋体" w:eastAsia="宋体" w:cs="宋体"/>
          <w:color w:val="auto"/>
          <w:sz w:val="24"/>
          <w:szCs w:val="24"/>
          <w:highlight w:val="none"/>
        </w:rPr>
        <w:t>0000</w:t>
      </w:r>
      <w:r>
        <w:rPr>
          <w:rFonts w:hint="eastAsia"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元</w:t>
      </w:r>
    </w:p>
    <w:p w14:paraId="447E6C97">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最高限价（元）：</w:t>
      </w:r>
      <w:r>
        <w:rPr>
          <w:rFonts w:hint="eastAsia" w:ascii="宋体" w:hAnsi="宋体" w:eastAsia="宋体" w:cs="宋体"/>
          <w:color w:val="auto"/>
          <w:sz w:val="24"/>
          <w:szCs w:val="24"/>
          <w:highlight w:val="none"/>
          <w:lang w:val="en-US" w:eastAsia="zh-CN"/>
        </w:rPr>
        <w:t>546</w:t>
      </w:r>
      <w:r>
        <w:rPr>
          <w:rFonts w:hint="eastAsia" w:ascii="宋体" w:hAnsi="宋体" w:eastAsia="宋体" w:cs="宋体"/>
          <w:color w:val="auto"/>
          <w:sz w:val="24"/>
          <w:szCs w:val="24"/>
          <w:highlight w:val="none"/>
        </w:rPr>
        <w:t>0000</w:t>
      </w:r>
      <w:r>
        <w:rPr>
          <w:rFonts w:hint="eastAsia"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元</w:t>
      </w:r>
    </w:p>
    <w:p w14:paraId="1B9A27C7">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left="480" w:leftChars="200" w:right="96" w:rightChars="4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w:t>
      </w:r>
    </w:p>
    <w:p w14:paraId="237CFB18">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textAlignment w:val="auto"/>
        <w:rPr>
          <w:rFonts w:hint="default" w:ascii="宋体" w:hAnsi="宋体"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标项1：</w:t>
      </w:r>
    </w:p>
    <w:p w14:paraId="2191B161">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r>
        <w:rPr>
          <w:rFonts w:hint="eastAsia" w:cs="宋体"/>
          <w:color w:val="auto"/>
          <w:sz w:val="24"/>
          <w:szCs w:val="24"/>
          <w:highlight w:val="none"/>
          <w:lang w:eastAsia="zh-CN"/>
        </w:rPr>
        <w:t>：“公益福彩·情暖天山”2026年公益宣传及品牌推广服务项目</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数量</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不限</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预算金额（元）</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546</w:t>
      </w:r>
      <w:r>
        <w:rPr>
          <w:rFonts w:hint="eastAsia" w:ascii="宋体" w:hAnsi="宋体" w:eastAsia="宋体" w:cs="宋体"/>
          <w:color w:val="auto"/>
          <w:sz w:val="24"/>
          <w:szCs w:val="24"/>
          <w:highlight w:val="none"/>
        </w:rPr>
        <w:t>0000</w:t>
      </w:r>
      <w:r>
        <w:rPr>
          <w:rFonts w:hint="eastAsia"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简要规格描述或项目基本概况介绍、用途：具体内容详见采购文件。</w:t>
      </w:r>
    </w:p>
    <w:p w14:paraId="654144B5">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合同履约期限：</w:t>
      </w:r>
      <w:r>
        <w:rPr>
          <w:rFonts w:hint="eastAsia" w:cs="宋体"/>
          <w:color w:val="auto"/>
          <w:sz w:val="24"/>
          <w:szCs w:val="24"/>
          <w:highlight w:val="none"/>
          <w:lang w:val="en-US" w:eastAsia="zh-CN"/>
        </w:rPr>
        <w:t>合同签订后至2026年9月底完成。</w:t>
      </w:r>
    </w:p>
    <w:p w14:paraId="0B33B5B6">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eastAsia="宋体" w:cs="宋体"/>
          <w:color w:val="auto"/>
          <w:sz w:val="24"/>
          <w:szCs w:val="24"/>
          <w:highlight w:val="none"/>
          <w:lang w:eastAsia="zh-CN"/>
        </w:rPr>
        <w:t>否</w:t>
      </w:r>
      <w:r>
        <w:rPr>
          <w:rFonts w:hint="eastAsia" w:ascii="宋体" w:hAnsi="宋体" w:eastAsia="宋体" w:cs="宋体"/>
          <w:color w:val="auto"/>
          <w:sz w:val="24"/>
          <w:szCs w:val="24"/>
          <w:highlight w:val="none"/>
        </w:rPr>
        <w:t>）</w:t>
      </w:r>
      <w:r>
        <w:rPr>
          <w:rFonts w:hint="eastAsia" w:eastAsia="宋体" w:cs="宋体"/>
          <w:color w:val="auto"/>
          <w:sz w:val="24"/>
          <w:szCs w:val="24"/>
          <w:highlight w:val="none"/>
          <w:lang w:eastAsia="zh-CN"/>
        </w:rPr>
        <w:t>不接受联合体</w:t>
      </w:r>
      <w:r>
        <w:rPr>
          <w:rFonts w:hint="eastAsia" w:ascii="宋体" w:hAnsi="宋体" w:eastAsia="宋体" w:cs="宋体"/>
          <w:color w:val="auto"/>
          <w:sz w:val="24"/>
          <w:szCs w:val="24"/>
          <w:highlight w:val="none"/>
        </w:rPr>
        <w:t>投标。</w:t>
      </w:r>
    </w:p>
    <w:p w14:paraId="2F98CD61">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textAlignment w:val="auto"/>
        <w:rPr>
          <w:rFonts w:hint="eastAsia" w:ascii="宋体" w:hAnsi="宋体" w:eastAsia="宋体" w:cs="宋体"/>
          <w:color w:val="auto"/>
          <w:sz w:val="24"/>
          <w:szCs w:val="24"/>
          <w:highlight w:val="none"/>
        </w:rPr>
      </w:pPr>
      <w:r>
        <w:rPr>
          <w:rStyle w:val="35"/>
          <w:rFonts w:hint="eastAsia" w:ascii="宋体" w:hAnsi="宋体" w:eastAsia="宋体" w:cs="宋体"/>
          <w:color w:val="auto"/>
          <w:sz w:val="24"/>
          <w:szCs w:val="24"/>
          <w:highlight w:val="none"/>
        </w:rPr>
        <w:t>二、申请人的资格要求：</w:t>
      </w:r>
    </w:p>
    <w:p w14:paraId="48BE569D">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5CFDCAE3">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2.落实政府采购政策需满足的资格要求：</w:t>
      </w:r>
      <w:r>
        <w:rPr>
          <w:rFonts w:hint="eastAsia" w:cs="宋体"/>
          <w:color w:val="auto"/>
          <w:sz w:val="24"/>
          <w:szCs w:val="24"/>
          <w:highlight w:val="none"/>
          <w:lang w:eastAsia="zh-CN"/>
        </w:rPr>
        <w:t>本项目专门面向小微企业采购</w:t>
      </w:r>
      <w:r>
        <w:rPr>
          <w:rFonts w:hint="eastAsia"/>
          <w:color w:val="auto"/>
          <w:sz w:val="24"/>
          <w:szCs w:val="24"/>
          <w:highlight w:val="none"/>
        </w:rPr>
        <w:t>。</w:t>
      </w:r>
    </w:p>
    <w:p w14:paraId="54F39EE9">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3.本项目的特定资格要求：</w:t>
      </w:r>
    </w:p>
    <w:p w14:paraId="0FEA430E">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eastAsia" w:eastAsia="宋体" w:cs="宋体"/>
          <w:color w:val="auto"/>
          <w:sz w:val="24"/>
          <w:szCs w:val="24"/>
          <w:highlight w:val="none"/>
          <w:lang w:eastAsia="zh-CN"/>
        </w:rPr>
      </w:pPr>
      <w:r>
        <w:rPr>
          <w:rFonts w:hint="eastAsia" w:eastAsia="宋体" w:cs="宋体"/>
          <w:color w:val="auto"/>
          <w:sz w:val="24"/>
          <w:szCs w:val="24"/>
          <w:highlight w:val="none"/>
          <w:lang w:eastAsia="zh-CN"/>
        </w:rPr>
        <w:t>（</w:t>
      </w:r>
      <w:r>
        <w:rPr>
          <w:rFonts w:hint="eastAsia" w:cs="宋体"/>
          <w:color w:val="auto"/>
          <w:sz w:val="24"/>
          <w:szCs w:val="24"/>
          <w:highlight w:val="none"/>
          <w:lang w:val="en-US" w:eastAsia="zh-CN"/>
        </w:rPr>
        <w:t>1</w:t>
      </w:r>
      <w:r>
        <w:rPr>
          <w:rFonts w:hint="eastAsia" w:eastAsia="宋体" w:cs="宋体"/>
          <w:color w:val="auto"/>
          <w:sz w:val="24"/>
          <w:szCs w:val="24"/>
          <w:highlight w:val="none"/>
          <w:lang w:eastAsia="zh-CN"/>
        </w:rPr>
        <w:t>）在“信用中国”及“中国政府采购网”网站上未被列入失信被执行人、重大税收违法案件当事人名单以及政府采购严重违法失信行为记录名单的投标供应商</w:t>
      </w:r>
      <w:r>
        <w:rPr>
          <w:rFonts w:hint="eastAsia" w:cs="宋体"/>
          <w:color w:val="auto"/>
          <w:sz w:val="24"/>
          <w:szCs w:val="24"/>
          <w:highlight w:val="none"/>
          <w:lang w:val="en-US" w:eastAsia="zh-CN"/>
        </w:rPr>
        <w:t>；</w:t>
      </w:r>
    </w:p>
    <w:p w14:paraId="57D200F0">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eastAsia" w:eastAsia="宋体" w:cs="宋体"/>
          <w:color w:val="auto"/>
          <w:sz w:val="24"/>
          <w:szCs w:val="24"/>
          <w:highlight w:val="none"/>
          <w:lang w:eastAsia="zh-CN"/>
        </w:rPr>
      </w:pPr>
      <w:r>
        <w:rPr>
          <w:rFonts w:hint="eastAsia" w:eastAsia="宋体" w:cs="宋体"/>
          <w:color w:val="auto"/>
          <w:sz w:val="24"/>
          <w:szCs w:val="24"/>
          <w:highlight w:val="none"/>
          <w:lang w:eastAsia="zh-CN"/>
        </w:rPr>
        <w:t>（</w:t>
      </w:r>
      <w:r>
        <w:rPr>
          <w:rFonts w:hint="eastAsia" w:cs="宋体"/>
          <w:color w:val="auto"/>
          <w:sz w:val="24"/>
          <w:szCs w:val="24"/>
          <w:highlight w:val="none"/>
          <w:lang w:val="en-US" w:eastAsia="zh-CN"/>
        </w:rPr>
        <w:t>2</w:t>
      </w:r>
      <w:r>
        <w:rPr>
          <w:rFonts w:hint="eastAsia" w:eastAsia="宋体" w:cs="宋体"/>
          <w:color w:val="auto"/>
          <w:sz w:val="24"/>
          <w:szCs w:val="24"/>
          <w:highlight w:val="none"/>
          <w:lang w:eastAsia="zh-CN"/>
        </w:rPr>
        <w:t>）单位负责人为同一人或者存在直接控股、管理关系的不同供应商，不得参加同一合同项下的政府采购活动；与采购人存在利害关系可能影响采购公正性的法人、其他组织或个人不得参与投标，违反规定的相关投标均无效。</w:t>
      </w:r>
    </w:p>
    <w:p w14:paraId="671371B0">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textAlignment w:val="auto"/>
        <w:rPr>
          <w:rStyle w:val="35"/>
          <w:rFonts w:hint="eastAsia" w:ascii="宋体" w:hAnsi="宋体" w:eastAsia="宋体" w:cs="宋体"/>
          <w:color w:val="auto"/>
          <w:sz w:val="24"/>
          <w:szCs w:val="24"/>
          <w:highlight w:val="none"/>
          <w:lang w:eastAsia="zh-CN"/>
        </w:rPr>
      </w:pPr>
      <w:r>
        <w:rPr>
          <w:rStyle w:val="35"/>
          <w:rFonts w:hint="eastAsia" w:ascii="宋体" w:hAnsi="宋体" w:eastAsia="宋体" w:cs="宋体"/>
          <w:color w:val="auto"/>
          <w:sz w:val="24"/>
          <w:szCs w:val="24"/>
          <w:highlight w:val="none"/>
        </w:rPr>
        <w:t>三、获取招标文件</w:t>
      </w:r>
    </w:p>
    <w:p w14:paraId="6CC060D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96" w:rightChars="40"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时间：202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 xml:space="preserve"> 4 </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 xml:space="preserve"> 22 </w:t>
      </w:r>
      <w:r>
        <w:rPr>
          <w:rFonts w:hint="eastAsia" w:ascii="宋体" w:hAnsi="宋体" w:eastAsia="宋体" w:cs="宋体"/>
          <w:color w:val="auto"/>
          <w:sz w:val="24"/>
          <w:szCs w:val="24"/>
          <w:highlight w:val="none"/>
        </w:rPr>
        <w:t>日至202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 xml:space="preserve"> 4 </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 xml:space="preserve"> 30 </w:t>
      </w:r>
      <w:r>
        <w:rPr>
          <w:rFonts w:hint="eastAsia" w:ascii="宋体" w:hAnsi="宋体" w:eastAsia="宋体" w:cs="宋体"/>
          <w:color w:val="auto"/>
          <w:sz w:val="24"/>
          <w:szCs w:val="24"/>
          <w:highlight w:val="none"/>
        </w:rPr>
        <w:t>日</w:t>
      </w:r>
      <w:r>
        <w:rPr>
          <w:rFonts w:hint="eastAsia" w:cs="宋体"/>
          <w:color w:val="auto"/>
          <w:sz w:val="24"/>
          <w:szCs w:val="24"/>
          <w:highlight w:val="none"/>
          <w:lang w:eastAsia="zh-CN"/>
        </w:rPr>
        <w:t>，</w:t>
      </w:r>
      <w:r>
        <w:rPr>
          <w:rFonts w:hint="eastAsia" w:eastAsia="宋体" w:cs="宋体"/>
          <w:color w:val="auto"/>
          <w:sz w:val="24"/>
          <w:szCs w:val="24"/>
          <w:highlight w:val="none"/>
          <w:lang w:val="en-US" w:eastAsia="zh-CN"/>
        </w:rPr>
        <w:t>每天上午00:00至12:00，下午12:00至23:59（北京时间，法定节假日除外）</w:t>
      </w:r>
    </w:p>
    <w:p w14:paraId="7D5DACA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96" w:rightChars="40" w:firstLine="42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政采云平台</w:t>
      </w:r>
    </w:p>
    <w:p w14:paraId="1B4969B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96" w:rightChars="4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方式：投标</w:t>
      </w:r>
      <w:r>
        <w:rPr>
          <w:rFonts w:hint="eastAsia" w:cs="宋体"/>
          <w:color w:val="auto"/>
          <w:sz w:val="24"/>
          <w:szCs w:val="24"/>
          <w:highlight w:val="none"/>
          <w:lang w:eastAsia="zh-CN"/>
        </w:rPr>
        <w:t>登录</w:t>
      </w:r>
      <w:r>
        <w:rPr>
          <w:rFonts w:hint="eastAsia" w:ascii="宋体" w:hAnsi="宋体" w:eastAsia="宋体" w:cs="宋体"/>
          <w:color w:val="auto"/>
          <w:sz w:val="24"/>
          <w:szCs w:val="24"/>
          <w:highlight w:val="none"/>
        </w:rPr>
        <w:t>政采云平台https://www.zcygov.cn/，进行下载</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w:t>
      </w:r>
    </w:p>
    <w:p w14:paraId="44EEC05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96" w:rightChars="40"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售价（元）：</w:t>
      </w:r>
      <w:r>
        <w:rPr>
          <w:rFonts w:hint="eastAsia" w:ascii="宋体" w:hAnsi="宋体" w:eastAsia="宋体" w:cs="宋体"/>
          <w:color w:val="auto"/>
          <w:sz w:val="24"/>
          <w:szCs w:val="24"/>
          <w:highlight w:val="none"/>
          <w:lang w:val="en-US" w:eastAsia="zh-CN"/>
        </w:rPr>
        <w:t>0</w:t>
      </w:r>
    </w:p>
    <w:p w14:paraId="445A331F">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jc w:val="both"/>
        <w:textAlignment w:val="auto"/>
        <w:rPr>
          <w:rFonts w:hint="eastAsia" w:ascii="宋体" w:hAnsi="宋体" w:eastAsia="宋体" w:cs="宋体"/>
          <w:color w:val="auto"/>
          <w:sz w:val="24"/>
          <w:szCs w:val="24"/>
          <w:highlight w:val="none"/>
        </w:rPr>
      </w:pPr>
      <w:r>
        <w:rPr>
          <w:rStyle w:val="35"/>
          <w:rFonts w:hint="eastAsia" w:ascii="宋体" w:hAnsi="宋体" w:eastAsia="宋体" w:cs="宋体"/>
          <w:color w:val="auto"/>
          <w:sz w:val="24"/>
          <w:szCs w:val="24"/>
          <w:highlight w:val="none"/>
        </w:rPr>
        <w:t>四、提交投标文件截止时间、开标时间和地点</w:t>
      </w:r>
    </w:p>
    <w:p w14:paraId="1703F54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96" w:rightChars="4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递交</w:t>
      </w:r>
      <w:r>
        <w:rPr>
          <w:rFonts w:hint="eastAsia" w:ascii="宋体" w:hAnsi="宋体" w:eastAsia="宋体" w:cs="宋体"/>
          <w:color w:val="auto"/>
          <w:sz w:val="24"/>
          <w:szCs w:val="24"/>
          <w:highlight w:val="none"/>
        </w:rPr>
        <w:t>截止时间：202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 xml:space="preserve"> 5 </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 xml:space="preserve"> 12 </w:t>
      </w:r>
      <w:r>
        <w:rPr>
          <w:rFonts w:hint="eastAsia" w:ascii="宋体" w:hAnsi="宋体" w:eastAsia="宋体" w:cs="宋体"/>
          <w:color w:val="auto"/>
          <w:sz w:val="24"/>
          <w:szCs w:val="24"/>
          <w:highlight w:val="none"/>
        </w:rPr>
        <w:t>日 1</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0（北京时间）</w:t>
      </w:r>
    </w:p>
    <w:p w14:paraId="53ECC94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96" w:rightChars="4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政采云平台</w:t>
      </w:r>
      <w:r>
        <w:rPr>
          <w:rFonts w:hint="eastAsia" w:ascii="宋体" w:hAnsi="宋体" w:eastAsia="宋体" w:cs="宋体"/>
          <w:color w:val="auto"/>
          <w:sz w:val="24"/>
          <w:szCs w:val="24"/>
          <w:highlight w:val="none"/>
        </w:rPr>
        <w:t>。</w:t>
      </w:r>
    </w:p>
    <w:p w14:paraId="70BEDEC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96" w:rightChars="40" w:firstLine="420"/>
        <w:textAlignment w:val="auto"/>
        <w:rPr>
          <w:rFonts w:hint="eastAsia" w:ascii="宋体" w:hAnsi="宋体" w:eastAsia="宋体" w:cs="宋体"/>
          <w:color w:val="auto"/>
          <w:sz w:val="24"/>
          <w:szCs w:val="24"/>
          <w:highlight w:val="none"/>
        </w:rPr>
      </w:pPr>
      <w:r>
        <w:rPr>
          <w:rFonts w:hint="eastAsia" w:eastAsia="宋体" w:cs="宋体"/>
          <w:color w:val="auto"/>
          <w:sz w:val="24"/>
          <w:szCs w:val="24"/>
          <w:highlight w:val="none"/>
          <w:lang w:eastAsia="zh-CN"/>
        </w:rPr>
        <w:t>开标</w:t>
      </w:r>
      <w:r>
        <w:rPr>
          <w:rFonts w:hint="eastAsia" w:ascii="宋体" w:hAnsi="宋体" w:eastAsia="宋体" w:cs="宋体"/>
          <w:color w:val="auto"/>
          <w:sz w:val="24"/>
          <w:szCs w:val="24"/>
          <w:highlight w:val="none"/>
        </w:rPr>
        <w:t>时间：202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 xml:space="preserve"> 5 </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 xml:space="preserve"> 12 </w:t>
      </w:r>
      <w:r>
        <w:rPr>
          <w:rFonts w:hint="eastAsia" w:ascii="宋体" w:hAnsi="宋体" w:eastAsia="宋体" w:cs="宋体"/>
          <w:color w:val="auto"/>
          <w:sz w:val="24"/>
          <w:szCs w:val="24"/>
          <w:highlight w:val="none"/>
        </w:rPr>
        <w:t>日 1</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0（北京时间）</w:t>
      </w:r>
    </w:p>
    <w:p w14:paraId="295D94DA">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eastAsia" w:ascii="宋体" w:hAnsi="宋体" w:eastAsia="宋体" w:cs="宋体"/>
          <w:color w:val="auto"/>
          <w:sz w:val="24"/>
          <w:szCs w:val="24"/>
          <w:highlight w:val="none"/>
        </w:rPr>
      </w:pPr>
      <w:r>
        <w:rPr>
          <w:rFonts w:hint="eastAsia" w:eastAsia="宋体" w:cs="宋体"/>
          <w:color w:val="auto"/>
          <w:sz w:val="24"/>
          <w:szCs w:val="24"/>
          <w:highlight w:val="none"/>
          <w:lang w:eastAsia="zh-CN"/>
        </w:rPr>
        <w:t>开标</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政采云平台</w:t>
      </w:r>
      <w:r>
        <w:rPr>
          <w:rFonts w:hint="eastAsia" w:ascii="宋体" w:hAnsi="宋体" w:eastAsia="宋体" w:cs="宋体"/>
          <w:color w:val="auto"/>
          <w:sz w:val="24"/>
          <w:szCs w:val="24"/>
          <w:highlight w:val="none"/>
        </w:rPr>
        <w:t>。</w:t>
      </w:r>
    </w:p>
    <w:p w14:paraId="1353DDDC">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jc w:val="both"/>
        <w:textAlignment w:val="auto"/>
        <w:rPr>
          <w:rFonts w:hint="eastAsia" w:ascii="宋体" w:hAnsi="宋体" w:eastAsia="宋体" w:cs="宋体"/>
          <w:color w:val="auto"/>
          <w:sz w:val="24"/>
          <w:szCs w:val="24"/>
          <w:highlight w:val="none"/>
        </w:rPr>
      </w:pPr>
      <w:r>
        <w:rPr>
          <w:rStyle w:val="35"/>
          <w:rFonts w:hint="eastAsia" w:ascii="宋体" w:hAnsi="宋体" w:eastAsia="宋体" w:cs="宋体"/>
          <w:color w:val="auto"/>
          <w:sz w:val="24"/>
          <w:szCs w:val="24"/>
          <w:highlight w:val="none"/>
        </w:rPr>
        <w:t>五、公告期限</w:t>
      </w:r>
    </w:p>
    <w:p w14:paraId="591A4706">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w:t>
      </w:r>
      <w:r>
        <w:rPr>
          <w:rFonts w:hint="eastAsia"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w:t>
      </w:r>
    </w:p>
    <w:p w14:paraId="283822D9">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jc w:val="both"/>
        <w:textAlignment w:val="auto"/>
        <w:rPr>
          <w:rFonts w:hint="eastAsia" w:ascii="宋体" w:hAnsi="宋体" w:eastAsia="宋体" w:cs="宋体"/>
          <w:color w:val="auto"/>
          <w:sz w:val="24"/>
          <w:szCs w:val="24"/>
          <w:highlight w:val="none"/>
        </w:rPr>
      </w:pPr>
      <w:r>
        <w:rPr>
          <w:rStyle w:val="35"/>
          <w:rFonts w:hint="eastAsia" w:ascii="宋体" w:hAnsi="宋体" w:eastAsia="宋体" w:cs="宋体"/>
          <w:color w:val="auto"/>
          <w:sz w:val="24"/>
          <w:szCs w:val="24"/>
          <w:highlight w:val="none"/>
        </w:rPr>
        <w:t>六、其他补充事宜</w:t>
      </w:r>
    </w:p>
    <w:p w14:paraId="3D51BA8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96" w:rightChars="40" w:firstLine="42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1.</w:t>
      </w:r>
      <w:r>
        <w:rPr>
          <w:rFonts w:hint="eastAsia" w:ascii="宋体" w:hAnsi="宋体" w:eastAsia="宋体" w:cs="宋体"/>
          <w:color w:val="auto"/>
          <w:sz w:val="24"/>
          <w:szCs w:val="24"/>
          <w:highlight w:val="none"/>
        </w:rPr>
        <w:t>本项目实行网上投标，采用电子响应文件；</w:t>
      </w:r>
    </w:p>
    <w:p w14:paraId="4DBFF5B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96" w:rightChars="40" w:firstLine="42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2.</w:t>
      </w:r>
      <w:r>
        <w:rPr>
          <w:rFonts w:hint="eastAsia" w:ascii="宋体" w:hAnsi="宋体" w:eastAsia="宋体" w:cs="宋体"/>
          <w:color w:val="auto"/>
          <w:sz w:val="24"/>
          <w:szCs w:val="24"/>
          <w:highlight w:val="none"/>
        </w:rPr>
        <w:t>本项目采用远程不见面交易的模式。招标当日，供应商无需到达招标现场，仅需在任意地点登录政采云平台（https://www.zcygov.cn）不见面开标系统（进入“项目采购”应用，在开标评标菜单中选择进入开标大厅）</w:t>
      </w:r>
    </w:p>
    <w:p w14:paraId="5625993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96" w:rightChars="40" w:firstLine="42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3.</w:t>
      </w:r>
      <w:r>
        <w:rPr>
          <w:rFonts w:hint="eastAsia" w:ascii="宋体" w:hAnsi="宋体" w:eastAsia="宋体" w:cs="宋体"/>
          <w:color w:val="auto"/>
          <w:sz w:val="24"/>
          <w:szCs w:val="24"/>
          <w:highlight w:val="none"/>
        </w:rPr>
        <w:t>各供应商应在开标前应确保成为政采云平台供应商，并完成CA数字证书（符合国密标准）申领。因未注册入库、未办理CA数字证书等原因造成无法投标或投标失败等后果由投标人自行承担。有意向参与电子开评标的投标人，可访问新疆数字证书认证中心官方网站（https://www.xjca.com.cn/）或下载“新疆政务通”APP自行进行申领。如需咨询，请联系新疆CA服务热线0991-2819290；</w:t>
      </w:r>
    </w:p>
    <w:p w14:paraId="2B7AC8C5">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80" w:firstLineChars="200"/>
        <w:jc w:val="both"/>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4.</w:t>
      </w:r>
      <w:r>
        <w:rPr>
          <w:rFonts w:hint="eastAsia" w:ascii="宋体" w:hAnsi="宋体" w:eastAsia="宋体" w:cs="宋体"/>
          <w:color w:val="auto"/>
          <w:sz w:val="24"/>
          <w:szCs w:val="24"/>
          <w:highlight w:val="none"/>
        </w:rPr>
        <w:t>供应商将政采云电子投标客户端下载、安装完成后，可通过账号密码或CA登录客户端进行响应文件的制作。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32085D4A">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80" w:firstLineChars="200"/>
        <w:jc w:val="both"/>
        <w:textAlignment w:val="auto"/>
        <w:rPr>
          <w:rFonts w:hint="eastAsia" w:eastAsia="宋体" w:cs="宋体"/>
          <w:color w:val="auto"/>
          <w:sz w:val="24"/>
          <w:szCs w:val="24"/>
          <w:highlight w:val="none"/>
          <w:lang w:eastAsia="zh-CN"/>
        </w:rPr>
      </w:pP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凡拟参加本次招标项目的投标人须具有良好的信誉，未在“信用中国”网站</w:t>
      </w:r>
      <w:r>
        <w:rPr>
          <w:rFonts w:hint="eastAsia" w:ascii="宋体" w:hAnsi="宋体" w:eastAsia="宋体" w:cs="宋体"/>
          <w:snapToGrid w:val="0"/>
          <w:color w:val="auto"/>
          <w:sz w:val="24"/>
          <w:szCs w:val="24"/>
          <w:highlight w:val="none"/>
        </w:rPr>
        <w:t>（www.creditchina.gov.cn）</w:t>
      </w:r>
      <w:r>
        <w:rPr>
          <w:rFonts w:hint="eastAsia" w:ascii="宋体" w:hAnsi="宋体" w:eastAsia="宋体" w:cs="宋体"/>
          <w:color w:val="auto"/>
          <w:sz w:val="24"/>
          <w:szCs w:val="24"/>
          <w:highlight w:val="none"/>
        </w:rPr>
        <w:t>被列入失信被执行人、重大税收违法案件当</w:t>
      </w:r>
      <w:bookmarkStart w:id="514" w:name="_GoBack"/>
      <w:bookmarkEnd w:id="514"/>
      <w:r>
        <w:rPr>
          <w:rFonts w:hint="eastAsia" w:ascii="宋体" w:hAnsi="宋体" w:eastAsia="宋体" w:cs="宋体"/>
          <w:color w:val="auto"/>
          <w:sz w:val="24"/>
          <w:szCs w:val="24"/>
          <w:highlight w:val="none"/>
        </w:rPr>
        <w:t>事人名单、政府采购严重违法失信名单的（尚在处罚期内的）、中国政府采购网（www.ccgp.gov.cn）被列入政府采购严重违法失信行为记录名单（尚在处罚期内的）。近三年政府采购合同履约过程中及其他经营活动履约过程中因围标串标、偷税漏税、制售假冒伪劣商品等行为被有关行政部门处罚（处理）记录的，本项目不认定其具有良好的商业信誉，将拒绝其</w:t>
      </w:r>
      <w:r>
        <w:rPr>
          <w:rFonts w:hint="eastAsia" w:cs="宋体"/>
          <w:color w:val="auto"/>
          <w:sz w:val="24"/>
          <w:szCs w:val="24"/>
          <w:highlight w:val="none"/>
          <w:lang w:eastAsia="zh-CN"/>
        </w:rPr>
        <w:t>参与</w:t>
      </w:r>
      <w:r>
        <w:rPr>
          <w:rFonts w:hint="eastAsia" w:ascii="宋体" w:hAnsi="宋体" w:eastAsia="宋体" w:cs="宋体"/>
          <w:color w:val="auto"/>
          <w:sz w:val="24"/>
          <w:szCs w:val="24"/>
          <w:highlight w:val="none"/>
        </w:rPr>
        <w:t>本次招标活动</w:t>
      </w:r>
      <w:r>
        <w:rPr>
          <w:rFonts w:hint="eastAsia" w:eastAsia="宋体" w:cs="宋体"/>
          <w:color w:val="auto"/>
          <w:sz w:val="24"/>
          <w:szCs w:val="24"/>
          <w:highlight w:val="none"/>
          <w:lang w:eastAsia="zh-CN"/>
        </w:rPr>
        <w:t>。</w:t>
      </w:r>
    </w:p>
    <w:p w14:paraId="56F1A4D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2" w:firstLineChars="200"/>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rPr>
        <w:t>特别提示：</w:t>
      </w:r>
    </w:p>
    <w:p w14:paraId="75526C4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cs="宋体"/>
          <w:i w:val="0"/>
          <w:iCs w:val="0"/>
          <w:caps w:val="0"/>
          <w:color w:val="auto"/>
          <w:spacing w:val="0"/>
          <w:sz w:val="24"/>
          <w:szCs w:val="24"/>
          <w:highlight w:val="none"/>
          <w:lang w:eastAsia="zh-CN"/>
        </w:rPr>
        <w:t>1.</w:t>
      </w:r>
      <w:r>
        <w:rPr>
          <w:rFonts w:hint="eastAsia" w:ascii="宋体" w:hAnsi="宋体" w:eastAsia="宋体" w:cs="宋体"/>
          <w:i w:val="0"/>
          <w:iCs w:val="0"/>
          <w:caps w:val="0"/>
          <w:color w:val="auto"/>
          <w:spacing w:val="0"/>
          <w:sz w:val="24"/>
          <w:szCs w:val="24"/>
          <w:highlight w:val="none"/>
        </w:rPr>
        <w:t>采购限额标准以上，200万元以下的货物和服务采购项目、400万元以下的工程采购项目，适宜由中小企业提供的，采购人应当专门面向中小企业采购。</w:t>
      </w:r>
    </w:p>
    <w:p w14:paraId="21C2C08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cs="宋体"/>
          <w:i w:val="0"/>
          <w:iCs w:val="0"/>
          <w:caps w:val="0"/>
          <w:color w:val="auto"/>
          <w:spacing w:val="0"/>
          <w:sz w:val="24"/>
          <w:szCs w:val="24"/>
          <w:highlight w:val="none"/>
          <w:lang w:eastAsia="zh-CN"/>
        </w:rPr>
        <w:t>2.</w:t>
      </w:r>
      <w:r>
        <w:rPr>
          <w:rFonts w:hint="eastAsia" w:ascii="宋体" w:hAnsi="宋体" w:eastAsia="宋体" w:cs="宋体"/>
          <w:i w:val="0"/>
          <w:iCs w:val="0"/>
          <w:caps w:val="0"/>
          <w:color w:val="auto"/>
          <w:spacing w:val="0"/>
          <w:sz w:val="24"/>
          <w:szCs w:val="24"/>
          <w:highlight w:val="none"/>
        </w:rPr>
        <w:t>超过200万元的货物和服务采购项目，预留该部分采购项目预算总额的30%以上专门面向中小企业采购，其中预留给小微企业的比例不低于60%。</w:t>
      </w:r>
    </w:p>
    <w:p w14:paraId="449E8A8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cs="宋体"/>
          <w:i w:val="0"/>
          <w:iCs w:val="0"/>
          <w:caps w:val="0"/>
          <w:color w:val="auto"/>
          <w:spacing w:val="0"/>
          <w:sz w:val="24"/>
          <w:szCs w:val="24"/>
          <w:highlight w:val="none"/>
          <w:lang w:eastAsia="zh-CN"/>
        </w:rPr>
        <w:t>3.</w:t>
      </w:r>
      <w:r>
        <w:rPr>
          <w:rFonts w:hint="eastAsia" w:ascii="宋体" w:hAnsi="宋体" w:eastAsia="宋体" w:cs="宋体"/>
          <w:i w:val="0"/>
          <w:iCs w:val="0"/>
          <w:caps w:val="0"/>
          <w:color w:val="auto"/>
          <w:spacing w:val="0"/>
          <w:sz w:val="24"/>
          <w:szCs w:val="24"/>
          <w:highlight w:val="none"/>
        </w:rPr>
        <w:t>超过400万元的工程采购项目中适宜由中小企业提供的，预留该部分采购项目预算总额的40%以上专门面向中小企业采购，其中预留给小微企业的比例不低于60%。</w:t>
      </w:r>
    </w:p>
    <w:p w14:paraId="5BFE0A3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cs="宋体"/>
          <w:i w:val="0"/>
          <w:iCs w:val="0"/>
          <w:caps w:val="0"/>
          <w:color w:val="auto"/>
          <w:spacing w:val="0"/>
          <w:sz w:val="24"/>
          <w:szCs w:val="24"/>
          <w:highlight w:val="none"/>
          <w:lang w:eastAsia="zh-CN"/>
        </w:rPr>
        <w:t>4.</w:t>
      </w:r>
      <w:r>
        <w:rPr>
          <w:rFonts w:hint="eastAsia" w:ascii="宋体" w:hAnsi="宋体" w:eastAsia="宋体" w:cs="宋体"/>
          <w:i w:val="0"/>
          <w:iCs w:val="0"/>
          <w:caps w:val="0"/>
          <w:color w:val="auto"/>
          <w:spacing w:val="0"/>
          <w:sz w:val="24"/>
          <w:szCs w:val="24"/>
          <w:highlight w:val="none"/>
        </w:rPr>
        <w:t>对于未预留份额专门面向中小企业的采购项目，以及预留份额项目中的非预留部分采购包，采购人、采购代理机构应当对符合规定的小微企业报价给予</w:t>
      </w:r>
      <w:r>
        <w:rPr>
          <w:rFonts w:hint="eastAsia" w:cs="宋体"/>
          <w:i w:val="0"/>
          <w:iCs w:val="0"/>
          <w:caps w:val="0"/>
          <w:color w:val="auto"/>
          <w:spacing w:val="0"/>
          <w:sz w:val="24"/>
          <w:szCs w:val="24"/>
          <w:highlight w:val="none"/>
          <w:lang w:eastAsia="zh-CN"/>
        </w:rPr>
        <w:t>10%～20%</w:t>
      </w:r>
      <w:r>
        <w:rPr>
          <w:rFonts w:hint="eastAsia" w:ascii="宋体" w:hAnsi="宋体" w:eastAsia="宋体" w:cs="宋体"/>
          <w:i w:val="0"/>
          <w:iCs w:val="0"/>
          <w:caps w:val="0"/>
          <w:color w:val="auto"/>
          <w:spacing w:val="0"/>
          <w:sz w:val="24"/>
          <w:szCs w:val="24"/>
          <w:highlight w:val="none"/>
        </w:rPr>
        <w:t>（工程项目为</w:t>
      </w:r>
      <w:r>
        <w:rPr>
          <w:rFonts w:hint="eastAsia" w:cs="宋体"/>
          <w:i w:val="0"/>
          <w:iCs w:val="0"/>
          <w:caps w:val="0"/>
          <w:color w:val="auto"/>
          <w:spacing w:val="0"/>
          <w:sz w:val="24"/>
          <w:szCs w:val="24"/>
          <w:highlight w:val="none"/>
          <w:lang w:eastAsia="zh-CN"/>
        </w:rPr>
        <w:t>3%～5%</w:t>
      </w:r>
      <w:r>
        <w:rPr>
          <w:rFonts w:hint="eastAsia" w:ascii="宋体" w:hAnsi="宋体" w:eastAsia="宋体" w:cs="宋体"/>
          <w:i w:val="0"/>
          <w:iCs w:val="0"/>
          <w:caps w:val="0"/>
          <w:color w:val="auto"/>
          <w:spacing w:val="0"/>
          <w:sz w:val="24"/>
          <w:szCs w:val="24"/>
          <w:highlight w:val="none"/>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cs="宋体"/>
          <w:i w:val="0"/>
          <w:iCs w:val="0"/>
          <w:caps w:val="0"/>
          <w:color w:val="auto"/>
          <w:spacing w:val="0"/>
          <w:sz w:val="24"/>
          <w:szCs w:val="24"/>
          <w:highlight w:val="none"/>
          <w:lang w:eastAsia="zh-CN"/>
        </w:rPr>
        <w:t>3%～5%</w:t>
      </w:r>
      <w:r>
        <w:rPr>
          <w:rFonts w:hint="eastAsia" w:ascii="宋体" w:hAnsi="宋体" w:eastAsia="宋体" w:cs="宋体"/>
          <w:i w:val="0"/>
          <w:iCs w:val="0"/>
          <w:caps w:val="0"/>
          <w:color w:val="auto"/>
          <w:spacing w:val="0"/>
          <w:sz w:val="24"/>
          <w:szCs w:val="24"/>
          <w:highlight w:val="none"/>
        </w:rPr>
        <w:t>作为其价格分。</w:t>
      </w:r>
    </w:p>
    <w:p w14:paraId="45DB134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cs="宋体"/>
          <w:i w:val="0"/>
          <w:iCs w:val="0"/>
          <w:caps w:val="0"/>
          <w:color w:val="auto"/>
          <w:spacing w:val="0"/>
          <w:sz w:val="24"/>
          <w:szCs w:val="24"/>
          <w:highlight w:val="none"/>
          <w:lang w:eastAsia="zh-CN"/>
        </w:rPr>
        <w:t>5.</w:t>
      </w:r>
      <w:r>
        <w:rPr>
          <w:rFonts w:hint="eastAsia" w:ascii="宋体" w:hAnsi="宋体" w:eastAsia="宋体" w:cs="宋体"/>
          <w:i w:val="0"/>
          <w:iCs w:val="0"/>
          <w:caps w:val="0"/>
          <w:color w:val="auto"/>
          <w:spacing w:val="0"/>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cs="宋体"/>
          <w:i w:val="0"/>
          <w:iCs w:val="0"/>
          <w:caps w:val="0"/>
          <w:color w:val="auto"/>
          <w:spacing w:val="0"/>
          <w:sz w:val="24"/>
          <w:szCs w:val="24"/>
          <w:highlight w:val="none"/>
          <w:lang w:eastAsia="zh-CN"/>
        </w:rPr>
        <w:t>4%～6%</w:t>
      </w:r>
      <w:r>
        <w:rPr>
          <w:rFonts w:hint="eastAsia" w:ascii="宋体" w:hAnsi="宋体" w:eastAsia="宋体" w:cs="宋体"/>
          <w:i w:val="0"/>
          <w:iCs w:val="0"/>
          <w:caps w:val="0"/>
          <w:color w:val="auto"/>
          <w:spacing w:val="0"/>
          <w:sz w:val="24"/>
          <w:szCs w:val="24"/>
          <w:highlight w:val="none"/>
        </w:rPr>
        <w:t>（工程项目为</w:t>
      </w:r>
      <w:r>
        <w:rPr>
          <w:rFonts w:hint="eastAsia" w:cs="宋体"/>
          <w:i w:val="0"/>
          <w:iCs w:val="0"/>
          <w:caps w:val="0"/>
          <w:color w:val="auto"/>
          <w:spacing w:val="0"/>
          <w:sz w:val="24"/>
          <w:szCs w:val="24"/>
          <w:highlight w:val="none"/>
          <w:lang w:eastAsia="zh-CN"/>
        </w:rPr>
        <w:t>1%～2%</w:t>
      </w:r>
      <w:r>
        <w:rPr>
          <w:rFonts w:hint="eastAsia" w:ascii="宋体" w:hAnsi="宋体" w:eastAsia="宋体" w:cs="宋体"/>
          <w:i w:val="0"/>
          <w:iCs w:val="0"/>
          <w:caps w:val="0"/>
          <w:color w:val="auto"/>
          <w:spacing w:val="0"/>
          <w:sz w:val="24"/>
          <w:szCs w:val="24"/>
          <w:highlight w:val="none"/>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cs="宋体"/>
          <w:i w:val="0"/>
          <w:iCs w:val="0"/>
          <w:caps w:val="0"/>
          <w:color w:val="auto"/>
          <w:spacing w:val="0"/>
          <w:sz w:val="24"/>
          <w:szCs w:val="24"/>
          <w:highlight w:val="none"/>
          <w:lang w:eastAsia="zh-CN"/>
        </w:rPr>
        <w:t>1%～2%</w:t>
      </w:r>
      <w:r>
        <w:rPr>
          <w:rFonts w:hint="eastAsia" w:ascii="宋体" w:hAnsi="宋体" w:eastAsia="宋体" w:cs="宋体"/>
          <w:i w:val="0"/>
          <w:iCs w:val="0"/>
          <w:caps w:val="0"/>
          <w:color w:val="auto"/>
          <w:spacing w:val="0"/>
          <w:sz w:val="24"/>
          <w:szCs w:val="24"/>
          <w:highlight w:val="none"/>
        </w:rPr>
        <w:t>作为其价格分。</w:t>
      </w:r>
    </w:p>
    <w:p w14:paraId="09F80C80">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80" w:firstLineChars="200"/>
        <w:jc w:val="both"/>
        <w:textAlignment w:val="auto"/>
        <w:rPr>
          <w:rFonts w:hint="eastAsia" w:eastAsia="宋体" w:cs="宋体"/>
          <w:color w:val="auto"/>
          <w:sz w:val="24"/>
          <w:szCs w:val="24"/>
          <w:highlight w:val="none"/>
          <w:lang w:eastAsia="zh-CN"/>
        </w:rPr>
      </w:pPr>
    </w:p>
    <w:p w14:paraId="7C90BD40">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jc w:val="both"/>
        <w:textAlignment w:val="auto"/>
        <w:rPr>
          <w:rFonts w:hint="eastAsia" w:ascii="宋体" w:hAnsi="宋体" w:eastAsia="宋体" w:cs="宋体"/>
          <w:color w:val="auto"/>
          <w:sz w:val="24"/>
          <w:szCs w:val="24"/>
          <w:highlight w:val="none"/>
        </w:rPr>
      </w:pPr>
      <w:r>
        <w:rPr>
          <w:rStyle w:val="35"/>
          <w:rFonts w:hint="eastAsia" w:ascii="宋体" w:hAnsi="宋体" w:eastAsia="宋体" w:cs="宋体"/>
          <w:color w:val="auto"/>
          <w:sz w:val="24"/>
          <w:szCs w:val="24"/>
          <w:highlight w:val="none"/>
        </w:rPr>
        <w:t>七、对本次采购提出询问，请按以下方式联系</w:t>
      </w:r>
    </w:p>
    <w:p w14:paraId="00780FDA">
      <w:pPr>
        <w:pStyle w:val="8"/>
        <w:keepNext w:val="0"/>
        <w:keepLines w:val="0"/>
        <w:pageBreakBefore w:val="0"/>
        <w:widowControl w:val="0"/>
        <w:kinsoku/>
        <w:overflowPunct/>
        <w:topLinePunct w:val="0"/>
        <w:autoSpaceDE w:val="0"/>
        <w:autoSpaceDN w:val="0"/>
        <w:bidi w:val="0"/>
        <w:adjustRightInd/>
        <w:snapToGrid/>
        <w:spacing w:before="0" w:beforeAutospacing="0" w:after="0" w:afterAutospacing="0" w:line="460" w:lineRule="exact"/>
        <w:ind w:right="96" w:rightChars="40"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0611BB91">
      <w:pPr>
        <w:pStyle w:val="8"/>
        <w:widowControl w:val="0"/>
        <w:autoSpaceDE w:val="0"/>
        <w:autoSpaceDN w:val="0"/>
        <w:spacing w:before="0" w:beforeAutospacing="0" w:after="0" w:afterAutospacing="0" w:line="460" w:lineRule="exact"/>
        <w:ind w:right="96" w:rightChars="40" w:firstLine="480"/>
        <w:rPr>
          <w:rFonts w:hint="eastAsia"/>
          <w:color w:val="auto"/>
          <w:highlight w:val="none"/>
        </w:rPr>
      </w:pPr>
      <w:r>
        <w:rPr>
          <w:rFonts w:hint="eastAsia"/>
          <w:color w:val="auto"/>
          <w:highlight w:val="none"/>
        </w:rPr>
        <w:t>名 称：</w:t>
      </w:r>
      <w:r>
        <w:rPr>
          <w:rFonts w:hint="eastAsia"/>
          <w:color w:val="auto"/>
          <w:highlight w:val="none"/>
          <w:lang w:eastAsia="zh-CN"/>
        </w:rPr>
        <w:t>新疆维吾尔自治区福利彩票发行中心</w:t>
      </w:r>
      <w:r>
        <w:rPr>
          <w:rFonts w:hint="eastAsia"/>
          <w:color w:val="auto"/>
          <w:highlight w:val="none"/>
        </w:rPr>
        <w:t xml:space="preserve"> </w:t>
      </w:r>
    </w:p>
    <w:p w14:paraId="23ED8B76">
      <w:pPr>
        <w:pStyle w:val="8"/>
        <w:widowControl w:val="0"/>
        <w:autoSpaceDE w:val="0"/>
        <w:autoSpaceDN w:val="0"/>
        <w:spacing w:before="0" w:beforeAutospacing="0" w:after="0" w:afterAutospacing="0" w:line="460" w:lineRule="exact"/>
        <w:ind w:right="96" w:rightChars="40" w:firstLine="480"/>
        <w:rPr>
          <w:rFonts w:hint="eastAsia" w:eastAsia="宋体"/>
          <w:color w:val="auto"/>
          <w:highlight w:val="none"/>
          <w:lang w:eastAsia="zh-CN"/>
        </w:rPr>
      </w:pPr>
      <w:r>
        <w:rPr>
          <w:rFonts w:hint="eastAsia"/>
          <w:color w:val="auto"/>
          <w:highlight w:val="none"/>
        </w:rPr>
        <w:t>地 址：乌鲁木齐市阳澄湖路225号</w:t>
      </w:r>
      <w:r>
        <w:rPr>
          <w:rFonts w:hint="eastAsia"/>
          <w:color w:val="auto"/>
          <w:highlight w:val="none"/>
          <w:lang w:eastAsia="zh-CN"/>
        </w:rPr>
        <w:t>新疆福彩</w:t>
      </w:r>
    </w:p>
    <w:p w14:paraId="14B6CF37">
      <w:pPr>
        <w:pStyle w:val="8"/>
        <w:widowControl w:val="0"/>
        <w:autoSpaceDE w:val="0"/>
        <w:autoSpaceDN w:val="0"/>
        <w:spacing w:before="0" w:beforeAutospacing="0" w:after="0" w:afterAutospacing="0" w:line="460" w:lineRule="exact"/>
        <w:ind w:right="96" w:rightChars="40" w:firstLine="480"/>
        <w:rPr>
          <w:rFonts w:hint="eastAsia" w:eastAsia="宋体"/>
          <w:color w:val="auto"/>
          <w:highlight w:val="none"/>
          <w:lang w:eastAsia="zh-CN"/>
        </w:rPr>
      </w:pPr>
      <w:r>
        <w:rPr>
          <w:rFonts w:hint="eastAsia"/>
          <w:color w:val="auto"/>
          <w:highlight w:val="none"/>
        </w:rPr>
        <w:t>项目联系人：</w:t>
      </w:r>
      <w:r>
        <w:rPr>
          <w:rFonts w:hint="eastAsia"/>
          <w:color w:val="auto"/>
          <w:highlight w:val="none"/>
          <w:lang w:val="en-US" w:eastAsia="zh-CN"/>
        </w:rPr>
        <w:t>美丽</w:t>
      </w:r>
    </w:p>
    <w:p w14:paraId="3386BA56">
      <w:pPr>
        <w:pStyle w:val="8"/>
        <w:widowControl w:val="0"/>
        <w:autoSpaceDE w:val="0"/>
        <w:autoSpaceDN w:val="0"/>
        <w:spacing w:before="0" w:beforeAutospacing="0" w:after="0" w:afterAutospacing="0" w:line="460" w:lineRule="exact"/>
        <w:ind w:right="96" w:rightChars="40" w:firstLine="480"/>
        <w:rPr>
          <w:rFonts w:hint="eastAsia"/>
          <w:color w:val="auto"/>
          <w:highlight w:val="none"/>
        </w:rPr>
      </w:pPr>
      <w:r>
        <w:rPr>
          <w:rFonts w:hint="eastAsia"/>
          <w:color w:val="auto"/>
          <w:highlight w:val="none"/>
        </w:rPr>
        <w:t xml:space="preserve">项目联系方式：0991-3075620  </w:t>
      </w:r>
    </w:p>
    <w:p w14:paraId="3926C545">
      <w:pPr>
        <w:pStyle w:val="8"/>
        <w:widowControl w:val="0"/>
        <w:autoSpaceDE w:val="0"/>
        <w:autoSpaceDN w:val="0"/>
        <w:spacing w:before="0" w:beforeAutospacing="0" w:after="0" w:afterAutospacing="0" w:line="460" w:lineRule="exact"/>
        <w:ind w:right="96" w:rightChars="40" w:firstLine="480"/>
        <w:rPr>
          <w:rFonts w:hint="eastAsia"/>
          <w:color w:val="auto"/>
          <w:highlight w:val="none"/>
        </w:rPr>
      </w:pPr>
      <w:r>
        <w:rPr>
          <w:rFonts w:hint="eastAsia"/>
          <w:color w:val="auto"/>
          <w:highlight w:val="none"/>
        </w:rPr>
        <w:t>2.采购代理机构信息</w:t>
      </w:r>
    </w:p>
    <w:p w14:paraId="5A663C81">
      <w:pPr>
        <w:pStyle w:val="8"/>
        <w:widowControl w:val="0"/>
        <w:autoSpaceDE w:val="0"/>
        <w:autoSpaceDN w:val="0"/>
        <w:spacing w:before="0" w:beforeAutospacing="0" w:after="0" w:afterAutospacing="0" w:line="460" w:lineRule="exact"/>
        <w:ind w:right="96" w:rightChars="40" w:firstLine="480"/>
        <w:rPr>
          <w:rFonts w:hint="eastAsia" w:eastAsia="宋体"/>
          <w:color w:val="auto"/>
          <w:highlight w:val="none"/>
          <w:lang w:eastAsia="zh-CN"/>
        </w:rPr>
      </w:pPr>
      <w:r>
        <w:rPr>
          <w:rFonts w:hint="eastAsia"/>
          <w:color w:val="auto"/>
          <w:highlight w:val="none"/>
        </w:rPr>
        <w:t>名 称：</w:t>
      </w:r>
      <w:r>
        <w:rPr>
          <w:rFonts w:hint="eastAsia"/>
          <w:color w:val="auto"/>
          <w:highlight w:val="none"/>
          <w:lang w:eastAsia="zh-CN"/>
        </w:rPr>
        <w:t>新疆世嘉工程项目管理有限公司</w:t>
      </w:r>
    </w:p>
    <w:p w14:paraId="7ED132DE">
      <w:pPr>
        <w:pStyle w:val="8"/>
        <w:widowControl w:val="0"/>
        <w:autoSpaceDE w:val="0"/>
        <w:autoSpaceDN w:val="0"/>
        <w:spacing w:before="0" w:beforeAutospacing="0" w:after="0" w:afterAutospacing="0" w:line="460" w:lineRule="exact"/>
        <w:ind w:right="96" w:rightChars="40" w:firstLine="480"/>
        <w:rPr>
          <w:rFonts w:hint="default" w:eastAsia="宋体"/>
          <w:color w:val="auto"/>
          <w:highlight w:val="none"/>
          <w:lang w:val="en-US" w:eastAsia="zh-CN"/>
        </w:rPr>
      </w:pPr>
      <w:r>
        <w:rPr>
          <w:rFonts w:hint="eastAsia"/>
          <w:color w:val="auto"/>
          <w:highlight w:val="none"/>
        </w:rPr>
        <w:t>地 址：</w:t>
      </w:r>
      <w:r>
        <w:rPr>
          <w:rFonts w:hint="eastAsia" w:cs="宋体"/>
          <w:color w:val="auto"/>
          <w:kern w:val="2"/>
          <w:sz w:val="24"/>
          <w:szCs w:val="24"/>
          <w:highlight w:val="none"/>
          <w:lang w:val="en-US" w:eastAsia="zh-CN" w:bidi="ar-SA"/>
        </w:rPr>
        <w:t>新疆乌鲁木齐市水磨沟区会展大道555 号星耀天都商住小区4 号楼A-1503 号</w:t>
      </w:r>
    </w:p>
    <w:p w14:paraId="739BD650">
      <w:pPr>
        <w:pStyle w:val="8"/>
        <w:widowControl w:val="0"/>
        <w:autoSpaceDE w:val="0"/>
        <w:autoSpaceDN w:val="0"/>
        <w:spacing w:before="0" w:beforeAutospacing="0" w:after="0" w:afterAutospacing="0" w:line="460" w:lineRule="exact"/>
        <w:ind w:right="96" w:rightChars="40" w:firstLine="480"/>
        <w:rPr>
          <w:rFonts w:hint="default" w:eastAsia="宋体"/>
          <w:color w:val="auto"/>
          <w:highlight w:val="none"/>
          <w:lang w:val="en-US" w:eastAsia="zh-CN"/>
        </w:rPr>
      </w:pPr>
      <w:r>
        <w:rPr>
          <w:rFonts w:hint="eastAsia"/>
          <w:color w:val="auto"/>
          <w:highlight w:val="none"/>
        </w:rPr>
        <w:t>联系人：</w:t>
      </w:r>
      <w:r>
        <w:rPr>
          <w:rStyle w:val="39"/>
          <w:rFonts w:hint="eastAsia"/>
          <w:color w:val="auto"/>
          <w:highlight w:val="none"/>
          <w:lang w:val="en-US" w:eastAsia="zh-CN"/>
        </w:rPr>
        <w:t>赖骏杰</w:t>
      </w:r>
    </w:p>
    <w:p w14:paraId="73F4247D">
      <w:pPr>
        <w:pStyle w:val="8"/>
        <w:widowControl w:val="0"/>
        <w:autoSpaceDE w:val="0"/>
        <w:autoSpaceDN w:val="0"/>
        <w:spacing w:before="0" w:beforeAutospacing="0" w:after="0" w:afterAutospacing="0" w:line="460" w:lineRule="exact"/>
        <w:ind w:right="96" w:rightChars="40" w:firstLine="480"/>
        <w:rPr>
          <w:rStyle w:val="39"/>
          <w:rFonts w:hint="default" w:ascii="宋体" w:hAnsi="宋体" w:eastAsia="宋体"/>
          <w:color w:val="auto"/>
          <w:highlight w:val="none"/>
          <w:lang w:val="en-US" w:eastAsia="zh-CN"/>
        </w:rPr>
      </w:pPr>
      <w:r>
        <w:rPr>
          <w:rStyle w:val="39"/>
          <w:rFonts w:hint="eastAsia" w:ascii="宋体" w:hAnsi="宋体"/>
          <w:color w:val="auto"/>
          <w:highlight w:val="none"/>
        </w:rPr>
        <w:t>联系方式</w:t>
      </w:r>
      <w:r>
        <w:rPr>
          <w:rFonts w:hint="eastAsia"/>
          <w:color w:val="auto"/>
          <w:highlight w:val="none"/>
        </w:rPr>
        <w:t>：</w:t>
      </w:r>
      <w:r>
        <w:rPr>
          <w:rFonts w:hint="eastAsia"/>
          <w:color w:val="auto"/>
          <w:highlight w:val="none"/>
          <w:lang w:val="en-US" w:eastAsia="zh-CN"/>
        </w:rPr>
        <w:t>18599078265</w:t>
      </w:r>
    </w:p>
    <w:p w14:paraId="27BFC3B9">
      <w:pPr>
        <w:pStyle w:val="8"/>
        <w:widowControl w:val="0"/>
        <w:autoSpaceDE w:val="0"/>
        <w:autoSpaceDN w:val="0"/>
        <w:spacing w:before="0" w:beforeAutospacing="0" w:after="0" w:afterAutospacing="0" w:line="460" w:lineRule="exact"/>
        <w:ind w:right="96" w:rightChars="40" w:firstLine="480"/>
        <w:rPr>
          <w:rFonts w:hint="eastAsia"/>
          <w:color w:val="auto"/>
          <w:highlight w:val="none"/>
        </w:rPr>
      </w:pPr>
      <w:r>
        <w:rPr>
          <w:rFonts w:hint="eastAsia"/>
          <w:color w:val="auto"/>
          <w:highlight w:val="none"/>
        </w:rPr>
        <w:t>3.项目联系方式</w:t>
      </w:r>
    </w:p>
    <w:p w14:paraId="60009C67">
      <w:pPr>
        <w:pStyle w:val="8"/>
        <w:widowControl w:val="0"/>
        <w:autoSpaceDE w:val="0"/>
        <w:autoSpaceDN w:val="0"/>
        <w:spacing w:before="0" w:beforeAutospacing="0" w:after="0" w:afterAutospacing="0" w:line="460" w:lineRule="exact"/>
        <w:ind w:right="96" w:rightChars="40" w:firstLine="480"/>
        <w:rPr>
          <w:rStyle w:val="39"/>
          <w:rFonts w:hint="eastAsia" w:ascii="宋体" w:hAnsi="宋体" w:eastAsia="宋体"/>
          <w:color w:val="auto"/>
          <w:highlight w:val="none"/>
          <w:lang w:eastAsia="zh-CN"/>
        </w:rPr>
      </w:pPr>
      <w:r>
        <w:rPr>
          <w:rFonts w:hint="eastAsia"/>
          <w:color w:val="auto"/>
          <w:highlight w:val="none"/>
        </w:rPr>
        <w:t>项目联系人：</w:t>
      </w:r>
      <w:r>
        <w:rPr>
          <w:rStyle w:val="39"/>
          <w:rFonts w:hint="eastAsia"/>
          <w:color w:val="auto"/>
          <w:highlight w:val="none"/>
          <w:lang w:val="en-US" w:eastAsia="zh-CN"/>
        </w:rPr>
        <w:t>赖骏杰</w:t>
      </w:r>
    </w:p>
    <w:p w14:paraId="3F7551B7">
      <w:pPr>
        <w:pStyle w:val="8"/>
        <w:widowControl w:val="0"/>
        <w:autoSpaceDE w:val="0"/>
        <w:autoSpaceDN w:val="0"/>
        <w:spacing w:before="0" w:beforeAutospacing="0" w:after="0" w:afterAutospacing="0" w:line="460" w:lineRule="exact"/>
        <w:ind w:right="96" w:rightChars="40" w:firstLine="480"/>
        <w:rPr>
          <w:rFonts w:hint="eastAsia"/>
          <w:color w:val="auto"/>
          <w:highlight w:val="none"/>
        </w:rPr>
      </w:pPr>
      <w:r>
        <w:rPr>
          <w:rFonts w:hint="eastAsia"/>
          <w:color w:val="auto"/>
          <w:highlight w:val="none"/>
        </w:rPr>
        <w:t>电 话：</w:t>
      </w:r>
      <w:r>
        <w:rPr>
          <w:rFonts w:hint="eastAsia"/>
          <w:color w:val="auto"/>
          <w:highlight w:val="none"/>
          <w:lang w:val="en-US" w:eastAsia="zh-CN"/>
        </w:rPr>
        <w:t>18599078265</w:t>
      </w:r>
    </w:p>
    <w:p w14:paraId="5677FE5F">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41C97E25">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6A2564B9">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1C742FD9">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3BCD75CA">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 w:name="_Toc5645"/>
      <w:bookmarkStart w:id="4" w:name="_Toc155185867"/>
      <w:r>
        <w:rPr>
          <w:rFonts w:hint="eastAsia" w:ascii="宋体" w:hAnsi="宋体" w:eastAsia="宋体" w:cs="宋体"/>
          <w:b/>
          <w:bCs/>
          <w:color w:val="auto"/>
          <w:kern w:val="44"/>
          <w:sz w:val="36"/>
          <w:szCs w:val="36"/>
          <w:highlight w:val="none"/>
          <w:lang w:val="en-US" w:eastAsia="zh-CN" w:bidi="ar-SA"/>
        </w:rPr>
        <w:t>第二章 投标人须知</w:t>
      </w:r>
      <w:bookmarkEnd w:id="3"/>
      <w:bookmarkEnd w:id="4"/>
    </w:p>
    <w:p w14:paraId="3AF4BC71">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5" w:name="_Toc155185868"/>
      <w:bookmarkStart w:id="6" w:name="_Toc32038"/>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5"/>
      <w:bookmarkEnd w:id="6"/>
    </w:p>
    <w:p w14:paraId="5E85B11A">
      <w:pPr>
        <w:pStyle w:val="41"/>
        <w:keepNext w:val="0"/>
        <w:keepLines w:val="0"/>
        <w:pageBreakBefore w:val="0"/>
        <w:widowControl w:val="0"/>
        <w:kinsoku/>
        <w:overflowPunct/>
        <w:topLinePunct w:val="0"/>
        <w:autoSpaceDE/>
        <w:autoSpaceDN/>
        <w:bidi w:val="0"/>
        <w:adjustRightInd/>
        <w:snapToGrid/>
        <w:textAlignment w:val="auto"/>
        <w:rPr>
          <w:rFonts w:hint="default" w:eastAsia="宋体"/>
          <w:color w:val="auto"/>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ascii="宋体" w:hAnsi="宋体" w:eastAsia="宋体"/>
          <w:color w:val="auto"/>
          <w:highlight w:val="none"/>
          <w:lang w:val="en-US" w:eastAsia="zh-CN"/>
        </w:rPr>
        <w:t>。</w:t>
      </w:r>
    </w:p>
    <w:tbl>
      <w:tblPr>
        <w:tblStyle w:val="32"/>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218EEB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ACBFDFA">
            <w:pPr>
              <w:pStyle w:val="53"/>
              <w:keepNext w:val="0"/>
              <w:keepLines w:val="0"/>
              <w:pageBreakBefore w:val="0"/>
              <w:kinsoku/>
              <w:wordWrap/>
              <w:overflowPunct/>
              <w:topLinePunct w:val="0"/>
              <w:bidi w:val="0"/>
              <w:adjustRightInd/>
              <w:snapToGrid/>
              <w:spacing w:line="360" w:lineRule="atLeas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53BA966">
            <w:pPr>
              <w:pStyle w:val="53"/>
              <w:keepNext w:val="0"/>
              <w:keepLines w:val="0"/>
              <w:pageBreakBefore w:val="0"/>
              <w:kinsoku/>
              <w:wordWrap/>
              <w:overflowPunct/>
              <w:topLinePunct w:val="0"/>
              <w:bidi w:val="0"/>
              <w:adjustRightInd/>
              <w:snapToGrid/>
              <w:spacing w:line="360" w:lineRule="atLeas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F97E93A">
            <w:pPr>
              <w:pStyle w:val="53"/>
              <w:keepNext w:val="0"/>
              <w:keepLines w:val="0"/>
              <w:pageBreakBefore w:val="0"/>
              <w:kinsoku/>
              <w:wordWrap/>
              <w:overflowPunct/>
              <w:topLinePunct w:val="0"/>
              <w:bidi w:val="0"/>
              <w:adjustRightInd/>
              <w:snapToGrid/>
              <w:spacing w:line="360" w:lineRule="atLeas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1BCEAC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46E3A96B">
            <w:pPr>
              <w:pStyle w:val="53"/>
              <w:jc w:val="center"/>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2.2</w:t>
            </w:r>
          </w:p>
        </w:tc>
        <w:tc>
          <w:tcPr>
            <w:tcW w:w="1738" w:type="dxa"/>
            <w:shd w:val="clear" w:color="auto" w:fill="auto"/>
            <w:vAlign w:val="center"/>
          </w:tcPr>
          <w:p w14:paraId="7F491470">
            <w:pPr>
              <w:pStyle w:val="53"/>
              <w:rPr>
                <w:rFonts w:hint="eastAsia" w:ascii="宋体" w:hAnsi="宋体" w:eastAsia="宋体" w:cs="宋体"/>
                <w:color w:val="auto"/>
                <w:kern w:val="2"/>
                <w:sz w:val="24"/>
                <w:szCs w:val="24"/>
                <w:highlight w:val="none"/>
                <w:lang w:val="en-US" w:eastAsia="zh-CN" w:bidi="ar-SA"/>
              </w:rPr>
            </w:pPr>
            <w:r>
              <w:rPr>
                <w:rFonts w:hint="eastAsia" w:cs="宋体"/>
                <w:i w:val="0"/>
                <w:iCs w:val="0"/>
                <w:color w:val="auto"/>
                <w:sz w:val="24"/>
                <w:szCs w:val="24"/>
                <w:highlight w:val="none"/>
                <w:lang w:val="en-US" w:eastAsia="zh-CN"/>
              </w:rPr>
              <w:t>采购人</w:t>
            </w:r>
          </w:p>
        </w:tc>
        <w:tc>
          <w:tcPr>
            <w:tcW w:w="6700" w:type="dxa"/>
            <w:shd w:val="clear" w:color="auto" w:fill="auto"/>
            <w:vAlign w:val="center"/>
          </w:tcPr>
          <w:p w14:paraId="7A7329F6">
            <w:pPr>
              <w:pStyle w:val="5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名 称：新疆维吾尔自治区福利彩票发行中心 </w:t>
            </w:r>
          </w:p>
          <w:p w14:paraId="4ECC85AE">
            <w:pPr>
              <w:pStyle w:val="5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地 址：乌鲁木齐市阳澄湖路225号</w:t>
            </w:r>
            <w:r>
              <w:rPr>
                <w:rFonts w:hint="eastAsia" w:cs="宋体"/>
                <w:color w:val="auto"/>
                <w:kern w:val="2"/>
                <w:sz w:val="24"/>
                <w:szCs w:val="24"/>
                <w:highlight w:val="none"/>
                <w:lang w:val="en-US" w:eastAsia="zh-CN" w:bidi="ar-SA"/>
              </w:rPr>
              <w:t>新疆福彩</w:t>
            </w:r>
          </w:p>
          <w:p w14:paraId="4A2D863A">
            <w:pPr>
              <w:pStyle w:val="5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项目联系人：</w:t>
            </w:r>
            <w:r>
              <w:rPr>
                <w:rFonts w:hint="eastAsia" w:cs="宋体"/>
                <w:color w:val="auto"/>
                <w:kern w:val="2"/>
                <w:sz w:val="24"/>
                <w:szCs w:val="24"/>
                <w:highlight w:val="none"/>
                <w:lang w:val="en-US" w:eastAsia="zh-CN" w:bidi="ar-SA"/>
              </w:rPr>
              <w:t>美丽</w:t>
            </w:r>
          </w:p>
          <w:p w14:paraId="440601BA">
            <w:pPr>
              <w:pStyle w:val="5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项目联系方式：0991-3075620 </w:t>
            </w:r>
          </w:p>
        </w:tc>
      </w:tr>
      <w:tr w14:paraId="6BA9BF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vAlign w:val="center"/>
          </w:tcPr>
          <w:p w14:paraId="2E3D3F4B">
            <w:pPr>
              <w:pStyle w:val="53"/>
              <w:jc w:val="center"/>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2.3</w:t>
            </w:r>
          </w:p>
        </w:tc>
        <w:tc>
          <w:tcPr>
            <w:tcW w:w="1738" w:type="dxa"/>
            <w:shd w:val="clear" w:color="auto" w:fill="auto"/>
            <w:vAlign w:val="center"/>
          </w:tcPr>
          <w:p w14:paraId="281F3605">
            <w:pPr>
              <w:pStyle w:val="53"/>
              <w:rPr>
                <w:rFonts w:hint="eastAsia" w:ascii="宋体" w:hAnsi="宋体" w:eastAsia="宋体" w:cs="宋体"/>
                <w:color w:val="auto"/>
                <w:sz w:val="24"/>
                <w:szCs w:val="24"/>
                <w:highlight w:val="none"/>
                <w:lang w:val="en-US" w:eastAsia="zh-CN"/>
              </w:rPr>
            </w:pPr>
            <w:r>
              <w:rPr>
                <w:rFonts w:hint="eastAsia" w:cs="宋体"/>
                <w:i w:val="0"/>
                <w:iCs w:val="0"/>
                <w:color w:val="auto"/>
                <w:sz w:val="24"/>
                <w:szCs w:val="24"/>
                <w:highlight w:val="none"/>
                <w:lang w:val="en-US" w:eastAsia="zh-CN"/>
              </w:rPr>
              <w:t>采购代理</w:t>
            </w:r>
          </w:p>
        </w:tc>
        <w:tc>
          <w:tcPr>
            <w:tcW w:w="6700" w:type="dxa"/>
            <w:shd w:val="clear" w:color="auto" w:fill="auto"/>
            <w:vAlign w:val="center"/>
          </w:tcPr>
          <w:p w14:paraId="0F850B2C">
            <w:pPr>
              <w:pStyle w:val="5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名 称：新疆世嘉工程项目管理有限公司</w:t>
            </w:r>
          </w:p>
          <w:p w14:paraId="28C25853">
            <w:pPr>
              <w:pStyle w:val="5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地 址：新疆乌鲁木齐市水磨沟区会展大道555 号星耀天都商住小区4 号楼A-1503 号</w:t>
            </w:r>
          </w:p>
          <w:p w14:paraId="35F89A44">
            <w:pPr>
              <w:pStyle w:val="5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联系人：赖骏杰</w:t>
            </w:r>
          </w:p>
          <w:p w14:paraId="20CCB15C">
            <w:pPr>
              <w:pStyle w:val="5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联系方式：18599078265</w:t>
            </w:r>
          </w:p>
        </w:tc>
      </w:tr>
      <w:tr w14:paraId="6120DD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25" w:hRule="atLeast"/>
        </w:trPr>
        <w:tc>
          <w:tcPr>
            <w:tcW w:w="970" w:type="dxa"/>
            <w:shd w:val="clear" w:color="auto" w:fill="auto"/>
            <w:vAlign w:val="center"/>
          </w:tcPr>
          <w:p w14:paraId="79368627">
            <w:pPr>
              <w:pStyle w:val="53"/>
              <w:keepNext w:val="0"/>
              <w:keepLines w:val="0"/>
              <w:pageBreakBefore w:val="0"/>
              <w:kinsoku/>
              <w:wordWrap/>
              <w:overflowPunct/>
              <w:topLinePunct w:val="0"/>
              <w:bidi w:val="0"/>
              <w:adjustRightInd/>
              <w:snapToGrid/>
              <w:spacing w:line="360" w:lineRule="atLeas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2.5</w:t>
            </w:r>
          </w:p>
        </w:tc>
        <w:tc>
          <w:tcPr>
            <w:tcW w:w="1738" w:type="dxa"/>
            <w:shd w:val="clear" w:color="auto" w:fill="auto"/>
            <w:vAlign w:val="center"/>
          </w:tcPr>
          <w:p w14:paraId="7CFB48EC">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服务包含的内容</w:t>
            </w:r>
          </w:p>
        </w:tc>
        <w:tc>
          <w:tcPr>
            <w:tcW w:w="6700" w:type="dxa"/>
            <w:shd w:val="clear" w:color="auto" w:fill="auto"/>
            <w:vAlign w:val="center"/>
          </w:tcPr>
          <w:p w14:paraId="26119BCD">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以“公益福彩・情暖天山”为主题，策划公益宣传及品牌推广活动。在2026年5月—9月期间，利用周末时间在乌鲁木齐市、克拉玛依市、哈密市、昌吉市、伊宁市、吐鲁番市、塔城市、阿勒泰市、博乐市、库尔勒市、阿克苏市、喀什市、和田市、阿图什市14个城市的商场或户外开展公益地推活动，每个城市各2场，每天一场，不少于28场，每场活动持续时间不少于8小时。具体内容详见采购文件</w:t>
            </w:r>
            <w:r>
              <w:rPr>
                <w:rFonts w:hint="eastAsia" w:ascii="宋体" w:hAnsi="宋体" w:eastAsia="宋体" w:cs="宋体"/>
                <w:color w:val="auto"/>
                <w:kern w:val="2"/>
                <w:sz w:val="24"/>
                <w:szCs w:val="24"/>
                <w:highlight w:val="none"/>
                <w:lang w:val="en-US" w:eastAsia="zh-CN" w:bidi="ar-SA"/>
              </w:rPr>
              <w:t>。</w:t>
            </w:r>
          </w:p>
          <w:p w14:paraId="1C55EA02">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合同履约期限：合同签订后至2026年9月底之前完成。</w:t>
            </w:r>
          </w:p>
        </w:tc>
      </w:tr>
      <w:tr w14:paraId="574B69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6" w:hRule="atLeast"/>
        </w:trPr>
        <w:tc>
          <w:tcPr>
            <w:tcW w:w="970" w:type="dxa"/>
            <w:vAlign w:val="center"/>
          </w:tcPr>
          <w:p w14:paraId="71797540">
            <w:pPr>
              <w:pStyle w:val="53"/>
              <w:keepNext w:val="0"/>
              <w:keepLines w:val="0"/>
              <w:pageBreakBefore w:val="0"/>
              <w:kinsoku/>
              <w:wordWrap/>
              <w:overflowPunct/>
              <w:topLinePunct w:val="0"/>
              <w:bidi w:val="0"/>
              <w:adjustRightInd/>
              <w:snapToGrid/>
              <w:spacing w:line="36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0D2B2D3E">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rPr>
            </w:pPr>
            <w:bookmarkStart w:id="7" w:name="_Hlk143529175"/>
            <w:r>
              <w:rPr>
                <w:rFonts w:hint="eastAsia" w:ascii="宋体" w:hAnsi="宋体" w:eastAsia="宋体" w:cs="宋体"/>
                <w:color w:val="auto"/>
                <w:sz w:val="24"/>
                <w:szCs w:val="24"/>
                <w:highlight w:val="none"/>
              </w:rPr>
              <w:t>现场考察</w:t>
            </w:r>
            <w:bookmarkEnd w:id="7"/>
          </w:p>
        </w:tc>
        <w:tc>
          <w:tcPr>
            <w:tcW w:w="6700" w:type="dxa"/>
            <w:vAlign w:val="center"/>
          </w:tcPr>
          <w:p w14:paraId="206CA6A4">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tc>
      </w:tr>
      <w:tr w14:paraId="7F1D80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33" w:hRule="atLeast"/>
        </w:trPr>
        <w:tc>
          <w:tcPr>
            <w:tcW w:w="970" w:type="dxa"/>
            <w:shd w:val="clear" w:color="auto" w:fill="auto"/>
            <w:vAlign w:val="center"/>
          </w:tcPr>
          <w:p w14:paraId="1F9BBA10">
            <w:pPr>
              <w:pStyle w:val="53"/>
              <w:keepNext w:val="0"/>
              <w:keepLines w:val="0"/>
              <w:pageBreakBefore w:val="0"/>
              <w:kinsoku/>
              <w:wordWrap/>
              <w:overflowPunct/>
              <w:topLinePunct w:val="0"/>
              <w:bidi w:val="0"/>
              <w:adjustRightInd/>
              <w:snapToGrid/>
              <w:spacing w:line="360" w:lineRule="atLeas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9.5</w:t>
            </w:r>
          </w:p>
        </w:tc>
        <w:tc>
          <w:tcPr>
            <w:tcW w:w="1738" w:type="dxa"/>
            <w:shd w:val="clear" w:color="auto" w:fill="auto"/>
            <w:vAlign w:val="center"/>
          </w:tcPr>
          <w:p w14:paraId="5F75D8CA">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答疑会</w:t>
            </w:r>
          </w:p>
        </w:tc>
        <w:tc>
          <w:tcPr>
            <w:tcW w:w="6700" w:type="dxa"/>
            <w:shd w:val="clear" w:color="auto" w:fill="auto"/>
            <w:vAlign w:val="center"/>
          </w:tcPr>
          <w:p w14:paraId="15A37E97">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不组织</w:t>
            </w:r>
          </w:p>
        </w:tc>
      </w:tr>
      <w:tr w14:paraId="6693E2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5B79718">
            <w:pPr>
              <w:pStyle w:val="53"/>
              <w:keepNext w:val="0"/>
              <w:keepLines w:val="0"/>
              <w:pageBreakBefore w:val="0"/>
              <w:kinsoku/>
              <w:wordWrap/>
              <w:overflowPunct/>
              <w:topLinePunct w:val="0"/>
              <w:bidi w:val="0"/>
              <w:adjustRightInd/>
              <w:snapToGrid/>
              <w:spacing w:line="360" w:lineRule="atLeas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7277FB23">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询问</w:t>
            </w:r>
          </w:p>
        </w:tc>
        <w:tc>
          <w:tcPr>
            <w:tcW w:w="6700" w:type="dxa"/>
            <w:vAlign w:val="center"/>
          </w:tcPr>
          <w:p w14:paraId="48E93F0E">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方式：</w:t>
            </w:r>
          </w:p>
          <w:p w14:paraId="7C948FDA">
            <w:pPr>
              <w:pStyle w:val="53"/>
              <w:keepNext w:val="0"/>
              <w:keepLines w:val="0"/>
              <w:pageBreakBefore w:val="0"/>
              <w:widowControl w:val="0"/>
              <w:kinsoku/>
              <w:wordWrap/>
              <w:overflowPunct/>
              <w:topLinePunct w:val="0"/>
              <w:bidi w:val="0"/>
              <w:adjustRightInd/>
              <w:snapToGrid/>
              <w:spacing w:line="360" w:lineRule="atLeas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在供应商客户端中按照格式填写询问函，并在生成询问函后加盖电子印章提交</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其他询问方式：</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eastAsia="zh-CN"/>
              </w:rPr>
              <w:t>电话（18599078265）或邮箱（</w:t>
            </w:r>
            <w:r>
              <w:rPr>
                <w:rFonts w:hint="eastAsia" w:cs="宋体"/>
                <w:color w:val="auto"/>
                <w:sz w:val="24"/>
                <w:szCs w:val="24"/>
                <w:highlight w:val="none"/>
                <w:u w:val="single"/>
                <w:lang w:val="en-US" w:eastAsia="zh-CN"/>
              </w:rPr>
              <w:t>410029289@qq.com</w:t>
            </w:r>
            <w:r>
              <w:rPr>
                <w:rFonts w:hint="eastAsia"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8D06EF9">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eastAsia="zh-CN"/>
              </w:rPr>
              <w:t>投标文件递交截止时间前</w:t>
            </w:r>
            <w:r>
              <w:rPr>
                <w:rFonts w:hint="eastAsia" w:cs="宋体"/>
                <w:color w:val="auto"/>
                <w:sz w:val="24"/>
                <w:szCs w:val="24"/>
                <w:highlight w:val="none"/>
                <w:u w:val="single"/>
                <w:lang w:val="en-US" w:eastAsia="zh-CN"/>
              </w:rPr>
              <w:t>10天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736EE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03C714F">
            <w:pPr>
              <w:pStyle w:val="53"/>
              <w:keepNext w:val="0"/>
              <w:keepLines w:val="0"/>
              <w:pageBreakBefore w:val="0"/>
              <w:kinsoku/>
              <w:wordWrap/>
              <w:overflowPunct/>
              <w:topLinePunct w:val="0"/>
              <w:bidi w:val="0"/>
              <w:adjustRightInd/>
              <w:snapToGrid/>
              <w:spacing w:line="36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38A53DAF">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3B1DE91A">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2D003F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43D2B9EE">
            <w:pPr>
              <w:pStyle w:val="53"/>
              <w:keepNext w:val="0"/>
              <w:keepLines w:val="0"/>
              <w:pageBreakBefore w:val="0"/>
              <w:kinsoku/>
              <w:wordWrap/>
              <w:overflowPunct/>
              <w:topLinePunct w:val="0"/>
              <w:bidi w:val="0"/>
              <w:adjustRightInd/>
              <w:snapToGrid/>
              <w:spacing w:line="360"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76587B09">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投标保证金</w:t>
            </w:r>
          </w:p>
        </w:tc>
        <w:tc>
          <w:tcPr>
            <w:tcW w:w="6700" w:type="dxa"/>
            <w:vAlign w:val="center"/>
          </w:tcPr>
          <w:p w14:paraId="24A8A96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color w:val="auto"/>
                <w:sz w:val="24"/>
                <w:szCs w:val="24"/>
                <w:highlight w:val="none"/>
              </w:rPr>
            </w:pPr>
            <w:r>
              <w:rPr>
                <w:rFonts w:hint="eastAsia"/>
                <w:color w:val="auto"/>
                <w:sz w:val="24"/>
                <w:szCs w:val="24"/>
                <w:highlight w:val="none"/>
              </w:rPr>
              <w:t>投标保证金：</w:t>
            </w:r>
          </w:p>
          <w:p w14:paraId="2AF8F167">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default"/>
                <w:color w:val="auto"/>
                <w:highlight w:val="none"/>
                <w:lang w:val="en-US" w:eastAsia="zh-CN"/>
              </w:rPr>
            </w:pPr>
            <w:r>
              <w:rPr>
                <w:rFonts w:hint="eastAsia"/>
                <w:color w:val="auto"/>
                <w:sz w:val="24"/>
                <w:szCs w:val="24"/>
                <w:highlight w:val="none"/>
                <w:lang w:val="en-US"/>
              </w:rPr>
              <w:t>标项1</w:t>
            </w:r>
            <w:r>
              <w:rPr>
                <w:rFonts w:hint="eastAsia"/>
                <w:color w:val="auto"/>
                <w:sz w:val="24"/>
                <w:szCs w:val="24"/>
                <w:highlight w:val="none"/>
                <w:lang w:val="en-US" w:eastAsia="zh-CN"/>
              </w:rPr>
              <w:t>:100000元</w:t>
            </w:r>
          </w:p>
          <w:p w14:paraId="1977AB22">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default" w:eastAsia="宋体"/>
                <w:color w:val="auto"/>
                <w:sz w:val="24"/>
                <w:szCs w:val="24"/>
                <w:highlight w:val="none"/>
                <w:lang w:val="en-US" w:eastAsia="zh-CN"/>
              </w:rPr>
            </w:pPr>
            <w:r>
              <w:rPr>
                <w:rFonts w:hint="eastAsia"/>
                <w:color w:val="auto"/>
                <w:sz w:val="24"/>
                <w:szCs w:val="24"/>
                <w:highlight w:val="none"/>
              </w:rPr>
              <w:t>投标保证金缴纳</w:t>
            </w:r>
            <w:r>
              <w:rPr>
                <w:rFonts w:hint="eastAsia"/>
                <w:color w:val="auto"/>
                <w:sz w:val="24"/>
                <w:szCs w:val="24"/>
                <w:highlight w:val="none"/>
                <w:lang w:val="en-US" w:eastAsia="zh-CN"/>
              </w:rPr>
              <w:t>方式：电汇</w:t>
            </w:r>
            <w:r>
              <w:rPr>
                <w:rFonts w:hint="eastAsia"/>
                <w:color w:val="auto"/>
                <w:sz w:val="24"/>
                <w:szCs w:val="24"/>
                <w:highlight w:val="none"/>
              </w:rPr>
              <w:t>、</w:t>
            </w:r>
            <w:r>
              <w:rPr>
                <w:rFonts w:hint="eastAsia"/>
                <w:color w:val="auto"/>
                <w:sz w:val="24"/>
                <w:szCs w:val="24"/>
                <w:highlight w:val="none"/>
                <w:lang w:val="en-US" w:eastAsia="zh-CN"/>
              </w:rPr>
              <w:t>网银</w:t>
            </w:r>
            <w:r>
              <w:rPr>
                <w:rFonts w:hint="eastAsia"/>
                <w:color w:val="auto"/>
                <w:sz w:val="24"/>
                <w:szCs w:val="24"/>
                <w:highlight w:val="none"/>
              </w:rPr>
              <w:t>、</w:t>
            </w:r>
            <w:r>
              <w:rPr>
                <w:rFonts w:hint="eastAsia"/>
                <w:color w:val="auto"/>
                <w:sz w:val="24"/>
                <w:szCs w:val="24"/>
                <w:highlight w:val="none"/>
                <w:lang w:val="en-US" w:eastAsia="zh-CN"/>
              </w:rPr>
              <w:t>保函等其他非现金形式。</w:t>
            </w:r>
          </w:p>
          <w:p w14:paraId="5D65528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color w:val="auto"/>
                <w:sz w:val="24"/>
                <w:szCs w:val="24"/>
                <w:highlight w:val="none"/>
              </w:rPr>
            </w:pPr>
            <w:r>
              <w:rPr>
                <w:rFonts w:hint="eastAsia"/>
                <w:color w:val="auto"/>
                <w:sz w:val="24"/>
                <w:szCs w:val="24"/>
                <w:highlight w:val="none"/>
              </w:rPr>
              <w:t>投标保证金缴纳账号：</w:t>
            </w:r>
          </w:p>
          <w:p w14:paraId="7DAC4BA1">
            <w:pPr>
              <w:widowControl w:val="0"/>
              <w:spacing w:before="120" w:after="0" w:line="240" w:lineRule="auto"/>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开户单位名称：新疆世嘉工程项目管理有限公司</w:t>
            </w:r>
          </w:p>
          <w:p w14:paraId="1278C4C7">
            <w:pPr>
              <w:widowControl w:val="0"/>
              <w:spacing w:before="120" w:after="0" w:line="240" w:lineRule="auto"/>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开户银行：招商银行乌鲁木齐分行迎宾路支行</w:t>
            </w:r>
          </w:p>
          <w:p w14:paraId="5736446C">
            <w:pPr>
              <w:widowControl w:val="0"/>
              <w:spacing w:before="120" w:after="0" w:line="240" w:lineRule="auto"/>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账户账号：991905501810505</w:t>
            </w:r>
          </w:p>
          <w:p w14:paraId="06A38398">
            <w:pPr>
              <w:widowControl w:val="0"/>
              <w:spacing w:before="120" w:after="0" w:line="240" w:lineRule="auto"/>
              <w:jc w:val="both"/>
              <w:rPr>
                <w:rFonts w:hint="eastAsia"/>
                <w:color w:val="auto"/>
                <w:sz w:val="24"/>
                <w:szCs w:val="24"/>
                <w:highlight w:val="none"/>
              </w:rPr>
            </w:pPr>
            <w:r>
              <w:rPr>
                <w:rFonts w:hint="eastAsia" w:ascii="宋体" w:hAnsi="宋体" w:eastAsia="宋体" w:cs="宋体"/>
                <w:b/>
                <w:bCs/>
                <w:color w:val="auto"/>
                <w:kern w:val="2"/>
                <w:sz w:val="24"/>
                <w:szCs w:val="24"/>
                <w:highlight w:val="none"/>
                <w:lang w:val="en-US" w:eastAsia="zh-CN" w:bidi="ar-SA"/>
              </w:rPr>
              <w:t>开户行行号：308881029106</w:t>
            </w:r>
          </w:p>
          <w:p w14:paraId="6C1DCCD7">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b/>
                <w:bCs/>
                <w:color w:val="auto"/>
                <w:sz w:val="24"/>
                <w:szCs w:val="24"/>
                <w:highlight w:val="none"/>
              </w:rPr>
            </w:pPr>
            <w:r>
              <w:rPr>
                <w:rFonts w:hint="eastAsia"/>
                <w:color w:val="auto"/>
                <w:sz w:val="24"/>
                <w:szCs w:val="24"/>
                <w:highlight w:val="none"/>
              </w:rPr>
              <w:t>投标保证金缴纳期限：凡拟参加本次招标项目的供应商，必须在</w:t>
            </w:r>
            <w:r>
              <w:rPr>
                <w:rFonts w:hint="eastAsia"/>
                <w:color w:val="auto"/>
                <w:sz w:val="24"/>
                <w:szCs w:val="24"/>
                <w:highlight w:val="none"/>
                <w:lang w:val="en-US"/>
              </w:rPr>
              <w:t>投标文件递交截止时间之</w:t>
            </w:r>
            <w:r>
              <w:rPr>
                <w:rFonts w:hint="eastAsia"/>
                <w:color w:val="auto"/>
                <w:sz w:val="24"/>
                <w:szCs w:val="24"/>
                <w:highlight w:val="none"/>
              </w:rPr>
              <w:t>前将投标保证金汇入指定账户</w:t>
            </w:r>
            <w:r>
              <w:rPr>
                <w:rFonts w:hint="eastAsia"/>
                <w:b/>
                <w:bCs/>
                <w:color w:val="auto"/>
                <w:sz w:val="24"/>
                <w:szCs w:val="24"/>
                <w:highlight w:val="none"/>
              </w:rPr>
              <w:t>（</w:t>
            </w:r>
            <w:r>
              <w:rPr>
                <w:rFonts w:hint="eastAsia"/>
                <w:b/>
                <w:bCs/>
                <w:color w:val="auto"/>
                <w:sz w:val="24"/>
                <w:szCs w:val="24"/>
                <w:highlight w:val="none"/>
                <w:lang w:val="en-US"/>
              </w:rPr>
              <w:t>以到账为准</w:t>
            </w:r>
            <w:r>
              <w:rPr>
                <w:rFonts w:hint="eastAsia"/>
                <w:b/>
                <w:bCs/>
                <w:color w:val="auto"/>
                <w:sz w:val="24"/>
                <w:szCs w:val="24"/>
                <w:highlight w:val="none"/>
              </w:rPr>
              <w:t>）。</w:t>
            </w:r>
          </w:p>
          <w:p w14:paraId="5E9F0B69">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tLeast"/>
              <w:ind w:left="0" w:right="0"/>
              <w:textAlignment w:val="auto"/>
              <w:rPr>
                <w:rFonts w:hint="eastAsia" w:ascii="宋体" w:hAnsi="宋体" w:eastAsia="宋体" w:cs="宋体"/>
                <w:color w:val="auto"/>
                <w:sz w:val="24"/>
                <w:szCs w:val="24"/>
                <w:highlight w:val="none"/>
              </w:rPr>
            </w:pPr>
            <w:r>
              <w:rPr>
                <w:rFonts w:hint="eastAsia"/>
                <w:b/>
                <w:bCs/>
                <w:color w:val="auto"/>
                <w:sz w:val="24"/>
                <w:szCs w:val="24"/>
                <w:highlight w:val="none"/>
              </w:rPr>
              <w:t>注：供应商缴纳投标保证金时，须备注所投</w:t>
            </w:r>
            <w:r>
              <w:rPr>
                <w:rFonts w:hint="eastAsia"/>
                <w:b/>
                <w:bCs/>
                <w:color w:val="auto"/>
                <w:sz w:val="24"/>
                <w:szCs w:val="24"/>
                <w:highlight w:val="none"/>
                <w:lang w:val="en-US"/>
              </w:rPr>
              <w:t>项目名称</w:t>
            </w:r>
            <w:r>
              <w:rPr>
                <w:rFonts w:hint="eastAsia"/>
                <w:b/>
                <w:bCs/>
                <w:color w:val="auto"/>
                <w:sz w:val="24"/>
                <w:szCs w:val="24"/>
                <w:highlight w:val="none"/>
                <w:lang w:val="en-US" w:eastAsia="zh-CN"/>
              </w:rPr>
              <w:t>（可简写）</w:t>
            </w:r>
            <w:r>
              <w:rPr>
                <w:rFonts w:hint="eastAsia"/>
                <w:b/>
                <w:bCs/>
                <w:color w:val="auto"/>
                <w:sz w:val="24"/>
                <w:szCs w:val="24"/>
                <w:highlight w:val="none"/>
              </w:rPr>
              <w:t>。</w:t>
            </w:r>
            <w:r>
              <w:rPr>
                <w:rFonts w:hint="eastAsia" w:ascii="宋体" w:hAnsi="宋体" w:eastAsia="宋体" w:cs="宋体"/>
                <w:color w:val="auto"/>
                <w:sz w:val="24"/>
                <w:szCs w:val="24"/>
                <w:highlight w:val="none"/>
              </w:rPr>
              <w:t xml:space="preserve">              </w:t>
            </w:r>
          </w:p>
          <w:p w14:paraId="0C0668EA">
            <w:pPr>
              <w:pStyle w:val="57"/>
              <w:keepNext w:val="0"/>
              <w:keepLines w:val="0"/>
              <w:pageBreakBefore w:val="0"/>
              <w:widowControl w:val="0"/>
              <w:shd w:val="clear" w:color="auto" w:fill="auto"/>
              <w:kinsoku/>
              <w:wordWrap/>
              <w:overflowPunct/>
              <w:topLinePunct w:val="0"/>
              <w:autoSpaceDE/>
              <w:autoSpaceDN/>
              <w:bidi w:val="0"/>
              <w:adjustRightInd/>
              <w:snapToGrid/>
              <w:spacing w:line="360" w:lineRule="atLeas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3DB25B9C">
            <w:pPr>
              <w:pStyle w:val="57"/>
              <w:keepNext w:val="0"/>
              <w:keepLines w:val="0"/>
              <w:pageBreakBefore w:val="0"/>
              <w:widowControl w:val="0"/>
              <w:shd w:val="clear" w:color="auto" w:fill="auto"/>
              <w:kinsoku/>
              <w:wordWrap/>
              <w:overflowPunct/>
              <w:topLinePunct w:val="0"/>
              <w:autoSpaceDE/>
              <w:autoSpaceDN/>
              <w:bidi w:val="0"/>
              <w:adjustRightInd/>
              <w:snapToGrid/>
              <w:spacing w:line="360" w:lineRule="atLeas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145C0ABF">
            <w:pPr>
              <w:pStyle w:val="57"/>
              <w:keepNext w:val="0"/>
              <w:keepLines w:val="0"/>
              <w:pageBreakBefore w:val="0"/>
              <w:widowControl w:val="0"/>
              <w:shd w:val="clear" w:color="auto" w:fill="auto"/>
              <w:kinsoku/>
              <w:wordWrap/>
              <w:overflowPunct/>
              <w:topLinePunct w:val="0"/>
              <w:autoSpaceDE/>
              <w:autoSpaceDN/>
              <w:bidi w:val="0"/>
              <w:adjustRightInd/>
              <w:snapToGrid/>
              <w:spacing w:line="360" w:lineRule="atLeas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保证金的，受益人和收取单位须为采购人。</w:t>
            </w:r>
          </w:p>
        </w:tc>
      </w:tr>
      <w:tr w14:paraId="05C2A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49" w:hRule="atLeast"/>
        </w:trPr>
        <w:tc>
          <w:tcPr>
            <w:tcW w:w="970" w:type="dxa"/>
            <w:vAlign w:val="center"/>
          </w:tcPr>
          <w:p w14:paraId="5B3D9944">
            <w:pPr>
              <w:pStyle w:val="53"/>
              <w:keepNext w:val="0"/>
              <w:keepLines w:val="0"/>
              <w:pageBreakBefore w:val="0"/>
              <w:kinsoku/>
              <w:wordWrap/>
              <w:overflowPunct/>
              <w:topLinePunct w:val="0"/>
              <w:bidi w:val="0"/>
              <w:adjustRightInd/>
              <w:snapToGrid/>
              <w:spacing w:line="36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53B225D8">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4210A7E2">
            <w:pPr>
              <w:pStyle w:val="53"/>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不需要 </w:t>
            </w:r>
          </w:p>
        </w:tc>
      </w:tr>
      <w:tr w14:paraId="300E04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067F0D8">
            <w:pPr>
              <w:pStyle w:val="53"/>
              <w:keepNext w:val="0"/>
              <w:keepLines w:val="0"/>
              <w:pageBreakBefore w:val="0"/>
              <w:kinsoku/>
              <w:wordWrap/>
              <w:overflowPunct/>
              <w:topLinePunct w:val="0"/>
              <w:bidi w:val="0"/>
              <w:adjustRightInd/>
              <w:snapToGrid/>
              <w:spacing w:line="36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623A1F72">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1104377F">
            <w:pPr>
              <w:pStyle w:val="53"/>
              <w:keepNext w:val="0"/>
              <w:keepLines w:val="0"/>
              <w:pageBreakBefore w:val="0"/>
              <w:widowControl w:val="0"/>
              <w:kinsoku/>
              <w:wordWrap/>
              <w:overflowPunct/>
              <w:topLinePunct w:val="0"/>
              <w:bidi w:val="0"/>
              <w:adjustRightInd/>
              <w:snapToGrid/>
              <w:spacing w:line="360" w:lineRule="atLeast"/>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rPr>
              <w:t>投标单</w:t>
            </w:r>
            <w:r>
              <w:rPr>
                <w:rFonts w:hint="eastAsia" w:cs="宋体"/>
                <w:color w:val="auto"/>
                <w:sz w:val="24"/>
                <w:szCs w:val="24"/>
                <w:highlight w:val="none"/>
                <w:lang w:eastAsia="zh-CN"/>
              </w:rPr>
              <w:t>位在</w:t>
            </w:r>
            <w:r>
              <w:rPr>
                <w:rFonts w:hint="eastAsia" w:cs="宋体"/>
                <w:color w:val="auto"/>
                <w:sz w:val="24"/>
                <w:szCs w:val="24"/>
                <w:highlight w:val="none"/>
              </w:rPr>
              <w:t>项目投标时，要求各投标人提供</w:t>
            </w:r>
            <w:r>
              <w:rPr>
                <w:rFonts w:hint="eastAsia" w:cs="宋体"/>
                <w:color w:val="auto"/>
                <w:sz w:val="24"/>
                <w:szCs w:val="24"/>
                <w:highlight w:val="none"/>
                <w:lang w:val="en-US" w:eastAsia="zh-CN"/>
              </w:rPr>
              <w:t>视频演示，投标单位视频演示时间不超过15分钟，</w:t>
            </w:r>
          </w:p>
        </w:tc>
      </w:tr>
      <w:tr w14:paraId="3FCA02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30FBB6A2">
            <w:pPr>
              <w:pStyle w:val="53"/>
              <w:keepNext w:val="0"/>
              <w:keepLines w:val="0"/>
              <w:pageBreakBefore w:val="0"/>
              <w:kinsoku/>
              <w:wordWrap/>
              <w:overflowPunct/>
              <w:topLinePunct w:val="0"/>
              <w:bidi w:val="0"/>
              <w:adjustRightInd/>
              <w:snapToGrid/>
              <w:spacing w:line="36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56F4B2BC">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73CF6CA7">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3FA7CB9D">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r>
              <w:rPr>
                <w:rFonts w:hint="eastAsia" w:ascii="宋体" w:hAnsi="宋体" w:eastAsia="宋体" w:cs="宋体"/>
                <w:color w:val="auto"/>
                <w:sz w:val="24"/>
                <w:szCs w:val="24"/>
                <w:highlight w:val="none"/>
              </w:rPr>
              <w:t>。</w:t>
            </w:r>
          </w:p>
        </w:tc>
      </w:tr>
      <w:tr w14:paraId="6CB6B8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76" w:hRule="atLeast"/>
        </w:trPr>
        <w:tc>
          <w:tcPr>
            <w:tcW w:w="970" w:type="dxa"/>
            <w:vAlign w:val="center"/>
          </w:tcPr>
          <w:p w14:paraId="764A53B2">
            <w:pPr>
              <w:pStyle w:val="53"/>
              <w:keepNext w:val="0"/>
              <w:keepLines w:val="0"/>
              <w:pageBreakBefore w:val="0"/>
              <w:kinsoku/>
              <w:wordWrap/>
              <w:overflowPunct/>
              <w:topLinePunct w:val="0"/>
              <w:bidi w:val="0"/>
              <w:adjustRightInd/>
              <w:snapToGrid/>
              <w:spacing w:line="360"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327B9F77">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26771A1E">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2297151B">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625BBC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3" w:hRule="atLeast"/>
        </w:trPr>
        <w:tc>
          <w:tcPr>
            <w:tcW w:w="970" w:type="dxa"/>
            <w:vAlign w:val="center"/>
          </w:tcPr>
          <w:p w14:paraId="41F43783">
            <w:pPr>
              <w:pStyle w:val="53"/>
              <w:keepNext w:val="0"/>
              <w:keepLines w:val="0"/>
              <w:pageBreakBefore w:val="0"/>
              <w:kinsoku/>
              <w:wordWrap/>
              <w:overflowPunct/>
              <w:topLinePunct w:val="0"/>
              <w:bidi w:val="0"/>
              <w:adjustRightInd/>
              <w:snapToGrid/>
              <w:spacing w:line="360" w:lineRule="atLeas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5A57F2">
            <w:pPr>
              <w:pStyle w:val="53"/>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102625CC">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62FAED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48AD9802">
            <w:pPr>
              <w:pStyle w:val="53"/>
              <w:keepNext w:val="0"/>
              <w:keepLines w:val="0"/>
              <w:pageBreakBefore w:val="0"/>
              <w:kinsoku/>
              <w:wordWrap/>
              <w:overflowPunct/>
              <w:topLinePunct w:val="0"/>
              <w:bidi w:val="0"/>
              <w:adjustRightInd/>
              <w:snapToGrid/>
              <w:spacing w:line="36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5BE44758">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5BBBE30D">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6E948E43">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2ACD04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shd w:val="clear" w:color="auto" w:fill="auto"/>
            <w:vAlign w:val="center"/>
          </w:tcPr>
          <w:p w14:paraId="45276B69">
            <w:pPr>
              <w:pStyle w:val="53"/>
              <w:keepNext w:val="0"/>
              <w:keepLines w:val="0"/>
              <w:pageBreakBefore w:val="0"/>
              <w:kinsoku/>
              <w:wordWrap/>
              <w:overflowPunct/>
              <w:topLinePunct w:val="0"/>
              <w:bidi w:val="0"/>
              <w:adjustRightInd/>
              <w:snapToGrid/>
              <w:spacing w:line="360" w:lineRule="atLeas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shd w:val="clear" w:color="auto" w:fill="auto"/>
            <w:vAlign w:val="center"/>
          </w:tcPr>
          <w:p w14:paraId="6E5AFB02">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履约保证金</w:t>
            </w:r>
          </w:p>
        </w:tc>
        <w:tc>
          <w:tcPr>
            <w:tcW w:w="6700" w:type="dxa"/>
            <w:shd w:val="clear" w:color="auto" w:fill="auto"/>
            <w:vAlign w:val="center"/>
          </w:tcPr>
          <w:p w14:paraId="2C484C16">
            <w:pPr>
              <w:pStyle w:val="53"/>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w:t>
            </w:r>
          </w:p>
        </w:tc>
      </w:tr>
      <w:tr w14:paraId="24FF7B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51" w:hRule="atLeast"/>
        </w:trPr>
        <w:tc>
          <w:tcPr>
            <w:tcW w:w="970" w:type="dxa"/>
            <w:vAlign w:val="center"/>
          </w:tcPr>
          <w:p w14:paraId="4D0D5936">
            <w:pPr>
              <w:pStyle w:val="53"/>
              <w:keepNext w:val="0"/>
              <w:keepLines w:val="0"/>
              <w:pageBreakBefore w:val="0"/>
              <w:kinsoku/>
              <w:wordWrap/>
              <w:overflowPunct/>
              <w:topLinePunct w:val="0"/>
              <w:bidi w:val="0"/>
              <w:adjustRightInd/>
              <w:snapToGrid/>
              <w:spacing w:line="360"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5140F912">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1EEC7A3C">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本项目的非主体、非关键性工作允许分包</w:t>
            </w: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投标人如有分包情况，分包必须遵守国家有关分包的</w:t>
            </w:r>
            <w:r>
              <w:rPr>
                <w:rFonts w:hint="eastAsia" w:cs="宋体"/>
                <w:color w:val="auto"/>
                <w:kern w:val="2"/>
                <w:sz w:val="24"/>
                <w:szCs w:val="24"/>
                <w:highlight w:val="none"/>
                <w:lang w:val="en-US" w:eastAsia="zh-CN" w:bidi="ar-SA"/>
              </w:rPr>
              <w:t>法律法规</w:t>
            </w:r>
            <w:r>
              <w:rPr>
                <w:rFonts w:hint="eastAsia" w:ascii="宋体" w:hAnsi="宋体" w:eastAsia="宋体" w:cs="宋体"/>
                <w:color w:val="auto"/>
                <w:kern w:val="2"/>
                <w:sz w:val="24"/>
                <w:szCs w:val="24"/>
                <w:highlight w:val="none"/>
                <w:lang w:val="en-US" w:eastAsia="zh-CN" w:bidi="ar-SA"/>
              </w:rPr>
              <w:t>，且须经</w:t>
            </w:r>
            <w:r>
              <w:rPr>
                <w:rFonts w:hint="eastAsia" w:cs="宋体"/>
                <w:color w:val="auto"/>
                <w:kern w:val="2"/>
                <w:sz w:val="24"/>
                <w:szCs w:val="24"/>
                <w:highlight w:val="none"/>
                <w:lang w:val="en-US" w:eastAsia="zh-CN" w:bidi="ar-SA"/>
              </w:rPr>
              <w:t>采购</w:t>
            </w:r>
            <w:r>
              <w:rPr>
                <w:rFonts w:hint="eastAsia" w:ascii="宋体" w:hAnsi="宋体" w:eastAsia="宋体" w:cs="宋体"/>
                <w:color w:val="auto"/>
                <w:kern w:val="2"/>
                <w:sz w:val="24"/>
                <w:szCs w:val="24"/>
                <w:highlight w:val="none"/>
                <w:lang w:val="en-US" w:eastAsia="zh-CN" w:bidi="ar-SA"/>
              </w:rPr>
              <w:t>人同意</w:t>
            </w:r>
            <w:r>
              <w:rPr>
                <w:rFonts w:hint="eastAsia" w:cs="宋体"/>
                <w:color w:val="auto"/>
                <w:kern w:val="2"/>
                <w:sz w:val="24"/>
                <w:szCs w:val="24"/>
                <w:highlight w:val="none"/>
                <w:lang w:val="en-US" w:eastAsia="zh-CN" w:bidi="ar-SA"/>
              </w:rPr>
              <w:t>。</w:t>
            </w:r>
          </w:p>
        </w:tc>
      </w:tr>
      <w:tr w14:paraId="0ABF8B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8A13836">
            <w:pPr>
              <w:pStyle w:val="53"/>
              <w:keepNext w:val="0"/>
              <w:keepLines w:val="0"/>
              <w:pageBreakBefore w:val="0"/>
              <w:kinsoku/>
              <w:wordWrap/>
              <w:overflowPunct/>
              <w:topLinePunct w:val="0"/>
              <w:bidi w:val="0"/>
              <w:adjustRightInd/>
              <w:snapToGrid/>
              <w:spacing w:line="360"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FD2A585">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w:t>
            </w:r>
          </w:p>
        </w:tc>
        <w:tc>
          <w:tcPr>
            <w:tcW w:w="6700" w:type="dxa"/>
            <w:vAlign w:val="center"/>
          </w:tcPr>
          <w:p w14:paraId="29437316">
            <w:pPr>
              <w:pStyle w:val="61"/>
              <w:autoSpaceDE w:val="0"/>
              <w:autoSpaceDN w:val="0"/>
              <w:spacing w:line="360" w:lineRule="atLeast"/>
              <w:rPr>
                <w:rFonts w:hint="eastAsia" w:ascii="宋体" w:hAnsi="宋体" w:cs="宋体"/>
                <w:color w:val="auto"/>
                <w:sz w:val="24"/>
                <w:highlight w:val="none"/>
                <w:lang w:val="zh-CN"/>
              </w:rPr>
            </w:pPr>
            <w:r>
              <w:rPr>
                <w:rFonts w:hint="eastAsia"/>
                <w:color w:val="auto"/>
                <w:sz w:val="24"/>
                <w:highlight w:val="none"/>
              </w:rPr>
              <w:t>针对同一采购程序环节的质疑次数：一次性提出</w:t>
            </w:r>
          </w:p>
          <w:p w14:paraId="558809BC">
            <w:pPr>
              <w:pStyle w:val="61"/>
              <w:autoSpaceDE w:val="0"/>
              <w:autoSpaceDN w:val="0"/>
              <w:spacing w:line="360" w:lineRule="atLeast"/>
              <w:rPr>
                <w:rFonts w:hint="eastAsia" w:ascii="宋体" w:hAnsi="宋体" w:cs="宋体"/>
                <w:color w:val="auto"/>
                <w:sz w:val="24"/>
                <w:highlight w:val="none"/>
                <w:lang w:val="zh-CN"/>
              </w:rPr>
            </w:pPr>
            <w:r>
              <w:rPr>
                <w:rFonts w:hint="eastAsia" w:ascii="宋体" w:hAnsi="宋体" w:cs="宋体"/>
                <w:color w:val="auto"/>
                <w:sz w:val="24"/>
                <w:highlight w:val="none"/>
                <w:lang w:val="zh-CN"/>
              </w:rPr>
              <w:t>递交方式：以</w:t>
            </w:r>
            <w:r>
              <w:rPr>
                <w:rFonts w:hint="eastAsia" w:ascii="宋体" w:hAnsi="宋体" w:cs="宋体"/>
                <w:color w:val="auto"/>
                <w:sz w:val="24"/>
                <w:highlight w:val="none"/>
              </w:rPr>
              <w:t>书面形式递交</w:t>
            </w:r>
            <w:r>
              <w:rPr>
                <w:rFonts w:hint="eastAsia" w:ascii="宋体" w:hAnsi="宋体" w:cs="宋体"/>
                <w:color w:val="auto"/>
                <w:sz w:val="24"/>
                <w:highlight w:val="none"/>
                <w:lang w:val="zh-CN"/>
              </w:rPr>
              <w:t xml:space="preserve">             </w:t>
            </w:r>
          </w:p>
          <w:p w14:paraId="7FE1E356">
            <w:pPr>
              <w:pStyle w:val="61"/>
              <w:autoSpaceDE w:val="0"/>
              <w:autoSpaceDN w:val="0"/>
              <w:spacing w:line="360" w:lineRule="atLeast"/>
              <w:rPr>
                <w:rFonts w:hint="eastAsia" w:ascii="宋体" w:hAnsi="宋体" w:cs="宋体"/>
                <w:color w:val="auto"/>
                <w:sz w:val="24"/>
                <w:highlight w:val="none"/>
                <w:lang w:val="zh-CN"/>
              </w:rPr>
            </w:pPr>
            <w:r>
              <w:rPr>
                <w:rFonts w:hint="eastAsia" w:ascii="宋体" w:hAnsi="宋体" w:cs="宋体"/>
                <w:color w:val="auto"/>
                <w:sz w:val="24"/>
                <w:highlight w:val="none"/>
                <w:lang w:val="zh-CN"/>
              </w:rPr>
              <w:t>接收部门：</w:t>
            </w:r>
            <w:r>
              <w:rPr>
                <w:rFonts w:hint="eastAsia" w:ascii="宋体" w:hAnsi="宋体" w:cs="宋体"/>
                <w:color w:val="auto"/>
                <w:sz w:val="24"/>
                <w:highlight w:val="none"/>
                <w:lang w:eastAsia="zh-CN"/>
              </w:rPr>
              <w:t>新疆世嘉工程项目管理有限公司</w:t>
            </w:r>
            <w:r>
              <w:rPr>
                <w:rFonts w:hint="eastAsia" w:ascii="宋体" w:hAnsi="宋体" w:cs="宋体"/>
                <w:color w:val="auto"/>
                <w:sz w:val="24"/>
                <w:highlight w:val="none"/>
                <w:lang w:val="zh-CN"/>
              </w:rPr>
              <w:t xml:space="preserve">              </w:t>
            </w:r>
          </w:p>
          <w:p w14:paraId="19EF869C">
            <w:pPr>
              <w:pStyle w:val="61"/>
              <w:autoSpaceDE w:val="0"/>
              <w:autoSpaceDN w:val="0"/>
              <w:spacing w:line="360" w:lineRule="atLeast"/>
              <w:rPr>
                <w:rFonts w:hint="eastAsia" w:ascii="宋体" w:hAnsi="宋体" w:cs="宋体"/>
                <w:color w:val="auto"/>
                <w:sz w:val="24"/>
                <w:highlight w:val="none"/>
                <w:lang w:val="zh-CN"/>
              </w:rPr>
            </w:pPr>
            <w:r>
              <w:rPr>
                <w:rFonts w:hint="eastAsia" w:ascii="宋体" w:hAnsi="宋体" w:cs="宋体"/>
                <w:color w:val="auto"/>
                <w:sz w:val="24"/>
                <w:highlight w:val="none"/>
                <w:lang w:val="zh-CN"/>
              </w:rPr>
              <w:t>联系电话：</w:t>
            </w:r>
            <w:r>
              <w:rPr>
                <w:rFonts w:hint="eastAsia" w:ascii="宋体" w:hAnsi="宋体" w:cs="宋体"/>
                <w:color w:val="auto"/>
                <w:sz w:val="24"/>
                <w:highlight w:val="none"/>
                <w:lang w:val="en-US" w:eastAsia="zh-CN"/>
              </w:rPr>
              <w:t>18599078265</w:t>
            </w:r>
            <w:r>
              <w:rPr>
                <w:rFonts w:hint="eastAsia" w:ascii="宋体" w:hAnsi="宋体" w:cs="宋体"/>
                <w:color w:val="auto"/>
                <w:sz w:val="24"/>
                <w:highlight w:val="none"/>
                <w:lang w:val="zh-CN"/>
              </w:rPr>
              <w:t xml:space="preserve">          </w:t>
            </w:r>
          </w:p>
          <w:p w14:paraId="2E9F6708">
            <w:pPr>
              <w:pStyle w:val="61"/>
              <w:keepNext w:val="0"/>
              <w:keepLines w:val="0"/>
              <w:pageBreakBefore w:val="0"/>
              <w:widowControl w:val="0"/>
              <w:kinsoku/>
              <w:wordWrap/>
              <w:overflowPunct/>
              <w:topLinePunct w:val="0"/>
              <w:autoSpaceDE w:val="0"/>
              <w:autoSpaceDN w:val="0"/>
              <w:bidi w:val="0"/>
              <w:adjustRightInd/>
              <w:snapToGrid/>
              <w:spacing w:line="360" w:lineRule="atLeast"/>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cs="宋体"/>
                <w:color w:val="auto"/>
                <w:sz w:val="24"/>
                <w:highlight w:val="none"/>
                <w:lang w:val="zh-CN"/>
              </w:rPr>
              <w:t>通讯地址：</w:t>
            </w:r>
            <w:r>
              <w:rPr>
                <w:rFonts w:hint="eastAsia" w:ascii="宋体" w:hAnsi="宋体" w:cs="宋体"/>
                <w:color w:val="auto"/>
                <w:sz w:val="24"/>
                <w:highlight w:val="none"/>
                <w:lang w:val="zh-CN" w:eastAsia="zh-CN"/>
              </w:rPr>
              <w:t>新疆乌鲁木齐市水磨沟区会展大道555 号星耀天都商住小区4 号楼A-1503 号</w:t>
            </w:r>
            <w:r>
              <w:rPr>
                <w:rFonts w:hint="eastAsia" w:ascii="宋体" w:hAnsi="宋体" w:cs="宋体"/>
                <w:color w:val="auto"/>
                <w:sz w:val="24"/>
                <w:highlight w:val="none"/>
                <w:lang w:val="zh-CN"/>
              </w:rPr>
              <w:t xml:space="preserve">  </w:t>
            </w:r>
            <w:r>
              <w:rPr>
                <w:rFonts w:hint="eastAsia" w:ascii="宋体" w:hAnsi="宋体" w:eastAsia="宋体" w:cs="宋体"/>
                <w:color w:val="auto"/>
                <w:kern w:val="2"/>
                <w:sz w:val="24"/>
                <w:szCs w:val="24"/>
                <w:highlight w:val="none"/>
                <w:lang w:val="zh-CN" w:eastAsia="zh-CN" w:bidi="ar-SA"/>
              </w:rPr>
              <w:t xml:space="preserve">            </w:t>
            </w:r>
          </w:p>
        </w:tc>
      </w:tr>
      <w:tr w14:paraId="3E4304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4" w:hRule="atLeast"/>
        </w:trPr>
        <w:tc>
          <w:tcPr>
            <w:tcW w:w="970" w:type="dxa"/>
            <w:vAlign w:val="center"/>
          </w:tcPr>
          <w:p w14:paraId="00518CC2">
            <w:pPr>
              <w:pStyle w:val="53"/>
              <w:keepNext w:val="0"/>
              <w:keepLines w:val="0"/>
              <w:pageBreakBefore w:val="0"/>
              <w:kinsoku/>
              <w:wordWrap/>
              <w:overflowPunct/>
              <w:topLinePunct w:val="0"/>
              <w:bidi w:val="0"/>
              <w:adjustRightInd/>
              <w:snapToGrid/>
              <w:spacing w:line="36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43A5C217">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572C122E">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代理服务收费标准：本项目服务费按照差额定律累进计费方式计算，由中标单位支付。标准如下</w:t>
            </w:r>
            <w:r>
              <w:rPr>
                <w:rFonts w:hint="eastAsia" w:cs="宋体"/>
                <w:i w:val="0"/>
                <w:iCs w:val="0"/>
                <w:color w:val="auto"/>
                <w:sz w:val="24"/>
                <w:szCs w:val="24"/>
                <w:highlight w:val="none"/>
                <w:lang w:eastAsia="zh-CN"/>
              </w:rPr>
              <w:t>（</w:t>
            </w:r>
            <w:r>
              <w:rPr>
                <w:rFonts w:hint="eastAsia" w:cs="宋体"/>
                <w:i w:val="0"/>
                <w:iCs w:val="0"/>
                <w:color w:val="auto"/>
                <w:sz w:val="24"/>
                <w:szCs w:val="24"/>
                <w:highlight w:val="none"/>
                <w:lang w:val="en-US" w:eastAsia="zh-CN"/>
              </w:rPr>
              <w:t>按此标准下浮20%执行</w:t>
            </w: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w:t>
            </w:r>
          </w:p>
          <w:p w14:paraId="01E47595">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成交金额100万元以下的部分，货物类采购费率1.50%，服务类采购费率1.50%；</w:t>
            </w:r>
          </w:p>
          <w:p w14:paraId="5373463A">
            <w:pPr>
              <w:pStyle w:val="53"/>
              <w:keepNext w:val="0"/>
              <w:keepLines w:val="0"/>
              <w:pageBreakBefore w:val="0"/>
              <w:widowControl w:val="0"/>
              <w:kinsoku/>
              <w:wordWrap/>
              <w:overflowPunct/>
              <w:topLinePunct w:val="0"/>
              <w:bidi w:val="0"/>
              <w:adjustRightInd/>
              <w:snapToGrid/>
              <w:spacing w:line="360" w:lineRule="atLeas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rPr>
              <w:t>成交金额100万元至500万元的部分，货物类采购费率1.10%，服务类采购费率0.80%</w:t>
            </w:r>
            <w:r>
              <w:rPr>
                <w:rFonts w:hint="eastAsia" w:cs="宋体"/>
                <w:i w:val="0"/>
                <w:iCs w:val="0"/>
                <w:color w:val="auto"/>
                <w:sz w:val="24"/>
                <w:szCs w:val="24"/>
                <w:highlight w:val="none"/>
                <w:lang w:val="en-US" w:eastAsia="zh-CN"/>
              </w:rPr>
              <w:t>。</w:t>
            </w:r>
          </w:p>
        </w:tc>
      </w:tr>
      <w:tr w14:paraId="3C7898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51" w:hRule="atLeast"/>
        </w:trPr>
        <w:tc>
          <w:tcPr>
            <w:tcW w:w="970" w:type="dxa"/>
            <w:vAlign w:val="center"/>
          </w:tcPr>
          <w:p w14:paraId="6E2A2762">
            <w:pPr>
              <w:pStyle w:val="53"/>
              <w:keepNext w:val="0"/>
              <w:keepLines w:val="0"/>
              <w:pageBreakBefore w:val="0"/>
              <w:kinsoku/>
              <w:wordWrap/>
              <w:overflowPunct/>
              <w:topLinePunct w:val="0"/>
              <w:bidi w:val="0"/>
              <w:adjustRightInd/>
              <w:snapToGrid/>
              <w:spacing w:line="36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p>
        </w:tc>
        <w:tc>
          <w:tcPr>
            <w:tcW w:w="1738" w:type="dxa"/>
            <w:vAlign w:val="center"/>
          </w:tcPr>
          <w:p w14:paraId="5A746FDB">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1DE09ED7">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14:paraId="3F61F6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4" w:hRule="atLeast"/>
        </w:trPr>
        <w:tc>
          <w:tcPr>
            <w:tcW w:w="970" w:type="dxa"/>
            <w:vAlign w:val="center"/>
          </w:tcPr>
          <w:p w14:paraId="11F61F5D">
            <w:pPr>
              <w:pStyle w:val="53"/>
              <w:keepNext w:val="0"/>
              <w:keepLines w:val="0"/>
              <w:pageBreakBefore w:val="0"/>
              <w:kinsoku/>
              <w:wordWrap/>
              <w:overflowPunct/>
              <w:topLinePunct w:val="0"/>
              <w:bidi w:val="0"/>
              <w:adjustRightInd/>
              <w:snapToGrid/>
              <w:spacing w:line="36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vAlign w:val="center"/>
          </w:tcPr>
          <w:p w14:paraId="1100B01F">
            <w:pPr>
              <w:pStyle w:val="53"/>
              <w:keepNext w:val="0"/>
              <w:keepLines w:val="0"/>
              <w:pageBreakBefore w:val="0"/>
              <w:widowControl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35"/>
                <w:rFonts w:hint="eastAsia" w:ascii="宋体" w:hAnsi="宋体" w:eastAsia="宋体" w:cs="宋体"/>
                <w:b w:val="0"/>
                <w:color w:val="auto"/>
                <w:sz w:val="24"/>
                <w:szCs w:val="24"/>
                <w:highlight w:val="none"/>
                <w:lang w:val="en-US" w:eastAsia="zh-CN"/>
              </w:rPr>
              <w:t>（非专门面向中小企业采购项目适用）</w:t>
            </w:r>
          </w:p>
        </w:tc>
        <w:tc>
          <w:tcPr>
            <w:tcW w:w="6700" w:type="dxa"/>
            <w:vAlign w:val="center"/>
          </w:tcPr>
          <w:p w14:paraId="4CE12D42">
            <w:pPr>
              <w:pStyle w:val="74"/>
              <w:keepNext w:val="0"/>
              <w:keepLines w:val="0"/>
              <w:pageBreakBefore w:val="0"/>
              <w:widowControl w:val="0"/>
              <w:kinsoku/>
              <w:wordWrap/>
              <w:overflowPunct/>
              <w:topLinePunct w:val="0"/>
              <w:bidi w:val="0"/>
              <w:adjustRightInd/>
              <w:snapToGrid/>
              <w:spacing w:before="0" w:beforeAutospacing="0" w:after="0" w:afterAutospacing="0" w:line="360" w:lineRule="atLeas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10%</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066F1795">
            <w:pPr>
              <w:pStyle w:val="74"/>
              <w:keepNext w:val="0"/>
              <w:keepLines w:val="0"/>
              <w:pageBreakBefore w:val="0"/>
              <w:widowControl w:val="0"/>
              <w:kinsoku/>
              <w:wordWrap/>
              <w:overflowPunct/>
              <w:topLinePunct w:val="0"/>
              <w:bidi w:val="0"/>
              <w:adjustRightInd/>
              <w:snapToGrid/>
              <w:spacing w:before="0" w:beforeAutospacing="0" w:after="0" w:afterAutospacing="0" w:line="360" w:lineRule="atLeas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6582FE20">
            <w:pPr>
              <w:pStyle w:val="74"/>
              <w:keepNext w:val="0"/>
              <w:keepLines w:val="0"/>
              <w:pageBreakBefore w:val="0"/>
              <w:widowControl w:val="0"/>
              <w:kinsoku/>
              <w:wordWrap/>
              <w:overflowPunct/>
              <w:topLinePunct w:val="0"/>
              <w:bidi w:val="0"/>
              <w:adjustRightInd/>
              <w:snapToGrid/>
              <w:spacing w:before="0" w:beforeAutospacing="0" w:after="0" w:afterAutospacing="0" w:line="360" w:lineRule="atLeas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118988B0">
            <w:pPr>
              <w:pStyle w:val="74"/>
              <w:keepNext w:val="0"/>
              <w:keepLines w:val="0"/>
              <w:pageBreakBefore w:val="0"/>
              <w:widowControl w:val="0"/>
              <w:kinsoku/>
              <w:wordWrap/>
              <w:overflowPunct/>
              <w:topLinePunct w:val="0"/>
              <w:bidi w:val="0"/>
              <w:adjustRightInd/>
              <w:snapToGrid/>
              <w:spacing w:before="0" w:beforeAutospacing="0" w:after="0" w:afterAutospacing="0" w:line="360" w:lineRule="atLeast"/>
              <w:jc w:val="both"/>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符合条件的联合体价格扣除：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4%</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p>
          <w:p w14:paraId="01FDFE72">
            <w:pPr>
              <w:pStyle w:val="74"/>
              <w:keepNext w:val="0"/>
              <w:keepLines w:val="0"/>
              <w:pageBreakBefore w:val="0"/>
              <w:widowControl w:val="0"/>
              <w:kinsoku/>
              <w:wordWrap/>
              <w:overflowPunct/>
              <w:topLinePunct w:val="0"/>
              <w:bidi w:val="0"/>
              <w:adjustRightInd/>
              <w:snapToGrid/>
              <w:spacing w:before="0" w:beforeAutospacing="0" w:after="0" w:afterAutospacing="0" w:line="360" w:lineRule="atLeast"/>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color w:val="auto"/>
                <w:sz w:val="24"/>
                <w:szCs w:val="24"/>
                <w:highlight w:val="none"/>
              </w:rPr>
              <w:t>5</w:t>
            </w:r>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w:t>
            </w:r>
            <w:r>
              <w:rPr>
                <w:rFonts w:hint="eastAsia" w:cs="宋体"/>
                <w:b w:val="0"/>
                <w:color w:val="auto"/>
                <w:sz w:val="24"/>
                <w:szCs w:val="24"/>
                <w:highlight w:val="none"/>
                <w:u w:val="single"/>
                <w:lang w:val="en-US" w:eastAsia="zh-CN"/>
              </w:rPr>
              <w:t>4%</w:t>
            </w:r>
            <w:r>
              <w:rPr>
                <w:rFonts w:hint="eastAsia" w:ascii="宋体" w:hAnsi="宋体" w:eastAsia="宋体"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rPr>
              <w:t>。</w:t>
            </w:r>
            <w:r>
              <w:rPr>
                <w:rFonts w:hint="eastAsia" w:ascii="宋体" w:hAnsi="宋体" w:eastAsia="宋体" w:cs="宋体"/>
                <w:b w:val="0"/>
                <w:i w:val="0"/>
                <w:iCs/>
                <w:color w:val="auto"/>
                <w:sz w:val="24"/>
                <w:szCs w:val="24"/>
                <w:highlight w:val="none"/>
              </w:rPr>
              <w:t>（允许大中型企业向小微企业分包的项目适用）</w:t>
            </w:r>
          </w:p>
        </w:tc>
      </w:tr>
      <w:tr w14:paraId="72F566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37" w:hRule="atLeast"/>
        </w:trPr>
        <w:tc>
          <w:tcPr>
            <w:tcW w:w="970" w:type="dxa"/>
            <w:vAlign w:val="center"/>
          </w:tcPr>
          <w:p w14:paraId="18D2B65A">
            <w:pPr>
              <w:pStyle w:val="53"/>
              <w:keepNext w:val="0"/>
              <w:keepLines w:val="0"/>
              <w:pageBreakBefore w:val="0"/>
              <w:kinsoku/>
              <w:wordWrap/>
              <w:overflowPunct/>
              <w:topLinePunct w:val="0"/>
              <w:bidi w:val="0"/>
              <w:adjustRightInd/>
              <w:snapToGrid/>
              <w:spacing w:line="360" w:lineRule="atLeas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1AFE3F36">
            <w:pPr>
              <w:pStyle w:val="53"/>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2114AE77">
            <w:pPr>
              <w:pStyle w:val="53"/>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lang w:val="en-US" w:eastAsia="zh-CN"/>
              </w:rPr>
            </w:pPr>
            <w:r>
              <w:rPr>
                <w:rStyle w:val="35"/>
                <w:rFonts w:hint="eastAsia" w:ascii="宋体" w:hAnsi="宋体" w:eastAsia="宋体" w:cs="宋体"/>
                <w:b w:val="0"/>
                <w:color w:val="auto"/>
                <w:sz w:val="24"/>
                <w:szCs w:val="24"/>
                <w:highlight w:val="none"/>
                <w:lang w:val="en-US" w:eastAsia="zh-CN"/>
              </w:rPr>
              <w:t>参照后附</w:t>
            </w:r>
            <w:r>
              <w:rPr>
                <w:rStyle w:val="35"/>
                <w:rFonts w:hint="eastAsia" w:ascii="宋体" w:hAnsi="宋体" w:eastAsia="宋体" w:cs="宋体"/>
                <w:b w:val="0"/>
                <w:color w:val="auto"/>
                <w:sz w:val="24"/>
                <w:szCs w:val="24"/>
                <w:highlight w:val="none"/>
                <w:lang w:eastAsia="zh-CN"/>
              </w:rPr>
              <w:t>《</w:t>
            </w:r>
            <w:r>
              <w:rPr>
                <w:rStyle w:val="35"/>
                <w:rFonts w:hint="eastAsia" w:ascii="宋体" w:hAnsi="宋体" w:eastAsia="宋体" w:cs="宋体"/>
                <w:b w:val="0"/>
                <w:color w:val="auto"/>
                <w:sz w:val="24"/>
                <w:szCs w:val="24"/>
                <w:highlight w:val="none"/>
              </w:rPr>
              <w:t>工信部联企业〔2011〕300号</w:t>
            </w:r>
            <w:r>
              <w:rPr>
                <w:rStyle w:val="35"/>
                <w:rFonts w:hint="eastAsia" w:ascii="宋体" w:hAnsi="宋体" w:eastAsia="宋体" w:cs="宋体"/>
                <w:b w:val="0"/>
                <w:color w:val="auto"/>
                <w:sz w:val="24"/>
                <w:szCs w:val="24"/>
                <w:highlight w:val="none"/>
                <w:lang w:eastAsia="zh-CN"/>
              </w:rPr>
              <w:t>》</w:t>
            </w:r>
          </w:p>
        </w:tc>
        <w:tc>
          <w:tcPr>
            <w:tcW w:w="6700" w:type="dxa"/>
            <w:vAlign w:val="center"/>
          </w:tcPr>
          <w:p w14:paraId="4AF3D505">
            <w:pPr>
              <w:keepNext w:val="0"/>
              <w:keepLines w:val="0"/>
              <w:pageBreakBefore w:val="0"/>
              <w:widowControl/>
              <w:suppressLineNumbers w:val="0"/>
              <w:kinsoku/>
              <w:wordWrap/>
              <w:overflowPunct/>
              <w:topLinePunct w:val="0"/>
              <w:bidi w:val="0"/>
              <w:adjustRightInd/>
              <w:snapToGrid/>
              <w:spacing w:line="360" w:lineRule="atLeas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3"/>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454"/>
              <w:gridCol w:w="2615"/>
            </w:tblGrid>
            <w:tr w14:paraId="57AB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B98C141">
                  <w:pPr>
                    <w:keepNext w:val="0"/>
                    <w:keepLines w:val="0"/>
                    <w:pageBreakBefore w:val="0"/>
                    <w:widowControl/>
                    <w:suppressLineNumbers w:val="0"/>
                    <w:kinsoku/>
                    <w:wordWrap/>
                    <w:overflowPunct/>
                    <w:topLinePunct w:val="0"/>
                    <w:bidi w:val="0"/>
                    <w:adjustRightInd/>
                    <w:snapToGrid/>
                    <w:spacing w:line="360" w:lineRule="atLeast"/>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2454" w:type="dxa"/>
                  <w:vAlign w:val="center"/>
                </w:tcPr>
                <w:p w14:paraId="4BE979C8">
                  <w:pPr>
                    <w:keepNext w:val="0"/>
                    <w:keepLines w:val="0"/>
                    <w:pageBreakBefore w:val="0"/>
                    <w:widowControl/>
                    <w:suppressLineNumbers w:val="0"/>
                    <w:kinsoku/>
                    <w:wordWrap/>
                    <w:overflowPunct/>
                    <w:topLinePunct w:val="0"/>
                    <w:bidi w:val="0"/>
                    <w:adjustRightInd/>
                    <w:snapToGrid/>
                    <w:spacing w:line="360" w:lineRule="atLeast"/>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2615" w:type="dxa"/>
                  <w:vAlign w:val="center"/>
                </w:tcPr>
                <w:p w14:paraId="52075F95">
                  <w:pPr>
                    <w:keepNext w:val="0"/>
                    <w:keepLines w:val="0"/>
                    <w:pageBreakBefore w:val="0"/>
                    <w:widowControl/>
                    <w:suppressLineNumbers w:val="0"/>
                    <w:kinsoku/>
                    <w:wordWrap/>
                    <w:overflowPunct/>
                    <w:topLinePunct w:val="0"/>
                    <w:bidi w:val="0"/>
                    <w:adjustRightInd/>
                    <w:snapToGrid/>
                    <w:spacing w:line="360" w:lineRule="atLeast"/>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3FB2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14AE0CF6">
                  <w:pPr>
                    <w:keepNext w:val="0"/>
                    <w:keepLines w:val="0"/>
                    <w:pageBreakBefore w:val="0"/>
                    <w:widowControl/>
                    <w:suppressLineNumbers w:val="0"/>
                    <w:kinsoku/>
                    <w:wordWrap/>
                    <w:overflowPunct/>
                    <w:topLinePunct w:val="0"/>
                    <w:bidi w:val="0"/>
                    <w:adjustRightInd/>
                    <w:snapToGrid/>
                    <w:spacing w:line="360" w:lineRule="atLeast"/>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第1包</w:t>
                  </w:r>
                </w:p>
              </w:tc>
              <w:tc>
                <w:tcPr>
                  <w:tcW w:w="2454" w:type="dxa"/>
                  <w:vAlign w:val="center"/>
                </w:tcPr>
                <w:p w14:paraId="2F798887">
                  <w:pPr>
                    <w:keepNext w:val="0"/>
                    <w:keepLines w:val="0"/>
                    <w:pageBreakBefore w:val="0"/>
                    <w:widowControl/>
                    <w:suppressLineNumbers w:val="0"/>
                    <w:kinsoku/>
                    <w:wordWrap/>
                    <w:overflowPunct/>
                    <w:topLinePunct w:val="0"/>
                    <w:bidi w:val="0"/>
                    <w:adjustRightInd/>
                    <w:snapToGrid/>
                    <w:spacing w:line="360" w:lineRule="atLeast"/>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cs="宋体"/>
                      <w:color w:val="auto"/>
                      <w:sz w:val="24"/>
                      <w:szCs w:val="24"/>
                      <w:highlight w:val="none"/>
                      <w:lang w:eastAsia="zh-CN"/>
                    </w:rPr>
                    <w:t>“公益福彩·情暖天山”2026年公益宣传及品牌推广服务项目</w:t>
                  </w:r>
                </w:p>
              </w:tc>
              <w:tc>
                <w:tcPr>
                  <w:tcW w:w="2615" w:type="dxa"/>
                  <w:vAlign w:val="center"/>
                </w:tcPr>
                <w:p w14:paraId="3B945503">
                  <w:pPr>
                    <w:keepNext w:val="0"/>
                    <w:keepLines w:val="0"/>
                    <w:pageBreakBefore w:val="0"/>
                    <w:widowControl/>
                    <w:suppressLineNumbers w:val="0"/>
                    <w:kinsoku/>
                    <w:wordWrap/>
                    <w:overflowPunct/>
                    <w:topLinePunct w:val="0"/>
                    <w:bidi w:val="0"/>
                    <w:adjustRightInd/>
                    <w:snapToGrid/>
                    <w:spacing w:line="360" w:lineRule="atLeast"/>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vertAlign w:val="baseline"/>
                      <w:lang w:val="en-US" w:eastAsia="zh-CN" w:bidi="ar"/>
                    </w:rPr>
                    <w:t>其他未列明行业</w:t>
                  </w:r>
                </w:p>
              </w:tc>
            </w:tr>
          </w:tbl>
          <w:p w14:paraId="4D1B093B">
            <w:pPr>
              <w:pStyle w:val="53"/>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rPr>
            </w:pPr>
          </w:p>
        </w:tc>
      </w:tr>
      <w:tr w14:paraId="405291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086" w:hRule="atLeast"/>
        </w:trPr>
        <w:tc>
          <w:tcPr>
            <w:tcW w:w="970" w:type="dxa"/>
            <w:shd w:val="clear" w:color="auto" w:fill="auto"/>
            <w:vAlign w:val="center"/>
          </w:tcPr>
          <w:p w14:paraId="06F08BF5">
            <w:pPr>
              <w:pStyle w:val="53"/>
              <w:keepNext w:val="0"/>
              <w:keepLines w:val="0"/>
              <w:pageBreakBefore w:val="0"/>
              <w:kinsoku/>
              <w:wordWrap/>
              <w:overflowPunct/>
              <w:topLinePunct w:val="0"/>
              <w:bidi w:val="0"/>
              <w:adjustRightInd/>
              <w:snapToGrid/>
              <w:spacing w:line="360" w:lineRule="atLeas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43.5</w:t>
            </w:r>
          </w:p>
        </w:tc>
        <w:tc>
          <w:tcPr>
            <w:tcW w:w="1738" w:type="dxa"/>
            <w:shd w:val="clear" w:color="auto" w:fill="auto"/>
            <w:vAlign w:val="center"/>
          </w:tcPr>
          <w:p w14:paraId="16AAD5A3">
            <w:pPr>
              <w:pStyle w:val="53"/>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40F0585E">
            <w:pPr>
              <w:pStyle w:val="53"/>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产品纳入创新产品应用示范推荐目录内企业、所</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产品获得节能产品或环境标志产品认证证书的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报价给予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的价格扣除。</w:t>
            </w:r>
            <w:r>
              <w:rPr>
                <w:rFonts w:hint="eastAsia" w:cs="宋体"/>
                <w:color w:val="auto"/>
                <w:sz w:val="24"/>
                <w:szCs w:val="24"/>
                <w:highlight w:val="none"/>
                <w:lang w:eastAsia="zh-CN"/>
              </w:rPr>
              <w:t>（本项目不涉及）</w:t>
            </w:r>
          </w:p>
        </w:tc>
      </w:tr>
      <w:tr w14:paraId="7E92F9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086" w:hRule="atLeast"/>
        </w:trPr>
        <w:tc>
          <w:tcPr>
            <w:tcW w:w="970" w:type="dxa"/>
            <w:shd w:val="clear" w:color="auto" w:fill="auto"/>
            <w:vAlign w:val="center"/>
          </w:tcPr>
          <w:p w14:paraId="7233FABF">
            <w:pPr>
              <w:pStyle w:val="53"/>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shd w:val="clear" w:color="auto" w:fill="auto"/>
            <w:vAlign w:val="center"/>
          </w:tcPr>
          <w:p w14:paraId="72D9AB97">
            <w:pPr>
              <w:pStyle w:val="53"/>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政府采购合同融资政策</w:t>
            </w:r>
          </w:p>
        </w:tc>
        <w:tc>
          <w:tcPr>
            <w:tcW w:w="6700" w:type="dxa"/>
            <w:shd w:val="clear" w:color="auto" w:fill="auto"/>
            <w:vAlign w:val="center"/>
          </w:tcPr>
          <w:p w14:paraId="26FC6B7D">
            <w:pPr>
              <w:pStyle w:val="5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有融资需求的中标人在获得政府采购中标通知书后，即可向开展“政采贷”业务的金融机构提出申请，金融机构依据政府采购中标通知书和政府采购合同，为中小微企业提供融资服务。</w:t>
            </w:r>
          </w:p>
          <w:p w14:paraId="709C1E15">
            <w:pPr>
              <w:pStyle w:val="53"/>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渠道和方式：</w:t>
            </w:r>
            <w:r>
              <w:rPr>
                <w:rFonts w:hint="eastAsia" w:ascii="宋体" w:hAnsi="宋体" w:eastAsia="宋体" w:cs="宋体"/>
                <w:color w:val="auto"/>
                <w:sz w:val="24"/>
                <w:szCs w:val="24"/>
                <w:highlight w:val="none"/>
                <w:u w:val="single"/>
                <w:lang w:val="en-US" w:eastAsia="zh-CN"/>
              </w:rPr>
              <w:t>政采云平台，由供应商自行查看</w:t>
            </w:r>
            <w:r>
              <w:rPr>
                <w:rFonts w:hint="eastAsia" w:ascii="宋体" w:hAnsi="宋体" w:eastAsia="宋体" w:cs="宋体"/>
                <w:color w:val="auto"/>
                <w:sz w:val="24"/>
                <w:szCs w:val="24"/>
                <w:highlight w:val="none"/>
              </w:rPr>
              <w:t>。</w:t>
            </w:r>
          </w:p>
        </w:tc>
      </w:tr>
      <w:tr w14:paraId="5CB4AE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14" w:hRule="atLeast"/>
        </w:trPr>
        <w:tc>
          <w:tcPr>
            <w:tcW w:w="970" w:type="dxa"/>
            <w:tcBorders>
              <w:right w:val="single" w:color="auto" w:sz="4" w:space="0"/>
            </w:tcBorders>
            <w:vAlign w:val="center"/>
          </w:tcPr>
          <w:p w14:paraId="6DAE7328">
            <w:pPr>
              <w:pStyle w:val="53"/>
              <w:keepNext w:val="0"/>
              <w:keepLines w:val="0"/>
              <w:pageBreakBefore w:val="0"/>
              <w:kinsoku/>
              <w:wordWrap/>
              <w:overflowPunct/>
              <w:topLinePunct w:val="0"/>
              <w:bidi w:val="0"/>
              <w:adjustRightInd/>
              <w:snapToGrid/>
              <w:spacing w:line="360" w:lineRule="atLeas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tcBorders>
              <w:right w:val="single" w:color="auto" w:sz="4" w:space="0"/>
            </w:tcBorders>
            <w:vAlign w:val="center"/>
          </w:tcPr>
          <w:p w14:paraId="6015BE99">
            <w:pPr>
              <w:pStyle w:val="53"/>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00" w:type="dxa"/>
            <w:tcBorders>
              <w:left w:val="single" w:color="auto" w:sz="4" w:space="0"/>
            </w:tcBorders>
            <w:vAlign w:val="center"/>
          </w:tcPr>
          <w:p w14:paraId="541098BC">
            <w:pPr>
              <w:pStyle w:val="53"/>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1.开标现场</w:t>
            </w:r>
            <w:r>
              <w:rPr>
                <w:rFonts w:hint="eastAsia" w:cs="宋体"/>
                <w:color w:val="auto"/>
                <w:sz w:val="24"/>
                <w:szCs w:val="24"/>
                <w:highlight w:val="none"/>
                <w:lang w:eastAsia="zh-CN"/>
              </w:rPr>
              <w:t>信用查询：</w:t>
            </w:r>
            <w:r>
              <w:rPr>
                <w:rFonts w:hint="eastAsia" w:ascii="宋体" w:hAnsi="宋体" w:eastAsia="宋体" w:cs="宋体"/>
                <w:color w:val="auto"/>
                <w:sz w:val="24"/>
                <w:szCs w:val="24"/>
                <w:highlight w:val="none"/>
                <w:lang w:eastAsia="zh-CN"/>
              </w:rPr>
              <w:t>采购人或采购代理机构将通过“信用中国”网站（www.creditchina.gov.cn）和中国政府采购网（www.ccgp.gov.cn）查询相关主体信用记录。本次查询的信用记录打印的网页版将留存在评标报告中。代理机构将查询网页打印、签字并存档备查。供应商不良信用记录以招标采购单位查询结果为准，代理机构查询之后，网站信息发生的任何变更均不再作为评标依据，供应商自行提供的与网站信息不一致的其他证明材料亦不作为评标依据。</w:t>
            </w:r>
          </w:p>
          <w:p w14:paraId="38A96639">
            <w:pPr>
              <w:pStyle w:val="53"/>
              <w:keepNext w:val="0"/>
              <w:keepLines w:val="0"/>
              <w:pageBreakBefore w:val="0"/>
              <w:kinsoku/>
              <w:wordWrap/>
              <w:overflowPunct/>
              <w:topLinePunct w:val="0"/>
              <w:bidi w:val="0"/>
              <w:adjustRightInd/>
              <w:snapToGrid/>
              <w:spacing w:line="360" w:lineRule="atLeast"/>
              <w:textAlignment w:val="auto"/>
              <w:rPr>
                <w:rFonts w:hint="eastAsia" w:cs="宋体"/>
                <w:color w:val="auto"/>
                <w:sz w:val="24"/>
                <w:szCs w:val="24"/>
                <w:highlight w:val="none"/>
                <w:lang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本项目信用记录查询时间</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eastAsia="zh-CN"/>
              </w:rPr>
              <w:t>投标</w:t>
            </w:r>
            <w:r>
              <w:rPr>
                <w:rFonts w:hint="eastAsia" w:cs="宋体"/>
                <w:color w:val="auto"/>
                <w:sz w:val="24"/>
                <w:szCs w:val="24"/>
                <w:highlight w:val="none"/>
                <w:lang w:eastAsia="zh-CN"/>
              </w:rPr>
              <w:t>文件截至12</w:t>
            </w:r>
            <w:r>
              <w:rPr>
                <w:rFonts w:hint="eastAsia" w:ascii="宋体" w:hAnsi="宋体" w:eastAsia="宋体" w:cs="宋体"/>
                <w:color w:val="auto"/>
                <w:sz w:val="24"/>
                <w:szCs w:val="24"/>
                <w:highlight w:val="none"/>
                <w:lang w:eastAsia="zh-CN"/>
              </w:rPr>
              <w:t>小时内</w:t>
            </w:r>
            <w:r>
              <w:rPr>
                <w:rFonts w:hint="eastAsia" w:cs="宋体"/>
                <w:color w:val="auto"/>
                <w:sz w:val="24"/>
                <w:szCs w:val="24"/>
                <w:highlight w:val="none"/>
                <w:lang w:eastAsia="zh-CN"/>
              </w:rPr>
              <w:t>。</w:t>
            </w:r>
          </w:p>
          <w:p w14:paraId="6D93CECE">
            <w:pPr>
              <w:pStyle w:val="53"/>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关于异常</w:t>
            </w:r>
            <w:r>
              <w:rPr>
                <w:rFonts w:hint="eastAsia" w:cs="宋体"/>
                <w:b/>
                <w:bCs/>
                <w:color w:val="auto"/>
                <w:sz w:val="24"/>
                <w:szCs w:val="24"/>
                <w:highlight w:val="none"/>
                <w:lang w:val="en-US" w:eastAsia="zh-CN"/>
              </w:rPr>
              <w:t>低价。根据（财库〔2026〕2号）文件：（一）采购人应当在采购文件中明确，政府采购评审中出现下列情形之一的，评审委员会应当启动异常低价投标（响应）审查程序：</w:t>
            </w:r>
          </w:p>
          <w:p w14:paraId="7DCABEC1">
            <w:pPr>
              <w:pStyle w:val="53"/>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1.投标（响应）报价低于全部通过符合性审查供应商投标（响应）报价平均值50%的，即投标（响应）报价〈全部通过符合性审查供应商投标（响应）报价平均值×50%；</w:t>
            </w:r>
          </w:p>
          <w:p w14:paraId="57102034">
            <w:pPr>
              <w:pStyle w:val="53"/>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2.投标（响应）报价低于通过符合性审查的次低报价供应商投标（响应）报价50%的，即投标（响应）报价〈通过符合性审查的次低报价供应商投标（响应）报价×50%；</w:t>
            </w:r>
          </w:p>
          <w:p w14:paraId="36379F9A">
            <w:pPr>
              <w:pStyle w:val="53"/>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3.投标（响应）报价低于采购项目最高限价45%的，即投标（响应）报价〈采购项目最高限价×45%；</w:t>
            </w:r>
          </w:p>
          <w:p w14:paraId="16ECBEA5">
            <w:pPr>
              <w:pStyle w:val="53"/>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4.评审委员会基于专业判断，认为供应商报价过低，有可能影响产品质量或者不能诚信履约的其他情形。</w:t>
            </w:r>
          </w:p>
          <w:p w14:paraId="7521BCDE">
            <w:pPr>
              <w:pStyle w:val="53"/>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采购人可以结合具体项目实际情况，提高上述第1项至第3项中启动异常低价投标（响应）审查的数值标准，但是最高不得超过65%。</w:t>
            </w:r>
          </w:p>
          <w:p w14:paraId="068199B4">
            <w:pPr>
              <w:pStyle w:val="53"/>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相关法律法规对供应商报价有规定的，从其规定。</w:t>
            </w:r>
          </w:p>
          <w:p w14:paraId="1AC0AA23">
            <w:pPr>
              <w:pStyle w:val="53"/>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604F646">
            <w:pPr>
              <w:pStyle w:val="53"/>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327A8E2">
            <w:pPr>
              <w:pStyle w:val="53"/>
              <w:keepNext w:val="0"/>
              <w:keepLines w:val="0"/>
              <w:pageBreakBefore w:val="0"/>
              <w:kinsoku/>
              <w:wordWrap/>
              <w:overflowPunct/>
              <w:topLinePunct w:val="0"/>
              <w:bidi w:val="0"/>
              <w:adjustRightInd/>
              <w:snapToGrid/>
              <w:spacing w:line="360" w:lineRule="atLeast"/>
              <w:textAlignment w:val="auto"/>
              <w:rPr>
                <w:rFonts w:hint="eastAsia" w:cs="宋体"/>
                <w:b/>
                <w:bCs/>
                <w:color w:val="auto"/>
                <w:sz w:val="24"/>
                <w:szCs w:val="24"/>
                <w:highlight w:val="none"/>
                <w:lang w:val="en-US" w:eastAsia="zh-CN"/>
              </w:rPr>
            </w:pPr>
            <w:r>
              <w:rPr>
                <w:rFonts w:hint="eastAsia" w:cs="宋体"/>
                <w:b/>
                <w:bCs/>
                <w:color w:val="auto"/>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274905D">
            <w:pPr>
              <w:pStyle w:val="53"/>
              <w:keepNext w:val="0"/>
              <w:keepLines w:val="0"/>
              <w:pageBreakBefore w:val="0"/>
              <w:kinsoku/>
              <w:wordWrap/>
              <w:overflowPunct/>
              <w:topLinePunct w:val="0"/>
              <w:bidi w:val="0"/>
              <w:adjustRightInd/>
              <w:snapToGrid/>
              <w:spacing w:line="360" w:lineRule="atLeast"/>
              <w:textAlignment w:val="auto"/>
              <w:rPr>
                <w:rFonts w:hint="eastAsia" w:cs="宋体"/>
                <w:color w:val="auto"/>
                <w:sz w:val="24"/>
                <w:szCs w:val="24"/>
                <w:highlight w:val="none"/>
                <w:lang w:eastAsia="zh-CN"/>
              </w:rPr>
            </w:pPr>
            <w:r>
              <w:rPr>
                <w:rFonts w:hint="eastAsia" w:cs="宋体"/>
                <w:b/>
                <w:bCs/>
                <w:color w:val="auto"/>
                <w:sz w:val="24"/>
                <w:szCs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r>
              <w:rPr>
                <w:rFonts w:hint="eastAsia" w:cs="宋体"/>
                <w:color w:val="auto"/>
                <w:sz w:val="24"/>
                <w:szCs w:val="24"/>
                <w:highlight w:val="none"/>
                <w:lang w:val="en-US" w:eastAsia="zh-CN"/>
              </w:rPr>
              <w:t>4</w:t>
            </w:r>
            <w:r>
              <w:rPr>
                <w:rFonts w:hint="eastAsia" w:cs="宋体"/>
                <w:color w:val="auto"/>
                <w:sz w:val="24"/>
                <w:szCs w:val="24"/>
                <w:highlight w:val="none"/>
                <w:lang w:eastAsia="zh-CN"/>
              </w:rPr>
              <w:t>、无论何种原因，在响应文件中未提供相应材料的，评审小组将视同其未提供。</w:t>
            </w:r>
          </w:p>
          <w:p w14:paraId="234848B1">
            <w:pPr>
              <w:pStyle w:val="53"/>
              <w:keepNext w:val="0"/>
              <w:keepLines w:val="0"/>
              <w:pageBreakBefore w:val="0"/>
              <w:kinsoku/>
              <w:wordWrap/>
              <w:overflowPunct/>
              <w:topLinePunct w:val="0"/>
              <w:bidi w:val="0"/>
              <w:adjustRightInd/>
              <w:snapToGrid/>
              <w:spacing w:line="360" w:lineRule="atLeast"/>
              <w:textAlignment w:val="auto"/>
              <w:rPr>
                <w:rFonts w:hint="eastAsia" w:cs="宋体"/>
                <w:color w:val="auto"/>
                <w:sz w:val="24"/>
                <w:szCs w:val="24"/>
                <w:highlight w:val="none"/>
                <w:lang w:eastAsia="zh-CN"/>
              </w:rPr>
            </w:pPr>
            <w:r>
              <w:rPr>
                <w:rFonts w:hint="eastAsia" w:cs="宋体"/>
                <w:color w:val="auto"/>
                <w:sz w:val="24"/>
                <w:szCs w:val="24"/>
                <w:highlight w:val="none"/>
                <w:lang w:val="en-US" w:eastAsia="zh-CN"/>
              </w:rPr>
              <w:t>5.</w:t>
            </w:r>
            <w:r>
              <w:rPr>
                <w:rFonts w:hint="eastAsia" w:cs="宋体"/>
                <w:color w:val="auto"/>
                <w:sz w:val="24"/>
                <w:szCs w:val="24"/>
                <w:highlight w:val="none"/>
                <w:lang w:eastAsia="zh-CN"/>
              </w:rPr>
              <w:t>各供应商应在开标前应确保成为新疆政府采购网正式注册入库供应商，并完成CA数字证书（符合国密标准）申领。如需咨询，请联系新疆CA服务热线0991-2819290；</w:t>
            </w:r>
          </w:p>
          <w:p w14:paraId="23A5026B">
            <w:pPr>
              <w:pStyle w:val="53"/>
              <w:keepNext w:val="0"/>
              <w:keepLines w:val="0"/>
              <w:pageBreakBefore w:val="0"/>
              <w:kinsoku/>
              <w:wordWrap/>
              <w:overflowPunct/>
              <w:topLinePunct w:val="0"/>
              <w:bidi w:val="0"/>
              <w:adjustRightInd/>
              <w:snapToGrid/>
              <w:spacing w:line="360" w:lineRule="atLeast"/>
              <w:textAlignment w:val="auto"/>
              <w:rPr>
                <w:rFonts w:hint="eastAsia" w:cs="宋体"/>
                <w:color w:val="auto"/>
                <w:sz w:val="24"/>
                <w:szCs w:val="24"/>
                <w:highlight w:val="none"/>
                <w:lang w:eastAsia="zh-CN"/>
              </w:rPr>
            </w:pPr>
            <w:r>
              <w:rPr>
                <w:rFonts w:hint="eastAsia" w:cs="宋体"/>
                <w:color w:val="auto"/>
                <w:sz w:val="24"/>
                <w:szCs w:val="24"/>
                <w:highlight w:val="none"/>
                <w:lang w:val="en-US" w:eastAsia="zh-CN"/>
              </w:rPr>
              <w:t>6.</w:t>
            </w:r>
            <w:r>
              <w:rPr>
                <w:rFonts w:hint="eastAsia" w:cs="宋体"/>
                <w:color w:val="auto"/>
                <w:sz w:val="24"/>
                <w:szCs w:val="24"/>
                <w:highlight w:val="none"/>
                <w:lang w:eastAsia="zh-CN"/>
              </w:rPr>
              <w:t>供应商将政采云电子交易客户端下载、安装完成后，可通过账号密码或CA登录客户端进行响应文件的制作。客户端请至新疆政府采购网（http://www.ccgp-xinjiang.gov.cn/）下载专区查看，如有问题可拨打政采云客户服务热线95763进行咨询。</w:t>
            </w:r>
          </w:p>
          <w:p w14:paraId="00D1EB66">
            <w:pPr>
              <w:pStyle w:val="53"/>
              <w:keepNext w:val="0"/>
              <w:keepLines w:val="0"/>
              <w:pageBreakBefore w:val="0"/>
              <w:kinsoku/>
              <w:wordWrap/>
              <w:overflowPunct/>
              <w:topLinePunct w:val="0"/>
              <w:bidi w:val="0"/>
              <w:adjustRightInd/>
              <w:snapToGrid/>
              <w:spacing w:line="360" w:lineRule="atLeast"/>
              <w:textAlignment w:val="auto"/>
              <w:rPr>
                <w:rFonts w:hint="eastAsia" w:cs="宋体"/>
                <w:color w:val="auto"/>
                <w:sz w:val="24"/>
                <w:szCs w:val="24"/>
                <w:highlight w:val="none"/>
                <w:lang w:eastAsia="zh-CN"/>
              </w:rPr>
            </w:pPr>
            <w:r>
              <w:rPr>
                <w:rFonts w:hint="eastAsia" w:cs="宋体"/>
                <w:color w:val="auto"/>
                <w:sz w:val="24"/>
                <w:szCs w:val="24"/>
                <w:highlight w:val="none"/>
                <w:lang w:val="en-US" w:eastAsia="zh-CN"/>
              </w:rPr>
              <w:t>7.</w:t>
            </w:r>
            <w:r>
              <w:rPr>
                <w:rFonts w:hint="eastAsia" w:cs="宋体"/>
                <w:color w:val="auto"/>
                <w:sz w:val="24"/>
                <w:szCs w:val="24"/>
                <w:highlight w:val="none"/>
                <w:lang w:eastAsia="zh-CN"/>
              </w:rPr>
              <w:t>供应商首次参加政府采购活动的，可前往新疆政府采购网（ http://www.ccgp-xinjiang.gov.cn/）下载操作指南。（步骤：进入新疆政府采购网（http://www.ccgp-xinjiang.gov.cn/）点击主页面的办事指南—选择并下载供应商政采云平台操作指南。）</w:t>
            </w:r>
          </w:p>
          <w:p w14:paraId="3ACCA370">
            <w:pPr>
              <w:pStyle w:val="53"/>
              <w:keepNext w:val="0"/>
              <w:keepLines w:val="0"/>
              <w:pageBreakBefore w:val="0"/>
              <w:kinsoku/>
              <w:wordWrap/>
              <w:overflowPunct/>
              <w:topLinePunct w:val="0"/>
              <w:bidi w:val="0"/>
              <w:adjustRightInd/>
              <w:snapToGrid/>
              <w:spacing w:line="360" w:lineRule="atLeast"/>
              <w:textAlignment w:val="auto"/>
              <w:rPr>
                <w:rFonts w:hint="eastAsia" w:cs="宋体"/>
                <w:color w:val="auto"/>
                <w:sz w:val="24"/>
                <w:szCs w:val="24"/>
                <w:highlight w:val="none"/>
                <w:lang w:eastAsia="zh-CN"/>
              </w:rPr>
            </w:pPr>
            <w:r>
              <w:rPr>
                <w:rFonts w:hint="eastAsia" w:cs="宋体"/>
                <w:color w:val="auto"/>
                <w:sz w:val="24"/>
                <w:szCs w:val="24"/>
                <w:highlight w:val="none"/>
                <w:lang w:val="en-US" w:eastAsia="zh-CN"/>
              </w:rPr>
              <w:t>8.</w:t>
            </w:r>
            <w:r>
              <w:rPr>
                <w:rFonts w:hint="eastAsia" w:cs="宋体"/>
                <w:color w:val="auto"/>
                <w:sz w:val="24"/>
                <w:szCs w:val="24"/>
                <w:highlight w:val="none"/>
                <w:lang w:eastAsia="zh-CN"/>
              </w:rPr>
              <w:t>若本项目有多个标包时，允许供应商对采购文件中的所有标包投标，也可根据自身情况对部分标包进行投标。若供应商参与本项目多个标包时，须针对所投的每个标包分别制作响应文件并报价，每包的响应文件均必须满足采购文件份数与制作等要求，否则将导致投标被拒绝。</w:t>
            </w:r>
          </w:p>
          <w:p w14:paraId="58215C0D">
            <w:pPr>
              <w:pStyle w:val="53"/>
              <w:keepNext w:val="0"/>
              <w:keepLines w:val="0"/>
              <w:pageBreakBefore w:val="0"/>
              <w:kinsoku/>
              <w:wordWrap/>
              <w:overflowPunct/>
              <w:topLinePunct w:val="0"/>
              <w:bidi w:val="0"/>
              <w:adjustRightInd/>
              <w:snapToGrid/>
              <w:spacing w:line="360" w:lineRule="atLeast"/>
              <w:textAlignment w:val="auto"/>
              <w:rPr>
                <w:rFonts w:hint="eastAsia" w:cs="宋体"/>
                <w:color w:val="auto"/>
                <w:sz w:val="24"/>
                <w:szCs w:val="24"/>
                <w:highlight w:val="none"/>
                <w:lang w:eastAsia="zh-CN"/>
              </w:rPr>
            </w:pPr>
            <w:r>
              <w:rPr>
                <w:rFonts w:hint="eastAsia" w:cs="宋体"/>
                <w:color w:val="auto"/>
                <w:sz w:val="24"/>
                <w:szCs w:val="24"/>
                <w:highlight w:val="none"/>
                <w:lang w:val="en-US" w:eastAsia="zh-CN"/>
              </w:rPr>
              <w:t>9.</w:t>
            </w:r>
            <w:r>
              <w:rPr>
                <w:rFonts w:hint="eastAsia" w:cs="宋体"/>
                <w:color w:val="auto"/>
                <w:sz w:val="24"/>
                <w:szCs w:val="24"/>
                <w:highlight w:val="none"/>
                <w:lang w:eastAsia="zh-CN"/>
              </w:rPr>
              <w:t>当出现下列情形之一，响应文件将予以退回：</w:t>
            </w:r>
          </w:p>
          <w:p w14:paraId="77242AF3">
            <w:pPr>
              <w:pStyle w:val="53"/>
              <w:keepNext w:val="0"/>
              <w:keepLines w:val="0"/>
              <w:pageBreakBefore w:val="0"/>
              <w:kinsoku/>
              <w:wordWrap/>
              <w:overflowPunct/>
              <w:topLinePunct w:val="0"/>
              <w:bidi w:val="0"/>
              <w:adjustRightInd/>
              <w:snapToGrid/>
              <w:spacing w:line="360" w:lineRule="atLeast"/>
              <w:textAlignment w:val="auto"/>
              <w:rPr>
                <w:rFonts w:hint="eastAsia" w:cs="宋体"/>
                <w:color w:val="auto"/>
                <w:sz w:val="24"/>
                <w:szCs w:val="24"/>
                <w:highlight w:val="none"/>
                <w:lang w:eastAsia="zh-CN"/>
              </w:rPr>
            </w:pPr>
            <w:r>
              <w:rPr>
                <w:rFonts w:hint="eastAsia" w:cs="宋体"/>
                <w:color w:val="auto"/>
                <w:sz w:val="24"/>
                <w:szCs w:val="24"/>
                <w:highlight w:val="none"/>
                <w:lang w:eastAsia="zh-CN"/>
              </w:rPr>
              <w:t>（1）供应商在响应文件递交截止时间前未成功上传加密电子响应文件；</w:t>
            </w:r>
          </w:p>
          <w:p w14:paraId="4E8C18E5">
            <w:pPr>
              <w:pStyle w:val="53"/>
              <w:keepNext w:val="0"/>
              <w:keepLines w:val="0"/>
              <w:pageBreakBefore w:val="0"/>
              <w:kinsoku/>
              <w:wordWrap/>
              <w:overflowPunct/>
              <w:topLinePunct w:val="0"/>
              <w:bidi w:val="0"/>
              <w:adjustRightInd/>
              <w:snapToGrid/>
              <w:spacing w:line="360" w:lineRule="atLeast"/>
              <w:textAlignment w:val="auto"/>
              <w:rPr>
                <w:rFonts w:hint="eastAsia" w:cs="宋体"/>
                <w:color w:val="auto"/>
                <w:sz w:val="24"/>
                <w:szCs w:val="24"/>
                <w:highlight w:val="none"/>
                <w:lang w:eastAsia="zh-CN"/>
              </w:rPr>
            </w:pPr>
            <w:r>
              <w:rPr>
                <w:rFonts w:hint="eastAsia" w:cs="宋体"/>
                <w:color w:val="auto"/>
                <w:sz w:val="24"/>
                <w:szCs w:val="24"/>
                <w:highlight w:val="none"/>
                <w:lang w:eastAsia="zh-CN"/>
              </w:rPr>
              <w:t>（2）供应商使用解密的CA数字证书与上传加密响应文件使用的CA数字证书不一致；</w:t>
            </w:r>
          </w:p>
          <w:p w14:paraId="556A906E">
            <w:pPr>
              <w:pStyle w:val="53"/>
              <w:keepNext w:val="0"/>
              <w:keepLines w:val="0"/>
              <w:pageBreakBefore w:val="0"/>
              <w:kinsoku/>
              <w:wordWrap/>
              <w:overflowPunct/>
              <w:topLinePunct w:val="0"/>
              <w:bidi w:val="0"/>
              <w:adjustRightInd/>
              <w:snapToGrid/>
              <w:spacing w:line="360" w:lineRule="atLeast"/>
              <w:textAlignment w:val="auto"/>
              <w:rPr>
                <w:rFonts w:hint="eastAsia" w:cs="宋体"/>
                <w:color w:val="auto"/>
                <w:sz w:val="24"/>
                <w:szCs w:val="24"/>
                <w:highlight w:val="none"/>
                <w:lang w:eastAsia="zh-CN"/>
              </w:rPr>
            </w:pPr>
            <w:r>
              <w:rPr>
                <w:rFonts w:hint="eastAsia" w:cs="宋体"/>
                <w:color w:val="auto"/>
                <w:sz w:val="24"/>
                <w:szCs w:val="24"/>
                <w:highlight w:val="none"/>
                <w:lang w:eastAsia="zh-CN"/>
              </w:rPr>
              <w:t>（3）供应商解密时CA数字证书已过期，导致无法正常解密；</w:t>
            </w:r>
          </w:p>
          <w:p w14:paraId="313B0223">
            <w:pPr>
              <w:pStyle w:val="53"/>
              <w:keepNext w:val="0"/>
              <w:keepLines w:val="0"/>
              <w:pageBreakBefore w:val="0"/>
              <w:kinsoku/>
              <w:wordWrap/>
              <w:overflowPunct/>
              <w:topLinePunct w:val="0"/>
              <w:bidi w:val="0"/>
              <w:adjustRightInd/>
              <w:snapToGrid/>
              <w:spacing w:line="360" w:lineRule="atLeast"/>
              <w:textAlignment w:val="auto"/>
              <w:rPr>
                <w:rFonts w:hint="eastAsia" w:cs="宋体"/>
                <w:color w:val="auto"/>
                <w:sz w:val="24"/>
                <w:szCs w:val="24"/>
                <w:highlight w:val="none"/>
                <w:lang w:eastAsia="zh-CN"/>
              </w:rPr>
            </w:pPr>
            <w:r>
              <w:rPr>
                <w:rFonts w:hint="eastAsia" w:cs="宋体"/>
                <w:color w:val="auto"/>
                <w:sz w:val="24"/>
                <w:szCs w:val="24"/>
                <w:highlight w:val="none"/>
                <w:lang w:eastAsia="zh-CN"/>
              </w:rPr>
              <w:t>（4）加密响应文件时，CA数字证书未过期，解密时，显示CA数字证书已过期，导致无法正常解密；</w:t>
            </w:r>
          </w:p>
          <w:p w14:paraId="691DB833">
            <w:pPr>
              <w:pStyle w:val="53"/>
              <w:keepNext w:val="0"/>
              <w:keepLines w:val="0"/>
              <w:pageBreakBefore w:val="0"/>
              <w:kinsoku/>
              <w:wordWrap/>
              <w:overflowPunct/>
              <w:topLinePunct w:val="0"/>
              <w:bidi w:val="0"/>
              <w:adjustRightInd/>
              <w:snapToGrid/>
              <w:spacing w:line="360" w:lineRule="atLeast"/>
              <w:textAlignment w:val="auto"/>
              <w:rPr>
                <w:rFonts w:hint="eastAsia" w:cs="宋体"/>
                <w:color w:val="auto"/>
                <w:sz w:val="24"/>
                <w:szCs w:val="24"/>
                <w:highlight w:val="none"/>
                <w:lang w:eastAsia="zh-CN"/>
              </w:rPr>
            </w:pPr>
            <w:r>
              <w:rPr>
                <w:rFonts w:hint="eastAsia" w:cs="宋体"/>
                <w:color w:val="auto"/>
                <w:sz w:val="24"/>
                <w:szCs w:val="24"/>
                <w:highlight w:val="none"/>
                <w:lang w:eastAsia="zh-CN"/>
              </w:rPr>
              <w:t>（5）未在规定的响应文件解密时间内进行解密的；</w:t>
            </w:r>
          </w:p>
          <w:p w14:paraId="09D42587">
            <w:pPr>
              <w:pStyle w:val="53"/>
              <w:keepNext w:val="0"/>
              <w:keepLines w:val="0"/>
              <w:pageBreakBefore w:val="0"/>
              <w:kinsoku/>
              <w:wordWrap/>
              <w:overflowPunct/>
              <w:topLinePunct w:val="0"/>
              <w:bidi w:val="0"/>
              <w:adjustRightInd/>
              <w:snapToGrid/>
              <w:spacing w:line="360" w:lineRule="atLeast"/>
              <w:textAlignment w:val="auto"/>
              <w:rPr>
                <w:rFonts w:hint="eastAsia" w:cs="宋体"/>
                <w:color w:val="auto"/>
                <w:sz w:val="24"/>
                <w:szCs w:val="24"/>
                <w:highlight w:val="none"/>
                <w:lang w:eastAsia="zh-CN"/>
              </w:rPr>
            </w:pPr>
            <w:r>
              <w:rPr>
                <w:rFonts w:hint="eastAsia" w:cs="宋体"/>
                <w:color w:val="auto"/>
                <w:sz w:val="24"/>
                <w:szCs w:val="24"/>
                <w:highlight w:val="none"/>
                <w:lang w:eastAsia="zh-CN"/>
              </w:rPr>
              <w:t xml:space="preserve">（6）供应商个人原因导致无法解密的其他情形。 </w:t>
            </w:r>
          </w:p>
          <w:p w14:paraId="35EFC00B">
            <w:pPr>
              <w:pStyle w:val="53"/>
              <w:keepNext w:val="0"/>
              <w:keepLines w:val="0"/>
              <w:pageBreakBefore w:val="0"/>
              <w:kinsoku/>
              <w:wordWrap/>
              <w:overflowPunct/>
              <w:topLinePunct w:val="0"/>
              <w:bidi w:val="0"/>
              <w:adjustRightInd/>
              <w:snapToGrid/>
              <w:spacing w:line="360" w:lineRule="atLeast"/>
              <w:textAlignment w:val="auto"/>
              <w:rPr>
                <w:rFonts w:hint="eastAsia" w:cs="宋体"/>
                <w:color w:val="auto"/>
                <w:sz w:val="24"/>
                <w:szCs w:val="24"/>
                <w:highlight w:val="none"/>
                <w:lang w:eastAsia="zh-CN"/>
              </w:rPr>
            </w:pPr>
            <w:r>
              <w:rPr>
                <w:rFonts w:hint="eastAsia" w:cs="宋体"/>
                <w:color w:val="auto"/>
                <w:sz w:val="24"/>
                <w:szCs w:val="24"/>
                <w:highlight w:val="none"/>
                <w:lang w:val="en-US" w:eastAsia="zh-CN"/>
              </w:rPr>
              <w:t>10.</w:t>
            </w:r>
            <w:r>
              <w:rPr>
                <w:rFonts w:hint="eastAsia" w:cs="宋体"/>
                <w:color w:val="auto"/>
                <w:sz w:val="24"/>
                <w:szCs w:val="24"/>
                <w:highlight w:val="none"/>
                <w:lang w:eastAsia="zh-CN"/>
              </w:rPr>
              <w:t>供应商应在谈判响应截止时间前将投标时使用的计算机安装相关的浏览器（推荐使用谷歌浏览器）、CA驱动等软件，方便响应文件解密时能够正常解密。</w:t>
            </w:r>
          </w:p>
          <w:p w14:paraId="3A527C23">
            <w:pPr>
              <w:pStyle w:val="53"/>
              <w:keepNext w:val="0"/>
              <w:keepLines w:val="0"/>
              <w:pageBreakBefore w:val="0"/>
              <w:kinsoku/>
              <w:wordWrap/>
              <w:overflowPunct/>
              <w:topLinePunct w:val="0"/>
              <w:bidi w:val="0"/>
              <w:adjustRightInd/>
              <w:snapToGrid/>
              <w:spacing w:line="360" w:lineRule="atLeast"/>
              <w:textAlignment w:val="auto"/>
              <w:rPr>
                <w:rFonts w:hint="eastAsia" w:cs="宋体"/>
                <w:color w:val="auto"/>
                <w:sz w:val="24"/>
                <w:szCs w:val="24"/>
                <w:highlight w:val="none"/>
                <w:lang w:eastAsia="zh-CN"/>
              </w:rPr>
            </w:pPr>
            <w:r>
              <w:rPr>
                <w:rFonts w:hint="eastAsia" w:cs="宋体"/>
                <w:color w:val="auto"/>
                <w:sz w:val="24"/>
                <w:szCs w:val="24"/>
                <w:highlight w:val="none"/>
                <w:lang w:val="en-US" w:eastAsia="zh-CN"/>
              </w:rPr>
              <w:t>11.</w:t>
            </w:r>
            <w:r>
              <w:rPr>
                <w:rFonts w:hint="eastAsia" w:cs="宋体"/>
                <w:color w:val="auto"/>
                <w:sz w:val="24"/>
                <w:szCs w:val="24"/>
                <w:highlight w:val="none"/>
                <w:lang w:eastAsia="zh-CN"/>
              </w:rPr>
              <w:t>供应商需在响应文件递交截止时间前自行测试开标时使用的计算机，如因供应商自身原因导致响应文件解密失败的，由供应商自行承担相应后果。</w:t>
            </w:r>
          </w:p>
        </w:tc>
      </w:tr>
      <w:tr w14:paraId="01676C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403E713D">
            <w:pPr>
              <w:pStyle w:val="53"/>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r>
              <w:rPr>
                <w:rFonts w:hint="eastAsia" w:cs="宋体"/>
                <w:color w:val="auto"/>
                <w:sz w:val="24"/>
                <w:szCs w:val="24"/>
                <w:highlight w:val="none"/>
                <w:lang w:val="en-US" w:eastAsia="zh-CN"/>
              </w:rPr>
              <w:t>：</w:t>
            </w:r>
          </w:p>
          <w:p w14:paraId="6EFF93FF">
            <w:pPr>
              <w:pStyle w:val="53"/>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  年  月  日，则“近三年”是指  年  月  日至  年  月  日。</w:t>
            </w:r>
          </w:p>
          <w:p w14:paraId="6D07FF06">
            <w:pPr>
              <w:pStyle w:val="53"/>
              <w:keepNext w:val="0"/>
              <w:keepLines w:val="0"/>
              <w:pageBreakBefore w:val="0"/>
              <w:kinsoku/>
              <w:wordWrap/>
              <w:overflowPunct/>
              <w:topLinePunct w:val="0"/>
              <w:bidi w:val="0"/>
              <w:adjustRightInd/>
              <w:snapToGrid/>
              <w:spacing w:line="3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p w14:paraId="42902205">
            <w:pPr>
              <w:pStyle w:val="53"/>
              <w:keepNext w:val="0"/>
              <w:keepLines w:val="0"/>
              <w:pageBreakBefore w:val="0"/>
              <w:kinsoku/>
              <w:wordWrap/>
              <w:overflowPunct/>
              <w:topLinePunct w:val="0"/>
              <w:bidi w:val="0"/>
              <w:adjustRightInd/>
              <w:snapToGrid/>
              <w:spacing w:line="360" w:lineRule="atLeast"/>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3. 采购文件中部分加粗、标★、加下划线、废标、无效标、投标被拒绝字样的条款，着重提醒各投标人注意，并认真查看采购文件中的每一个条款及要求，因误读采购文件而造成其他后果，招标人概不负责。</w:t>
            </w:r>
          </w:p>
          <w:p w14:paraId="5978E907">
            <w:pPr>
              <w:pStyle w:val="53"/>
              <w:keepNext w:val="0"/>
              <w:keepLines w:val="0"/>
              <w:pageBreakBefore w:val="0"/>
              <w:kinsoku/>
              <w:wordWrap/>
              <w:overflowPunct/>
              <w:topLinePunct w:val="0"/>
              <w:bidi w:val="0"/>
              <w:adjustRightInd/>
              <w:snapToGrid/>
              <w:spacing w:line="360" w:lineRule="atLeast"/>
              <w:textAlignment w:val="auto"/>
              <w:rPr>
                <w:rFonts w:hint="eastAsia" w:cs="宋体"/>
                <w:color w:val="auto"/>
                <w:sz w:val="24"/>
                <w:szCs w:val="24"/>
                <w:highlight w:val="none"/>
                <w:lang w:val="en-US" w:eastAsia="zh-CN"/>
              </w:rPr>
            </w:pPr>
            <w:r>
              <w:rPr>
                <w:rFonts w:hint="eastAsia" w:cs="宋体"/>
                <w:color w:val="auto"/>
                <w:sz w:val="24"/>
                <w:szCs w:val="24"/>
                <w:highlight w:val="none"/>
                <w:lang w:val="en-US" w:eastAsia="zh-CN"/>
              </w:rPr>
              <w:t>4. 投标文件中有弄虚作假的内容，其投标文件作废。（如假证书、假业绩、隐瞒不良行为记录、夸大荣誉、使用非本单位在职员工的相关证件及不符合采购文件规定的条款等）；在签订合同之前，投标人如发现投标人的投标文件有弄虚作假内容，招标人可拒绝与其签订合同。并将其列入政府采购黑名单库。</w:t>
            </w:r>
          </w:p>
          <w:p w14:paraId="553ACBE9">
            <w:pPr>
              <w:pStyle w:val="53"/>
              <w:keepNext w:val="0"/>
              <w:keepLines w:val="0"/>
              <w:pageBreakBefore w:val="0"/>
              <w:kinsoku/>
              <w:wordWrap/>
              <w:overflowPunct/>
              <w:topLinePunct w:val="0"/>
              <w:bidi w:val="0"/>
              <w:adjustRightInd/>
              <w:snapToGrid/>
              <w:spacing w:line="360" w:lineRule="atLeast"/>
              <w:textAlignment w:val="auto"/>
              <w:rPr>
                <w:rFonts w:hint="default" w:cs="宋体"/>
                <w:color w:val="auto"/>
                <w:sz w:val="24"/>
                <w:szCs w:val="24"/>
                <w:highlight w:val="none"/>
                <w:lang w:val="en-US" w:eastAsia="zh-CN"/>
              </w:rPr>
            </w:pPr>
            <w:r>
              <w:rPr>
                <w:rFonts w:hint="eastAsia" w:cs="宋体"/>
                <w:color w:val="auto"/>
                <w:sz w:val="24"/>
                <w:szCs w:val="24"/>
                <w:highlight w:val="none"/>
                <w:lang w:val="en-US" w:eastAsia="zh-CN"/>
              </w:rPr>
              <w:t>5. 投标人应保证在本项目使用的任何产品和服务（包括部分使用）时，不会产生因第三方提出侵犯其专利权、商标权或其他知识产权而引起的法律和经济纠纷，如因专利权、商标权或其他知识产权而引起法律和经济纠纷，由投标人承担所有相关责任的同时不得耽误本项目实施。</w:t>
            </w:r>
          </w:p>
        </w:tc>
      </w:tr>
    </w:tbl>
    <w:p w14:paraId="768D016B">
      <w:pPr>
        <w:rPr>
          <w:color w:val="auto"/>
          <w:highlight w:val="none"/>
        </w:rPr>
      </w:pPr>
    </w:p>
    <w:p w14:paraId="6DE6BF65">
      <w:pPr>
        <w:rPr>
          <w:rFonts w:hint="eastAsia" w:eastAsia="宋体" w:asciiTheme="majorHAnsi" w:hAnsiTheme="majorHAnsi" w:cstheme="majorBidi"/>
          <w:b/>
          <w:bCs/>
          <w:color w:val="auto"/>
          <w:kern w:val="2"/>
          <w:sz w:val="32"/>
          <w:szCs w:val="32"/>
          <w:highlight w:val="none"/>
          <w:lang w:val="en-US" w:eastAsia="zh-CN" w:bidi="ar-SA"/>
        </w:rPr>
      </w:pPr>
      <w:bookmarkStart w:id="8" w:name="_Toc155185869"/>
      <w:r>
        <w:rPr>
          <w:rFonts w:hint="eastAsia" w:eastAsia="宋体" w:asciiTheme="majorHAnsi" w:hAnsiTheme="majorHAnsi" w:cstheme="majorBidi"/>
          <w:b/>
          <w:bCs/>
          <w:color w:val="auto"/>
          <w:kern w:val="2"/>
          <w:sz w:val="32"/>
          <w:szCs w:val="32"/>
          <w:highlight w:val="none"/>
          <w:lang w:val="en-US" w:eastAsia="zh-CN" w:bidi="ar-SA"/>
        </w:rPr>
        <w:br w:type="page"/>
      </w:r>
    </w:p>
    <w:p w14:paraId="7A478DCF">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9" w:name="_Toc18554"/>
      <w:r>
        <w:rPr>
          <w:rFonts w:hint="eastAsia" w:eastAsia="宋体" w:asciiTheme="majorHAnsi" w:hAnsiTheme="majorHAnsi" w:cstheme="majorBidi"/>
          <w:b/>
          <w:bCs/>
          <w:color w:val="auto"/>
          <w:kern w:val="2"/>
          <w:sz w:val="28"/>
          <w:szCs w:val="28"/>
          <w:highlight w:val="none"/>
          <w:lang w:val="en-US" w:eastAsia="zh-CN" w:bidi="ar-SA"/>
        </w:rPr>
        <w:t>二、投标人须知</w:t>
      </w:r>
      <w:bookmarkEnd w:id="8"/>
      <w:bookmarkEnd w:id="9"/>
    </w:p>
    <w:p w14:paraId="74A52E5E">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0" w:name="_Toc163492822"/>
      <w:bookmarkStart w:id="11" w:name="_Toc5011"/>
      <w:bookmarkStart w:id="12" w:name="_Toc28135"/>
      <w:bookmarkStart w:id="13" w:name="_Toc155185870"/>
      <w:bookmarkStart w:id="14" w:name="_Toc9308"/>
      <w:r>
        <w:rPr>
          <w:rFonts w:hint="eastAsia" w:ascii="宋体" w:hAnsi="宋体" w:eastAsia="宋体" w:cs="宋体"/>
          <w:b/>
          <w:bCs/>
          <w:color w:val="auto"/>
          <w:kern w:val="2"/>
          <w:sz w:val="24"/>
          <w:szCs w:val="24"/>
          <w:highlight w:val="none"/>
          <w:lang w:val="en-US" w:eastAsia="zh-CN" w:bidi="ar-SA"/>
        </w:rPr>
        <w:t>（一）总则</w:t>
      </w:r>
      <w:bookmarkEnd w:id="10"/>
      <w:bookmarkEnd w:id="11"/>
      <w:bookmarkEnd w:id="12"/>
      <w:bookmarkEnd w:id="13"/>
      <w:bookmarkEnd w:id="14"/>
    </w:p>
    <w:p w14:paraId="4D6556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 w:name="_Toc1399"/>
      <w:bookmarkStart w:id="16" w:name="_Toc22777"/>
      <w:bookmarkStart w:id="17" w:name="_Toc155095689"/>
      <w:bookmarkStart w:id="18" w:name="_Toc109900469"/>
      <w:bookmarkStart w:id="19" w:name="_Toc109899631"/>
      <w:bookmarkStart w:id="20" w:name="_Toc163492823"/>
      <w:bookmarkStart w:id="21" w:name="_Toc24126"/>
      <w:bookmarkStart w:id="22" w:name="_Toc109900050"/>
      <w:bookmarkStart w:id="23" w:name="_Toc31233"/>
      <w:bookmarkStart w:id="24" w:name="_Toc109897532"/>
      <w:r>
        <w:rPr>
          <w:rFonts w:hint="eastAsia" w:ascii="宋体" w:hAnsi="宋体" w:eastAsia="宋体" w:cs="宋体"/>
          <w:b/>
          <w:bCs/>
          <w:color w:val="auto"/>
          <w:kern w:val="2"/>
          <w:sz w:val="24"/>
          <w:szCs w:val="24"/>
          <w:highlight w:val="none"/>
          <w:lang w:val="en-US" w:eastAsia="zh-CN" w:bidi="ar-SA"/>
        </w:rPr>
        <w:t>1.适用范围</w:t>
      </w:r>
      <w:bookmarkEnd w:id="15"/>
      <w:bookmarkEnd w:id="16"/>
      <w:bookmarkEnd w:id="17"/>
      <w:bookmarkEnd w:id="18"/>
      <w:bookmarkEnd w:id="19"/>
      <w:bookmarkEnd w:id="20"/>
      <w:bookmarkEnd w:id="21"/>
      <w:bookmarkEnd w:id="22"/>
      <w:bookmarkEnd w:id="23"/>
      <w:bookmarkEnd w:id="24"/>
    </w:p>
    <w:p w14:paraId="56380E7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1.1本招标文件仅适用于本项目的采购活动。</w:t>
      </w:r>
    </w:p>
    <w:p w14:paraId="43366EC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 w:name="_Toc11043"/>
      <w:bookmarkStart w:id="26" w:name="_Toc163492824"/>
      <w:bookmarkStart w:id="27" w:name="_Toc11954"/>
      <w:bookmarkStart w:id="28" w:name="_Toc8394"/>
      <w:r>
        <w:rPr>
          <w:rFonts w:hint="eastAsia" w:ascii="宋体" w:hAnsi="宋体" w:eastAsia="宋体" w:cs="宋体"/>
          <w:b/>
          <w:bCs/>
          <w:color w:val="auto"/>
          <w:kern w:val="2"/>
          <w:sz w:val="24"/>
          <w:szCs w:val="24"/>
          <w:highlight w:val="none"/>
          <w:lang w:val="en-US" w:eastAsia="zh-CN" w:bidi="ar-SA"/>
        </w:rPr>
        <w:t>2.基本定义</w:t>
      </w:r>
      <w:bookmarkEnd w:id="25"/>
      <w:bookmarkEnd w:id="26"/>
      <w:bookmarkEnd w:id="27"/>
      <w:bookmarkEnd w:id="28"/>
    </w:p>
    <w:p w14:paraId="621609D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2.1根据《中华人民共和国政府采购法》及其实施条例等有关</w:t>
      </w:r>
      <w:r>
        <w:rPr>
          <w:rFonts w:hint="eastAsia" w:cs="宋体"/>
          <w:color w:val="auto"/>
          <w:sz w:val="24"/>
          <w:szCs w:val="24"/>
          <w:highlight w:val="none"/>
          <w:lang w:eastAsia="zh-CN"/>
        </w:rPr>
        <w:t>法律法规</w:t>
      </w:r>
      <w:r>
        <w:rPr>
          <w:rFonts w:hint="eastAsia" w:ascii="宋体" w:hAnsi="宋体" w:eastAsia="宋体" w:cs="宋体"/>
          <w:color w:val="auto"/>
          <w:sz w:val="24"/>
          <w:szCs w:val="24"/>
          <w:highlight w:val="none"/>
        </w:rPr>
        <w:t>和规章的规定，制定本招标文件。</w:t>
      </w:r>
    </w:p>
    <w:p w14:paraId="25C7EDB4">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rPr>
        <w:t>。</w:t>
      </w:r>
    </w:p>
    <w:p w14:paraId="430912D5">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ascii="宋体" w:hAnsi="宋体" w:eastAsia="宋体" w:cs="宋体"/>
          <w:color w:val="auto"/>
          <w:sz w:val="24"/>
          <w:szCs w:val="24"/>
          <w:highlight w:val="none"/>
          <w:lang w:val="en-US" w:eastAsia="zh-CN"/>
        </w:rPr>
        <w:t>委托的采购代理机构</w:t>
      </w:r>
      <w:r>
        <w:rPr>
          <w:rFonts w:hint="eastAsia" w:ascii="宋体" w:hAnsi="宋体" w:eastAsia="宋体" w:cs="宋体"/>
          <w:color w:val="auto"/>
          <w:sz w:val="24"/>
          <w:szCs w:val="24"/>
          <w:highlight w:val="none"/>
        </w:rPr>
        <w:t>。</w:t>
      </w:r>
    </w:p>
    <w:p w14:paraId="325597E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7DB801F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 服务包含的内容见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w:t>
      </w:r>
    </w:p>
    <w:p w14:paraId="26E7C7FC">
      <w:pPr>
        <w:ind w:firstLine="480" w:firstLineChars="200"/>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shd w:val="clear" w:color="auto" w:fill="FFFFFF" w:themeFill="background1"/>
        </w:rPr>
        <w:t>2.6投标人（也称“供应商”、“申请人”）：指向采购人提供货物、工程或者服务的法人、其他组织或者自然人。</w:t>
      </w:r>
      <w:r>
        <w:rPr>
          <w:rFonts w:hint="eastAsia" w:ascii="宋体" w:hAnsi="宋体" w:eastAsia="宋体" w:cs="宋体"/>
          <w:color w:val="auto"/>
          <w:sz w:val="24"/>
          <w:szCs w:val="24"/>
          <w:highlight w:val="none"/>
        </w:rPr>
        <w:t>分支机构不得参加政府采购活动，但银行、保险、石油石化、电力、电信等</w:t>
      </w:r>
      <w:r>
        <w:rPr>
          <w:rFonts w:hint="eastAsia" w:ascii="宋体" w:hAnsi="宋体" w:eastAsia="宋体" w:cs="宋体"/>
          <w:color w:val="auto"/>
          <w:sz w:val="24"/>
          <w:szCs w:val="24"/>
          <w:highlight w:val="none"/>
          <w:lang w:val="en-US" w:eastAsia="zh-CN"/>
        </w:rPr>
        <w:t>有</w:t>
      </w:r>
      <w:r>
        <w:rPr>
          <w:rFonts w:hint="eastAsia" w:ascii="宋体" w:hAnsi="宋体" w:eastAsia="宋体" w:cs="宋体"/>
          <w:color w:val="auto"/>
          <w:sz w:val="24"/>
          <w:szCs w:val="24"/>
          <w:highlight w:val="none"/>
        </w:rPr>
        <w:t>行业特殊</w:t>
      </w:r>
      <w:r>
        <w:rPr>
          <w:rFonts w:hint="eastAsia" w:ascii="宋体" w:hAnsi="宋体" w:eastAsia="宋体" w:cs="宋体"/>
          <w:color w:val="auto"/>
          <w:sz w:val="24"/>
          <w:szCs w:val="24"/>
          <w:highlight w:val="none"/>
          <w:lang w:val="en-US" w:eastAsia="zh-CN"/>
        </w:rPr>
        <w:t>情况的</w:t>
      </w:r>
      <w:r>
        <w:rPr>
          <w:rFonts w:hint="eastAsia" w:ascii="宋体" w:hAnsi="宋体" w:eastAsia="宋体" w:cs="宋体"/>
          <w:color w:val="auto"/>
          <w:sz w:val="24"/>
          <w:szCs w:val="24"/>
          <w:highlight w:val="none"/>
        </w:rPr>
        <w:t>除外。本项目的投标人须满足以下条件：</w:t>
      </w:r>
    </w:p>
    <w:p w14:paraId="1EE05C2D">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2.6.1具备《中华人民共和国政府采购法》第二十二条规定的条件，遵守本项目采购人本级和上级财政部门政府采购的有关规定。</w:t>
      </w:r>
    </w:p>
    <w:p w14:paraId="3BDEDCD1">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2.6.2以招标公告中发布的方式依法获得了本项目的招标文件。</w:t>
      </w:r>
    </w:p>
    <w:p w14:paraId="6F113C0E">
      <w:pPr>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2.6.3符合本招标文件规定并参加投标的供应商。</w:t>
      </w:r>
    </w:p>
    <w:p w14:paraId="207CB454">
      <w:pPr>
        <w:pStyle w:val="41"/>
        <w:keepNext w:val="0"/>
        <w:keepLines w:val="0"/>
        <w:pageBreakBefore w:val="0"/>
        <w:widowControl w:val="0"/>
        <w:kinsoku/>
        <w:overflowPunct/>
        <w:topLinePunct w:val="0"/>
        <w:autoSpaceDE/>
        <w:autoSpaceDN/>
        <w:bidi w:val="0"/>
        <w:adjustRightInd/>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w:t>
      </w:r>
      <w:r>
        <w:rPr>
          <w:rFonts w:hint="eastAsia" w:ascii="宋体" w:hAnsi="宋体" w:eastAsia="宋体" w:cs="宋体"/>
          <w:iCs/>
          <w:color w:val="auto"/>
          <w:sz w:val="24"/>
          <w:szCs w:val="24"/>
          <w:highlight w:val="none"/>
          <w:shd w:val="clear" w:color="auto" w:fill="FFFFFF" w:themeFill="background1"/>
        </w:rPr>
        <w:t>潜在投标人、潜在供应商</w:t>
      </w:r>
      <w:r>
        <w:rPr>
          <w:rFonts w:hint="eastAsia" w:ascii="宋体" w:hAnsi="宋体" w:eastAsia="宋体" w:cs="宋体"/>
          <w:iCs/>
          <w:color w:val="auto"/>
          <w:sz w:val="24"/>
          <w:szCs w:val="24"/>
          <w:highlight w:val="none"/>
          <w:shd w:val="clear" w:color="auto" w:fill="FFFFFF" w:themeFill="background1"/>
          <w:lang w:eastAsia="zh-CN"/>
        </w:rPr>
        <w:t>：</w:t>
      </w:r>
      <w:r>
        <w:rPr>
          <w:rFonts w:hint="eastAsia" w:ascii="宋体" w:hAnsi="宋体" w:eastAsia="宋体" w:cs="宋体"/>
          <w:iCs/>
          <w:color w:val="auto"/>
          <w:sz w:val="24"/>
          <w:szCs w:val="24"/>
          <w:highlight w:val="none"/>
          <w:shd w:val="clear" w:color="auto" w:fill="FFFFFF" w:themeFill="background1"/>
          <w:lang w:val="en-US" w:eastAsia="zh-CN"/>
        </w:rPr>
        <w:t>指</w:t>
      </w:r>
      <w:r>
        <w:rPr>
          <w:rFonts w:hint="eastAsia" w:ascii="宋体" w:hAnsi="宋体" w:eastAsia="宋体" w:cs="宋体"/>
          <w:color w:val="auto"/>
          <w:sz w:val="24"/>
          <w:szCs w:val="24"/>
          <w:highlight w:val="none"/>
          <w:lang w:val="en-US" w:eastAsia="zh-CN"/>
        </w:rPr>
        <w:t>符合本招标文件规定的供应商</w:t>
      </w:r>
      <w:r>
        <w:rPr>
          <w:rFonts w:hint="eastAsia" w:ascii="宋体" w:hAnsi="宋体" w:eastAsia="宋体" w:cs="宋体"/>
          <w:color w:val="auto"/>
          <w:sz w:val="24"/>
          <w:szCs w:val="24"/>
          <w:highlight w:val="none"/>
        </w:rPr>
        <w:t>。</w:t>
      </w:r>
    </w:p>
    <w:p w14:paraId="5BFCFD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 w:name="_Toc15923"/>
      <w:bookmarkStart w:id="30" w:name="_Toc27150"/>
      <w:bookmarkStart w:id="31" w:name="_Toc22315"/>
      <w:bookmarkStart w:id="32" w:name="_Toc163492825"/>
      <w:bookmarkStart w:id="33" w:name="_Toc140132758"/>
      <w:r>
        <w:rPr>
          <w:rFonts w:hint="eastAsia" w:ascii="宋体" w:hAnsi="宋体" w:eastAsia="宋体" w:cs="宋体"/>
          <w:b/>
          <w:bCs/>
          <w:color w:val="auto"/>
          <w:kern w:val="2"/>
          <w:sz w:val="24"/>
          <w:szCs w:val="24"/>
          <w:highlight w:val="none"/>
          <w:lang w:val="en-US" w:eastAsia="zh-CN" w:bidi="ar-SA"/>
        </w:rPr>
        <w:t>3.资金来源</w:t>
      </w:r>
      <w:bookmarkEnd w:id="29"/>
      <w:bookmarkEnd w:id="30"/>
      <w:bookmarkEnd w:id="31"/>
      <w:bookmarkEnd w:id="32"/>
      <w:bookmarkEnd w:id="33"/>
    </w:p>
    <w:p w14:paraId="787533B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3.1资金来源：</w:t>
      </w:r>
      <w:r>
        <w:rPr>
          <w:rFonts w:hint="eastAsia" w:ascii="宋体" w:hAnsi="宋体" w:eastAsia="宋体" w:cs="宋体"/>
          <w:color w:val="auto"/>
          <w:sz w:val="24"/>
          <w:szCs w:val="24"/>
          <w:highlight w:val="none"/>
          <w:lang w:val="en-US" w:eastAsia="zh-CN"/>
        </w:rPr>
        <w:t>为财政性资金即</w:t>
      </w:r>
      <w:r>
        <w:rPr>
          <w:rFonts w:hint="eastAsia" w:ascii="宋体" w:hAnsi="宋体" w:eastAsia="宋体" w:cs="宋体"/>
          <w:color w:val="auto"/>
          <w:sz w:val="24"/>
          <w:szCs w:val="24"/>
          <w:highlight w:val="none"/>
        </w:rPr>
        <w:t>纳入预算管理的资金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以财政性资金作为还款来源的借贷资金，视同财政性资金。财政性资金与非财政性资金无法分割采购的，统一适用《中华人民共和国政府采购法》及其实施条例。</w:t>
      </w:r>
    </w:p>
    <w:p w14:paraId="4A79F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4" w:name="_Toc140132760"/>
      <w:bookmarkStart w:id="35" w:name="_Toc4285"/>
      <w:bookmarkStart w:id="36" w:name="_Toc21872"/>
      <w:bookmarkStart w:id="37" w:name="_Toc163492826"/>
      <w:bookmarkStart w:id="38" w:name="_Toc15559"/>
      <w:r>
        <w:rPr>
          <w:rFonts w:hint="eastAsia" w:ascii="宋体" w:hAnsi="宋体" w:eastAsia="宋体" w:cs="宋体"/>
          <w:b/>
          <w:bCs/>
          <w:color w:val="auto"/>
          <w:kern w:val="2"/>
          <w:sz w:val="24"/>
          <w:szCs w:val="24"/>
          <w:highlight w:val="none"/>
          <w:lang w:val="en-US" w:eastAsia="zh-CN" w:bidi="ar-SA"/>
        </w:rPr>
        <w:t>4.投标人资格要求</w:t>
      </w:r>
      <w:bookmarkEnd w:id="34"/>
      <w:bookmarkEnd w:id="35"/>
      <w:bookmarkEnd w:id="36"/>
      <w:bookmarkEnd w:id="37"/>
      <w:bookmarkEnd w:id="38"/>
    </w:p>
    <w:p w14:paraId="61F1DD8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4.1投标人资格要求：见“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5046FA1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val="zh-CN" w:eastAsia="zh-CN"/>
        </w:rPr>
        <w:t>”规定接受联合体投标的，还应遵守以下规定：</w:t>
      </w:r>
    </w:p>
    <w:p w14:paraId="6234AF2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1两个以上的自然人、法人或者其他组织可以组成一个联合体，以一个</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的身份共同参加政府采购。</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以联合体形式进行政府采购的，参加联合体的供应商均应当具备《</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iCs/>
          <w:color w:val="auto"/>
          <w:kern w:val="2"/>
          <w:sz w:val="24"/>
          <w:szCs w:val="24"/>
          <w:highlight w:val="none"/>
          <w:shd w:val="clear" w:color="auto" w:fill="FFFFFF" w:themeFill="background1"/>
          <w:lang w:val="zh-CN" w:eastAsia="zh-CN" w:bidi="ar-SA"/>
        </w:rPr>
        <w:t>》第二十二条规定的条件。</w:t>
      </w:r>
    </w:p>
    <w:p w14:paraId="33DC25A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2.2</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联合体各方应按招标文件提供的格式签订联合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作为投标文件的一部分提交，该协议书对联合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体所有成员</w:t>
      </w:r>
      <w:r>
        <w:rPr>
          <w:rFonts w:hint="eastAsia" w:ascii="宋体" w:hAnsi="宋体" w:eastAsia="宋体" w:cs="宋体"/>
          <w:iCs/>
          <w:color w:val="auto"/>
          <w:kern w:val="2"/>
          <w:sz w:val="24"/>
          <w:szCs w:val="24"/>
          <w:highlight w:val="none"/>
          <w:shd w:val="clear" w:color="auto" w:fill="FFFFFF" w:themeFill="background1"/>
          <w:lang w:val="zh-CN" w:eastAsia="zh-CN" w:bidi="ar-SA"/>
        </w:rPr>
        <w:t>均具有法律约束力。</w:t>
      </w:r>
    </w:p>
    <w:p w14:paraId="12C0A3E5">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4.2.3</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6AAB5C8E">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4</w:t>
      </w:r>
      <w:r>
        <w:rPr>
          <w:rFonts w:hint="eastAsia" w:ascii="宋体" w:hAnsi="宋体" w:eastAsia="宋体" w:cs="宋体"/>
          <w:iCs/>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宋体"/>
          <w:iCs/>
          <w:color w:val="auto"/>
          <w:kern w:val="2"/>
          <w:sz w:val="24"/>
          <w:szCs w:val="24"/>
          <w:highlight w:val="none"/>
          <w:shd w:val="clear" w:color="auto" w:fill="FFFFFF" w:themeFill="background1"/>
          <w:lang w:val="en-US" w:eastAsia="zh-CN" w:bidi="ar-SA"/>
        </w:rPr>
        <w:t>同一合同项下的</w:t>
      </w:r>
      <w:r>
        <w:rPr>
          <w:rFonts w:hint="eastAsia" w:ascii="宋体" w:hAnsi="宋体" w:eastAsia="宋体" w:cs="宋体"/>
          <w:iCs/>
          <w:color w:val="auto"/>
          <w:kern w:val="2"/>
          <w:sz w:val="24"/>
          <w:szCs w:val="24"/>
          <w:highlight w:val="none"/>
          <w:shd w:val="clear" w:color="auto" w:fill="FFFFFF" w:themeFill="background1"/>
          <w:lang w:val="zh-CN" w:eastAsia="zh-CN" w:bidi="ar-SA"/>
        </w:rPr>
        <w:t>投标，否则相关投标将被认定为</w:t>
      </w:r>
      <w:r>
        <w:rPr>
          <w:rFonts w:hint="eastAsia" w:ascii="宋体" w:hAnsi="宋体" w:eastAsia="宋体" w:cs="宋体"/>
          <w:b/>
          <w:bCs/>
          <w:iCs/>
          <w:color w:val="auto"/>
          <w:kern w:val="2"/>
          <w:sz w:val="24"/>
          <w:szCs w:val="24"/>
          <w:highlight w:val="none"/>
          <w:shd w:val="clear" w:color="auto" w:fill="FFFFFF" w:themeFill="background1"/>
          <w:lang w:val="zh-CN" w:eastAsia="zh-CN" w:bidi="ar-SA"/>
        </w:rPr>
        <w:t>投标无效</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780FF3F0">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协议</w:t>
      </w:r>
      <w:r>
        <w:rPr>
          <w:rFonts w:hint="eastAsia" w:ascii="宋体" w:hAnsi="宋体" w:eastAsia="宋体" w:cs="宋体"/>
          <w:iCs/>
          <w:color w:val="auto"/>
          <w:kern w:val="2"/>
          <w:sz w:val="24"/>
          <w:szCs w:val="24"/>
          <w:highlight w:val="none"/>
          <w:shd w:val="clear" w:color="auto" w:fill="FFFFFF" w:themeFill="background1"/>
          <w:lang w:val="en-US" w:eastAsia="zh-CN" w:bidi="ar-SA"/>
        </w:rPr>
        <w:t>书</w:t>
      </w:r>
      <w:r>
        <w:rPr>
          <w:rFonts w:hint="eastAsia" w:ascii="宋体" w:hAnsi="宋体" w:eastAsia="宋体" w:cs="宋体"/>
          <w:iCs/>
          <w:color w:val="auto"/>
          <w:kern w:val="2"/>
          <w:sz w:val="24"/>
          <w:szCs w:val="24"/>
          <w:highlight w:val="none"/>
          <w:shd w:val="clear" w:color="auto" w:fill="FFFFFF" w:themeFill="background1"/>
          <w:lang w:val="zh-CN" w:eastAsia="zh-CN" w:bidi="ar-SA"/>
        </w:rPr>
        <w:t>中应写明小型、微型企业的合同金额占到联合</w:t>
      </w:r>
      <w:r>
        <w:rPr>
          <w:rFonts w:hint="eastAsia" w:ascii="宋体" w:hAnsi="宋体" w:eastAsia="宋体" w:cs="宋体"/>
          <w:iCs/>
          <w:color w:val="auto"/>
          <w:kern w:val="2"/>
          <w:sz w:val="24"/>
          <w:szCs w:val="24"/>
          <w:highlight w:val="none"/>
          <w:shd w:val="clear" w:color="auto" w:fill="FFFFFF" w:themeFill="background1"/>
          <w:lang w:val="en-US" w:eastAsia="zh-CN" w:bidi="ar-SA"/>
        </w:rPr>
        <w:t>体</w:t>
      </w:r>
      <w:r>
        <w:rPr>
          <w:rFonts w:hint="eastAsia" w:ascii="宋体" w:hAnsi="宋体" w:eastAsia="宋体" w:cs="宋体"/>
          <w:iCs/>
          <w:color w:val="auto"/>
          <w:kern w:val="2"/>
          <w:sz w:val="24"/>
          <w:szCs w:val="24"/>
          <w:highlight w:val="none"/>
          <w:shd w:val="clear" w:color="auto" w:fill="FFFFFF" w:themeFill="background1"/>
          <w:lang w:val="zh-CN" w:eastAsia="zh-CN" w:bidi="ar-SA"/>
        </w:rPr>
        <w:t>投标</w:t>
      </w:r>
      <w:r>
        <w:rPr>
          <w:rFonts w:hint="eastAsia" w:ascii="宋体" w:hAnsi="宋体" w:eastAsia="宋体" w:cs="宋体"/>
          <w:iCs/>
          <w:color w:val="auto"/>
          <w:kern w:val="2"/>
          <w:sz w:val="24"/>
          <w:szCs w:val="24"/>
          <w:highlight w:val="none"/>
          <w:shd w:val="clear" w:color="auto" w:fill="FFFFFF" w:themeFill="background1"/>
          <w:lang w:val="en-US" w:eastAsia="zh-CN" w:bidi="ar-SA"/>
        </w:rPr>
        <w:t>合同</w:t>
      </w:r>
      <w:r>
        <w:rPr>
          <w:rFonts w:hint="eastAsia" w:ascii="宋体" w:hAnsi="宋体" w:eastAsia="宋体" w:cs="宋体"/>
          <w:iCs/>
          <w:color w:val="auto"/>
          <w:kern w:val="2"/>
          <w:sz w:val="24"/>
          <w:szCs w:val="24"/>
          <w:highlight w:val="none"/>
          <w:shd w:val="clear" w:color="auto" w:fill="FFFFFF" w:themeFill="background1"/>
          <w:lang w:val="zh-CN" w:eastAsia="zh-CN" w:bidi="ar-SA"/>
        </w:rPr>
        <w:t>总金额的比例。</w:t>
      </w:r>
    </w:p>
    <w:p w14:paraId="09D517A3">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.6</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联合体中标</w:t>
      </w:r>
      <w:r>
        <w:rPr>
          <w:rFonts w:hint="eastAsia" w:ascii="宋体" w:hAnsi="宋体" w:eastAsia="宋体" w:cs="宋体"/>
          <w:iCs/>
          <w:color w:val="auto"/>
          <w:kern w:val="2"/>
          <w:sz w:val="24"/>
          <w:szCs w:val="24"/>
          <w:highlight w:val="none"/>
          <w:shd w:val="clear" w:color="auto" w:fill="FFFFFF" w:themeFill="background1"/>
          <w:lang w:val="en-US" w:eastAsia="zh-CN" w:bidi="ar-SA"/>
        </w:rPr>
        <w:t>的</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采购</w:t>
      </w:r>
      <w:r>
        <w:rPr>
          <w:rFonts w:hint="eastAsia" w:ascii="宋体" w:hAnsi="宋体" w:eastAsia="宋体" w:cs="宋体"/>
          <w:iCs/>
          <w:color w:val="auto"/>
          <w:kern w:val="2"/>
          <w:sz w:val="24"/>
          <w:szCs w:val="24"/>
          <w:highlight w:val="none"/>
          <w:shd w:val="clear" w:color="auto" w:fill="FFFFFF" w:themeFill="background1"/>
          <w:lang w:val="zh-CN" w:eastAsia="zh-CN" w:bidi="ar-SA"/>
        </w:rPr>
        <w:t>合同应由</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各成员的合法授权代表签字</w:t>
      </w:r>
      <w:r>
        <w:rPr>
          <w:rFonts w:hint="eastAsia" w:ascii="宋体" w:hAnsi="宋体" w:eastAsia="宋体" w:cs="宋体"/>
          <w:iCs/>
          <w:color w:val="auto"/>
          <w:kern w:val="2"/>
          <w:sz w:val="24"/>
          <w:szCs w:val="24"/>
          <w:highlight w:val="none"/>
          <w:shd w:val="clear" w:color="auto" w:fill="FFFFFF" w:themeFill="background1"/>
          <w:lang w:val="en-US" w:eastAsia="zh-CN" w:bidi="ar-SA"/>
        </w:rPr>
        <w:t>及</w:t>
      </w:r>
      <w:r>
        <w:rPr>
          <w:rFonts w:hint="eastAsia" w:ascii="宋体" w:hAnsi="宋体" w:eastAsia="宋体" w:cs="宋体"/>
          <w:iCs/>
          <w:color w:val="auto"/>
          <w:kern w:val="2"/>
          <w:sz w:val="24"/>
          <w:szCs w:val="24"/>
          <w:highlight w:val="none"/>
          <w:shd w:val="clear" w:color="auto" w:fill="FFFFFF" w:themeFill="background1"/>
          <w:lang w:val="zh-CN" w:eastAsia="zh-CN" w:bidi="ar-SA"/>
        </w:rPr>
        <w:t>加盖</w:t>
      </w:r>
      <w:r>
        <w:rPr>
          <w:rFonts w:hint="eastAsia" w:ascii="宋体" w:hAnsi="宋体" w:eastAsia="宋体" w:cs="宋体"/>
          <w:iCs/>
          <w:color w:val="auto"/>
          <w:kern w:val="2"/>
          <w:sz w:val="24"/>
          <w:szCs w:val="24"/>
          <w:highlight w:val="none"/>
          <w:shd w:val="clear" w:color="auto" w:fill="FFFFFF" w:themeFill="background1"/>
          <w:lang w:val="en-US" w:eastAsia="zh-CN" w:bidi="ar-SA"/>
        </w:rPr>
        <w:t>联合体</w:t>
      </w:r>
      <w:r>
        <w:rPr>
          <w:rFonts w:hint="eastAsia" w:ascii="宋体" w:hAnsi="宋体" w:eastAsia="宋体" w:cs="宋体"/>
          <w:iCs/>
          <w:color w:val="auto"/>
          <w:kern w:val="2"/>
          <w:sz w:val="24"/>
          <w:szCs w:val="24"/>
          <w:highlight w:val="none"/>
          <w:shd w:val="clear" w:color="auto" w:fill="FFFFFF" w:themeFill="background1"/>
          <w:lang w:val="zh-CN" w:eastAsia="zh-CN" w:bidi="ar-SA"/>
        </w:rPr>
        <w:t>各成员公章，</w:t>
      </w:r>
      <w:r>
        <w:rPr>
          <w:rFonts w:hint="eastAsia" w:ascii="宋体" w:hAnsi="宋体" w:eastAsia="宋体" w:cs="宋体"/>
          <w:iCs/>
          <w:color w:val="auto"/>
          <w:kern w:val="2"/>
          <w:sz w:val="24"/>
          <w:szCs w:val="24"/>
          <w:highlight w:val="none"/>
          <w:shd w:val="clear" w:color="auto" w:fill="FFFFFF" w:themeFill="background1"/>
          <w:lang w:val="en-US" w:eastAsia="zh-CN" w:bidi="ar-SA"/>
        </w:rPr>
        <w:t>并</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30BC6C2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zh-CN" w:eastAsia="zh-CN" w:bidi="ar-SA"/>
        </w:rPr>
        <w:t>4.2</w:t>
      </w:r>
      <w:r>
        <w:rPr>
          <w:rFonts w:hint="eastAsia" w:ascii="宋体" w:hAnsi="宋体" w:eastAsia="宋体" w:cs="宋体"/>
          <w:iCs/>
          <w:color w:val="auto"/>
          <w:kern w:val="2"/>
          <w:sz w:val="24"/>
          <w:szCs w:val="24"/>
          <w:highlight w:val="none"/>
          <w:shd w:val="clear" w:color="auto" w:fill="FFFFFF" w:themeFill="background1"/>
          <w:lang w:val="en-US" w:eastAsia="zh-CN" w:bidi="ar-SA"/>
        </w:rPr>
        <w:t>.7</w:t>
      </w:r>
      <w:r>
        <w:rPr>
          <w:rFonts w:hint="eastAsia" w:ascii="宋体" w:hAnsi="宋体" w:eastAsia="宋体" w:cs="宋体"/>
          <w:iCs/>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宋体"/>
          <w:iCs/>
          <w:color w:val="auto"/>
          <w:kern w:val="2"/>
          <w:sz w:val="24"/>
          <w:szCs w:val="24"/>
          <w:highlight w:val="none"/>
          <w:shd w:val="clear" w:color="auto" w:fill="FFFFFF" w:themeFill="background1"/>
          <w:lang w:val="en-US" w:eastAsia="zh-CN" w:bidi="ar-SA"/>
        </w:rPr>
        <w:t>人</w:t>
      </w:r>
      <w:r>
        <w:rPr>
          <w:rFonts w:hint="eastAsia" w:ascii="宋体" w:hAnsi="宋体" w:eastAsia="宋体" w:cs="宋体"/>
          <w:iCs/>
          <w:color w:val="auto"/>
          <w:kern w:val="2"/>
          <w:sz w:val="24"/>
          <w:szCs w:val="24"/>
          <w:highlight w:val="none"/>
          <w:shd w:val="clear" w:color="auto" w:fill="FFFFFF" w:themeFill="background1"/>
          <w:lang w:val="zh-CN" w:eastAsia="zh-CN" w:bidi="ar-SA"/>
        </w:rPr>
        <w:t>书面同意并且须遵守相关</w:t>
      </w:r>
      <w:r>
        <w:rPr>
          <w:rFonts w:hint="eastAsia" w:cs="宋体"/>
          <w:iCs/>
          <w:color w:val="auto"/>
          <w:kern w:val="2"/>
          <w:sz w:val="24"/>
          <w:szCs w:val="24"/>
          <w:highlight w:val="none"/>
          <w:shd w:val="clear" w:color="auto" w:fill="FFFFFF" w:themeFill="background1"/>
          <w:lang w:val="zh-CN" w:eastAsia="zh-CN" w:bidi="ar-SA"/>
        </w:rPr>
        <w:t>法律法规</w:t>
      </w:r>
      <w:r>
        <w:rPr>
          <w:rFonts w:hint="eastAsia" w:ascii="宋体" w:hAnsi="宋体" w:eastAsia="宋体" w:cs="宋体"/>
          <w:iCs/>
          <w:color w:val="auto"/>
          <w:kern w:val="2"/>
          <w:sz w:val="24"/>
          <w:szCs w:val="24"/>
          <w:highlight w:val="none"/>
          <w:shd w:val="clear" w:color="auto" w:fill="FFFFFF" w:themeFill="background1"/>
          <w:lang w:val="zh-CN" w:eastAsia="zh-CN" w:bidi="ar-SA"/>
        </w:rPr>
        <w:t>、本次招标的全部相关规定。</w:t>
      </w:r>
    </w:p>
    <w:p w14:paraId="22713EC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iCs/>
          <w:color w:val="auto"/>
          <w:kern w:val="2"/>
          <w:sz w:val="24"/>
          <w:szCs w:val="24"/>
          <w:highlight w:val="none"/>
          <w:shd w:val="clear" w:color="auto" w:fill="FFFFFF" w:themeFill="background1"/>
          <w:lang w:val="zh-CN"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4.2</w:t>
      </w:r>
      <w:r>
        <w:rPr>
          <w:rFonts w:hint="eastAsia" w:ascii="宋体" w:hAnsi="宋体" w:eastAsia="宋体" w:cs="宋体"/>
          <w:iCs/>
          <w:color w:val="auto"/>
          <w:kern w:val="2"/>
          <w:sz w:val="24"/>
          <w:szCs w:val="24"/>
          <w:highlight w:val="none"/>
          <w:shd w:val="clear" w:color="auto" w:fill="FFFFFF" w:themeFill="background1"/>
          <w:lang w:val="zh-CN" w:eastAsia="zh-CN" w:bidi="ar-SA"/>
        </w:rPr>
        <w:t>.</w:t>
      </w:r>
      <w:r>
        <w:rPr>
          <w:rFonts w:hint="eastAsia" w:ascii="宋体" w:hAnsi="宋体" w:eastAsia="宋体" w:cs="宋体"/>
          <w:iCs/>
          <w:color w:val="auto"/>
          <w:kern w:val="2"/>
          <w:sz w:val="24"/>
          <w:szCs w:val="24"/>
          <w:highlight w:val="none"/>
          <w:shd w:val="clear" w:color="auto" w:fill="FFFFFF" w:themeFill="background1"/>
          <w:lang w:val="en-US" w:eastAsia="zh-CN" w:bidi="ar-SA"/>
        </w:rPr>
        <w:t>8</w:t>
      </w:r>
      <w:r>
        <w:rPr>
          <w:rFonts w:hint="eastAsia" w:ascii="宋体" w:hAnsi="宋体" w:eastAsia="宋体" w:cs="宋体"/>
          <w:iCs/>
          <w:color w:val="auto"/>
          <w:kern w:val="2"/>
          <w:sz w:val="24"/>
          <w:szCs w:val="24"/>
          <w:highlight w:val="none"/>
          <w:shd w:val="clear" w:color="auto" w:fill="FFFFFF" w:themeFill="background1"/>
          <w:lang w:val="zh-CN" w:eastAsia="zh-CN" w:bidi="ar-SA"/>
        </w:rPr>
        <w:t>对联合体投标的其他资格要求见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中的“二、</w:t>
      </w:r>
      <w:r>
        <w:rPr>
          <w:rFonts w:hint="eastAsia" w:ascii="宋体" w:hAnsi="宋体" w:eastAsia="宋体" w:cs="宋体"/>
          <w:iCs/>
          <w:color w:val="auto"/>
          <w:kern w:val="2"/>
          <w:sz w:val="24"/>
          <w:szCs w:val="24"/>
          <w:highlight w:val="none"/>
          <w:shd w:val="clear" w:color="auto" w:fill="FFFFFF" w:themeFill="background1"/>
          <w:lang w:val="en-US" w:eastAsia="zh-CN" w:bidi="ar-SA"/>
        </w:rPr>
        <w:t>申请人的</w:t>
      </w:r>
      <w:r>
        <w:rPr>
          <w:rFonts w:hint="eastAsia" w:ascii="宋体" w:hAnsi="宋体" w:eastAsia="宋体" w:cs="宋体"/>
          <w:iCs/>
          <w:color w:val="auto"/>
          <w:kern w:val="2"/>
          <w:sz w:val="24"/>
          <w:szCs w:val="24"/>
          <w:highlight w:val="none"/>
          <w:shd w:val="clear" w:color="auto" w:fill="FFFFFF" w:themeFill="background1"/>
          <w:lang w:val="zh-CN" w:eastAsia="zh-CN" w:bidi="ar-SA"/>
        </w:rPr>
        <w:t>资格</w:t>
      </w:r>
      <w:r>
        <w:rPr>
          <w:rFonts w:hint="eastAsia" w:ascii="宋体" w:hAnsi="宋体" w:eastAsia="宋体" w:cs="宋体"/>
          <w:iCs/>
          <w:color w:val="auto"/>
          <w:kern w:val="2"/>
          <w:sz w:val="24"/>
          <w:szCs w:val="24"/>
          <w:highlight w:val="none"/>
          <w:shd w:val="clear" w:color="auto" w:fill="FFFFFF" w:themeFill="background1"/>
          <w:lang w:val="en-US" w:eastAsia="zh-CN" w:bidi="ar-SA"/>
        </w:rPr>
        <w:t>要求”</w:t>
      </w:r>
      <w:r>
        <w:rPr>
          <w:rFonts w:hint="eastAsia" w:ascii="宋体" w:hAnsi="宋体" w:eastAsia="宋体" w:cs="宋体"/>
          <w:iCs/>
          <w:color w:val="auto"/>
          <w:kern w:val="2"/>
          <w:sz w:val="24"/>
          <w:szCs w:val="24"/>
          <w:highlight w:val="none"/>
          <w:shd w:val="clear" w:color="auto" w:fill="FFFFFF" w:themeFill="background1"/>
          <w:lang w:val="zh-CN" w:eastAsia="zh-CN" w:bidi="ar-SA"/>
        </w:rPr>
        <w:t>。</w:t>
      </w:r>
    </w:p>
    <w:p w14:paraId="0392DEC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9" w:name="_Toc19194"/>
      <w:bookmarkStart w:id="40" w:name="_Toc18213"/>
      <w:bookmarkStart w:id="41" w:name="_Toc1799"/>
      <w:bookmarkStart w:id="42" w:name="_Toc163492827"/>
      <w:r>
        <w:rPr>
          <w:rFonts w:hint="eastAsia" w:ascii="宋体" w:hAnsi="宋体" w:eastAsia="宋体" w:cs="宋体"/>
          <w:b/>
          <w:bCs/>
          <w:color w:val="auto"/>
          <w:kern w:val="2"/>
          <w:sz w:val="24"/>
          <w:szCs w:val="24"/>
          <w:highlight w:val="none"/>
          <w:lang w:val="en-US" w:eastAsia="zh-CN" w:bidi="ar-SA"/>
        </w:rPr>
        <w:t>5.费用承担</w:t>
      </w:r>
      <w:bookmarkEnd w:id="39"/>
      <w:bookmarkEnd w:id="40"/>
      <w:bookmarkEnd w:id="41"/>
      <w:bookmarkEnd w:id="42"/>
    </w:p>
    <w:p w14:paraId="79A80490">
      <w:pPr>
        <w:pStyle w:val="41"/>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lang w:val="en-US" w:eastAsia="zh-CN"/>
        </w:rPr>
        <w:t>不论投标的结果如何，投标人应承担所有与准备和参加投标有关的费用。</w:t>
      </w:r>
    </w:p>
    <w:p w14:paraId="4836D6A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3" w:name="_Toc163492828"/>
      <w:bookmarkStart w:id="44" w:name="_Toc140132761"/>
      <w:bookmarkStart w:id="45" w:name="_Toc29375"/>
      <w:bookmarkStart w:id="46" w:name="_Toc19870"/>
      <w:bookmarkStart w:id="47" w:name="_Toc12320"/>
      <w:r>
        <w:rPr>
          <w:rFonts w:hint="eastAsia" w:ascii="宋体" w:hAnsi="宋体" w:eastAsia="宋体" w:cs="宋体"/>
          <w:b/>
          <w:bCs/>
          <w:color w:val="auto"/>
          <w:kern w:val="2"/>
          <w:sz w:val="24"/>
          <w:szCs w:val="24"/>
          <w:highlight w:val="none"/>
          <w:lang w:val="en-US" w:eastAsia="zh-CN" w:bidi="ar-SA"/>
        </w:rPr>
        <w:t>6.保密</w:t>
      </w:r>
      <w:bookmarkEnd w:id="43"/>
      <w:bookmarkEnd w:id="44"/>
      <w:bookmarkEnd w:id="45"/>
      <w:bookmarkEnd w:id="46"/>
      <w:bookmarkEnd w:id="47"/>
    </w:p>
    <w:p w14:paraId="3AE1A9B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参与招标投标活动的各方应对招标文件和投标文件中的商业和技术等秘密保密，否则应承担相应的法律责任。</w:t>
      </w:r>
    </w:p>
    <w:p w14:paraId="018BB09B">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2 </w:t>
      </w:r>
      <w:r>
        <w:rPr>
          <w:rFonts w:hint="eastAsia" w:ascii="宋体" w:hAnsi="宋体" w:eastAsia="宋体" w:cs="宋体"/>
          <w:color w:val="auto"/>
          <w:kern w:val="2"/>
          <w:sz w:val="24"/>
          <w:szCs w:val="24"/>
          <w:highlight w:val="none"/>
        </w:rPr>
        <w:t>投标人自领取招标文件之日起，须承担本招标项目保密义务，不得将因本次招标获得的信息向第三人外传。由采购人向投标人提供的图纸、详细资料、样品、模型、模件和所有</w:t>
      </w:r>
      <w:r>
        <w:rPr>
          <w:rFonts w:hint="eastAsia" w:ascii="宋体" w:hAnsi="宋体" w:eastAsia="宋体" w:cs="宋体"/>
          <w:color w:val="auto"/>
          <w:kern w:val="2"/>
          <w:sz w:val="24"/>
          <w:szCs w:val="24"/>
          <w:highlight w:val="none"/>
          <w:lang w:eastAsia="zh-CN"/>
        </w:rPr>
        <w:t>其他</w:t>
      </w:r>
      <w:r>
        <w:rPr>
          <w:rFonts w:hint="eastAsia" w:ascii="宋体" w:hAnsi="宋体" w:eastAsia="宋体" w:cs="宋体"/>
          <w:color w:val="auto"/>
          <w:kern w:val="2"/>
          <w:sz w:val="24"/>
          <w:szCs w:val="24"/>
          <w:highlight w:val="none"/>
        </w:rPr>
        <w:t>资料，被视为保密资料，仅被用于它所规定的用途。除非得到采购人的同意，不能向任何第三方透露。开标结束后，应采购人要求，投标人应归还所有从采购人处获得的保密资料。</w:t>
      </w:r>
    </w:p>
    <w:p w14:paraId="09860F20">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3 </w:t>
      </w:r>
      <w:r>
        <w:rPr>
          <w:rFonts w:hint="eastAsia" w:ascii="宋体" w:hAnsi="宋体" w:eastAsia="宋体" w:cs="宋体"/>
          <w:color w:val="auto"/>
          <w:kern w:val="2"/>
          <w:sz w:val="24"/>
          <w:szCs w:val="24"/>
          <w:highlight w:val="none"/>
        </w:rPr>
        <w:t>采购代理机构有权将投标人提供的所有资料向有关政府部门或评审</w:t>
      </w:r>
      <w:r>
        <w:rPr>
          <w:rFonts w:hint="eastAsia" w:ascii="宋体" w:hAnsi="宋体" w:eastAsia="宋体" w:cs="宋体"/>
          <w:color w:val="auto"/>
          <w:kern w:val="2"/>
          <w:sz w:val="24"/>
          <w:szCs w:val="24"/>
          <w:highlight w:val="none"/>
          <w:lang w:val="en-US" w:eastAsia="zh-CN"/>
        </w:rPr>
        <w:t>投标文件</w:t>
      </w:r>
      <w:r>
        <w:rPr>
          <w:rFonts w:hint="eastAsia" w:ascii="宋体" w:hAnsi="宋体" w:eastAsia="宋体" w:cs="宋体"/>
          <w:color w:val="auto"/>
          <w:kern w:val="2"/>
          <w:sz w:val="24"/>
          <w:szCs w:val="24"/>
          <w:highlight w:val="none"/>
        </w:rPr>
        <w:t>的有关人员披露。</w:t>
      </w:r>
    </w:p>
    <w:p w14:paraId="559390C9">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color w:val="auto"/>
          <w:kern w:val="2"/>
          <w:sz w:val="24"/>
          <w:szCs w:val="24"/>
          <w:highlight w:val="none"/>
        </w:rPr>
        <w:t>。</w:t>
      </w:r>
    </w:p>
    <w:p w14:paraId="7CE742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8" w:name="_Toc23819"/>
      <w:bookmarkStart w:id="49" w:name="_Toc489"/>
      <w:bookmarkStart w:id="50" w:name="_Toc2247"/>
      <w:bookmarkStart w:id="51" w:name="_Toc140132762"/>
      <w:bookmarkStart w:id="52" w:name="_Toc163492829"/>
      <w:r>
        <w:rPr>
          <w:rFonts w:hint="eastAsia" w:ascii="宋体" w:hAnsi="宋体" w:eastAsia="宋体" w:cs="宋体"/>
          <w:b/>
          <w:bCs/>
          <w:color w:val="auto"/>
          <w:kern w:val="2"/>
          <w:sz w:val="24"/>
          <w:szCs w:val="24"/>
          <w:highlight w:val="none"/>
          <w:lang w:val="en-US" w:eastAsia="zh-CN" w:bidi="ar-SA"/>
        </w:rPr>
        <w:t>7.语言文字</w:t>
      </w:r>
      <w:bookmarkEnd w:id="48"/>
      <w:bookmarkEnd w:id="49"/>
      <w:bookmarkEnd w:id="50"/>
      <w:bookmarkEnd w:id="51"/>
      <w:bookmarkEnd w:id="52"/>
    </w:p>
    <w:p w14:paraId="0D00251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7.1招标投标</w:t>
      </w:r>
      <w:r>
        <w:rPr>
          <w:rFonts w:hint="eastAsia" w:ascii="宋体" w:hAnsi="宋体" w:eastAsia="宋体" w:cs="宋体"/>
          <w:color w:val="auto"/>
          <w:sz w:val="24"/>
          <w:szCs w:val="24"/>
          <w:highlight w:val="none"/>
          <w:lang w:val="en-US" w:eastAsia="zh-CN"/>
        </w:rPr>
        <w:t>过程</w:t>
      </w:r>
      <w:r>
        <w:rPr>
          <w:rFonts w:hint="eastAsia" w:ascii="宋体" w:hAnsi="宋体" w:eastAsia="宋体" w:cs="宋体"/>
          <w:color w:val="auto"/>
          <w:sz w:val="24"/>
          <w:szCs w:val="24"/>
          <w:highlight w:val="none"/>
        </w:rPr>
        <w:t>文件使用的语言文字为中文。专用术语使用外文的，应附有中文注释。</w:t>
      </w:r>
      <w:r>
        <w:rPr>
          <w:rFonts w:hint="eastAsia" w:ascii="宋体" w:hAnsi="宋体" w:eastAsia="宋体" w:cs="宋体"/>
          <w:color w:val="auto"/>
          <w:sz w:val="24"/>
          <w:szCs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7F2BE5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53" w:name="_Toc9364"/>
      <w:bookmarkStart w:id="54" w:name="_Toc163492830"/>
      <w:bookmarkStart w:id="55" w:name="_Toc23417"/>
      <w:bookmarkStart w:id="56" w:name="_Toc140132763"/>
      <w:bookmarkStart w:id="57" w:name="_Toc18687"/>
      <w:r>
        <w:rPr>
          <w:rFonts w:hint="eastAsia" w:ascii="宋体" w:hAnsi="宋体" w:eastAsia="宋体" w:cs="宋体"/>
          <w:b/>
          <w:bCs/>
          <w:color w:val="auto"/>
          <w:kern w:val="2"/>
          <w:sz w:val="24"/>
          <w:szCs w:val="24"/>
          <w:highlight w:val="none"/>
          <w:lang w:val="en-US" w:eastAsia="zh-CN" w:bidi="ar-SA"/>
        </w:rPr>
        <w:t>8.计量单位</w:t>
      </w:r>
      <w:bookmarkEnd w:id="53"/>
      <w:bookmarkEnd w:id="54"/>
      <w:bookmarkEnd w:id="55"/>
      <w:bookmarkEnd w:id="56"/>
      <w:bookmarkEnd w:id="57"/>
    </w:p>
    <w:p w14:paraId="3CB53EC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8.1所有计量均采用中华人民共和国法定计量单位。</w:t>
      </w:r>
    </w:p>
    <w:p w14:paraId="7E6022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58" w:name="_Toc11023"/>
      <w:bookmarkStart w:id="59" w:name="_Toc31192"/>
      <w:bookmarkStart w:id="60" w:name="_Toc163492831"/>
      <w:bookmarkStart w:id="61" w:name="_Toc11937"/>
      <w:bookmarkStart w:id="62" w:name="_Toc140132764"/>
      <w:r>
        <w:rPr>
          <w:rFonts w:hint="eastAsia" w:ascii="宋体" w:hAnsi="宋体" w:eastAsia="宋体" w:cs="宋体"/>
          <w:b/>
          <w:bCs/>
          <w:color w:val="auto"/>
          <w:kern w:val="2"/>
          <w:sz w:val="24"/>
          <w:szCs w:val="24"/>
          <w:highlight w:val="none"/>
          <w:lang w:val="en-US" w:eastAsia="zh-CN" w:bidi="ar-SA"/>
        </w:rPr>
        <w:t>9.现场考察和答疑会</w:t>
      </w:r>
      <w:bookmarkEnd w:id="58"/>
      <w:bookmarkEnd w:id="59"/>
      <w:bookmarkEnd w:id="60"/>
      <w:bookmarkEnd w:id="61"/>
      <w:bookmarkEnd w:id="62"/>
    </w:p>
    <w:p w14:paraId="641F9FA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63" w:name="_Hlk143529198"/>
      <w:r>
        <w:rPr>
          <w:rFonts w:hint="eastAsia" w:ascii="宋体" w:hAnsi="宋体" w:eastAsia="宋体" w:cs="宋体"/>
          <w:color w:val="auto"/>
          <w:sz w:val="24"/>
          <w:szCs w:val="24"/>
          <w:highlight w:val="none"/>
        </w:rPr>
        <w:t xml:space="preserve">9.1 “投标人须知前附表”规定组织现场考察的，采购代理机构按“投标人须知前附表”规定的时间、地点组织投标人项目现场考察。 </w:t>
      </w:r>
    </w:p>
    <w:p w14:paraId="67EBE2F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投标人现场考察发生的费用自理。</w:t>
      </w:r>
    </w:p>
    <w:p w14:paraId="0293E9B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在现场考察中，因投标人自身原因发生的人员伤亡和财产损失，由投标人自行负责。</w:t>
      </w:r>
    </w:p>
    <w:p w14:paraId="2A54483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采购人在现场考察中介绍的项目场地和相关的周边环境情况，仅供投标人在编制投标文件时参考，采购人和采购代理机构不对投标人据此作出的判断和决策负责。</w:t>
      </w:r>
    </w:p>
    <w:p w14:paraId="24B4DDDC">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“投标人须知前附表”规定召开答疑会的，采购代理机构按“投标人须知前附表”规定的时间和地点召开答疑会，澄清投标人提出的问题。</w:t>
      </w:r>
    </w:p>
    <w:p w14:paraId="3DAA6D9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63"/>
    <w:p w14:paraId="3F1432B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64" w:name="_Toc155185858"/>
      <w:bookmarkStart w:id="65" w:name="_Toc24524"/>
      <w:bookmarkStart w:id="66" w:name="_Toc163492833"/>
      <w:bookmarkStart w:id="67" w:name="_Toc28644"/>
      <w:bookmarkStart w:id="68" w:name="_Toc3693"/>
      <w:bookmarkStart w:id="69" w:name="_Toc155185871"/>
      <w:r>
        <w:rPr>
          <w:rFonts w:hint="eastAsia" w:ascii="宋体" w:hAnsi="宋体" w:eastAsia="宋体" w:cs="宋体"/>
          <w:b/>
          <w:bCs/>
          <w:color w:val="auto"/>
          <w:kern w:val="2"/>
          <w:sz w:val="24"/>
          <w:szCs w:val="24"/>
          <w:highlight w:val="none"/>
          <w:lang w:val="en-US" w:eastAsia="zh-CN" w:bidi="ar-SA"/>
        </w:rPr>
        <w:t>10.电子投标说明</w:t>
      </w:r>
      <w:bookmarkEnd w:id="64"/>
      <w:bookmarkEnd w:id="65"/>
      <w:bookmarkEnd w:id="66"/>
      <w:bookmarkEnd w:id="67"/>
      <w:bookmarkEnd w:id="68"/>
      <w:r>
        <w:rPr>
          <w:rFonts w:hint="eastAsia" w:ascii="宋体" w:hAnsi="宋体" w:eastAsia="宋体" w:cs="宋体"/>
          <w:b/>
          <w:bCs/>
          <w:color w:val="auto"/>
          <w:kern w:val="2"/>
          <w:sz w:val="24"/>
          <w:szCs w:val="24"/>
          <w:highlight w:val="none"/>
          <w:lang w:val="en-US" w:eastAsia="zh-CN" w:bidi="ar-SA"/>
        </w:rPr>
        <w:t xml:space="preserve">   </w:t>
      </w:r>
    </w:p>
    <w:p w14:paraId="0D0F6F3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10.1 </w:t>
      </w:r>
      <w:r>
        <w:rPr>
          <w:rFonts w:hint="eastAsia" w:ascii="宋体" w:hAnsi="宋体" w:eastAsia="宋体" w:cs="宋体"/>
          <w:color w:val="auto"/>
          <w:sz w:val="24"/>
          <w:szCs w:val="24"/>
          <w:highlight w:val="none"/>
        </w:rPr>
        <w:t>本次采购采用电子交易方式，电子交易平台为</w:t>
      </w:r>
      <w:r>
        <w:rPr>
          <w:rFonts w:hint="eastAsia" w:cs="宋体"/>
          <w:color w:val="auto"/>
          <w:sz w:val="24"/>
          <w:szCs w:val="24"/>
          <w:highlight w:val="none"/>
          <w:lang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val="hr-HR"/>
        </w:rPr>
        <w:t>：https://www.zcygov.cn/）</w:t>
      </w:r>
      <w:r>
        <w:rPr>
          <w:rFonts w:hint="eastAsia" w:ascii="宋体" w:hAnsi="宋体" w:eastAsia="宋体" w:cs="宋体"/>
          <w:color w:val="auto"/>
          <w:sz w:val="24"/>
          <w:szCs w:val="24"/>
          <w:highlight w:val="none"/>
        </w:rPr>
        <w:t>。投标人参与本项目电子交易活动前，应</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政</w:t>
      </w:r>
      <w:r>
        <w:rPr>
          <w:rFonts w:hint="eastAsia" w:ascii="宋体" w:hAnsi="宋体" w:eastAsia="宋体" w:cs="宋体"/>
          <w:color w:val="auto"/>
          <w:sz w:val="24"/>
          <w:szCs w:val="24"/>
          <w:highlight w:val="none"/>
          <w:lang w:val="en-US" w:eastAsia="zh-CN"/>
        </w:rPr>
        <w:t>采</w:t>
      </w:r>
      <w:r>
        <w:rPr>
          <w:rFonts w:hint="eastAsia" w:ascii="宋体" w:hAnsi="宋体" w:eastAsia="宋体" w:cs="宋体"/>
          <w:color w:val="auto"/>
          <w:sz w:val="24"/>
          <w:szCs w:val="24"/>
          <w:highlight w:val="none"/>
          <w:lang w:val="en-US"/>
        </w:rPr>
        <w:t>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注册</w:t>
      </w:r>
      <w:r>
        <w:rPr>
          <w:rFonts w:hint="eastAsia" w:ascii="宋体" w:hAnsi="宋体" w:eastAsia="宋体" w:cs="宋体"/>
          <w:color w:val="auto"/>
          <w:sz w:val="24"/>
          <w:szCs w:val="24"/>
          <w:highlight w:val="none"/>
          <w:lang w:val="en-US" w:eastAsia="zh-CN"/>
        </w:rPr>
        <w:t>供应商账号</w:t>
      </w:r>
      <w:r>
        <w:rPr>
          <w:rFonts w:hint="eastAsia" w:ascii="宋体" w:hAnsi="宋体" w:eastAsia="宋体" w:cs="宋体"/>
          <w:color w:val="auto"/>
          <w:sz w:val="24"/>
          <w:szCs w:val="24"/>
          <w:highlight w:val="none"/>
        </w:rPr>
        <w:t>。编制电子</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文件前还需</w:t>
      </w:r>
      <w:r>
        <w:rPr>
          <w:rFonts w:hint="eastAsia" w:ascii="宋体" w:hAnsi="宋体" w:eastAsia="宋体" w:cs="宋体"/>
          <w:color w:val="auto"/>
          <w:sz w:val="24"/>
          <w:szCs w:val="24"/>
          <w:highlight w:val="none"/>
          <w:lang w:val="en-US" w:eastAsia="zh-CN"/>
        </w:rPr>
        <w:t>申领CA证书并绑定</w:t>
      </w:r>
      <w:r>
        <w:rPr>
          <w:rFonts w:hint="eastAsia" w:cs="宋体"/>
          <w:color w:val="auto"/>
          <w:sz w:val="24"/>
          <w:szCs w:val="24"/>
          <w:highlight w:val="none"/>
          <w:lang w:val="en-US" w:eastAsia="zh-CN"/>
        </w:rPr>
        <w:t>账号</w:t>
      </w:r>
      <w:r>
        <w:rPr>
          <w:rFonts w:hint="eastAsia" w:ascii="宋体" w:hAnsi="宋体" w:eastAsia="宋体" w:cs="宋体"/>
          <w:color w:val="auto"/>
          <w:sz w:val="24"/>
          <w:szCs w:val="24"/>
          <w:highlight w:val="none"/>
          <w:lang w:val="en-US" w:eastAsia="zh-CN"/>
        </w:rPr>
        <w:t>。投标人应充分考虑完成平台注册、申领CA证书等所需的时间。</w:t>
      </w:r>
      <w:r>
        <w:rPr>
          <w:rFonts w:hint="eastAsia" w:ascii="宋体" w:hAnsi="宋体" w:eastAsia="宋体" w:cs="宋体"/>
          <w:color w:val="auto"/>
          <w:sz w:val="24"/>
          <w:szCs w:val="24"/>
          <w:highlight w:val="none"/>
          <w:lang w:val="zh-CN" w:eastAsia="zh-CN"/>
        </w:rPr>
        <w:t>潜在投标人领取文件须提前完成注册、CA证书和电子签章申领和绑定、下载投标客户端。因未办理CA数字证书、CA证书故障、操作不当等原因造成无法投标或投标失败等后果由投标人自行承担。</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登录</w:t>
      </w:r>
      <w:r>
        <w:rPr>
          <w:rFonts w:hint="eastAsia" w:cs="宋体"/>
          <w:color w:val="auto"/>
          <w:sz w:val="24"/>
          <w:szCs w:val="24"/>
          <w:highlight w:val="none"/>
          <w:lang w:val="zh-CN" w:eastAsia="zh-CN"/>
        </w:rPr>
        <w:t>新疆</w:t>
      </w:r>
      <w:r>
        <w:rPr>
          <w:rFonts w:hint="eastAsia" w:ascii="宋体" w:hAnsi="宋体" w:eastAsia="宋体" w:cs="宋体"/>
          <w:color w:val="auto"/>
          <w:sz w:val="24"/>
          <w:szCs w:val="24"/>
          <w:highlight w:val="none"/>
          <w:lang w:val="zh-CN" w:eastAsia="zh-CN"/>
        </w:rPr>
        <w:t>政府采购网“供应商注册”—“</w:t>
      </w:r>
      <w:r>
        <w:rPr>
          <w:rFonts w:hint="eastAsia" w:cs="宋体"/>
          <w:color w:val="auto"/>
          <w:sz w:val="24"/>
          <w:szCs w:val="24"/>
          <w:highlight w:val="none"/>
          <w:lang w:val="zh-CN" w:eastAsia="zh-CN"/>
        </w:rPr>
        <w:t>新疆维吾尔自治区</w:t>
      </w:r>
      <w:r>
        <w:rPr>
          <w:rFonts w:hint="eastAsia" w:ascii="宋体" w:hAnsi="宋体" w:eastAsia="宋体" w:cs="宋体"/>
          <w:color w:val="auto"/>
          <w:sz w:val="24"/>
          <w:szCs w:val="24"/>
          <w:highlight w:val="none"/>
          <w:lang w:val="zh-CN" w:eastAsia="zh-CN"/>
        </w:rPr>
        <w:t>政府采购供应商入驻登记”—“立即登记”进行自助注册绑定。</w:t>
      </w:r>
    </w:p>
    <w:p w14:paraId="3E20605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投标人将</w:t>
      </w:r>
      <w:r>
        <w:rPr>
          <w:rFonts w:hint="eastAsia" w:cs="宋体"/>
          <w:color w:val="auto"/>
          <w:sz w:val="24"/>
          <w:szCs w:val="24"/>
          <w:highlight w:val="none"/>
          <w:lang w:eastAsia="zh-CN"/>
        </w:rPr>
        <w:t>新疆</w:t>
      </w:r>
      <w:r>
        <w:rPr>
          <w:rFonts w:hint="eastAsia" w:ascii="宋体" w:hAnsi="宋体" w:eastAsia="宋体" w:cs="宋体"/>
          <w:color w:val="auto"/>
          <w:sz w:val="24"/>
          <w:szCs w:val="24"/>
          <w:highlight w:val="none"/>
        </w:rPr>
        <w:t>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平台电子交易客户端下载、安装完成后，可通过账号密码或CA登录客户端进行</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制作。在使用政采云投标客户端时，建议使用WIN7及以上操作系统。</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登录</w:t>
      </w:r>
      <w:r>
        <w:rPr>
          <w:rFonts w:hint="eastAsia" w:cs="宋体"/>
          <w:color w:val="auto"/>
          <w:sz w:val="24"/>
          <w:szCs w:val="24"/>
          <w:highlight w:val="none"/>
          <w:lang w:eastAsia="zh-CN"/>
        </w:rPr>
        <w:t>新疆</w:t>
      </w:r>
      <w:r>
        <w:rPr>
          <w:rFonts w:hint="eastAsia" w:ascii="宋体" w:hAnsi="宋体" w:eastAsia="宋体" w:cs="宋体"/>
          <w:color w:val="auto"/>
          <w:sz w:val="24"/>
          <w:szCs w:val="24"/>
          <w:highlight w:val="none"/>
        </w:rPr>
        <w:t>政府采购网“下载专区”—“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"http://www.ccgp-xinjiang.gov.cn/site/detail?parentId=3338&amp;articleId=+6Lh30C01wz/Xw1J0c4qng==" \o "新疆维吾尔自治区全流程电子招投标项目管理系统--供应商客户端" \t "http://www.ccgp-xinjiang.gov.cn/site/_blank" </w:instrText>
      </w:r>
      <w:r>
        <w:rPr>
          <w:rFonts w:hint="eastAsia" w:ascii="宋体" w:hAnsi="宋体" w:eastAsia="宋体" w:cs="宋体"/>
          <w:color w:val="auto"/>
          <w:sz w:val="24"/>
          <w:szCs w:val="24"/>
          <w:highlight w:val="none"/>
        </w:rPr>
        <w:fldChar w:fldCharType="separate"/>
      </w:r>
      <w:r>
        <w:rPr>
          <w:rFonts w:hint="default" w:ascii="宋体" w:hAnsi="宋体" w:eastAsia="宋体" w:cs="宋体"/>
          <w:color w:val="auto"/>
          <w:sz w:val="24"/>
          <w:szCs w:val="24"/>
          <w:highlight w:val="none"/>
        </w:rPr>
        <w:t>新疆维吾尔自治区全流程电子招投标项目管理系统</w:t>
      </w:r>
      <w:r>
        <w:rPr>
          <w:rFonts w:hint="eastAsia" w:cs="宋体"/>
          <w:color w:val="auto"/>
          <w:sz w:val="24"/>
          <w:szCs w:val="24"/>
          <w:highlight w:val="none"/>
          <w:lang w:eastAsia="zh-CN"/>
        </w:rPr>
        <w:t>——</w:t>
      </w:r>
      <w:r>
        <w:rPr>
          <w:rFonts w:hint="default" w:ascii="宋体" w:hAnsi="宋体" w:eastAsia="宋体" w:cs="宋体"/>
          <w:color w:val="auto"/>
          <w:sz w:val="24"/>
          <w:szCs w:val="24"/>
          <w:highlight w:val="none"/>
        </w:rPr>
        <w:t>供应商客户端</w:t>
      </w:r>
      <w:r>
        <w:rPr>
          <w:rFonts w:hint="default"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”下载相关客户端，如有问题可拨打政采云客户服务热线95763进行咨询。</w:t>
      </w:r>
    </w:p>
    <w:p w14:paraId="1AC66A3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加密的电子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递交截止时间前通过政采云平台上传完成。逾期上传或者未上传指定地点的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，不予受理。</w:t>
      </w:r>
    </w:p>
    <w:p w14:paraId="1B7D601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投标人在开标前须提前配置好电脑</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浏览器，开标时请使用制作加密电子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的CA锁进行解密及报价确认。本项目</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解密时间</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，如因自身原因导致无法正常解密，后果由投标人自行承担。</w:t>
      </w:r>
    </w:p>
    <w:p w14:paraId="36A4EF6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如遇“政府采购</w:t>
      </w:r>
      <w:r>
        <w:rPr>
          <w:rFonts w:hint="eastAsia" w:ascii="宋体" w:hAnsi="宋体" w:eastAsia="宋体" w:cs="宋体"/>
          <w:color w:val="auto"/>
          <w:sz w:val="24"/>
          <w:szCs w:val="24"/>
          <w:highlight w:val="none"/>
          <w:lang w:val="en-US"/>
        </w:rPr>
        <w:t>电子交易云</w:t>
      </w:r>
      <w:r>
        <w:rPr>
          <w:rFonts w:hint="eastAsia" w:ascii="宋体" w:hAnsi="宋体" w:eastAsia="宋体" w:cs="宋体"/>
          <w:color w:val="auto"/>
          <w:sz w:val="24"/>
          <w:szCs w:val="24"/>
          <w:highlight w:val="none"/>
        </w:rPr>
        <w:t>平台</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rPr>
        <w:t>网址</w:t>
      </w:r>
      <w:r>
        <w:rPr>
          <w:rFonts w:hint="eastAsia" w:ascii="宋体" w:hAnsi="宋体" w:eastAsia="宋体" w:cs="宋体"/>
          <w:color w:val="auto"/>
          <w:sz w:val="24"/>
          <w:szCs w:val="24"/>
          <w:highlight w:val="none"/>
          <w:lang w:val="hr-HR"/>
        </w:rPr>
        <w:t>：https://www.zcygov.cn/）</w:t>
      </w:r>
      <w:r>
        <w:rPr>
          <w:rFonts w:hint="eastAsia" w:ascii="宋体" w:hAnsi="宋体" w:eastAsia="宋体" w:cs="宋体"/>
          <w:color w:val="auto"/>
          <w:sz w:val="24"/>
          <w:szCs w:val="24"/>
          <w:highlight w:val="none"/>
        </w:rPr>
        <w:t>”电子交易规则调整，以最新要求为准。</w:t>
      </w:r>
    </w:p>
    <w:p w14:paraId="4A04C544">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10.6 电子交易系统咨询：投标人应当充分考虑到电子投标可能会发生的各种问题和风险，特别是投标文件签署、提交等问题，可按照“第一章 招标公告”的联系方式咨询相关人员。</w:t>
      </w:r>
    </w:p>
    <w:p w14:paraId="7D3831A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6889273">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70" w:name="_Toc2746"/>
      <w:bookmarkStart w:id="71" w:name="_Toc26264"/>
      <w:bookmarkStart w:id="72" w:name="_Toc28416"/>
      <w:bookmarkStart w:id="73" w:name="_Toc163492834"/>
      <w:r>
        <w:rPr>
          <w:rFonts w:hint="eastAsia" w:ascii="宋体" w:hAnsi="宋体" w:eastAsia="宋体" w:cs="宋体"/>
          <w:b/>
          <w:bCs/>
          <w:color w:val="auto"/>
          <w:kern w:val="2"/>
          <w:sz w:val="24"/>
          <w:szCs w:val="24"/>
          <w:highlight w:val="none"/>
          <w:lang w:val="en-US" w:eastAsia="zh-CN" w:bidi="ar-SA"/>
        </w:rPr>
        <w:t>（二）招标文件</w:t>
      </w:r>
      <w:bookmarkEnd w:id="69"/>
      <w:bookmarkEnd w:id="70"/>
      <w:bookmarkEnd w:id="71"/>
      <w:bookmarkEnd w:id="72"/>
      <w:bookmarkEnd w:id="73"/>
    </w:p>
    <w:p w14:paraId="45012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74" w:name="_Toc24748"/>
      <w:bookmarkStart w:id="75" w:name="_Toc163492835"/>
      <w:bookmarkStart w:id="76" w:name="_Toc140132768"/>
      <w:bookmarkStart w:id="77" w:name="_Toc21231"/>
      <w:bookmarkStart w:id="78" w:name="_Toc8199"/>
      <w:r>
        <w:rPr>
          <w:rFonts w:hint="eastAsia" w:ascii="宋体" w:hAnsi="宋体" w:eastAsia="宋体" w:cs="宋体"/>
          <w:b/>
          <w:bCs/>
          <w:color w:val="auto"/>
          <w:kern w:val="2"/>
          <w:sz w:val="24"/>
          <w:szCs w:val="24"/>
          <w:highlight w:val="none"/>
          <w:lang w:val="en-US" w:eastAsia="zh-CN" w:bidi="ar-SA"/>
        </w:rPr>
        <w:t>11.招标文件的组成</w:t>
      </w:r>
      <w:bookmarkEnd w:id="74"/>
      <w:bookmarkEnd w:id="75"/>
      <w:bookmarkEnd w:id="76"/>
      <w:bookmarkEnd w:id="77"/>
      <w:bookmarkEnd w:id="78"/>
    </w:p>
    <w:p w14:paraId="2CC25C21">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.1本招标文件包括下列文件及根据本章第9款、第1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款对招标文件所作的澄清或者修改。</w:t>
      </w:r>
    </w:p>
    <w:p w14:paraId="640DA594">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第一章 </w:t>
      </w:r>
      <w:r>
        <w:rPr>
          <w:rFonts w:hint="eastAsia" w:ascii="宋体" w:hAnsi="宋体" w:eastAsia="宋体" w:cs="宋体"/>
          <w:color w:val="auto"/>
          <w:sz w:val="24"/>
          <w:szCs w:val="24"/>
          <w:highlight w:val="none"/>
          <w:lang w:val="en-US" w:eastAsia="zh-CN"/>
        </w:rPr>
        <w:t>招标公告</w:t>
      </w:r>
    </w:p>
    <w:p w14:paraId="058A23F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p>
    <w:p w14:paraId="3C4C9AA7">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采购需求</w:t>
      </w:r>
    </w:p>
    <w:p w14:paraId="54D539EE">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资格审查</w:t>
      </w:r>
    </w:p>
    <w:p w14:paraId="121C5370">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4650D592">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合同草案</w:t>
      </w:r>
    </w:p>
    <w:p w14:paraId="4F48A33D">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投标文件的格式</w:t>
      </w:r>
    </w:p>
    <w:p w14:paraId="05CC337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79" w:name="_Toc140132769"/>
      <w:bookmarkStart w:id="80" w:name="_Toc23749"/>
      <w:bookmarkStart w:id="81" w:name="_Toc163492836"/>
      <w:bookmarkStart w:id="82" w:name="_Toc1043"/>
      <w:bookmarkStart w:id="83" w:name="_Toc19359"/>
      <w:r>
        <w:rPr>
          <w:rFonts w:hint="eastAsia" w:ascii="宋体" w:hAnsi="宋体" w:eastAsia="宋体" w:cs="宋体"/>
          <w:b/>
          <w:bCs/>
          <w:color w:val="auto"/>
          <w:kern w:val="2"/>
          <w:sz w:val="24"/>
          <w:szCs w:val="24"/>
          <w:highlight w:val="none"/>
          <w:lang w:val="en-US" w:eastAsia="zh-CN" w:bidi="ar-SA"/>
        </w:rPr>
        <w:t>12.招标文件的询问、澄清或者修改</w:t>
      </w:r>
      <w:bookmarkEnd w:id="79"/>
      <w:bookmarkEnd w:id="80"/>
      <w:bookmarkEnd w:id="81"/>
      <w:bookmarkEnd w:id="82"/>
      <w:bookmarkEnd w:id="83"/>
    </w:p>
    <w:p w14:paraId="63A7FA2D">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 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答复中不包括问题的来源</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t>
      </w:r>
    </w:p>
    <w:p w14:paraId="7C7E2C9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投标人在规定的时间内未对招标文件提出疑问或要求澄清的，采购代理机构将视其为同意，对在“投标人须知前附表”中“</w:t>
      </w:r>
      <w:r>
        <w:rPr>
          <w:rFonts w:hint="eastAsia" w:ascii="宋体" w:hAnsi="宋体" w:eastAsia="宋体" w:cs="宋体"/>
          <w:color w:val="auto"/>
          <w:sz w:val="24"/>
          <w:szCs w:val="24"/>
          <w:highlight w:val="none"/>
          <w:lang w:val="en-US" w:eastAsia="zh-CN"/>
        </w:rPr>
        <w:t>提出询问的</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后就招标文件内容提出的疑问及澄清要求将不予受理。</w:t>
      </w:r>
    </w:p>
    <w:p w14:paraId="1376CE4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 采购人或者采购代理机构可以对已发出的招标文件进行必要的澄清或者修改。澄清或修改的内容为招标文件的组成部分，并对所有获取招标文件的潜在投标人具有约束力。</w:t>
      </w:r>
    </w:p>
    <w:p w14:paraId="22BD24F7">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 招标文件的澄清或者修改以当面交接、邮寄、传真或电子邮件、网站披露等其中至少一种方式，发给所有领取招标文件的</w:t>
      </w:r>
      <w:r>
        <w:rPr>
          <w:rFonts w:hint="eastAsia" w:ascii="宋体" w:hAnsi="宋体" w:eastAsia="宋体" w:cs="宋体"/>
          <w:color w:val="auto"/>
          <w:sz w:val="24"/>
          <w:szCs w:val="24"/>
          <w:highlight w:val="none"/>
          <w:lang w:val="en-US" w:eastAsia="zh-CN"/>
        </w:rPr>
        <w:t>潜在</w:t>
      </w:r>
      <w:r>
        <w:rPr>
          <w:rFonts w:hint="eastAsia" w:ascii="宋体" w:hAnsi="宋体" w:eastAsia="宋体" w:cs="宋体"/>
          <w:color w:val="auto"/>
          <w:sz w:val="24"/>
          <w:szCs w:val="24"/>
          <w:highlight w:val="none"/>
        </w:rPr>
        <w:t>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574C66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投标人须知”所称“书面形式”包括系统消息、政府采购</w:t>
      </w:r>
      <w:r>
        <w:rPr>
          <w:rFonts w:hint="eastAsia" w:ascii="宋体" w:hAnsi="宋体" w:eastAsia="宋体" w:cs="宋体"/>
          <w:color w:val="auto"/>
          <w:sz w:val="24"/>
          <w:szCs w:val="24"/>
          <w:highlight w:val="none"/>
          <w:lang w:val="en-US" w:eastAsia="zh-CN"/>
        </w:rPr>
        <w:t>云平台</w:t>
      </w:r>
      <w:r>
        <w:rPr>
          <w:rFonts w:hint="eastAsia" w:ascii="宋体" w:hAnsi="宋体" w:eastAsia="宋体" w:cs="宋体"/>
          <w:color w:val="auto"/>
          <w:sz w:val="24"/>
          <w:szCs w:val="24"/>
          <w:highlight w:val="none"/>
        </w:rPr>
        <w:t>发布的公告。</w:t>
      </w:r>
    </w:p>
    <w:p w14:paraId="3CF2D79E">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采购代理机构一旦对招标文件作出了澄清、修改，即刻发生效力，采购代理机构有关的澄清、修改文件，将作为招标文件的组成部分，对所有现实的或潜在的投标人均具有约束力，而无论是否已经实际收到上述文件。同时，采购代理机构和投标人的权利及义务将受到新的截止期的约束。</w:t>
      </w:r>
    </w:p>
    <w:p w14:paraId="179F357A">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采购代理机构对招标文件作出的澄清、修改在平台内进行披露，请投标人及时关注并获取相关资料。因登记有误、线路故障或</w:t>
      </w:r>
      <w:r>
        <w:rPr>
          <w:rFonts w:hint="eastAsia" w:ascii="宋体" w:hAnsi="宋体" w:eastAsia="宋体" w:cs="宋体"/>
          <w:color w:val="auto"/>
          <w:kern w:val="2"/>
          <w:sz w:val="24"/>
          <w:szCs w:val="24"/>
          <w:highlight w:val="none"/>
          <w:lang w:eastAsia="zh-CN"/>
        </w:rPr>
        <w:t>其他</w:t>
      </w:r>
      <w:r>
        <w:rPr>
          <w:rFonts w:hint="eastAsia" w:ascii="宋体" w:hAnsi="宋体" w:eastAsia="宋体" w:cs="宋体"/>
          <w:color w:val="auto"/>
          <w:kern w:val="2"/>
          <w:sz w:val="24"/>
          <w:szCs w:val="24"/>
          <w:highlight w:val="none"/>
        </w:rPr>
        <w:t>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43AEF604">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84" w:name="_Toc28118"/>
      <w:bookmarkStart w:id="85" w:name="_Toc21031"/>
      <w:bookmarkStart w:id="86" w:name="_Toc163492837"/>
      <w:bookmarkStart w:id="87" w:name="_Toc10238"/>
      <w:bookmarkStart w:id="88" w:name="_Toc155185872"/>
      <w:r>
        <w:rPr>
          <w:rFonts w:hint="eastAsia" w:ascii="宋体" w:hAnsi="宋体" w:eastAsia="宋体" w:cs="宋体"/>
          <w:b/>
          <w:bCs/>
          <w:color w:val="auto"/>
          <w:kern w:val="2"/>
          <w:sz w:val="24"/>
          <w:szCs w:val="24"/>
          <w:highlight w:val="none"/>
          <w:lang w:val="en-US" w:eastAsia="zh-CN" w:bidi="ar-SA"/>
        </w:rPr>
        <w:t>（三）投标文件</w:t>
      </w:r>
      <w:bookmarkEnd w:id="84"/>
      <w:bookmarkEnd w:id="85"/>
      <w:bookmarkEnd w:id="86"/>
      <w:bookmarkEnd w:id="87"/>
      <w:bookmarkEnd w:id="88"/>
    </w:p>
    <w:p w14:paraId="340E252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89" w:name="_Toc31491"/>
      <w:bookmarkStart w:id="90" w:name="_Toc10645"/>
      <w:bookmarkStart w:id="91" w:name="_Toc25559"/>
      <w:bookmarkStart w:id="92" w:name="_Toc163492838"/>
      <w:r>
        <w:rPr>
          <w:rFonts w:hint="eastAsia" w:ascii="宋体" w:hAnsi="宋体" w:eastAsia="宋体" w:cs="宋体"/>
          <w:b/>
          <w:bCs/>
          <w:color w:val="auto"/>
          <w:kern w:val="2"/>
          <w:sz w:val="24"/>
          <w:szCs w:val="24"/>
          <w:highlight w:val="none"/>
          <w:lang w:val="en-US" w:eastAsia="zh-CN" w:bidi="ar-SA"/>
        </w:rPr>
        <w:t>13.投标文件的组成</w:t>
      </w:r>
      <w:bookmarkEnd w:id="89"/>
      <w:bookmarkEnd w:id="90"/>
      <w:bookmarkEnd w:id="91"/>
      <w:bookmarkEnd w:id="92"/>
    </w:p>
    <w:p w14:paraId="1712CE6B">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bookmarkStart w:id="93" w:name="_Toc140132772"/>
      <w:bookmarkStart w:id="94" w:name="_Toc163492839"/>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.1投标人应完整地按招标文件提供的投标文件格式及要求编写投标文件，具体内容详见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 xml:space="preserve">第七章 </w:t>
      </w:r>
      <w:r>
        <w:rPr>
          <w:rFonts w:hint="eastAsia" w:ascii="宋体" w:hAnsi="宋体" w:eastAsia="宋体" w:cs="宋体"/>
          <w:color w:val="auto"/>
          <w:kern w:val="2"/>
          <w:sz w:val="24"/>
          <w:szCs w:val="24"/>
          <w:highlight w:val="none"/>
        </w:rPr>
        <w:t>投标文件格式</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的相关内容。</w:t>
      </w:r>
    </w:p>
    <w:p w14:paraId="08F69871">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13.2</w:t>
      </w:r>
      <w:r>
        <w:rPr>
          <w:rFonts w:hint="eastAsia" w:ascii="宋体" w:hAnsi="宋体" w:eastAsia="宋体" w:cs="宋体"/>
          <w:color w:val="auto"/>
          <w:kern w:val="2"/>
          <w:sz w:val="24"/>
          <w:szCs w:val="24"/>
          <w:highlight w:val="none"/>
        </w:rPr>
        <w:t>投标人应提交招标文件要求的证明文件，证明其投标内容符合招标文件规定</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该证明文件是投标文件的一部分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证明文件</w:t>
      </w:r>
      <w:r>
        <w:rPr>
          <w:rFonts w:hint="eastAsia" w:ascii="宋体" w:hAnsi="宋体" w:eastAsia="宋体" w:cs="宋体"/>
          <w:color w:val="auto"/>
          <w:kern w:val="2"/>
          <w:sz w:val="24"/>
          <w:szCs w:val="24"/>
          <w:highlight w:val="none"/>
          <w:lang w:val="en-US" w:eastAsia="zh-CN"/>
        </w:rPr>
        <w:t>形式</w:t>
      </w:r>
      <w:r>
        <w:rPr>
          <w:rFonts w:hint="eastAsia" w:ascii="宋体" w:hAnsi="宋体" w:eastAsia="宋体" w:cs="宋体"/>
          <w:color w:val="auto"/>
          <w:kern w:val="2"/>
          <w:sz w:val="24"/>
          <w:szCs w:val="24"/>
          <w:highlight w:val="none"/>
        </w:rPr>
        <w:t>可以是文字资料、图纸和数据</w:t>
      </w:r>
      <w:bookmarkStart w:id="95" w:name="_Hlk11703583"/>
      <w:r>
        <w:rPr>
          <w:rFonts w:hint="eastAsia" w:ascii="宋体" w:hAnsi="宋体" w:eastAsia="宋体" w:cs="宋体"/>
          <w:color w:val="auto"/>
          <w:kern w:val="2"/>
          <w:sz w:val="24"/>
          <w:szCs w:val="24"/>
          <w:highlight w:val="none"/>
          <w:lang w:val="en-US" w:eastAsia="zh-CN"/>
        </w:rPr>
        <w:t>等。</w:t>
      </w:r>
    </w:p>
    <w:bookmarkEnd w:id="95"/>
    <w:p w14:paraId="44950B79">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13.3</w:t>
      </w:r>
      <w:r>
        <w:rPr>
          <w:rFonts w:hint="eastAsia" w:ascii="宋体" w:hAnsi="宋体" w:eastAsia="宋体" w:cs="宋体"/>
          <w:color w:val="auto"/>
          <w:kern w:val="2"/>
          <w:sz w:val="24"/>
          <w:szCs w:val="24"/>
          <w:highlight w:val="none"/>
        </w:rPr>
        <w:t>为保证公平公正，除非</w:t>
      </w:r>
      <w:r>
        <w:rPr>
          <w:rFonts w:hint="eastAsia" w:ascii="宋体" w:hAnsi="宋体" w:eastAsia="宋体" w:cs="宋体"/>
          <w:color w:val="auto"/>
          <w:kern w:val="2"/>
          <w:sz w:val="24"/>
          <w:szCs w:val="24"/>
          <w:highlight w:val="none"/>
          <w:lang w:val="en-US" w:eastAsia="zh-CN"/>
        </w:rPr>
        <w:t>本招标文件</w:t>
      </w:r>
      <w:r>
        <w:rPr>
          <w:rFonts w:hint="eastAsia" w:ascii="宋体" w:hAnsi="宋体" w:eastAsia="宋体" w:cs="宋体"/>
          <w:color w:val="auto"/>
          <w:kern w:val="2"/>
          <w:sz w:val="24"/>
          <w:szCs w:val="24"/>
          <w:highlight w:val="none"/>
        </w:rPr>
        <w:t>另有规定或说明，投标人对同一项目投标时，不得同时提供备选投标方案。</w:t>
      </w:r>
    </w:p>
    <w:p w14:paraId="5E19797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96" w:name="_Toc24665"/>
      <w:bookmarkStart w:id="97" w:name="_Toc12829"/>
      <w:bookmarkStart w:id="98" w:name="_Toc27765"/>
      <w:r>
        <w:rPr>
          <w:rFonts w:hint="eastAsia" w:ascii="宋体" w:hAnsi="宋体" w:eastAsia="宋体" w:cs="宋体"/>
          <w:b/>
          <w:bCs/>
          <w:color w:val="auto"/>
          <w:kern w:val="2"/>
          <w:sz w:val="24"/>
          <w:szCs w:val="24"/>
          <w:highlight w:val="none"/>
          <w:lang w:val="en-US" w:eastAsia="zh-CN" w:bidi="ar-SA"/>
        </w:rPr>
        <w:t>14.投标报价</w:t>
      </w:r>
      <w:bookmarkEnd w:id="93"/>
      <w:bookmarkEnd w:id="94"/>
      <w:bookmarkEnd w:id="96"/>
      <w:bookmarkEnd w:id="97"/>
      <w:bookmarkEnd w:id="98"/>
    </w:p>
    <w:p w14:paraId="72C674D6">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sz w:val="24"/>
          <w:szCs w:val="24"/>
          <w:highlight w:val="none"/>
          <w:lang w:val="zh-CN"/>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 xml:space="preserve">.1 </w:t>
      </w:r>
      <w:r>
        <w:rPr>
          <w:rFonts w:hint="eastAsia" w:ascii="宋体" w:hAnsi="宋体" w:eastAsia="宋体" w:cs="宋体"/>
          <w:snapToGrid w:val="0"/>
          <w:color w:val="auto"/>
          <w:sz w:val="24"/>
          <w:szCs w:val="24"/>
          <w:highlight w:val="none"/>
          <w:lang w:val="zh-CN"/>
        </w:rPr>
        <w:t>投标人的报价均应以人民币进行报价。</w:t>
      </w:r>
    </w:p>
    <w:p w14:paraId="18B1429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1</w:t>
      </w:r>
      <w:r>
        <w:rPr>
          <w:rFonts w:hint="eastAsia" w:ascii="宋体" w:hAnsi="宋体" w:eastAsia="宋体" w:cs="宋体"/>
          <w:snapToGrid w:val="0"/>
          <w:color w:val="auto"/>
          <w:sz w:val="24"/>
          <w:szCs w:val="24"/>
          <w:highlight w:val="none"/>
          <w:lang w:val="en-US" w:eastAsia="zh-CN"/>
        </w:rPr>
        <w:t>4</w:t>
      </w:r>
      <w:r>
        <w:rPr>
          <w:rFonts w:hint="eastAsia" w:ascii="宋体" w:hAnsi="宋体"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投标人应按照本招标文件规定的报价方式进行报价，投标报价中不得包含招标文件要求以外的内容，否则，在评标时不予核减。投标报价中也不得遗漏招标文件所要求的内容，否则其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p>
    <w:p w14:paraId="5EC676F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snapToGrid w:val="0"/>
          <w:color w:val="auto"/>
          <w:sz w:val="24"/>
          <w:szCs w:val="24"/>
          <w:highlight w:val="none"/>
        </w:rPr>
      </w:pPr>
      <w:r>
        <w:rPr>
          <w:rFonts w:hint="eastAsia" w:ascii="宋体" w:hAnsi="宋体" w:eastAsia="宋体" w:cs="宋体"/>
          <w:color w:val="auto"/>
          <w:kern w:val="2"/>
          <w:sz w:val="24"/>
          <w:szCs w:val="24"/>
          <w:highlight w:val="none"/>
          <w:lang w:val="en-US" w:eastAsia="zh-CN"/>
        </w:rPr>
        <w:t>14.3</w:t>
      </w:r>
      <w:r>
        <w:rPr>
          <w:rFonts w:hint="eastAsia" w:ascii="宋体" w:hAnsi="宋体" w:eastAsia="宋体" w:cs="宋体"/>
          <w:snapToGrid w:val="0"/>
          <w:color w:val="auto"/>
          <w:sz w:val="24"/>
          <w:szCs w:val="24"/>
          <w:highlight w:val="none"/>
          <w:lang w:val="en-US" w:eastAsia="zh-CN"/>
        </w:rPr>
        <w:t>投标人的报价应包括为完成本项目所发生的一切费用和税费，采购人将不再支付报价以外的任何费用。只要投报了一个确定数额的总价，无论分项价格是否全部填报了相应的金额或免费字样，报价应被视为已经包含了但并不限于本次招标全部采购需求所应提供的服务，以及伴随的货物和工程等的费用和所需缴纳的所有价格、税、费。在其他情况下，由于分项报价填报不完整、不清楚或存在其他任何失误，所导致的任何不利后果均应当由投标人自行承担</w:t>
      </w:r>
      <w:r>
        <w:rPr>
          <w:rFonts w:hint="eastAsia" w:ascii="宋体" w:hAnsi="宋体" w:eastAsia="宋体" w:cs="宋体"/>
          <w:snapToGrid w:val="0"/>
          <w:color w:val="auto"/>
          <w:sz w:val="24"/>
          <w:szCs w:val="24"/>
          <w:highlight w:val="none"/>
        </w:rPr>
        <w:t>。</w:t>
      </w:r>
    </w:p>
    <w:p w14:paraId="138B93B1">
      <w:pPr>
        <w:pStyle w:val="1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14.4投标人的报价应包括但不限于按照招标文件要求完成本项目的全部相关费用。</w:t>
      </w:r>
    </w:p>
    <w:p w14:paraId="6A7D5D14">
      <w:pPr>
        <w:ind w:firstLine="480" w:firstLineChars="200"/>
        <w:rPr>
          <w:rFonts w:hint="eastAsia" w:ascii="宋体" w:hAnsi="宋体" w:eastAsia="宋体" w:cs="宋体"/>
          <w:snapToGrid w:val="0"/>
          <w:color w:val="auto"/>
          <w:sz w:val="24"/>
          <w:szCs w:val="24"/>
          <w:highlight w:val="none"/>
          <w:lang w:val="zh-CN"/>
        </w:rPr>
      </w:pPr>
      <w:r>
        <w:rPr>
          <w:rFonts w:hint="eastAsia" w:ascii="宋体" w:hAnsi="宋体" w:eastAsia="宋体" w:cs="宋体"/>
          <w:color w:val="auto"/>
          <w:kern w:val="2"/>
          <w:sz w:val="24"/>
          <w:szCs w:val="24"/>
          <w:highlight w:val="none"/>
          <w:lang w:val="en-US" w:eastAsia="zh-CN" w:bidi="ar-SA"/>
        </w:rPr>
        <w:t>14.5 投标人须严格按照分项报价表规定的内容填写服务单价以及其他事项。</w:t>
      </w:r>
      <w:r>
        <w:rPr>
          <w:rFonts w:hint="eastAsia" w:ascii="宋体" w:hAnsi="宋体"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w:t>
      </w:r>
      <w:r>
        <w:rPr>
          <w:rFonts w:hint="eastAsia" w:cs="宋体"/>
          <w:snapToGrid w:val="0"/>
          <w:color w:val="auto"/>
          <w:sz w:val="24"/>
          <w:szCs w:val="24"/>
          <w:highlight w:val="none"/>
          <w:lang w:val="zh-CN"/>
        </w:rPr>
        <w:t>其他</w:t>
      </w:r>
      <w:r>
        <w:rPr>
          <w:rFonts w:hint="eastAsia" w:ascii="宋体" w:hAnsi="宋体" w:eastAsia="宋体" w:cs="宋体"/>
          <w:snapToGrid w:val="0"/>
          <w:color w:val="auto"/>
          <w:sz w:val="24"/>
          <w:szCs w:val="24"/>
          <w:highlight w:val="none"/>
          <w:lang w:val="zh-CN"/>
        </w:rPr>
        <w:t>原因应由投标人支付的税款和其他应交纳的费用都应包括在投标人提交的投标报价中。</w:t>
      </w:r>
    </w:p>
    <w:p w14:paraId="4389D54F">
      <w:pPr>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14.6 投标人在投标文件中注明免费的项目将视为包含在投标报价中。</w:t>
      </w:r>
    </w:p>
    <w:p w14:paraId="4CB5A521">
      <w:pPr>
        <w:pStyle w:val="1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14.7 每一种采购内容只允许</w:t>
      </w:r>
      <w:r>
        <w:rPr>
          <w:rFonts w:hint="eastAsia" w:ascii="宋体" w:hAnsi="宋体" w:eastAsia="宋体" w:cs="宋体"/>
          <w:snapToGrid w:val="0"/>
          <w:color w:val="auto"/>
          <w:sz w:val="24"/>
          <w:szCs w:val="24"/>
          <w:highlight w:val="none"/>
        </w:rPr>
        <w:t>有一个报价，否则其</w:t>
      </w:r>
      <w:r>
        <w:rPr>
          <w:rFonts w:hint="eastAsia" w:ascii="宋体" w:hAnsi="宋体" w:eastAsia="宋体" w:cs="宋体"/>
          <w:b/>
          <w:bCs/>
          <w:snapToGrid w:val="0"/>
          <w:color w:val="auto"/>
          <w:sz w:val="24"/>
          <w:szCs w:val="24"/>
          <w:highlight w:val="none"/>
        </w:rPr>
        <w:t>投标无效</w:t>
      </w:r>
      <w:r>
        <w:rPr>
          <w:rFonts w:hint="eastAsia" w:ascii="宋体" w:hAnsi="宋体" w:eastAsia="宋体" w:cs="宋体"/>
          <w:snapToGrid w:val="0"/>
          <w:color w:val="auto"/>
          <w:sz w:val="24"/>
          <w:szCs w:val="24"/>
          <w:highlight w:val="none"/>
        </w:rPr>
        <w:t>。</w:t>
      </w:r>
      <w:r>
        <w:rPr>
          <w:rFonts w:hint="eastAsia" w:ascii="宋体" w:hAnsi="宋体" w:eastAsia="宋体" w:cs="宋体"/>
          <w:color w:val="auto"/>
          <w:kern w:val="2"/>
          <w:sz w:val="24"/>
          <w:szCs w:val="24"/>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4"/>
          <w:highlight w:val="none"/>
          <w:lang w:val="en-US" w:eastAsia="zh-CN"/>
        </w:rPr>
        <w:t>实质性</w:t>
      </w:r>
      <w:r>
        <w:rPr>
          <w:rFonts w:hint="eastAsia" w:ascii="宋体" w:hAnsi="宋体" w:eastAsia="宋体" w:cs="宋体"/>
          <w:color w:val="auto"/>
          <w:kern w:val="2"/>
          <w:sz w:val="24"/>
          <w:szCs w:val="24"/>
          <w:highlight w:val="none"/>
        </w:rPr>
        <w:t>响应</w:t>
      </w:r>
      <w:r>
        <w:rPr>
          <w:rFonts w:hint="eastAsia" w:ascii="宋体" w:hAnsi="宋体" w:eastAsia="宋体" w:cs="宋体"/>
          <w:color w:val="auto"/>
          <w:kern w:val="2"/>
          <w:sz w:val="24"/>
          <w:szCs w:val="24"/>
          <w:highlight w:val="none"/>
          <w:lang w:val="en-US" w:eastAsia="zh-CN"/>
        </w:rPr>
        <w:t>招标文件</w:t>
      </w:r>
      <w:r>
        <w:rPr>
          <w:rFonts w:hint="eastAsia" w:ascii="宋体" w:hAnsi="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rPr>
        <w:t>其</w:t>
      </w:r>
      <w:r>
        <w:rPr>
          <w:rFonts w:hint="eastAsia" w:ascii="宋体" w:hAnsi="宋体" w:eastAsia="宋体" w:cs="宋体"/>
          <w:b/>
          <w:bCs/>
          <w:color w:val="auto"/>
          <w:kern w:val="2"/>
          <w:sz w:val="24"/>
          <w:szCs w:val="24"/>
          <w:highlight w:val="none"/>
          <w:lang w:eastAsia="zh-CN"/>
        </w:rPr>
        <w:t>投标无效</w:t>
      </w:r>
      <w:r>
        <w:rPr>
          <w:rFonts w:hint="eastAsia" w:ascii="宋体" w:hAnsi="宋体" w:eastAsia="宋体" w:cs="宋体"/>
          <w:color w:val="auto"/>
          <w:kern w:val="2"/>
          <w:sz w:val="24"/>
          <w:szCs w:val="24"/>
          <w:highlight w:val="none"/>
        </w:rPr>
        <w:t>。</w:t>
      </w:r>
    </w:p>
    <w:p w14:paraId="553E0B8C">
      <w:p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8 </w:t>
      </w:r>
      <w:r>
        <w:rPr>
          <w:rFonts w:hint="eastAsia" w:ascii="宋体" w:hAnsi="宋体" w:eastAsia="宋体" w:cs="宋体"/>
          <w:color w:val="auto"/>
          <w:sz w:val="24"/>
          <w:szCs w:val="24"/>
          <w:highlight w:val="none"/>
        </w:rPr>
        <w:t>投标报价不得超过“</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”中规定的最高投标限价</w:t>
      </w:r>
      <w:r>
        <w:rPr>
          <w:rFonts w:hint="eastAsia" w:ascii="宋体" w:hAnsi="宋体" w:eastAsia="宋体" w:cs="宋体"/>
          <w:color w:val="auto"/>
          <w:sz w:val="24"/>
          <w:szCs w:val="24"/>
          <w:highlight w:val="none"/>
          <w:lang w:val="en-US" w:eastAsia="zh-CN"/>
        </w:rPr>
        <w:t>或者预算金额</w:t>
      </w:r>
      <w:r>
        <w:rPr>
          <w:rFonts w:hint="eastAsia" w:ascii="宋体" w:hAnsi="宋体" w:eastAsia="宋体" w:cs="宋体"/>
          <w:color w:val="auto"/>
          <w:sz w:val="24"/>
          <w:szCs w:val="24"/>
          <w:highlight w:val="none"/>
        </w:rPr>
        <w:t>，否则评标委员会将</w:t>
      </w:r>
      <w:r>
        <w:rPr>
          <w:rFonts w:hint="eastAsia" w:ascii="宋体" w:hAnsi="宋体" w:eastAsia="宋体" w:cs="宋体"/>
          <w:b w:val="0"/>
          <w:bCs w:val="0"/>
          <w:color w:val="auto"/>
          <w:sz w:val="24"/>
          <w:szCs w:val="24"/>
          <w:highlight w:val="none"/>
          <w:lang w:val="en-US" w:eastAsia="zh-CN"/>
        </w:rPr>
        <w:t>对</w:t>
      </w:r>
      <w:r>
        <w:rPr>
          <w:rFonts w:hint="eastAsia" w:ascii="宋体" w:hAnsi="宋体" w:eastAsia="宋体" w:cs="宋体"/>
          <w:b w:val="0"/>
          <w:bCs w:val="0"/>
          <w:color w:val="auto"/>
          <w:sz w:val="24"/>
          <w:szCs w:val="24"/>
          <w:highlight w:val="none"/>
        </w:rPr>
        <w:t>其</w:t>
      </w:r>
      <w:r>
        <w:rPr>
          <w:rFonts w:hint="eastAsia" w:ascii="宋体" w:hAnsi="宋体" w:eastAsia="宋体" w:cs="宋体"/>
          <w:b w:val="0"/>
          <w:bCs w:val="0"/>
          <w:color w:val="auto"/>
          <w:sz w:val="24"/>
          <w:szCs w:val="24"/>
          <w:highlight w:val="none"/>
          <w:lang w:val="en-US" w:eastAsia="zh-CN"/>
        </w:rPr>
        <w:t>作</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处理</w:t>
      </w:r>
      <w:r>
        <w:rPr>
          <w:rFonts w:hint="eastAsia" w:ascii="宋体" w:hAnsi="宋体" w:eastAsia="宋体" w:cs="宋体"/>
          <w:color w:val="auto"/>
          <w:sz w:val="24"/>
          <w:szCs w:val="24"/>
          <w:highlight w:val="none"/>
        </w:rPr>
        <w:t>。</w:t>
      </w:r>
    </w:p>
    <w:p w14:paraId="6EDEF38A">
      <w:pPr>
        <w:pStyle w:val="58"/>
        <w:pageBreakBefore w:val="0"/>
        <w:shd w:val="clear" w:color="auto" w:fill="auto"/>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9 </w:t>
      </w:r>
      <w:r>
        <w:rPr>
          <w:rFonts w:hint="eastAsia" w:ascii="宋体" w:hAnsi="宋体" w:eastAsia="宋体" w:cs="宋体"/>
          <w:color w:val="auto"/>
          <w:kern w:val="2"/>
          <w:sz w:val="24"/>
          <w:szCs w:val="24"/>
          <w:highlight w:val="none"/>
        </w:rPr>
        <w:t>投标人对投标报价若有说明应在投标文件中显著处注明。</w:t>
      </w:r>
    </w:p>
    <w:p w14:paraId="1B65B9E5">
      <w:pPr>
        <w:pStyle w:val="58"/>
        <w:pageBreakBefore w:val="0"/>
        <w:shd w:val="clear" w:color="auto" w:fill="auto"/>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除政策性文件规定以外，投标人所报价格在合同实施期间不因市场变化因素而变动。</w:t>
      </w:r>
    </w:p>
    <w:p w14:paraId="6A20D635">
      <w:pPr>
        <w:pStyle w:val="58"/>
        <w:pageBreakBefore w:val="0"/>
        <w:shd w:val="clear" w:color="auto" w:fill="auto"/>
        <w:kinsoku/>
        <w:wordWrap/>
        <w:overflowPunct/>
        <w:topLinePunct w:val="0"/>
        <w:bidi w:val="0"/>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 xml:space="preserve">10 </w:t>
      </w:r>
      <w:r>
        <w:rPr>
          <w:rFonts w:hint="eastAsia" w:ascii="宋体" w:hAnsi="宋体" w:eastAsia="宋体" w:cs="宋体"/>
          <w:color w:val="auto"/>
          <w:kern w:val="2"/>
          <w:sz w:val="24"/>
          <w:szCs w:val="24"/>
          <w:highlight w:val="none"/>
        </w:rPr>
        <w:t>最低报价不能作为中标的保证。</w:t>
      </w:r>
    </w:p>
    <w:p w14:paraId="5EA8AF2E">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14.11</w:t>
      </w:r>
      <w:r>
        <w:rPr>
          <w:rFonts w:hint="eastAsia" w:ascii="宋体" w:hAnsi="宋体" w:eastAsia="宋体" w:cs="宋体"/>
          <w:color w:val="auto"/>
          <w:kern w:val="0"/>
          <w:sz w:val="24"/>
          <w:szCs w:val="24"/>
          <w:highlight w:val="none"/>
          <w:lang w:val="en-US" w:eastAsia="zh-CN" w:bidi="ar"/>
        </w:rPr>
        <w:t>采购人不得向投标人索要或者接受其给予的赠品、回扣或者与采购无关的其他商品、服务。</w:t>
      </w:r>
    </w:p>
    <w:p w14:paraId="706CB0D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99" w:name="_Toc24048"/>
      <w:bookmarkStart w:id="100" w:name="_Toc163492840"/>
      <w:bookmarkStart w:id="101" w:name="_Toc140132773"/>
      <w:bookmarkStart w:id="102" w:name="_Toc24520"/>
      <w:bookmarkStart w:id="103" w:name="_Toc9162"/>
      <w:r>
        <w:rPr>
          <w:rFonts w:hint="eastAsia" w:ascii="宋体" w:hAnsi="宋体" w:eastAsia="宋体" w:cs="宋体"/>
          <w:b/>
          <w:bCs/>
          <w:color w:val="auto"/>
          <w:kern w:val="2"/>
          <w:sz w:val="24"/>
          <w:szCs w:val="24"/>
          <w:highlight w:val="none"/>
          <w:lang w:val="en-US" w:eastAsia="zh-CN" w:bidi="ar-SA"/>
        </w:rPr>
        <w:t>15.投标有效期</w:t>
      </w:r>
      <w:bookmarkEnd w:id="99"/>
      <w:bookmarkEnd w:id="100"/>
      <w:bookmarkEnd w:id="101"/>
      <w:bookmarkEnd w:id="102"/>
      <w:bookmarkEnd w:id="103"/>
    </w:p>
    <w:p w14:paraId="57AB3FB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.1 </w:t>
      </w:r>
      <w:r>
        <w:rPr>
          <w:rFonts w:hint="eastAsia" w:ascii="宋体" w:hAnsi="宋体" w:eastAsia="宋体" w:cs="宋体"/>
          <w:color w:val="auto"/>
          <w:kern w:val="0"/>
          <w:sz w:val="24"/>
          <w:szCs w:val="24"/>
          <w:highlight w:val="none"/>
          <w:lang w:val="en"/>
        </w:rPr>
        <w:t>投标有效期</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val="en-US" w:eastAsia="zh-CN"/>
        </w:rPr>
        <w:t xml:space="preserve">第二章 </w:t>
      </w:r>
      <w:r>
        <w:rPr>
          <w:rFonts w:hint="eastAsia" w:ascii="宋体" w:hAnsi="宋体" w:eastAsia="宋体" w:cs="宋体"/>
          <w:color w:val="auto"/>
          <w:sz w:val="24"/>
          <w:szCs w:val="24"/>
          <w:highlight w:val="none"/>
        </w:rPr>
        <w:t>投标人须知前附表”，投标人承诺的投标有效期</w:t>
      </w:r>
      <w:r>
        <w:rPr>
          <w:rFonts w:hint="eastAsia" w:ascii="宋体" w:hAnsi="宋体" w:eastAsia="宋体" w:cs="宋体"/>
          <w:snapToGrid w:val="0"/>
          <w:color w:val="auto"/>
          <w:sz w:val="24"/>
          <w:szCs w:val="24"/>
          <w:highlight w:val="none"/>
          <w:lang w:val="zh-CN" w:eastAsia="zh-CN"/>
        </w:rPr>
        <w:t>少于</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val="zh-CN" w:eastAsia="zh-CN"/>
        </w:rPr>
        <w:t>文件规定期限的，其</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lang w:val="zh-CN" w:eastAsia="zh-CN"/>
        </w:rPr>
        <w:t>无效</w:t>
      </w:r>
      <w:r>
        <w:rPr>
          <w:rFonts w:hint="eastAsia" w:ascii="宋体" w:hAnsi="宋体" w:eastAsia="宋体" w:cs="宋体"/>
          <w:snapToGrid w:val="0"/>
          <w:color w:val="auto"/>
          <w:sz w:val="24"/>
          <w:szCs w:val="24"/>
          <w:highlight w:val="none"/>
          <w:lang w:val="zh-CN" w:eastAsia="zh-CN"/>
        </w:rPr>
        <w:t>。</w:t>
      </w:r>
    </w:p>
    <w:p w14:paraId="7DB387D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1E0FA55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14:paraId="2CEB0D7C">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投标人同意延长的，</w:t>
      </w:r>
      <w:r>
        <w:rPr>
          <w:rFonts w:hint="eastAsia" w:ascii="宋体" w:hAnsi="宋体" w:eastAsia="宋体" w:cs="宋体"/>
          <w:color w:val="auto"/>
          <w:kern w:val="2"/>
          <w:sz w:val="24"/>
          <w:szCs w:val="24"/>
          <w:highlight w:val="none"/>
          <w:lang w:val="en-US" w:eastAsia="zh-CN"/>
        </w:rPr>
        <w:t>其</w:t>
      </w:r>
      <w:r>
        <w:rPr>
          <w:rFonts w:hint="eastAsia" w:ascii="宋体" w:hAnsi="宋体" w:eastAsia="宋体" w:cs="宋体"/>
          <w:color w:val="auto"/>
          <w:kern w:val="2"/>
          <w:sz w:val="24"/>
          <w:szCs w:val="24"/>
          <w:highlight w:val="none"/>
        </w:rPr>
        <w:t>投标保证金的有效期也相应延长</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但</w:t>
      </w:r>
      <w:r>
        <w:rPr>
          <w:rFonts w:hint="eastAsia" w:ascii="宋体" w:hAnsi="宋体" w:eastAsia="宋体" w:cs="宋体"/>
          <w:color w:val="auto"/>
          <w:sz w:val="24"/>
          <w:szCs w:val="24"/>
          <w:highlight w:val="none"/>
        </w:rPr>
        <w:t>不得要求或被允许修改或撤销其投标文件；</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拒绝延长的，其投标文件在原投标有效期满后将不再有效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但其提交的投标保证金可予以退还</w:t>
      </w:r>
      <w:r>
        <w:rPr>
          <w:rFonts w:hint="eastAsia" w:ascii="宋体" w:hAnsi="宋体" w:eastAsia="宋体" w:cs="宋体"/>
          <w:color w:val="auto"/>
          <w:sz w:val="24"/>
          <w:szCs w:val="24"/>
          <w:highlight w:val="none"/>
        </w:rPr>
        <w:t>。</w:t>
      </w:r>
    </w:p>
    <w:p w14:paraId="456AB8D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04" w:name="_Toc9620"/>
      <w:bookmarkStart w:id="105" w:name="_Toc140132774"/>
      <w:bookmarkStart w:id="106" w:name="_Toc17887"/>
      <w:bookmarkStart w:id="107" w:name="_Toc163492841"/>
      <w:bookmarkStart w:id="108" w:name="_Toc21362"/>
      <w:r>
        <w:rPr>
          <w:rFonts w:hint="eastAsia" w:ascii="宋体" w:hAnsi="宋体" w:eastAsia="宋体" w:cs="宋体"/>
          <w:b/>
          <w:bCs/>
          <w:color w:val="auto"/>
          <w:kern w:val="2"/>
          <w:sz w:val="24"/>
          <w:szCs w:val="24"/>
          <w:highlight w:val="none"/>
          <w:lang w:val="en-US" w:eastAsia="zh-CN" w:bidi="ar-SA"/>
        </w:rPr>
        <w:t>16.投标文件的编制</w:t>
      </w:r>
      <w:bookmarkEnd w:id="104"/>
      <w:bookmarkEnd w:id="105"/>
      <w:bookmarkEnd w:id="106"/>
      <w:bookmarkEnd w:id="107"/>
      <w:bookmarkEnd w:id="108"/>
    </w:p>
    <w:p w14:paraId="19002E1D">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.1投标文件应在供应商客户端中进行编制，在投标文件中要求加盖印章的，除有特殊说明之外，</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使用电子签章签署。</w:t>
      </w:r>
    </w:p>
    <w:p w14:paraId="01159F9E">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bookmarkStart w:id="109" w:name="_Hlk143528557"/>
      <w:r>
        <w:rPr>
          <w:rFonts w:hint="eastAsia" w:ascii="宋体" w:hAnsi="宋体" w:eastAsia="宋体" w:cs="宋体"/>
          <w:color w:val="auto"/>
          <w:sz w:val="24"/>
          <w:szCs w:val="24"/>
          <w:highlight w:val="none"/>
        </w:rPr>
        <w:t>2投标人在供应商客户端中按照供应商客户端中的格式要求填写响应内容后，生成投标文件。投标人须按照招标文件的要求使用电子签章对要求加盖印章的部分逐一进行签章。</w:t>
      </w:r>
      <w:bookmarkEnd w:id="109"/>
    </w:p>
    <w:p w14:paraId="6935D9C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cs="宋体"/>
          <w:b/>
          <w:bCs/>
          <w:color w:val="auto"/>
          <w:sz w:val="24"/>
          <w:szCs w:val="24"/>
          <w:highlight w:val="none"/>
        </w:rPr>
        <w:t>导致</w:t>
      </w:r>
      <w:r>
        <w:rPr>
          <w:rFonts w:hint="eastAsia" w:ascii="宋体" w:hAnsi="宋体" w:eastAsia="宋体" w:cs="宋体"/>
          <w:b/>
          <w:bCs/>
          <w:color w:val="auto"/>
          <w:sz w:val="24"/>
          <w:szCs w:val="24"/>
          <w:highlight w:val="none"/>
          <w:lang w:val="en-US" w:eastAsia="zh-CN"/>
        </w:rPr>
        <w:t>其</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rPr>
        <w:t>。</w:t>
      </w:r>
    </w:p>
    <w:p w14:paraId="50F591EF">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投标文件须严格按照</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招标文件第</w:t>
      </w:r>
      <w:r>
        <w:rPr>
          <w:rFonts w:hint="eastAsia" w:ascii="宋体" w:hAnsi="宋体" w:eastAsia="宋体" w:cs="宋体"/>
          <w:color w:val="auto"/>
          <w:sz w:val="24"/>
          <w:szCs w:val="24"/>
          <w:highlight w:val="none"/>
          <w:lang w:val="en-US" w:eastAsia="zh-CN"/>
        </w:rPr>
        <w:t>七章</w:t>
      </w:r>
      <w:r>
        <w:rPr>
          <w:rFonts w:hint="eastAsia" w:ascii="宋体" w:hAnsi="宋体" w:eastAsia="宋体" w:cs="宋体"/>
          <w:color w:val="auto"/>
          <w:sz w:val="24"/>
          <w:szCs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01FCD6F5">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开标一览表为在开标</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唱标的内容，要求按格式统一填写，不得自行增减内容。</w:t>
      </w:r>
    </w:p>
    <w:p w14:paraId="02E915D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宋体" w:hAnsi="宋体" w:eastAsia="宋体" w:cs="宋体"/>
          <w:color w:val="auto"/>
          <w:sz w:val="24"/>
          <w:szCs w:val="24"/>
          <w:highlight w:val="none"/>
          <w:lang w:val="en-US" w:eastAsia="zh-CN"/>
        </w:rPr>
        <w:t>按</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rPr>
        <w:t>处理。</w:t>
      </w:r>
    </w:p>
    <w:p w14:paraId="77D19C35">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投标人必须保证投标文件所提供的全部资料真实可靠，并接受采购</w:t>
      </w:r>
      <w:r>
        <w:rPr>
          <w:rFonts w:hint="eastAsia" w:ascii="宋体" w:hAnsi="宋体" w:eastAsia="宋体" w:cs="宋体"/>
          <w:color w:val="auto"/>
          <w:sz w:val="24"/>
          <w:szCs w:val="24"/>
          <w:highlight w:val="none"/>
          <w:lang w:val="en-US" w:eastAsia="zh-CN"/>
        </w:rPr>
        <w:t>人、采购</w:t>
      </w:r>
      <w:r>
        <w:rPr>
          <w:rFonts w:hint="eastAsia" w:ascii="宋体" w:hAnsi="宋体" w:eastAsia="宋体" w:cs="宋体"/>
          <w:color w:val="auto"/>
          <w:sz w:val="24"/>
          <w:szCs w:val="24"/>
          <w:highlight w:val="none"/>
        </w:rPr>
        <w:t>代理机构或评标委员会对其中任何资料进一步审查的要求。</w:t>
      </w:r>
    </w:p>
    <w:p w14:paraId="0D17023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4D92F779">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16.9电子投标文件的编制</w:t>
      </w:r>
    </w:p>
    <w:p w14:paraId="7678CE0D">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16.9.1电子投标文件需按招标文件要求进行制作编制。投标文件制作时，不同内容按标签提示制作导入，按照招标文件中明确的投标文件目录和格式进行编制，保证目录清晰、内容完整；           </w:t>
      </w:r>
    </w:p>
    <w:p w14:paraId="1C3FC041">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16.9.2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宋体"/>
          <w:b/>
          <w:bCs/>
          <w:iCs/>
          <w:color w:val="auto"/>
          <w:kern w:val="2"/>
          <w:sz w:val="24"/>
          <w:szCs w:val="24"/>
          <w:highlight w:val="none"/>
          <w:shd w:val="clear" w:color="auto" w:fill="FFFFFF" w:themeFill="background1"/>
          <w:lang w:val="en-US" w:eastAsia="zh-CN" w:bidi="ar-SA"/>
        </w:rPr>
        <w:t>其投标无效</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2ED9FFFC">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10" w:name="_Toc22756"/>
      <w:bookmarkStart w:id="111" w:name="_Toc10210"/>
      <w:bookmarkStart w:id="112" w:name="_Toc20626"/>
      <w:bookmarkStart w:id="113" w:name="_Toc163492842"/>
      <w:bookmarkStart w:id="114" w:name="_Toc155185873"/>
      <w:r>
        <w:rPr>
          <w:rFonts w:hint="eastAsia" w:ascii="宋体" w:hAnsi="宋体" w:eastAsia="宋体" w:cs="宋体"/>
          <w:b/>
          <w:bCs/>
          <w:color w:val="auto"/>
          <w:kern w:val="2"/>
          <w:sz w:val="24"/>
          <w:szCs w:val="24"/>
          <w:highlight w:val="none"/>
          <w:lang w:val="en-US" w:eastAsia="zh-CN" w:bidi="ar-SA"/>
        </w:rPr>
        <w:t>（四）投标</w:t>
      </w:r>
      <w:bookmarkEnd w:id="110"/>
      <w:bookmarkEnd w:id="111"/>
      <w:bookmarkEnd w:id="112"/>
      <w:bookmarkEnd w:id="113"/>
      <w:bookmarkEnd w:id="114"/>
    </w:p>
    <w:p w14:paraId="284E063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15" w:name="_Toc27659"/>
      <w:bookmarkStart w:id="116" w:name="_Toc16487"/>
      <w:bookmarkStart w:id="117" w:name="_Toc32654"/>
      <w:bookmarkStart w:id="118" w:name="_Toc163492843"/>
      <w:r>
        <w:rPr>
          <w:rFonts w:hint="eastAsia" w:ascii="宋体" w:hAnsi="宋体" w:eastAsia="宋体" w:cs="宋体"/>
          <w:b/>
          <w:bCs/>
          <w:color w:val="auto"/>
          <w:kern w:val="2"/>
          <w:sz w:val="24"/>
          <w:szCs w:val="24"/>
          <w:highlight w:val="none"/>
          <w:lang w:val="en-US" w:eastAsia="zh-CN" w:bidi="ar-SA"/>
        </w:rPr>
        <w:t>17.投标保证金</w:t>
      </w:r>
      <w:bookmarkEnd w:id="115"/>
      <w:bookmarkEnd w:id="116"/>
      <w:bookmarkEnd w:id="117"/>
    </w:p>
    <w:p w14:paraId="43B7527D">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投标人须知前附表”规定的金额及要求提交投标保证金。投标人自愿超额缴纳投标保证金的，投标文件不作无效处理。</w:t>
      </w:r>
    </w:p>
    <w:p w14:paraId="48468F78">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17.2提交投标保证金可采用的形式：政府采购法律法规接受的支票、汇票、本票、网上银行支付或者金融机构、担保机构出具的保函等非现金形式。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4"/>
          <w:highlight w:val="none"/>
          <w:lang w:val="en-US" w:eastAsia="zh-CN" w:bidi="ar-SA"/>
        </w:rPr>
        <w:t>投标人未按照招标文件要求提交投标保证金的，其</w:t>
      </w:r>
      <w:r>
        <w:rPr>
          <w:rFonts w:hint="eastAsia" w:ascii="宋体" w:hAnsi="宋体" w:eastAsia="宋体" w:cs="宋体"/>
          <w:b/>
          <w:bCs/>
          <w:color w:val="auto"/>
          <w:kern w:val="2"/>
          <w:sz w:val="24"/>
          <w:szCs w:val="24"/>
          <w:highlight w:val="none"/>
          <w:lang w:val="en-US" w:eastAsia="zh-CN" w:bidi="ar-SA"/>
        </w:rPr>
        <w:t>投标无效</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投标保证金有效期同投标有效期。</w:t>
      </w:r>
    </w:p>
    <w:p w14:paraId="0A4B9527">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4"/>
          <w:highlight w:val="none"/>
          <w:lang w:val="en-US" w:eastAsia="zh-CN"/>
        </w:rPr>
        <w:t>投标无效</w:t>
      </w:r>
      <w:r>
        <w:rPr>
          <w:rFonts w:hint="eastAsia" w:ascii="宋体" w:hAnsi="宋体" w:eastAsia="宋体" w:cs="宋体"/>
          <w:color w:val="auto"/>
          <w:kern w:val="2"/>
          <w:sz w:val="24"/>
          <w:szCs w:val="24"/>
          <w:highlight w:val="none"/>
          <w:lang w:val="en-US" w:eastAsia="zh-CN"/>
        </w:rPr>
        <w:t>。</w:t>
      </w:r>
    </w:p>
    <w:p w14:paraId="12182209">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17.4 投标人为联合体的，可以由联合体中的一方或者多方共同提交投标保证金，其提交的投标保证金对联合体各方均具有约束力。 </w:t>
      </w:r>
    </w:p>
    <w:p w14:paraId="10C9499F">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17.5采购人或者采购代理机构应当在采购活动结束后及时退还投标人的投标保证金，采用银行保函、担保机构担保函等形式递交的投标保证金，经投标人同意后采购人、采购代理机构可以不再退还，但因投标人自身原因导致无法及时退还的除外。未中标投标人的投标保证金应当自中标通知书发出之日起 5 个工作日内退还，中标投标人的投标保证金应当自采购合同签订之日起 5 个工作日内退还。 </w:t>
      </w:r>
    </w:p>
    <w:p w14:paraId="2164F33F">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17.6 投标人在投标截止时间前撤回已提交的投标文件的，自收到投标人书面撤回通知之日起 5 个工作日内，退还已收取的投标保证金，但因投标人自身原因导致无法及时退还的除外。 </w:t>
      </w:r>
    </w:p>
    <w:p w14:paraId="10FE669C">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17.7 终止招标项目已经收取投标保证金的，自终止采购活动后 5 个工作日内退还已收取的投标保证金及其在银行产生的孳息。</w:t>
      </w:r>
    </w:p>
    <w:p w14:paraId="06BE5F5A">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17.8 有下列情形之一的，采购人或采购代理机构可以不予退还投标保证金，</w:t>
      </w:r>
      <w:r>
        <w:rPr>
          <w:rFonts w:hint="eastAsia" w:ascii="宋体" w:hAnsi="宋体" w:eastAsia="宋体" w:cs="宋体"/>
          <w:color w:val="auto"/>
          <w:kern w:val="2"/>
          <w:sz w:val="24"/>
          <w:szCs w:val="24"/>
          <w:highlight w:val="none"/>
        </w:rPr>
        <w:t>情节严重的将其列入不良记录名单</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CDF9BD2">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17.8.1 </w:t>
      </w:r>
      <w:r>
        <w:rPr>
          <w:rFonts w:hint="eastAsia" w:ascii="宋体" w:hAnsi="宋体" w:eastAsia="宋体" w:cs="宋体"/>
          <w:color w:val="auto"/>
          <w:kern w:val="2"/>
          <w:sz w:val="24"/>
          <w:szCs w:val="24"/>
          <w:highlight w:val="none"/>
        </w:rPr>
        <w:t>开标后在投标有效期内，投标人撤</w:t>
      </w:r>
      <w:r>
        <w:rPr>
          <w:rFonts w:hint="eastAsia" w:ascii="宋体" w:hAnsi="宋体" w:eastAsia="宋体" w:cs="宋体"/>
          <w:color w:val="auto"/>
          <w:kern w:val="2"/>
          <w:sz w:val="24"/>
          <w:szCs w:val="24"/>
          <w:highlight w:val="none"/>
          <w:lang w:val="en-US" w:eastAsia="zh-CN"/>
        </w:rPr>
        <w:t>销</w:t>
      </w:r>
      <w:r>
        <w:rPr>
          <w:rFonts w:hint="eastAsia" w:ascii="宋体" w:hAnsi="宋体" w:eastAsia="宋体" w:cs="宋体"/>
          <w:color w:val="auto"/>
          <w:kern w:val="2"/>
          <w:sz w:val="24"/>
          <w:szCs w:val="24"/>
          <w:highlight w:val="none"/>
        </w:rPr>
        <w:t>其投标</w:t>
      </w:r>
      <w:r>
        <w:rPr>
          <w:rFonts w:hint="eastAsia" w:ascii="宋体" w:hAnsi="宋体" w:eastAsia="宋体" w:cs="宋体"/>
          <w:color w:val="auto"/>
          <w:kern w:val="2"/>
          <w:sz w:val="24"/>
          <w:szCs w:val="24"/>
          <w:highlight w:val="none"/>
          <w:lang w:val="en-US" w:eastAsia="zh-CN"/>
        </w:rPr>
        <w:t>的</w:t>
      </w:r>
      <w:r>
        <w:rPr>
          <w:rFonts w:hint="eastAsia" w:ascii="宋体" w:hAnsi="宋体" w:eastAsia="宋体" w:cs="宋体"/>
          <w:color w:val="auto"/>
          <w:kern w:val="2"/>
          <w:sz w:val="24"/>
          <w:szCs w:val="24"/>
          <w:highlight w:val="none"/>
        </w:rPr>
        <w:t>；</w:t>
      </w: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 </w:t>
      </w:r>
    </w:p>
    <w:p w14:paraId="31D07219">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17.8.2 </w:t>
      </w:r>
      <w:r>
        <w:rPr>
          <w:rFonts w:hint="eastAsia" w:ascii="宋体" w:hAnsi="宋体" w:eastAsia="宋体" w:cs="宋体"/>
          <w:color w:val="auto"/>
          <w:kern w:val="2"/>
          <w:sz w:val="24"/>
          <w:szCs w:val="24"/>
          <w:highlight w:val="none"/>
        </w:rPr>
        <w:t>中标后无正当理由不与采购人签订合同的；</w:t>
      </w:r>
    </w:p>
    <w:p w14:paraId="3CB8240F">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4"/>
          <w:highlight w:val="none"/>
        </w:rPr>
        <w:t>中标人与采购人订立背离合同实质性内容的其他协议；</w:t>
      </w:r>
    </w:p>
    <w:p w14:paraId="032A5BAB">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4</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将中标项目转让给他人，或者在投标文件中未说明，且未经采购</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同意，将中标项目分包给他人的；</w:t>
      </w:r>
    </w:p>
    <w:p w14:paraId="64CD25F9">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5</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存在串通投标行为的；</w:t>
      </w:r>
    </w:p>
    <w:p w14:paraId="64603F8E">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6</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存在弄虚作假或提供虚假材料谋取中标的；</w:t>
      </w:r>
    </w:p>
    <w:p w14:paraId="00CAAEB8">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iCs/>
          <w:color w:val="auto"/>
          <w:kern w:val="2"/>
          <w:sz w:val="24"/>
          <w:szCs w:val="24"/>
          <w:highlight w:val="none"/>
          <w:shd w:val="clear" w:color="auto" w:fill="FFFFFF" w:themeFill="background1"/>
          <w:lang w:val="en-US" w:eastAsia="zh-CN" w:bidi="ar-SA"/>
        </w:rPr>
        <w:t>17.8.</w:t>
      </w:r>
      <w:r>
        <w:rPr>
          <w:rFonts w:hint="eastAsia" w:ascii="宋体" w:hAnsi="宋体" w:eastAsia="宋体" w:cs="宋体"/>
          <w:color w:val="auto"/>
          <w:kern w:val="2"/>
          <w:sz w:val="24"/>
          <w:szCs w:val="24"/>
          <w:highlight w:val="none"/>
        </w:rPr>
        <w:t>7</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投标人其他未按招标文件规定和合同约定履行义务的行为。</w:t>
      </w:r>
    </w:p>
    <w:p w14:paraId="42D9F8F8">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05D279CC">
      <w:pPr>
        <w:pStyle w:val="58"/>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Cs/>
          <w:color w:val="auto"/>
          <w:kern w:val="2"/>
          <w:sz w:val="24"/>
          <w:szCs w:val="24"/>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w:t>
      </w:r>
    </w:p>
    <w:p w14:paraId="3771142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19" w:name="_Toc27604"/>
      <w:bookmarkStart w:id="120" w:name="_Toc22547"/>
      <w:bookmarkStart w:id="121" w:name="_Toc11437"/>
      <w:r>
        <w:rPr>
          <w:rFonts w:hint="eastAsia" w:ascii="宋体" w:hAnsi="宋体" w:eastAsia="宋体" w:cs="宋体"/>
          <w:b/>
          <w:bCs/>
          <w:color w:val="auto"/>
          <w:kern w:val="2"/>
          <w:sz w:val="24"/>
          <w:szCs w:val="24"/>
          <w:highlight w:val="none"/>
          <w:lang w:val="en-US" w:eastAsia="zh-CN" w:bidi="ar-SA"/>
        </w:rPr>
        <w:t>18.投标文件的加密</w:t>
      </w:r>
      <w:bookmarkEnd w:id="118"/>
      <w:bookmarkEnd w:id="119"/>
      <w:bookmarkEnd w:id="120"/>
      <w:bookmarkEnd w:id="121"/>
    </w:p>
    <w:p w14:paraId="45B4AF5B">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u w:val="single"/>
        </w:rPr>
      </w:pPr>
      <w:bookmarkStart w:id="122" w:name="_Hlk14353186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.1投标人在供应商客户端中生成投标文件并完成签章之后，使用CA证书在供应商客户端中对投标文件进行加密。</w:t>
      </w:r>
    </w:p>
    <w:p w14:paraId="7AC71725">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.2投标人应在供应商客户端中对加密的投标文件进行解密验证，以防止投标文件加密异常，在开标时无法解密。</w:t>
      </w:r>
    </w:p>
    <w:p w14:paraId="031915D2">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259AA692">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w:t>
      </w:r>
      <w:r>
        <w:rPr>
          <w:rFonts w:hint="eastAsia" w:ascii="宋体" w:hAnsi="宋体" w:eastAsia="宋体" w:cs="宋体"/>
          <w:color w:val="auto"/>
          <w:sz w:val="24"/>
          <w:szCs w:val="24"/>
          <w:highlight w:val="none"/>
          <w:lang w:val="en-US" w:eastAsia="zh-CN"/>
        </w:rPr>
        <w:t>止</w:t>
      </w:r>
      <w:r>
        <w:rPr>
          <w:rFonts w:hint="eastAsia" w:ascii="宋体" w:hAnsi="宋体" w:eastAsia="宋体" w:cs="宋体"/>
          <w:color w:val="auto"/>
          <w:sz w:val="24"/>
          <w:szCs w:val="24"/>
          <w:highlight w:val="none"/>
        </w:rPr>
        <w:t>时间前通过</w:t>
      </w:r>
      <w:r>
        <w:rPr>
          <w:rFonts w:hint="eastAsia" w:cs="宋体"/>
          <w:color w:val="auto"/>
          <w:sz w:val="24"/>
          <w:szCs w:val="24"/>
          <w:highlight w:val="none"/>
          <w:lang w:val="en-US" w:eastAsia="zh-CN"/>
        </w:rPr>
        <w:t>新疆</w:t>
      </w:r>
      <w:r>
        <w:rPr>
          <w:rFonts w:hint="eastAsia" w:ascii="宋体" w:hAnsi="宋体" w:eastAsia="宋体" w:cs="宋体"/>
          <w:color w:val="auto"/>
          <w:sz w:val="24"/>
          <w:szCs w:val="24"/>
          <w:highlight w:val="none"/>
        </w:rPr>
        <w:t>政府采购网（http://www.ccgp-xinjiang.gov.cn/）的</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政采云登录入口”登录后，将加密电子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上传到对应项目的指定位置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投标人认为有必要提交的其他资料请于投标截止时间前一并提交。</w:t>
      </w:r>
    </w:p>
    <w:p w14:paraId="0D112A94">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如果投标人未按上述要求</w:t>
      </w:r>
      <w:r>
        <w:rPr>
          <w:rFonts w:hint="eastAsia" w:ascii="宋体" w:hAnsi="宋体" w:eastAsia="宋体" w:cs="宋体"/>
          <w:color w:val="auto"/>
          <w:sz w:val="24"/>
          <w:szCs w:val="24"/>
          <w:highlight w:val="none"/>
          <w:lang w:val="en-US" w:eastAsia="zh-CN"/>
        </w:rPr>
        <w:t>加密并上传</w:t>
      </w:r>
      <w:r>
        <w:rPr>
          <w:rFonts w:hint="eastAsia" w:ascii="宋体" w:hAnsi="宋体" w:eastAsia="宋体" w:cs="宋体"/>
          <w:color w:val="auto"/>
          <w:sz w:val="24"/>
          <w:szCs w:val="24"/>
          <w:highlight w:val="none"/>
        </w:rPr>
        <w:t>，采购代理机构对投标文件的误投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无法解密、传输错误等问题</w:t>
      </w:r>
      <w:r>
        <w:rPr>
          <w:rFonts w:hint="eastAsia" w:ascii="宋体" w:hAnsi="宋体" w:eastAsia="宋体" w:cs="宋体"/>
          <w:color w:val="auto"/>
          <w:sz w:val="24"/>
          <w:szCs w:val="24"/>
          <w:highlight w:val="none"/>
        </w:rPr>
        <w:t>概不负责。对由此造成</w:t>
      </w:r>
      <w:r>
        <w:rPr>
          <w:rFonts w:hint="eastAsia" w:ascii="宋体" w:hAnsi="宋体" w:eastAsia="宋体" w:cs="宋体"/>
          <w:color w:val="auto"/>
          <w:sz w:val="24"/>
          <w:szCs w:val="24"/>
          <w:highlight w:val="none"/>
          <w:lang w:val="en-US" w:eastAsia="zh-CN"/>
        </w:rPr>
        <w:t>无法正常开启</w:t>
      </w:r>
      <w:r>
        <w:rPr>
          <w:rFonts w:hint="eastAsia" w:ascii="宋体" w:hAnsi="宋体" w:eastAsia="宋体" w:cs="宋体"/>
          <w:color w:val="auto"/>
          <w:sz w:val="24"/>
          <w:szCs w:val="24"/>
          <w:highlight w:val="none"/>
        </w:rPr>
        <w:t>的投标文件，采购代理机构有权予以拒绝，并退回投标人。</w:t>
      </w:r>
    </w:p>
    <w:p w14:paraId="6D726E5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本项目采用不见面开标，无需提供电子投标文件U盘。</w:t>
      </w:r>
    </w:p>
    <w:bookmarkEnd w:id="122"/>
    <w:p w14:paraId="73B893A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3" w:name="_Toc140132777"/>
      <w:bookmarkStart w:id="124" w:name="_Toc18936"/>
      <w:bookmarkStart w:id="125" w:name="_Toc18403"/>
      <w:bookmarkStart w:id="126" w:name="_Toc163492844"/>
      <w:bookmarkStart w:id="127" w:name="_Toc13225"/>
      <w:r>
        <w:rPr>
          <w:rFonts w:hint="eastAsia" w:ascii="宋体" w:hAnsi="宋体" w:eastAsia="宋体" w:cs="宋体"/>
          <w:b/>
          <w:bCs/>
          <w:color w:val="auto"/>
          <w:kern w:val="2"/>
          <w:sz w:val="24"/>
          <w:szCs w:val="24"/>
          <w:highlight w:val="none"/>
          <w:lang w:val="en-US" w:eastAsia="zh-CN" w:bidi="ar-SA"/>
        </w:rPr>
        <w:t>19.投标文件的递交</w:t>
      </w:r>
      <w:bookmarkEnd w:id="123"/>
      <w:r>
        <w:rPr>
          <w:rFonts w:hint="eastAsia" w:ascii="宋体" w:hAnsi="宋体" w:eastAsia="宋体" w:cs="宋体"/>
          <w:b/>
          <w:bCs/>
          <w:color w:val="auto"/>
          <w:kern w:val="2"/>
          <w:sz w:val="24"/>
          <w:szCs w:val="24"/>
          <w:highlight w:val="none"/>
          <w:lang w:val="en-US" w:eastAsia="zh-CN" w:bidi="ar-SA"/>
        </w:rPr>
        <w:t>（上传）</w:t>
      </w:r>
      <w:bookmarkEnd w:id="124"/>
      <w:bookmarkEnd w:id="125"/>
      <w:bookmarkEnd w:id="126"/>
      <w:bookmarkEnd w:id="127"/>
    </w:p>
    <w:p w14:paraId="181F7C11">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bookmarkStart w:id="128" w:name="_Hlk143531977"/>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投标人应在“</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”规定的投标截止时间前递交（上传）投标文件。</w:t>
      </w:r>
    </w:p>
    <w:p w14:paraId="6627C66A">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投标人递交（上传）投标文件的地点见“</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w:t>
      </w:r>
    </w:p>
    <w:p w14:paraId="115E3C3B">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投标文件上传）中获取投标文件递交回执单。</w:t>
      </w:r>
    </w:p>
    <w:p w14:paraId="22AEE415">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.4 投标人应在供应商客户端中下载未加密且完成签章的投标文件妥善保存，以便启动应急开标程序时使用。</w:t>
      </w:r>
    </w:p>
    <w:p w14:paraId="2B311C5C">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.5投标人所递交的投标文件不予退还。</w:t>
      </w:r>
    </w:p>
    <w:bookmarkEnd w:id="128"/>
    <w:p w14:paraId="6C0E632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9" w:name="_Toc19457"/>
      <w:bookmarkStart w:id="130" w:name="_Toc9803"/>
      <w:bookmarkStart w:id="131" w:name="_Toc163492845"/>
      <w:bookmarkStart w:id="132" w:name="_Toc19314"/>
      <w:r>
        <w:rPr>
          <w:rFonts w:hint="eastAsia" w:ascii="宋体" w:hAnsi="宋体" w:eastAsia="宋体" w:cs="宋体"/>
          <w:b/>
          <w:bCs/>
          <w:color w:val="auto"/>
          <w:kern w:val="2"/>
          <w:sz w:val="24"/>
          <w:szCs w:val="24"/>
          <w:highlight w:val="none"/>
          <w:lang w:val="en-US" w:eastAsia="zh-CN" w:bidi="ar-SA"/>
        </w:rPr>
        <w:t>20.拒收</w:t>
      </w:r>
      <w:bookmarkEnd w:id="129"/>
      <w:bookmarkEnd w:id="130"/>
      <w:bookmarkEnd w:id="131"/>
      <w:bookmarkEnd w:id="132"/>
    </w:p>
    <w:p w14:paraId="596FEB71">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 超过投标文件提交截止时间</w:t>
      </w:r>
      <w:bookmarkStart w:id="133" w:name="_Hlk143532404"/>
      <w:r>
        <w:rPr>
          <w:rFonts w:hint="eastAsia" w:ascii="宋体" w:hAnsi="宋体" w:eastAsia="宋体" w:cs="宋体"/>
          <w:color w:val="auto"/>
          <w:sz w:val="24"/>
          <w:szCs w:val="24"/>
          <w:highlight w:val="none"/>
        </w:rPr>
        <w:t>或者不按照本章要求加密的投标文件，交易系统应当拒收</w:t>
      </w:r>
      <w:bookmarkEnd w:id="133"/>
      <w:r>
        <w:rPr>
          <w:rFonts w:hint="eastAsia" w:ascii="宋体" w:hAnsi="宋体" w:eastAsia="宋体" w:cs="宋体"/>
          <w:color w:val="auto"/>
          <w:sz w:val="24"/>
          <w:szCs w:val="24"/>
          <w:highlight w:val="none"/>
        </w:rPr>
        <w:t>。</w:t>
      </w:r>
    </w:p>
    <w:p w14:paraId="0EF259A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4" w:name="_Toc20710"/>
      <w:bookmarkStart w:id="135" w:name="_Toc31714"/>
      <w:bookmarkStart w:id="136" w:name="_Toc140132778"/>
      <w:bookmarkStart w:id="137" w:name="_Toc17912"/>
      <w:bookmarkStart w:id="138" w:name="_Toc163492846"/>
      <w:r>
        <w:rPr>
          <w:rFonts w:hint="eastAsia" w:ascii="宋体" w:hAnsi="宋体" w:eastAsia="宋体" w:cs="宋体"/>
          <w:b/>
          <w:bCs/>
          <w:color w:val="auto"/>
          <w:kern w:val="2"/>
          <w:sz w:val="24"/>
          <w:szCs w:val="24"/>
          <w:highlight w:val="none"/>
          <w:lang w:val="en-US" w:eastAsia="zh-CN" w:bidi="ar-SA"/>
        </w:rPr>
        <w:t>21.投标文件的修改与撤回</w:t>
      </w:r>
      <w:bookmarkEnd w:id="134"/>
      <w:bookmarkEnd w:id="135"/>
      <w:bookmarkEnd w:id="136"/>
      <w:bookmarkEnd w:id="137"/>
      <w:bookmarkEnd w:id="138"/>
    </w:p>
    <w:p w14:paraId="7C53A6B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bookmarkStart w:id="139" w:name="_Hlk143532466"/>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递交截止时间之前，可在政府采购电子交易云平台上随时撤回已上传的电子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，将修改好的电子</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递交截止时间前重新上传到政府采购电子交易云平台的</w:t>
      </w:r>
      <w:r>
        <w:rPr>
          <w:rFonts w:hint="eastAsia" w:ascii="宋体" w:hAnsi="宋体" w:eastAsia="宋体" w:cs="宋体"/>
          <w:color w:val="auto"/>
          <w:sz w:val="24"/>
          <w:szCs w:val="24"/>
          <w:highlight w:val="none"/>
          <w:lang w:val="en-US" w:eastAsia="zh-CN"/>
        </w:rPr>
        <w:t>指</w:t>
      </w:r>
      <w:r>
        <w:rPr>
          <w:rFonts w:hint="eastAsia" w:ascii="宋体" w:hAnsi="宋体" w:eastAsia="宋体" w:cs="宋体"/>
          <w:color w:val="auto"/>
          <w:sz w:val="24"/>
          <w:szCs w:val="24"/>
          <w:highlight w:val="none"/>
        </w:rPr>
        <w:t>定位置。</w:t>
      </w:r>
    </w:p>
    <w:bookmarkEnd w:id="139"/>
    <w:p w14:paraId="245AE98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0" w:name="_Toc163492847"/>
      <w:bookmarkStart w:id="141" w:name="_Toc18728"/>
      <w:bookmarkStart w:id="142" w:name="_Toc6030"/>
      <w:bookmarkStart w:id="143" w:name="_Toc155185874"/>
      <w:bookmarkStart w:id="144" w:name="_Toc20864"/>
      <w:r>
        <w:rPr>
          <w:rFonts w:hint="eastAsia" w:ascii="宋体" w:hAnsi="宋体" w:eastAsia="宋体" w:cs="宋体"/>
          <w:b/>
          <w:bCs/>
          <w:color w:val="auto"/>
          <w:kern w:val="2"/>
          <w:sz w:val="24"/>
          <w:szCs w:val="24"/>
          <w:highlight w:val="none"/>
          <w:lang w:val="en-US" w:eastAsia="zh-CN" w:bidi="ar-SA"/>
        </w:rPr>
        <w:t>22.实物样品</w:t>
      </w:r>
      <w:bookmarkEnd w:id="140"/>
      <w:bookmarkEnd w:id="141"/>
      <w:bookmarkEnd w:id="142"/>
      <w:bookmarkEnd w:id="143"/>
      <w:bookmarkEnd w:id="144"/>
    </w:p>
    <w:p w14:paraId="1B808E1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.1“投标人须知前附表”要求提供样品的，样品的具体要求及评审详见“第三章 采购需求”和“第五章 评标</w:t>
      </w:r>
      <w:r>
        <w:rPr>
          <w:rFonts w:hint="eastAsia" w:ascii="宋体" w:hAnsi="宋体" w:eastAsia="宋体" w:cs="宋体"/>
          <w:snapToGrid w:val="0"/>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52BBC75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.2样品退还：未中标的投标人应</w:t>
      </w:r>
      <w:r>
        <w:rPr>
          <w:rFonts w:hint="eastAsia" w:ascii="宋体" w:hAnsi="宋体" w:eastAsia="宋体" w:cs="宋体"/>
          <w:color w:val="auto"/>
          <w:sz w:val="24"/>
          <w:szCs w:val="24"/>
          <w:highlight w:val="none"/>
          <w:lang w:val="en-US" w:eastAsia="zh-CN"/>
        </w:rPr>
        <w:t>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自行联系采购人取回投标样品；中标人的样品由采购人进行保管、封存，并作为履约验收的参考（招标文件另有规定的从其规定）。</w:t>
      </w:r>
    </w:p>
    <w:p w14:paraId="0AD9FDB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5" w:name="_Toc163492848"/>
      <w:bookmarkStart w:id="146" w:name="_Toc3586"/>
      <w:bookmarkStart w:id="147" w:name="_Toc30367"/>
      <w:bookmarkStart w:id="148" w:name="_Toc155185875"/>
      <w:bookmarkStart w:id="149" w:name="_Toc11533"/>
      <w:r>
        <w:rPr>
          <w:rFonts w:hint="eastAsia" w:ascii="宋体" w:hAnsi="宋体" w:eastAsia="宋体" w:cs="宋体"/>
          <w:b/>
          <w:bCs/>
          <w:color w:val="auto"/>
          <w:kern w:val="2"/>
          <w:sz w:val="24"/>
          <w:szCs w:val="24"/>
          <w:highlight w:val="none"/>
          <w:lang w:val="en-US" w:eastAsia="zh-CN" w:bidi="ar-SA"/>
        </w:rPr>
        <w:t>23.演示</w:t>
      </w:r>
      <w:bookmarkEnd w:id="145"/>
      <w:bookmarkEnd w:id="146"/>
      <w:bookmarkEnd w:id="147"/>
      <w:bookmarkEnd w:id="148"/>
      <w:bookmarkEnd w:id="149"/>
    </w:p>
    <w:p w14:paraId="3064E1BF">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.1要求投标人进行演示的，演示要求详见“投标人须知前附表”。</w:t>
      </w:r>
    </w:p>
    <w:p w14:paraId="0C722CF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.2演示的评审详见“第三章 采购需求”和“第五章 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A97651A">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0" w:name="_Toc13245"/>
      <w:bookmarkStart w:id="151" w:name="_Toc23023"/>
      <w:bookmarkStart w:id="152" w:name="_Toc155185876"/>
      <w:bookmarkStart w:id="153" w:name="_Toc8231"/>
      <w:bookmarkStart w:id="154" w:name="_Toc140132779"/>
      <w:bookmarkStart w:id="155" w:name="_Toc163492849"/>
      <w:r>
        <w:rPr>
          <w:rFonts w:hint="eastAsia" w:ascii="宋体" w:hAnsi="宋体" w:eastAsia="宋体" w:cs="宋体"/>
          <w:b/>
          <w:bCs/>
          <w:color w:val="auto"/>
          <w:kern w:val="2"/>
          <w:sz w:val="24"/>
          <w:szCs w:val="24"/>
          <w:highlight w:val="none"/>
          <w:lang w:val="en-US" w:eastAsia="zh-CN" w:bidi="ar-SA"/>
        </w:rPr>
        <w:t>（五）开标</w:t>
      </w:r>
      <w:bookmarkEnd w:id="150"/>
      <w:bookmarkEnd w:id="151"/>
      <w:bookmarkEnd w:id="152"/>
      <w:bookmarkEnd w:id="153"/>
      <w:bookmarkEnd w:id="154"/>
      <w:bookmarkEnd w:id="155"/>
    </w:p>
    <w:p w14:paraId="1223BF7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6" w:name="_Toc163492850"/>
      <w:bookmarkStart w:id="157" w:name="_Toc22613"/>
      <w:bookmarkStart w:id="158" w:name="_Toc21393"/>
      <w:bookmarkStart w:id="159" w:name="_Toc140132780"/>
      <w:bookmarkStart w:id="160" w:name="_Toc8612"/>
      <w:r>
        <w:rPr>
          <w:rFonts w:hint="eastAsia" w:ascii="宋体" w:hAnsi="宋体" w:eastAsia="宋体" w:cs="宋体"/>
          <w:b/>
          <w:bCs/>
          <w:color w:val="auto"/>
          <w:kern w:val="2"/>
          <w:sz w:val="24"/>
          <w:szCs w:val="24"/>
          <w:highlight w:val="none"/>
          <w:lang w:val="en-US" w:eastAsia="zh-CN" w:bidi="ar-SA"/>
        </w:rPr>
        <w:t>24.开标会议</w:t>
      </w:r>
      <w:bookmarkEnd w:id="156"/>
      <w:bookmarkEnd w:id="157"/>
      <w:bookmarkEnd w:id="158"/>
      <w:bookmarkEnd w:id="159"/>
      <w:bookmarkEnd w:id="160"/>
    </w:p>
    <w:p w14:paraId="3B742FF4">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eastAsia="zh-CN"/>
        </w:rPr>
      </w:pPr>
      <w:bookmarkStart w:id="161" w:name="_Toc140132781"/>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开标会按“</w:t>
      </w:r>
      <w:r>
        <w:rPr>
          <w:rFonts w:hint="eastAsia" w:ascii="宋体" w:hAnsi="宋体" w:eastAsia="宋体" w:cs="宋体"/>
          <w:color w:val="auto"/>
          <w:sz w:val="24"/>
          <w:szCs w:val="24"/>
          <w:highlight w:val="none"/>
          <w:lang w:val="en-US" w:eastAsia="zh-CN"/>
        </w:rPr>
        <w:t>第一章 招标公告</w:t>
      </w:r>
      <w:r>
        <w:rPr>
          <w:rFonts w:hint="eastAsia" w:ascii="宋体" w:hAnsi="宋体" w:eastAsia="宋体" w:cs="宋体"/>
          <w:color w:val="auto"/>
          <w:sz w:val="24"/>
          <w:szCs w:val="24"/>
          <w:highlight w:val="none"/>
        </w:rPr>
        <w:t>”规定的开标时间和地点准时举行，采购人、采购代理机构邀请所有投标人准时参加开标会。投标人应按照</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rPr>
        <w:t>的要求参与</w:t>
      </w:r>
      <w:r>
        <w:rPr>
          <w:rFonts w:hint="eastAsia" w:ascii="宋体" w:hAnsi="宋体" w:eastAsia="宋体" w:cs="宋体"/>
          <w:color w:val="auto"/>
          <w:sz w:val="24"/>
          <w:szCs w:val="24"/>
          <w:highlight w:val="none"/>
          <w:lang w:val="en-US" w:eastAsia="zh-CN"/>
        </w:rPr>
        <w:t>不见面开标</w:t>
      </w:r>
      <w:r>
        <w:rPr>
          <w:rFonts w:hint="eastAsia" w:ascii="宋体" w:hAnsi="宋体" w:eastAsia="宋体" w:cs="宋体"/>
          <w:color w:val="auto"/>
          <w:sz w:val="24"/>
          <w:szCs w:val="24"/>
          <w:highlight w:val="none"/>
        </w:rPr>
        <w:t>。</w:t>
      </w:r>
    </w:p>
    <w:p w14:paraId="22407B81">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bookmarkEnd w:id="161"/>
      <w:r>
        <w:rPr>
          <w:rFonts w:hint="eastAsia" w:ascii="宋体" w:hAnsi="宋体" w:eastAsia="宋体" w:cs="宋体"/>
          <w:color w:val="auto"/>
          <w:kern w:val="2"/>
          <w:sz w:val="24"/>
          <w:szCs w:val="24"/>
          <w:highlight w:val="none"/>
        </w:rPr>
        <w:t>采购代理机构按照招标文件规定的时间、地点主持开标。采购人在规定的</w:t>
      </w:r>
      <w:r>
        <w:rPr>
          <w:rFonts w:hint="eastAsia" w:ascii="宋体" w:hAnsi="宋体" w:eastAsia="宋体" w:cs="宋体"/>
          <w:color w:val="auto"/>
          <w:kern w:val="2"/>
          <w:sz w:val="24"/>
          <w:szCs w:val="24"/>
          <w:highlight w:val="none"/>
          <w:lang w:eastAsia="zh-CN"/>
        </w:rPr>
        <w:t>投标文件</w:t>
      </w:r>
      <w:r>
        <w:rPr>
          <w:rFonts w:hint="eastAsia" w:ascii="宋体" w:hAnsi="宋体" w:eastAsia="宋体" w:cs="宋体"/>
          <w:color w:val="auto"/>
          <w:kern w:val="2"/>
          <w:sz w:val="24"/>
          <w:szCs w:val="24"/>
          <w:highlight w:val="none"/>
        </w:rPr>
        <w:t>递交截止时间（开标时间）和地点进行不见面远程开标。</w:t>
      </w:r>
      <w:r>
        <w:rPr>
          <w:rFonts w:hint="eastAsia" w:ascii="宋体" w:hAnsi="宋体" w:eastAsia="宋体" w:cs="宋体"/>
          <w:color w:val="auto"/>
          <w:kern w:val="2"/>
          <w:sz w:val="24"/>
          <w:szCs w:val="24"/>
          <w:highlight w:val="none"/>
          <w:lang w:eastAsia="zh-CN"/>
        </w:rPr>
        <w:t>投标人</w:t>
      </w:r>
      <w:r>
        <w:rPr>
          <w:rFonts w:hint="eastAsia" w:ascii="宋体" w:hAnsi="宋体" w:eastAsia="宋体" w:cs="宋体"/>
          <w:color w:val="auto"/>
          <w:kern w:val="2"/>
          <w:sz w:val="24"/>
          <w:szCs w:val="24"/>
          <w:highlight w:val="none"/>
        </w:rPr>
        <w:t>的法定代表人或其委托代理人无需到达开标现场，仅需在任意地点通过</w:t>
      </w:r>
      <w:r>
        <w:rPr>
          <w:rFonts w:hint="eastAsia" w:cs="宋体"/>
          <w:color w:val="auto"/>
          <w:kern w:val="2"/>
          <w:sz w:val="24"/>
          <w:szCs w:val="24"/>
          <w:highlight w:val="none"/>
          <w:lang w:val="en-US" w:eastAsia="zh-CN"/>
        </w:rPr>
        <w:t>新疆</w:t>
      </w:r>
      <w:r>
        <w:rPr>
          <w:rFonts w:hint="eastAsia" w:ascii="宋体" w:hAnsi="宋体" w:eastAsia="宋体" w:cs="宋体"/>
          <w:color w:val="auto"/>
          <w:kern w:val="2"/>
          <w:sz w:val="24"/>
          <w:szCs w:val="24"/>
          <w:highlight w:val="none"/>
          <w:lang w:val="en-US" w:eastAsia="zh-CN"/>
        </w:rPr>
        <w:t>政府采购电子交易云平台（网址：https://www.zcygov.cn/）</w:t>
      </w:r>
      <w:r>
        <w:rPr>
          <w:rFonts w:hint="eastAsia" w:ascii="宋体" w:hAnsi="宋体" w:eastAsia="宋体" w:cs="宋体"/>
          <w:color w:val="auto"/>
          <w:kern w:val="2"/>
          <w:sz w:val="24"/>
          <w:szCs w:val="24"/>
          <w:highlight w:val="none"/>
        </w:rPr>
        <w:t>的</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政采云登录入口”登录后，进入“政采云远程开标大厅”参加开标会议，并使用CA密钥完成远程解密、提疑澄清、开标唱标、结果公布等交互环节。</w:t>
      </w:r>
    </w:p>
    <w:p w14:paraId="24C5A1F5">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4407953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2" w:name="_Toc163492852"/>
      <w:bookmarkStart w:id="163" w:name="_Toc30858"/>
      <w:bookmarkStart w:id="164" w:name="_Toc6135"/>
      <w:bookmarkStart w:id="165" w:name="_Toc22024"/>
      <w:bookmarkStart w:id="166" w:name="_Toc140132783"/>
      <w:r>
        <w:rPr>
          <w:rFonts w:hint="eastAsia" w:ascii="宋体" w:hAnsi="宋体" w:eastAsia="宋体" w:cs="宋体"/>
          <w:b/>
          <w:bCs/>
          <w:color w:val="auto"/>
          <w:kern w:val="2"/>
          <w:sz w:val="24"/>
          <w:szCs w:val="24"/>
          <w:highlight w:val="none"/>
          <w:lang w:val="en-US" w:eastAsia="zh-CN" w:bidi="ar-SA"/>
        </w:rPr>
        <w:t>25.开标程序</w:t>
      </w:r>
      <w:bookmarkEnd w:id="162"/>
      <w:bookmarkEnd w:id="163"/>
      <w:bookmarkEnd w:id="164"/>
      <w:bookmarkEnd w:id="165"/>
      <w:bookmarkEnd w:id="166"/>
    </w:p>
    <w:p w14:paraId="231A20E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 投标人不足3家的，不得开标。</w:t>
      </w:r>
    </w:p>
    <w:p w14:paraId="4ED798FE">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评标委员会成员不得参加开标活动。</w:t>
      </w:r>
    </w:p>
    <w:p w14:paraId="277AA98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.3主持人按下列程序进行开标：</w:t>
      </w:r>
    </w:p>
    <w:p w14:paraId="7263114D">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（1）宣布开标会纪律；</w:t>
      </w:r>
    </w:p>
    <w:p w14:paraId="21803CC0">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（2）介绍参加开标会的单位和人员；</w:t>
      </w:r>
    </w:p>
    <w:p w14:paraId="5C9E88D6">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（3）发起投标文件解密。投标人应在“投标人须知前附表”规定的时间内使用加密投标文件的CA证书在系统中完成投标文件的解密；</w:t>
      </w:r>
    </w:p>
    <w:p w14:paraId="559742B0">
      <w:pPr>
        <w:keepNext w:val="0"/>
        <w:keepLines w:val="0"/>
        <w:pageBreakBefore w:val="0"/>
        <w:widowControl w:val="0"/>
        <w:kinsoku/>
        <w:overflowPunct/>
        <w:topLinePunct w:val="0"/>
        <w:autoSpaceDE/>
        <w:autoSpaceDN/>
        <w:bidi w:val="0"/>
        <w:adjustRightInd/>
        <w:ind w:firstLine="398" w:firstLineChars="16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（4）解密完成后，系统自动显示投标人名称、投标价格和招标文件规定的需要宣布的其他内容；</w:t>
      </w:r>
    </w:p>
    <w:p w14:paraId="68566C61">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（5）系统自动生成开标记录表，供应商应在线对开标记录进行签署确认</w:t>
      </w:r>
      <w:r>
        <w:rPr>
          <w:rFonts w:hint="eastAsia" w:ascii="宋体" w:hAnsi="宋体" w:eastAsia="宋体" w:cs="宋体"/>
          <w:color w:val="auto"/>
          <w:sz w:val="24"/>
          <w:szCs w:val="24"/>
          <w:highlight w:val="none"/>
          <w:lang w:val="en-US" w:eastAsia="zh-CN"/>
        </w:rPr>
        <w:t>；</w:t>
      </w:r>
    </w:p>
    <w:p w14:paraId="3DDD56A8">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（6）开标会结束。</w:t>
      </w:r>
      <w:bookmarkStart w:id="167" w:name="_Toc163492853"/>
      <w:bookmarkStart w:id="168" w:name="_Toc140132784"/>
    </w:p>
    <w:p w14:paraId="659532C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9" w:name="_Toc8444"/>
      <w:bookmarkStart w:id="170" w:name="_Toc8830"/>
      <w:bookmarkStart w:id="171" w:name="_Toc6699"/>
      <w:r>
        <w:rPr>
          <w:rFonts w:hint="eastAsia" w:ascii="宋体" w:hAnsi="宋体" w:eastAsia="宋体" w:cs="宋体"/>
          <w:b/>
          <w:bCs/>
          <w:color w:val="auto"/>
          <w:kern w:val="2"/>
          <w:sz w:val="24"/>
          <w:szCs w:val="24"/>
          <w:highlight w:val="none"/>
          <w:lang w:val="en-US" w:eastAsia="zh-CN" w:bidi="ar-SA"/>
        </w:rPr>
        <w:t>26.开标疑义及回避情形</w:t>
      </w:r>
      <w:bookmarkEnd w:id="167"/>
      <w:bookmarkEnd w:id="168"/>
      <w:bookmarkEnd w:id="169"/>
      <w:bookmarkEnd w:id="170"/>
      <w:bookmarkEnd w:id="171"/>
    </w:p>
    <w:p w14:paraId="2BD7469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DED9F5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.2投标人未参加开标的，视同认可开标结果。</w:t>
      </w:r>
    </w:p>
    <w:p w14:paraId="713A0002">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2" w:name="_Toc155185877"/>
      <w:bookmarkStart w:id="173" w:name="_Toc15018"/>
      <w:bookmarkStart w:id="174" w:name="_Toc163492854"/>
      <w:bookmarkStart w:id="175" w:name="_Toc140132785"/>
      <w:bookmarkStart w:id="176" w:name="_Toc22271"/>
      <w:bookmarkStart w:id="177" w:name="_Toc9049"/>
      <w:r>
        <w:rPr>
          <w:rFonts w:hint="eastAsia" w:ascii="宋体" w:hAnsi="宋体" w:eastAsia="宋体" w:cs="宋体"/>
          <w:b/>
          <w:bCs/>
          <w:color w:val="auto"/>
          <w:kern w:val="2"/>
          <w:sz w:val="24"/>
          <w:szCs w:val="24"/>
          <w:highlight w:val="none"/>
          <w:lang w:val="en-US" w:eastAsia="zh-CN" w:bidi="ar-SA"/>
        </w:rPr>
        <w:t>（六）资格审查</w:t>
      </w:r>
      <w:bookmarkEnd w:id="172"/>
      <w:bookmarkEnd w:id="173"/>
      <w:bookmarkEnd w:id="174"/>
      <w:bookmarkEnd w:id="175"/>
      <w:bookmarkEnd w:id="176"/>
      <w:bookmarkEnd w:id="177"/>
    </w:p>
    <w:p w14:paraId="3326267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8" w:name="_Toc163492855"/>
      <w:bookmarkStart w:id="179" w:name="_Toc9539"/>
      <w:bookmarkStart w:id="180" w:name="_Toc16245"/>
      <w:bookmarkStart w:id="181" w:name="_Toc507"/>
      <w:r>
        <w:rPr>
          <w:rFonts w:hint="eastAsia" w:ascii="宋体" w:hAnsi="宋体" w:eastAsia="宋体" w:cs="宋体"/>
          <w:b/>
          <w:bCs/>
          <w:color w:val="auto"/>
          <w:kern w:val="2"/>
          <w:sz w:val="24"/>
          <w:szCs w:val="24"/>
          <w:highlight w:val="none"/>
          <w:lang w:val="en-US" w:eastAsia="zh-CN" w:bidi="ar-SA"/>
        </w:rPr>
        <w:t>27.资格审查及审查主体</w:t>
      </w:r>
      <w:bookmarkEnd w:id="178"/>
      <w:bookmarkEnd w:id="179"/>
      <w:bookmarkEnd w:id="180"/>
      <w:bookmarkEnd w:id="181"/>
    </w:p>
    <w:p w14:paraId="3CCCC84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182" w:name="_Toc140132786"/>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bookmarkEnd w:id="182"/>
      <w:r>
        <w:rPr>
          <w:rFonts w:hint="eastAsia" w:ascii="宋体" w:hAnsi="宋体" w:eastAsia="宋体" w:cs="宋体"/>
          <w:color w:val="auto"/>
          <w:sz w:val="24"/>
          <w:szCs w:val="24"/>
          <w:highlight w:val="none"/>
        </w:rPr>
        <w:t>开标结束后，采购人或者采购代理机构应当依法对投标人的资格进行审查。</w:t>
      </w:r>
    </w:p>
    <w:p w14:paraId="37352855">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183" w:name="_Toc140132787"/>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.2资格审查按“第四章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资格审查”的规定进行。</w:t>
      </w:r>
      <w:bookmarkEnd w:id="183"/>
    </w:p>
    <w:p w14:paraId="0139F765">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184" w:name="_Toc140132788"/>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.3资格审查结束后，应及时对资格审查结果进行复核，对资格审查错误进行及时纠正并记录。</w:t>
      </w:r>
      <w:bookmarkEnd w:id="184"/>
    </w:p>
    <w:p w14:paraId="5C985B9E">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27.4</w:t>
      </w:r>
      <w:r>
        <w:rPr>
          <w:rFonts w:hint="eastAsia" w:ascii="宋体" w:hAnsi="宋体" w:eastAsia="宋体" w:cs="宋体"/>
          <w:color w:val="auto"/>
          <w:sz w:val="24"/>
          <w:szCs w:val="24"/>
          <w:highlight w:val="none"/>
        </w:rPr>
        <w:t>资格审查合格投标人不足3家的，不得评标。</w:t>
      </w:r>
    </w:p>
    <w:p w14:paraId="69EB97AC">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5" w:name="_Toc11390"/>
      <w:bookmarkStart w:id="186" w:name="_Toc9489"/>
      <w:bookmarkStart w:id="187" w:name="_Toc140132789"/>
      <w:bookmarkStart w:id="188" w:name="_Toc155185878"/>
      <w:bookmarkStart w:id="189" w:name="_Toc3464"/>
      <w:bookmarkStart w:id="190" w:name="_Toc163492856"/>
      <w:r>
        <w:rPr>
          <w:rFonts w:hint="eastAsia" w:ascii="宋体" w:hAnsi="宋体" w:eastAsia="宋体" w:cs="宋体"/>
          <w:b/>
          <w:bCs/>
          <w:color w:val="auto"/>
          <w:kern w:val="2"/>
          <w:sz w:val="24"/>
          <w:szCs w:val="24"/>
          <w:highlight w:val="none"/>
          <w:lang w:val="en-US" w:eastAsia="zh-CN" w:bidi="ar-SA"/>
        </w:rPr>
        <w:t>（七）评标</w:t>
      </w:r>
      <w:bookmarkEnd w:id="185"/>
      <w:bookmarkEnd w:id="186"/>
      <w:bookmarkEnd w:id="187"/>
      <w:bookmarkEnd w:id="188"/>
      <w:bookmarkEnd w:id="189"/>
      <w:bookmarkEnd w:id="190"/>
    </w:p>
    <w:p w14:paraId="6FC24DF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1" w:name="_Toc163492857"/>
      <w:bookmarkStart w:id="192" w:name="_Toc13920"/>
      <w:bookmarkStart w:id="193" w:name="_Toc195"/>
      <w:bookmarkStart w:id="194" w:name="_Toc14310"/>
      <w:bookmarkStart w:id="195" w:name="_Toc140132790"/>
      <w:r>
        <w:rPr>
          <w:rFonts w:hint="eastAsia" w:ascii="宋体" w:hAnsi="宋体" w:eastAsia="宋体" w:cs="宋体"/>
          <w:b/>
          <w:bCs/>
          <w:color w:val="auto"/>
          <w:kern w:val="2"/>
          <w:sz w:val="24"/>
          <w:szCs w:val="24"/>
          <w:highlight w:val="none"/>
          <w:lang w:val="en-US" w:eastAsia="zh-CN" w:bidi="ar-SA"/>
        </w:rPr>
        <w:t>28.评标委员会</w:t>
      </w:r>
      <w:bookmarkEnd w:id="191"/>
      <w:bookmarkEnd w:id="192"/>
      <w:bookmarkEnd w:id="193"/>
      <w:bookmarkEnd w:id="194"/>
      <w:bookmarkEnd w:id="195"/>
    </w:p>
    <w:p w14:paraId="15D1E3BF">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评标由采购人依法组建的评标委员会负责。评标委员会由采购人代表和评审专家组成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成员人数应当为5</w:t>
      </w:r>
      <w:r>
        <w:rPr>
          <w:rFonts w:hint="eastAsia" w:ascii="宋体" w:hAnsi="宋体" w:eastAsia="宋体" w:cs="宋体"/>
          <w:color w:val="auto"/>
          <w:sz w:val="24"/>
          <w:szCs w:val="24"/>
          <w:highlight w:val="none"/>
        </w:rPr>
        <w:t>人以上单数，其中</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专家不</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少于</w:t>
      </w:r>
      <w:r>
        <w:rPr>
          <w:rFonts w:hint="eastAsia" w:ascii="宋体" w:hAnsi="宋体" w:eastAsia="宋体" w:cs="宋体"/>
          <w:color w:val="auto"/>
          <w:sz w:val="24"/>
          <w:szCs w:val="24"/>
          <w:highlight w:val="none"/>
          <w:lang w:val="en-US" w:eastAsia="zh-CN"/>
        </w:rPr>
        <w:t>成员总数的</w:t>
      </w:r>
      <w:r>
        <w:rPr>
          <w:rFonts w:hint="eastAsia" w:ascii="宋体" w:hAnsi="宋体" w:eastAsia="宋体" w:cs="宋体"/>
          <w:color w:val="auto"/>
          <w:sz w:val="24"/>
          <w:szCs w:val="24"/>
          <w:highlight w:val="none"/>
        </w:rPr>
        <w:t>三分之二。</w:t>
      </w:r>
      <w:r>
        <w:rPr>
          <w:rFonts w:hint="eastAsia" w:ascii="宋体" w:hAnsi="宋体" w:eastAsia="宋体" w:cs="宋体"/>
          <w:color w:val="auto"/>
          <w:sz w:val="24"/>
          <w:szCs w:val="24"/>
          <w:highlight w:val="none"/>
          <w:lang w:val="en-US" w:eastAsia="zh-CN"/>
        </w:rPr>
        <w:t>采购人或者采购代理机构应当从省级以上财政部门设立的政府采购评审专家库中，通过随机方式抽取评审专家。</w:t>
      </w:r>
    </w:p>
    <w:p w14:paraId="5DB46E8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28.2 采购项目符合下列情形之一的，评标委员会成员人数应当为7人以上单数：</w:t>
      </w:r>
    </w:p>
    <w:p w14:paraId="63EE3FB4">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（1）采购预算金额在1000万元以上；</w:t>
      </w:r>
    </w:p>
    <w:p w14:paraId="410E78C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（2）技术复杂；</w:t>
      </w:r>
    </w:p>
    <w:p w14:paraId="63753B3C">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（3）社会影响较大。</w:t>
      </w:r>
    </w:p>
    <w:p w14:paraId="3E4B2CBF">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28.3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147F69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28.4评标委员会成员名单在评标结果公告前应当保密。</w:t>
      </w:r>
    </w:p>
    <w:p w14:paraId="5B38350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28.5评标中因评标委员会成员缺席、回避或者健康等特殊原因导致评标委员会组成不符合本办法规定的，采购人或者采购代理机构应当依法补足后继续评标。被更换的评标委员会成员所作出的评标意见无效。</w:t>
      </w:r>
    </w:p>
    <w:p w14:paraId="381A3BD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28.6无法及时补足评标委员会成员的，采购人或者采购代理机构应当停止评标活动，封存所有投标文件和开标、评标资料，依法重新组建评标委员会进行评标。原评标委员会所作出的评标意见无效。</w:t>
      </w:r>
    </w:p>
    <w:p w14:paraId="06CFE73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评标委员会成员有下列情形之一的，应当回避：</w:t>
      </w:r>
    </w:p>
    <w:p w14:paraId="66F7159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（1）参加采购活动前3年内与投标人存在劳动关系；</w:t>
      </w:r>
    </w:p>
    <w:p w14:paraId="1B564E9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（2）参加采购活动前3年内担任投标人的董事、监事；</w:t>
      </w:r>
    </w:p>
    <w:p w14:paraId="3CC554A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（3）参加采购活动前3年内是投标人的控股股东或实际控制人；</w:t>
      </w:r>
    </w:p>
    <w:p w14:paraId="65A1BC7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（4）与投标人的法定代表人或者负责人有夫妻、直系血亲、三代以内旁系血亲或者近姻亲关系；</w:t>
      </w:r>
    </w:p>
    <w:p w14:paraId="03B5BBA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（5）与投标人有其他可能影响采购活动公平、公正进行的关系。</w:t>
      </w:r>
    </w:p>
    <w:p w14:paraId="63776F9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6" w:name="_Toc7854"/>
      <w:bookmarkStart w:id="197" w:name="_Toc163492858"/>
      <w:bookmarkStart w:id="198" w:name="_Toc140132791"/>
      <w:bookmarkStart w:id="199" w:name="_Toc167"/>
      <w:bookmarkStart w:id="200" w:name="_Toc4052"/>
      <w:r>
        <w:rPr>
          <w:rFonts w:hint="eastAsia" w:ascii="宋体" w:hAnsi="宋体" w:eastAsia="宋体" w:cs="宋体"/>
          <w:b/>
          <w:bCs/>
          <w:color w:val="auto"/>
          <w:kern w:val="2"/>
          <w:sz w:val="24"/>
          <w:szCs w:val="24"/>
          <w:highlight w:val="none"/>
          <w:lang w:val="en-US" w:eastAsia="zh-CN" w:bidi="ar-SA"/>
        </w:rPr>
        <w:t>29.评标</w:t>
      </w:r>
      <w:bookmarkEnd w:id="196"/>
      <w:bookmarkEnd w:id="197"/>
      <w:bookmarkEnd w:id="198"/>
      <w:bookmarkEnd w:id="199"/>
      <w:bookmarkEnd w:id="200"/>
    </w:p>
    <w:p w14:paraId="46105F55">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评标方法分为综合评分法和</w:t>
      </w:r>
      <w:r>
        <w:rPr>
          <w:rFonts w:hint="eastAsia" w:ascii="宋体" w:hAnsi="宋体" w:eastAsia="宋体" w:cs="宋体"/>
          <w:color w:val="auto"/>
          <w:sz w:val="24"/>
          <w:szCs w:val="24"/>
          <w:highlight w:val="none"/>
        </w:rPr>
        <w:t>最低评标价法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本项目评标</w:t>
      </w:r>
      <w:r>
        <w:rPr>
          <w:rFonts w:hint="eastAsia" w:ascii="宋体" w:hAnsi="宋体" w:eastAsia="宋体" w:cs="宋体"/>
          <w:color w:val="auto"/>
          <w:sz w:val="24"/>
          <w:szCs w:val="24"/>
          <w:highlight w:val="none"/>
          <w:lang w:val="en-US" w:eastAsia="zh-CN"/>
        </w:rPr>
        <w:t>方法详见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lang w:eastAsia="zh-CN"/>
        </w:rPr>
        <w:t>。</w:t>
      </w:r>
    </w:p>
    <w:p w14:paraId="4C435B10">
      <w:pPr>
        <w:pStyle w:val="4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9.1.1</w:t>
      </w:r>
      <w:r>
        <w:rPr>
          <w:rFonts w:hint="eastAsia" w:ascii="宋体" w:hAnsi="宋体" w:eastAsia="宋体" w:cs="宋体"/>
          <w:color w:val="auto"/>
          <w:sz w:val="24"/>
          <w:szCs w:val="24"/>
          <w:highlight w:val="none"/>
        </w:rPr>
        <w:t>综合评分法，是指投标文件满足招标文件全部实质性要求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且按照评审因素的量化指标评审得分最高的投标人为中标候选人的评标方法。</w:t>
      </w:r>
    </w:p>
    <w:p w14:paraId="416E385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29.1.2.</w:t>
      </w:r>
      <w:r>
        <w:rPr>
          <w:rFonts w:hint="eastAsia" w:ascii="宋体" w:hAnsi="宋体" w:eastAsia="宋体" w:cs="宋体"/>
          <w:color w:val="auto"/>
          <w:sz w:val="24"/>
          <w:szCs w:val="24"/>
          <w:highlight w:val="none"/>
        </w:rPr>
        <w:t>最低评标价法，是指投标文件满足招标文件全部实质性要求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且投标报价最低的投标人为中标候选人的评标方法。</w:t>
      </w:r>
    </w:p>
    <w:p w14:paraId="3009A72C">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评标委员会按照“第五章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规定对投标文件进行评审。“第五章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法及标准”没有规定的方法、评审因素和标准，不作为评标依据。</w:t>
      </w:r>
    </w:p>
    <w:p w14:paraId="7F08B96E">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评标委员会按“投标人须知前附表”规定的中标候选人数量在评标报告中向采购人推荐中标候选人。</w:t>
      </w:r>
    </w:p>
    <w:p w14:paraId="4873649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29.4 开标之后，直到签订合同止，凡是属于审查、澄清、评价和比较投标的有关资料以及定标意向等，均不得向投标人或者其他与评标无关的人员透露。</w:t>
      </w:r>
    </w:p>
    <w:p w14:paraId="0DEEB028">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29.5 在确定中标人之前，投标人试图在投标文件审查、澄清、比较和评标时对评标委员会、采购人和采购代理机构施加任何影响都可能导致其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483F8EBE">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 电子招投标的应急措施</w:t>
      </w:r>
    </w:p>
    <w:p w14:paraId="34F0BFCE">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29.6.1电子开标、评标如出现下列原因，导致系统无法正常运行或无法正常评标时，应采取应急措施。</w:t>
      </w:r>
    </w:p>
    <w:p w14:paraId="57C76F60">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（1）系统服务器发生故障，无法访问或无法使用系统；</w:t>
      </w:r>
    </w:p>
    <w:p w14:paraId="2CA4A1AF">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（2）系统的软件或数据库出现错误，不能进行正常操作；</w:t>
      </w:r>
    </w:p>
    <w:p w14:paraId="447D7FE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（3）系统发现有安全漏洞，有潜在的泄密危险；</w:t>
      </w:r>
    </w:p>
    <w:p w14:paraId="69E115E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（4）病毒发作或受到外来病毒的攻击；</w:t>
      </w:r>
    </w:p>
    <w:p w14:paraId="65AE6AB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（5）出现其他不可抗拒的客观原因造成开评标系统无法正常使用。</w:t>
      </w:r>
    </w:p>
    <w:p w14:paraId="2FE607E4">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出现上述情况时，应对未开标的暂停开标。已在系统内开标、评标的立即停止。采取应急措施时，必须对原有资料及信息作出妥善保密处理。</w:t>
      </w:r>
    </w:p>
    <w:p w14:paraId="3AAC1313">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031A9E3F">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 投标人瑕疵滞后发现的处理规则</w:t>
      </w:r>
    </w:p>
    <w:p w14:paraId="1E35675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29.7.1无论基于何种原因，各项本应作</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642959E3">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1" w:name="_Toc140132792"/>
      <w:bookmarkStart w:id="202" w:name="_Toc24173"/>
      <w:bookmarkStart w:id="203" w:name="_Toc163492859"/>
      <w:bookmarkStart w:id="204" w:name="_Toc11591"/>
      <w:bookmarkStart w:id="205" w:name="_Toc16712"/>
      <w:bookmarkStart w:id="206" w:name="_Toc155185879"/>
      <w:r>
        <w:rPr>
          <w:rFonts w:hint="eastAsia" w:ascii="宋体" w:hAnsi="宋体" w:eastAsia="宋体" w:cs="宋体"/>
          <w:b/>
          <w:bCs/>
          <w:color w:val="auto"/>
          <w:kern w:val="2"/>
          <w:sz w:val="24"/>
          <w:szCs w:val="24"/>
          <w:highlight w:val="none"/>
          <w:lang w:val="en-US" w:eastAsia="zh-CN" w:bidi="ar-SA"/>
        </w:rPr>
        <w:t>（八）中标</w:t>
      </w:r>
      <w:bookmarkEnd w:id="201"/>
      <w:bookmarkEnd w:id="202"/>
      <w:bookmarkEnd w:id="203"/>
      <w:bookmarkEnd w:id="204"/>
      <w:bookmarkEnd w:id="205"/>
      <w:bookmarkEnd w:id="206"/>
    </w:p>
    <w:p w14:paraId="3A2B427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7" w:name="_Toc18980"/>
      <w:bookmarkStart w:id="208" w:name="_Toc163492860"/>
      <w:bookmarkStart w:id="209" w:name="_Toc5728"/>
      <w:bookmarkStart w:id="210" w:name="_Toc140132793"/>
      <w:bookmarkStart w:id="211" w:name="_Toc11832"/>
      <w:r>
        <w:rPr>
          <w:rFonts w:hint="eastAsia" w:ascii="宋体" w:hAnsi="宋体" w:eastAsia="宋体" w:cs="宋体"/>
          <w:b/>
          <w:bCs/>
          <w:color w:val="auto"/>
          <w:kern w:val="2"/>
          <w:sz w:val="24"/>
          <w:szCs w:val="24"/>
          <w:highlight w:val="none"/>
          <w:lang w:val="en-US" w:eastAsia="zh-CN" w:bidi="ar-SA"/>
        </w:rPr>
        <w:t>30.确定中标人</w:t>
      </w:r>
      <w:bookmarkEnd w:id="207"/>
      <w:bookmarkEnd w:id="208"/>
      <w:bookmarkEnd w:id="209"/>
      <w:bookmarkEnd w:id="210"/>
      <w:bookmarkEnd w:id="211"/>
    </w:p>
    <w:p w14:paraId="49193D89">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309087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2" w:name="_Toc16181"/>
      <w:bookmarkStart w:id="213" w:name="_Toc140132794"/>
      <w:bookmarkStart w:id="214" w:name="_Toc6680"/>
      <w:bookmarkStart w:id="215" w:name="_Toc15642"/>
      <w:bookmarkStart w:id="216" w:name="_Toc163492861"/>
      <w:r>
        <w:rPr>
          <w:rFonts w:hint="eastAsia" w:ascii="宋体" w:hAnsi="宋体" w:eastAsia="宋体" w:cs="宋体"/>
          <w:b/>
          <w:bCs/>
          <w:color w:val="auto"/>
          <w:kern w:val="2"/>
          <w:sz w:val="24"/>
          <w:szCs w:val="24"/>
          <w:highlight w:val="none"/>
          <w:lang w:val="en-US" w:eastAsia="zh-CN" w:bidi="ar-SA"/>
        </w:rPr>
        <w:t>31.中标结果公告</w:t>
      </w:r>
      <w:bookmarkEnd w:id="212"/>
      <w:bookmarkEnd w:id="213"/>
      <w:bookmarkEnd w:id="214"/>
      <w:bookmarkEnd w:id="215"/>
      <w:bookmarkEnd w:id="216"/>
    </w:p>
    <w:p w14:paraId="07A2C1A8">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rPr>
        <w:t>采购代理机构应当自中标人确定之日起2个工作日内，在</w:t>
      </w:r>
      <w:r>
        <w:rPr>
          <w:rFonts w:hint="eastAsia" w:ascii="宋体" w:hAnsi="宋体" w:eastAsia="宋体" w:cs="宋体"/>
          <w:color w:val="auto"/>
          <w:sz w:val="24"/>
          <w:szCs w:val="24"/>
          <w:highlight w:val="none"/>
          <w:lang w:val="en-US" w:eastAsia="zh-CN"/>
        </w:rPr>
        <w:t>发布招标公告的同一</w:t>
      </w:r>
      <w:r>
        <w:rPr>
          <w:rFonts w:hint="eastAsia" w:ascii="宋体" w:hAnsi="宋体" w:eastAsia="宋体" w:cs="宋体"/>
          <w:color w:val="auto"/>
          <w:sz w:val="24"/>
          <w:szCs w:val="24"/>
          <w:highlight w:val="none"/>
        </w:rPr>
        <w:t>媒体上发布中标结果公告，</w:t>
      </w:r>
      <w:r>
        <w:rPr>
          <w:rFonts w:hint="eastAsia" w:ascii="宋体" w:hAnsi="宋体" w:eastAsia="宋体" w:cs="宋体"/>
          <w:color w:val="auto"/>
          <w:sz w:val="24"/>
          <w:szCs w:val="24"/>
          <w:highlight w:val="none"/>
          <w:lang w:val="en-US" w:eastAsia="zh-CN"/>
        </w:rPr>
        <w:t>同时向中标人</w:t>
      </w:r>
      <w:r>
        <w:rPr>
          <w:rFonts w:hint="eastAsia" w:ascii="宋体" w:hAnsi="宋体" w:eastAsia="宋体" w:cs="宋体"/>
          <w:color w:val="auto"/>
          <w:sz w:val="24"/>
          <w:szCs w:val="24"/>
          <w:highlight w:val="none"/>
        </w:rPr>
        <w:t>发出中标通知书</w:t>
      </w:r>
      <w:r>
        <w:rPr>
          <w:rFonts w:hint="eastAsia" w:ascii="宋体" w:hAnsi="宋体" w:eastAsia="宋体" w:cs="宋体"/>
          <w:color w:val="auto"/>
          <w:sz w:val="24"/>
          <w:szCs w:val="24"/>
          <w:highlight w:val="none"/>
          <w:lang w:eastAsia="zh-CN"/>
        </w:rPr>
        <w:t>。招标文件随中标结果同时公告，</w:t>
      </w:r>
      <w:r>
        <w:rPr>
          <w:rFonts w:hint="eastAsia" w:ascii="宋体" w:hAnsi="宋体" w:eastAsia="宋体" w:cs="宋体"/>
          <w:color w:val="auto"/>
          <w:sz w:val="24"/>
          <w:szCs w:val="24"/>
          <w:highlight w:val="none"/>
        </w:rPr>
        <w:t>中标结果公告期限为1个工作日。</w:t>
      </w:r>
    </w:p>
    <w:p w14:paraId="4D6BADDC">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中标供应商为中小企业</w:t>
      </w:r>
      <w:r>
        <w:rPr>
          <w:rFonts w:hint="eastAsia" w:ascii="宋体" w:hAnsi="宋体" w:eastAsia="宋体" w:cs="宋体"/>
          <w:bCs/>
          <w:color w:val="auto"/>
          <w:sz w:val="24"/>
          <w:szCs w:val="24"/>
          <w:highlight w:val="none"/>
          <w:lang w:val="en-US" w:eastAsia="zh-CN"/>
        </w:rPr>
        <w:t>享受中小企业扶持政策的</w:t>
      </w:r>
      <w:r>
        <w:rPr>
          <w:rFonts w:hint="eastAsia" w:ascii="宋体" w:hAnsi="宋体" w:eastAsia="宋体" w:cs="宋体"/>
          <w:bCs/>
          <w:color w:val="auto"/>
          <w:sz w:val="24"/>
          <w:szCs w:val="24"/>
          <w:highlight w:val="none"/>
          <w:lang w:eastAsia="zh-CN"/>
        </w:rPr>
        <w:t>，其“中小企业声明函”随中标结果同时公告。中标供应商为残疾人福利性单位的，其“残疾人福利性单位声明函”随中标结果同时公告。</w:t>
      </w:r>
    </w:p>
    <w:p w14:paraId="13EF2EFE">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31.3</w:t>
      </w:r>
      <w:r>
        <w:rPr>
          <w:rFonts w:hint="eastAsia" w:ascii="宋体" w:hAnsi="宋体" w:eastAsia="宋体" w:cs="宋体"/>
          <w:color w:val="auto"/>
          <w:sz w:val="24"/>
          <w:szCs w:val="24"/>
          <w:highlight w:val="none"/>
        </w:rPr>
        <w:t>项目采购采用最低评标价法的，公告中标结果时同时公告因落实政府采购政策等原因进行价格扣除后中标供应商的评审报价；项目采购采用综合评分法的，公告中标结果时同时公告中标供应商的评审总得分。</w:t>
      </w:r>
    </w:p>
    <w:p w14:paraId="343C802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7" w:name="_Toc140132795"/>
      <w:bookmarkStart w:id="218" w:name="_Toc163492862"/>
      <w:bookmarkStart w:id="219" w:name="_Toc6163"/>
      <w:bookmarkStart w:id="220" w:name="_Toc6353"/>
      <w:bookmarkStart w:id="221" w:name="_Toc19467"/>
      <w:r>
        <w:rPr>
          <w:rFonts w:hint="eastAsia" w:ascii="宋体" w:hAnsi="宋体" w:eastAsia="宋体" w:cs="宋体"/>
          <w:b/>
          <w:bCs/>
          <w:color w:val="auto"/>
          <w:kern w:val="2"/>
          <w:sz w:val="24"/>
          <w:szCs w:val="24"/>
          <w:highlight w:val="none"/>
          <w:lang w:val="en-US" w:eastAsia="zh-CN" w:bidi="ar-SA"/>
        </w:rPr>
        <w:t>32.中标通知</w:t>
      </w:r>
      <w:bookmarkEnd w:id="217"/>
      <w:bookmarkEnd w:id="218"/>
      <w:bookmarkEnd w:id="219"/>
      <w:bookmarkEnd w:id="220"/>
      <w:bookmarkEnd w:id="221"/>
    </w:p>
    <w:p w14:paraId="5A227CC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2</w:t>
      </w:r>
      <w:r>
        <w:rPr>
          <w:rFonts w:hint="eastAsia" w:ascii="宋体" w:hAnsi="宋体" w:eastAsia="宋体" w:cs="宋体"/>
          <w:color w:val="auto"/>
          <w:sz w:val="24"/>
          <w:szCs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45A87AD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32.2中标通知书对采购人和中标供应商均具有法律效力。中标通知书发出后，采购人改变中标结果的，或者中标供应商放弃中标项目的，应当依法承担法律责任。</w:t>
      </w:r>
    </w:p>
    <w:p w14:paraId="331AE7B4">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22" w:name="_Toc30315"/>
      <w:bookmarkStart w:id="223" w:name="_Toc812"/>
      <w:bookmarkStart w:id="224" w:name="_Toc27187"/>
      <w:bookmarkStart w:id="225" w:name="_Toc163492863"/>
      <w:r>
        <w:rPr>
          <w:rFonts w:hint="eastAsia" w:ascii="宋体" w:hAnsi="宋体" w:eastAsia="宋体" w:cs="宋体"/>
          <w:b/>
          <w:bCs/>
          <w:color w:val="auto"/>
          <w:kern w:val="2"/>
          <w:sz w:val="24"/>
          <w:szCs w:val="24"/>
          <w:highlight w:val="none"/>
          <w:lang w:val="en-US" w:eastAsia="zh-CN" w:bidi="ar-SA"/>
        </w:rPr>
        <w:t>（九）签订</w:t>
      </w:r>
      <w:bookmarkStart w:id="226" w:name="_Toc140132796"/>
      <w:bookmarkStart w:id="227" w:name="_Toc155185880"/>
      <w:r>
        <w:rPr>
          <w:rFonts w:hint="eastAsia" w:ascii="宋体" w:hAnsi="宋体" w:eastAsia="宋体" w:cs="宋体"/>
          <w:b/>
          <w:bCs/>
          <w:color w:val="auto"/>
          <w:kern w:val="2"/>
          <w:sz w:val="24"/>
          <w:szCs w:val="24"/>
          <w:highlight w:val="none"/>
          <w:lang w:val="en-US" w:eastAsia="zh-CN" w:bidi="ar-SA"/>
        </w:rPr>
        <w:t>合同</w:t>
      </w:r>
      <w:bookmarkEnd w:id="222"/>
      <w:bookmarkEnd w:id="223"/>
      <w:bookmarkEnd w:id="224"/>
      <w:bookmarkEnd w:id="225"/>
      <w:bookmarkEnd w:id="226"/>
      <w:bookmarkEnd w:id="227"/>
    </w:p>
    <w:p w14:paraId="0E4CFA4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28" w:name="_Toc21817"/>
      <w:bookmarkStart w:id="229" w:name="_Toc140132797"/>
      <w:bookmarkStart w:id="230" w:name="_Toc3030"/>
      <w:bookmarkStart w:id="231" w:name="_Toc163492864"/>
      <w:bookmarkStart w:id="232" w:name="_Toc1439"/>
      <w:r>
        <w:rPr>
          <w:rFonts w:hint="eastAsia" w:ascii="宋体" w:hAnsi="宋体" w:eastAsia="宋体" w:cs="宋体"/>
          <w:b/>
          <w:bCs/>
          <w:color w:val="auto"/>
          <w:kern w:val="2"/>
          <w:sz w:val="24"/>
          <w:szCs w:val="24"/>
          <w:highlight w:val="none"/>
          <w:lang w:val="en-US" w:eastAsia="zh-CN" w:bidi="ar-SA"/>
        </w:rPr>
        <w:t>33.履约保证金</w:t>
      </w:r>
      <w:bookmarkEnd w:id="228"/>
      <w:bookmarkEnd w:id="229"/>
      <w:bookmarkEnd w:id="230"/>
      <w:bookmarkEnd w:id="231"/>
      <w:bookmarkEnd w:id="232"/>
    </w:p>
    <w:p w14:paraId="119D31E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.1在签订合同前，中标人应按“投标人须知前附表”规定的金额、担保形式和采购人认可的履约担保格式向采购人提交履约保证金。</w:t>
      </w:r>
    </w:p>
    <w:p w14:paraId="5E14D4F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3</w:t>
      </w:r>
      <w:r>
        <w:rPr>
          <w:rFonts w:hint="eastAsia" w:ascii="宋体" w:hAnsi="宋体" w:eastAsia="宋体" w:cs="宋体"/>
          <w:color w:val="auto"/>
          <w:sz w:val="24"/>
          <w:szCs w:val="24"/>
          <w:highlight w:val="none"/>
        </w:rPr>
        <w:t>.2中标人不能按本章第3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.1项要求提交履约担保的，视为放弃中标，给采购人造成损失的，中标人还应当承担民事责任。</w:t>
      </w:r>
    </w:p>
    <w:p w14:paraId="767AB1A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33" w:name="_Toc12603"/>
      <w:bookmarkStart w:id="234" w:name="_Toc1975"/>
      <w:bookmarkStart w:id="235" w:name="_Toc163492865"/>
      <w:bookmarkStart w:id="236" w:name="_Toc140132798"/>
      <w:bookmarkStart w:id="237" w:name="_Toc10817"/>
      <w:r>
        <w:rPr>
          <w:rFonts w:hint="eastAsia" w:ascii="宋体" w:hAnsi="宋体" w:eastAsia="宋体" w:cs="宋体"/>
          <w:b/>
          <w:bCs/>
          <w:color w:val="auto"/>
          <w:kern w:val="2"/>
          <w:sz w:val="24"/>
          <w:szCs w:val="24"/>
          <w:highlight w:val="none"/>
          <w:lang w:val="en-US" w:eastAsia="zh-CN" w:bidi="ar-SA"/>
        </w:rPr>
        <w:t>34.签订合同</w:t>
      </w:r>
      <w:bookmarkEnd w:id="233"/>
      <w:bookmarkEnd w:id="234"/>
      <w:bookmarkEnd w:id="235"/>
      <w:bookmarkEnd w:id="236"/>
      <w:bookmarkEnd w:id="237"/>
    </w:p>
    <w:p w14:paraId="68D4E6B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.1 采购人和中标人应当自中标通知书发出之日起</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15CB519E">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34.2 中标人拒绝与采购人签订合同的，采购人可以按照评标报告推荐的中标候选人名单排序，确定下一候选人为中标人，也可以重新开展政府采购活动。</w:t>
      </w:r>
    </w:p>
    <w:p w14:paraId="2C0531B4">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采购人和中标人不得向对方提出任何不合理的要求，作为签订合同的条件，双方不得私下订立背离合同实质性内容的协议。</w:t>
      </w:r>
    </w:p>
    <w:p w14:paraId="15AA3F20">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34.4 联合体中标的，联合体各方应当共同与采购人签订合同，就采购合同约定的事项向采购人承担连带责任。</w:t>
      </w:r>
    </w:p>
    <w:p w14:paraId="3D92113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。中标人就采购项目和分包项目向采购人负责，分包供应商就分包项目承担责任。</w:t>
      </w:r>
      <w:r>
        <w:rPr>
          <w:rFonts w:hint="eastAsia" w:ascii="宋体" w:hAnsi="宋体" w:eastAsia="宋体" w:cs="宋体"/>
          <w:b/>
          <w:bCs/>
          <w:color w:val="auto"/>
          <w:sz w:val="24"/>
          <w:szCs w:val="24"/>
          <w:highlight w:val="none"/>
          <w:lang w:val="en-US" w:eastAsia="zh-CN"/>
        </w:rPr>
        <w:t>政府采购合同不能转包。</w:t>
      </w:r>
    </w:p>
    <w:p w14:paraId="5A7D9BA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采购合同履行中，采购人需追加与合同标的相同的</w:t>
      </w:r>
      <w:r>
        <w:rPr>
          <w:rFonts w:hint="eastAsia" w:ascii="宋体" w:hAnsi="宋体" w:eastAsia="宋体" w:cs="宋体"/>
          <w:color w:val="auto"/>
          <w:sz w:val="24"/>
          <w:szCs w:val="24"/>
          <w:highlight w:val="none"/>
          <w:lang w:val="en-US" w:eastAsia="zh-CN"/>
        </w:rPr>
        <w:t>货物、工程或者服务</w:t>
      </w:r>
      <w:r>
        <w:rPr>
          <w:rFonts w:hint="eastAsia" w:ascii="宋体" w:hAnsi="宋体" w:eastAsia="宋体" w:cs="宋体"/>
          <w:color w:val="auto"/>
          <w:sz w:val="24"/>
          <w:szCs w:val="24"/>
          <w:highlight w:val="none"/>
        </w:rPr>
        <w:t>的，在不改变合同其他条款的前提下，可以与中标人协商签订补充合同，但所有补充合同的采购金额不得超过原合同采购金额的百分之十。</w:t>
      </w:r>
    </w:p>
    <w:p w14:paraId="25E0220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34.7 采购人应于签订合同之日起2个工作日内在政采云平台备案公示。</w:t>
      </w:r>
    </w:p>
    <w:p w14:paraId="0D8A987F">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38" w:name="_Toc14069"/>
      <w:bookmarkStart w:id="239" w:name="_Toc163492866"/>
      <w:bookmarkStart w:id="240" w:name="_Toc22067"/>
      <w:bookmarkStart w:id="241" w:name="_Toc3645"/>
      <w:bookmarkStart w:id="242" w:name="_Toc140132799"/>
      <w:bookmarkStart w:id="243" w:name="_Toc155185881"/>
      <w:r>
        <w:rPr>
          <w:rFonts w:hint="eastAsia" w:ascii="宋体" w:hAnsi="宋体" w:eastAsia="宋体" w:cs="宋体"/>
          <w:b/>
          <w:bCs/>
          <w:color w:val="auto"/>
          <w:kern w:val="2"/>
          <w:sz w:val="24"/>
          <w:szCs w:val="24"/>
          <w:highlight w:val="none"/>
          <w:lang w:val="en-US" w:eastAsia="zh-CN" w:bidi="ar-SA"/>
        </w:rPr>
        <w:t>（十）质疑和投诉</w:t>
      </w:r>
      <w:bookmarkEnd w:id="238"/>
      <w:bookmarkEnd w:id="239"/>
      <w:bookmarkEnd w:id="240"/>
      <w:bookmarkEnd w:id="241"/>
      <w:bookmarkEnd w:id="242"/>
      <w:bookmarkEnd w:id="243"/>
    </w:p>
    <w:p w14:paraId="0CB52C4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4" w:name="_Toc6362"/>
      <w:bookmarkStart w:id="245" w:name="_Toc17195"/>
      <w:bookmarkStart w:id="246" w:name="_Toc140132800"/>
      <w:bookmarkStart w:id="247" w:name="_Toc163492867"/>
      <w:bookmarkStart w:id="248" w:name="_Toc5521"/>
      <w:r>
        <w:rPr>
          <w:rFonts w:hint="eastAsia" w:ascii="宋体" w:hAnsi="宋体" w:eastAsia="宋体" w:cs="宋体"/>
          <w:b/>
          <w:bCs/>
          <w:color w:val="auto"/>
          <w:kern w:val="2"/>
          <w:sz w:val="24"/>
          <w:szCs w:val="24"/>
          <w:highlight w:val="none"/>
          <w:lang w:val="en-US" w:eastAsia="zh-CN" w:bidi="ar-SA"/>
        </w:rPr>
        <w:t>35.质疑</w:t>
      </w:r>
      <w:bookmarkEnd w:id="244"/>
      <w:bookmarkEnd w:id="245"/>
      <w:bookmarkEnd w:id="246"/>
      <w:bookmarkEnd w:id="247"/>
      <w:bookmarkEnd w:id="248"/>
    </w:p>
    <w:p w14:paraId="3D8EEDE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详见“投标人须知前附表”</w:t>
      </w:r>
      <w:r>
        <w:rPr>
          <w:rFonts w:hint="eastAsia" w:ascii="宋体" w:hAnsi="宋体" w:eastAsia="宋体" w:cs="宋体"/>
          <w:color w:val="auto"/>
          <w:sz w:val="24"/>
          <w:szCs w:val="24"/>
          <w:highlight w:val="none"/>
        </w:rPr>
        <w:t>。供应商在法定质疑期内一次性提出针对同一采购程序环节的质疑。</w:t>
      </w:r>
    </w:p>
    <w:p w14:paraId="2818965C">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.2提出质疑的供应商（以下简称质疑供应商）应当是参与所质疑项目采购活动的供应商。</w:t>
      </w:r>
    </w:p>
    <w:p w14:paraId="368D1E5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35.3</w:t>
      </w:r>
      <w:r>
        <w:rPr>
          <w:rFonts w:hint="eastAsia" w:ascii="宋体" w:hAnsi="宋体" w:eastAsia="宋体" w:cs="宋体"/>
          <w:color w:val="auto"/>
          <w:sz w:val="24"/>
          <w:szCs w:val="24"/>
          <w:highlight w:val="none"/>
        </w:rPr>
        <w:t>潜在供应商已依法获取其可质疑的采购文件的，可以对该文件提出质疑。对采购文件提出质疑的，应当在获取采购文件或者采购文件公告期限届满之日起7个工作日内提出。</w:t>
      </w:r>
    </w:p>
    <w:p w14:paraId="32E619A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35.4</w:t>
      </w:r>
      <w:r>
        <w:rPr>
          <w:rFonts w:hint="eastAsia" w:ascii="宋体" w:hAnsi="宋体" w:eastAsia="宋体" w:cs="宋体"/>
          <w:color w:val="auto"/>
          <w:sz w:val="24"/>
          <w:szCs w:val="24"/>
          <w:highlight w:val="none"/>
        </w:rPr>
        <w:t>供应商提出质疑应当提交质疑函和必要的证明材料。质疑函应当包括下列内容：</w:t>
      </w:r>
    </w:p>
    <w:p w14:paraId="0476EC3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）供应商的姓名或者名称、地址、邮编、联系人及联系电话；</w:t>
      </w:r>
    </w:p>
    <w:p w14:paraId="3468399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rPr>
        <w:t>；</w:t>
      </w:r>
    </w:p>
    <w:p w14:paraId="3EE5B843">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）具体、明确的质疑事项和与质疑事项相关的请求；</w:t>
      </w:r>
    </w:p>
    <w:p w14:paraId="53BD074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30D6582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）必要的法律依据；</w:t>
      </w:r>
    </w:p>
    <w:p w14:paraId="4D4045A3">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）提出质疑的日期。</w:t>
      </w:r>
    </w:p>
    <w:p w14:paraId="13683C6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供应商为自然人的，应当由本人签字；供应商为法人或者其他组织的，应当由法定代表人、主要负责人，或者其授权代表签字或者盖章，并加盖公章。</w:t>
      </w:r>
    </w:p>
    <w:p w14:paraId="5363C72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.5质疑函不符合上述要求的，采购人或代理机构应书面告知具体事项，质疑人应当按要求进行修改或补充，并在质疑有效期限内提交。</w:t>
      </w:r>
    </w:p>
    <w:p w14:paraId="7F3823F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3</w:t>
      </w:r>
      <w:r>
        <w:rPr>
          <w:rFonts w:hint="eastAsia" w:ascii="宋体" w:hAnsi="宋体" w:eastAsia="宋体" w:cs="宋体"/>
          <w:snapToGrid w:val="0"/>
          <w:color w:val="auto"/>
          <w:sz w:val="24"/>
          <w:szCs w:val="24"/>
          <w:highlight w:val="none"/>
          <w:lang w:val="en-US" w:eastAsia="zh-CN"/>
        </w:rPr>
        <w:t>5</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6</w:t>
      </w:r>
      <w:r>
        <w:rPr>
          <w:rFonts w:hint="eastAsia" w:ascii="宋体" w:hAnsi="宋体" w:eastAsia="宋体" w:cs="宋体"/>
          <w:snapToGrid w:val="0"/>
          <w:color w:val="auto"/>
          <w:sz w:val="24"/>
          <w:szCs w:val="24"/>
          <w:highlight w:val="none"/>
        </w:rPr>
        <w:t>投标人进行虚假和恶意</w:t>
      </w:r>
      <w:r>
        <w:rPr>
          <w:rFonts w:hint="eastAsia" w:ascii="宋体" w:hAnsi="宋体" w:eastAsia="宋体" w:cs="宋体"/>
          <w:snapToGrid w:val="0"/>
          <w:color w:val="auto"/>
          <w:sz w:val="24"/>
          <w:szCs w:val="24"/>
          <w:highlight w:val="none"/>
          <w:lang w:val="en-US" w:eastAsia="zh-CN"/>
        </w:rPr>
        <w:t>质疑投诉</w:t>
      </w:r>
      <w:r>
        <w:rPr>
          <w:rFonts w:hint="eastAsia" w:ascii="宋体" w:hAnsi="宋体" w:eastAsia="宋体" w:cs="宋体"/>
          <w:snapToGrid w:val="0"/>
          <w:color w:val="auto"/>
          <w:sz w:val="24"/>
          <w:szCs w:val="24"/>
          <w:highlight w:val="none"/>
        </w:rPr>
        <w:t>的，采购代理机构将提请有关部门将其列入不良记录名单，在一至三年内禁止参加政府采购活动，并将处理决定在相关政府采购媒体上公布。</w:t>
      </w:r>
    </w:p>
    <w:p w14:paraId="5C67157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35.7</w:t>
      </w:r>
      <w:r>
        <w:rPr>
          <w:rFonts w:hint="eastAsia" w:ascii="宋体" w:hAnsi="宋体" w:eastAsia="宋体" w:cs="宋体"/>
          <w:color w:val="auto"/>
          <w:sz w:val="24"/>
          <w:szCs w:val="24"/>
          <w:highlight w:val="none"/>
        </w:rPr>
        <w:t>质疑函</w:t>
      </w:r>
      <w:r>
        <w:rPr>
          <w:rFonts w:hint="eastAsia" w:ascii="宋体" w:hAnsi="宋体" w:eastAsia="宋体" w:cs="宋体"/>
          <w:color w:val="auto"/>
          <w:sz w:val="24"/>
          <w:szCs w:val="24"/>
          <w:highlight w:val="none"/>
          <w:lang w:val="en-US" w:eastAsia="zh-CN"/>
        </w:rPr>
        <w:t>应当使用中文，并采用财政部门制定的范本。</w:t>
      </w:r>
    </w:p>
    <w:p w14:paraId="59E19A5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9" w:name="_Toc7060"/>
      <w:bookmarkStart w:id="250" w:name="_Toc140132801"/>
      <w:bookmarkStart w:id="251" w:name="_Toc30183"/>
      <w:bookmarkStart w:id="252" w:name="_Toc163492868"/>
      <w:bookmarkStart w:id="253" w:name="_Toc2308"/>
      <w:r>
        <w:rPr>
          <w:rFonts w:hint="eastAsia" w:ascii="宋体" w:hAnsi="宋体" w:eastAsia="宋体" w:cs="宋体"/>
          <w:b/>
          <w:bCs/>
          <w:color w:val="auto"/>
          <w:kern w:val="2"/>
          <w:sz w:val="24"/>
          <w:szCs w:val="24"/>
          <w:highlight w:val="none"/>
          <w:lang w:val="en-US" w:eastAsia="zh-CN" w:bidi="ar-SA"/>
        </w:rPr>
        <w:t>36.质疑答复</w:t>
      </w:r>
      <w:bookmarkEnd w:id="249"/>
      <w:bookmarkEnd w:id="250"/>
      <w:bookmarkEnd w:id="251"/>
      <w:bookmarkEnd w:id="252"/>
      <w:bookmarkEnd w:id="253"/>
    </w:p>
    <w:p w14:paraId="7FF6A5B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bookmarkStart w:id="254" w:name="_Toc163492869"/>
      <w:bookmarkStart w:id="255" w:name="_Toc140132802"/>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14:paraId="75378190">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36.2供应商对评审过程、中标结果提出质疑的，采购人、采购代理机构可以组织原评标委员会协助答复质疑。</w:t>
      </w:r>
    </w:p>
    <w:p w14:paraId="41CFAAF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质疑答复应当包括下列内容：</w:t>
      </w:r>
    </w:p>
    <w:p w14:paraId="42FCA9B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）质疑供应商的姓名或者名称；</w:t>
      </w:r>
    </w:p>
    <w:p w14:paraId="4D21B0A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）收到质疑函的日期、质疑项目名称及</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val="zh-CN" w:eastAsia="zh-CN"/>
        </w:rPr>
        <w:t>编号</w:t>
      </w:r>
      <w:r>
        <w:rPr>
          <w:rFonts w:hint="eastAsia"/>
          <w:color w:val="auto"/>
          <w:sz w:val="24"/>
          <w:highlight w:val="none"/>
          <w:lang w:val="en-US" w:eastAsia="zh-CN"/>
        </w:rPr>
        <w:t>/包号</w:t>
      </w:r>
      <w:r>
        <w:rPr>
          <w:rFonts w:hint="eastAsia" w:ascii="宋体" w:hAnsi="宋体" w:eastAsia="宋体" w:cs="宋体"/>
          <w:color w:val="auto"/>
          <w:sz w:val="24"/>
          <w:szCs w:val="24"/>
          <w:highlight w:val="none"/>
          <w:lang w:val="zh-CN" w:eastAsia="zh-CN"/>
        </w:rPr>
        <w:t>；</w:t>
      </w:r>
    </w:p>
    <w:p w14:paraId="3A6FE98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）质疑事项、质疑答复的具体内容、事实依据和法律依据；</w:t>
      </w:r>
    </w:p>
    <w:p w14:paraId="08DED2DE">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）告知质疑供应商依法投诉的权利；</w:t>
      </w:r>
    </w:p>
    <w:p w14:paraId="4D51A894">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）质疑答复人名称；</w:t>
      </w:r>
    </w:p>
    <w:p w14:paraId="1D1D7DB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）答复质疑的日期。</w:t>
      </w:r>
    </w:p>
    <w:p w14:paraId="3AE1106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质疑答复的内容不得涉及商业秘密。</w:t>
      </w:r>
    </w:p>
    <w:p w14:paraId="2A6E9C1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6" w:name="_Toc4201"/>
      <w:bookmarkStart w:id="257" w:name="_Toc8648"/>
      <w:bookmarkStart w:id="258" w:name="_Toc13241"/>
      <w:r>
        <w:rPr>
          <w:rFonts w:hint="eastAsia" w:ascii="宋体" w:hAnsi="宋体" w:eastAsia="宋体" w:cs="宋体"/>
          <w:b/>
          <w:bCs/>
          <w:color w:val="auto"/>
          <w:kern w:val="2"/>
          <w:sz w:val="24"/>
          <w:szCs w:val="24"/>
          <w:highlight w:val="none"/>
          <w:lang w:val="en-US" w:eastAsia="zh-CN" w:bidi="ar-SA"/>
        </w:rPr>
        <w:t>37.投诉</w:t>
      </w:r>
      <w:bookmarkEnd w:id="254"/>
      <w:bookmarkEnd w:id="255"/>
      <w:bookmarkEnd w:id="256"/>
      <w:bookmarkEnd w:id="257"/>
      <w:bookmarkEnd w:id="258"/>
    </w:p>
    <w:p w14:paraId="24FFDEFF">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37.1</w:t>
      </w:r>
      <w:r>
        <w:rPr>
          <w:rFonts w:hint="eastAsia" w:ascii="宋体" w:hAnsi="宋体" w:eastAsia="宋体" w:cs="宋体"/>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宋体" w:hAnsi="宋体" w:eastAsia="宋体" w:cs="宋体"/>
          <w:color w:val="auto"/>
          <w:sz w:val="24"/>
          <w:szCs w:val="24"/>
          <w:highlight w:val="none"/>
          <w:lang w:val="en-US" w:eastAsia="zh-CN"/>
        </w:rPr>
        <w:t>同级政府采购监督管理部门</w:t>
      </w:r>
      <w:r>
        <w:rPr>
          <w:rFonts w:hint="eastAsia" w:ascii="宋体" w:hAnsi="宋体" w:eastAsia="宋体" w:cs="宋体"/>
          <w:color w:val="auto"/>
          <w:sz w:val="24"/>
          <w:szCs w:val="24"/>
          <w:highlight w:val="none"/>
        </w:rPr>
        <w:t>提起投诉。</w:t>
      </w:r>
    </w:p>
    <w:p w14:paraId="48CC78FE">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37.2</w:t>
      </w:r>
      <w:r>
        <w:rPr>
          <w:rFonts w:hint="eastAsia" w:ascii="宋体" w:hAnsi="宋体" w:eastAsia="宋体" w:cs="宋体"/>
          <w:color w:val="auto"/>
          <w:sz w:val="24"/>
          <w:szCs w:val="24"/>
          <w:highlight w:val="none"/>
        </w:rPr>
        <w:t>投诉人投诉时</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应当提交投诉书和必要的证明材料，并按照被投诉采购人、采购代理机构（以下简称被投诉人）和与投诉事项有关的供应商数量提供投诉书的副本。投诉书应当包括下列内容：</w:t>
      </w:r>
    </w:p>
    <w:p w14:paraId="366A89D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）投诉人和被投诉人的姓名或者名称、通讯地址、邮编、联系人及联系电话；</w:t>
      </w:r>
    </w:p>
    <w:p w14:paraId="1352715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）质疑和质疑答复情况说明及相关证明材料；</w:t>
      </w:r>
    </w:p>
    <w:p w14:paraId="686BCC75">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）具体、明确的投诉事项和与投诉事项相关的投诉请求；</w:t>
      </w:r>
    </w:p>
    <w:p w14:paraId="41634768">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）事实依据；</w:t>
      </w:r>
    </w:p>
    <w:p w14:paraId="17838FC5">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）法律依据；</w:t>
      </w:r>
    </w:p>
    <w:p w14:paraId="4723F2BF">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）提起投诉的日期。</w:t>
      </w:r>
    </w:p>
    <w:p w14:paraId="44173380">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投诉人为自然人的，应当由本人签字；投诉人为法人或者其他组织的，应当由法定代表人、主要负责人，或者其授权代表签字或者盖章，并加盖公章。</w:t>
      </w:r>
    </w:p>
    <w:p w14:paraId="421A9C0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37.3</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en-US" w:eastAsia="zh-CN"/>
        </w:rPr>
        <w:t>质疑、</w:t>
      </w:r>
      <w:r>
        <w:rPr>
          <w:rFonts w:hint="eastAsia" w:ascii="宋体" w:hAnsi="宋体" w:eastAsia="宋体" w:cs="宋体"/>
          <w:color w:val="auto"/>
          <w:sz w:val="24"/>
          <w:szCs w:val="24"/>
          <w:highlight w:val="none"/>
        </w:rPr>
        <w:t>投诉</w:t>
      </w:r>
      <w:r>
        <w:rPr>
          <w:rFonts w:hint="eastAsia" w:ascii="宋体" w:hAnsi="宋体" w:eastAsia="宋体" w:cs="宋体"/>
          <w:color w:val="auto"/>
          <w:sz w:val="24"/>
          <w:szCs w:val="24"/>
          <w:highlight w:val="none"/>
          <w:lang w:val="en-US" w:eastAsia="zh-CN"/>
        </w:rPr>
        <w:t>应当有明确的请求和必要的证明材料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供应商投诉的事项不得超出</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质疑事项的范围，但基于质疑答复内容提出的投诉事项除外</w:t>
      </w:r>
      <w:r>
        <w:rPr>
          <w:rFonts w:hint="eastAsia" w:ascii="宋体" w:hAnsi="宋体" w:eastAsia="宋体" w:cs="宋体"/>
          <w:bCs/>
          <w:color w:val="auto"/>
          <w:sz w:val="24"/>
          <w:szCs w:val="24"/>
          <w:highlight w:val="none"/>
        </w:rPr>
        <w:t>。</w:t>
      </w:r>
    </w:p>
    <w:p w14:paraId="7D488B5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Cs/>
          <w:color w:val="auto"/>
          <w:sz w:val="24"/>
          <w:szCs w:val="24"/>
          <w:highlight w:val="none"/>
        </w:rPr>
      </w:pPr>
      <w:r>
        <w:rPr>
          <w:rFonts w:hint="eastAsia" w:ascii="宋体" w:hAnsi="宋体" w:eastAsia="宋体" w:cs="宋体"/>
          <w:snapToGrid w:val="0"/>
          <w:color w:val="auto"/>
          <w:sz w:val="24"/>
          <w:szCs w:val="24"/>
          <w:highlight w:val="none"/>
          <w:lang w:val="en-US" w:eastAsia="zh-CN"/>
        </w:rPr>
        <w:t>37.4</w:t>
      </w:r>
      <w:r>
        <w:rPr>
          <w:rFonts w:hint="eastAsia" w:ascii="宋体" w:hAnsi="宋体" w:eastAsia="宋体" w:cs="宋体"/>
          <w:color w:val="auto"/>
          <w:sz w:val="24"/>
          <w:szCs w:val="24"/>
          <w:highlight w:val="none"/>
          <w:lang w:val="en-US" w:eastAsia="zh-CN"/>
        </w:rPr>
        <w:t>投诉书应当使用中文，并采用财政部门制定的范本。</w:t>
      </w:r>
    </w:p>
    <w:p w14:paraId="29864CD5">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9" w:name="_Toc163492870"/>
      <w:bookmarkStart w:id="260" w:name="_Toc19407"/>
      <w:bookmarkStart w:id="261" w:name="_Toc26619"/>
      <w:bookmarkStart w:id="262" w:name="_Toc25532"/>
      <w:bookmarkStart w:id="263" w:name="_Toc140132803"/>
      <w:bookmarkStart w:id="264" w:name="_Toc155185882"/>
      <w:r>
        <w:rPr>
          <w:rFonts w:hint="eastAsia" w:ascii="宋体" w:hAnsi="宋体" w:eastAsia="宋体" w:cs="宋体"/>
          <w:b/>
          <w:bCs/>
          <w:color w:val="auto"/>
          <w:kern w:val="2"/>
          <w:sz w:val="24"/>
          <w:szCs w:val="24"/>
          <w:highlight w:val="none"/>
          <w:lang w:val="en-US" w:eastAsia="zh-CN" w:bidi="ar-SA"/>
        </w:rPr>
        <w:t>（十一）采购代理服务费</w:t>
      </w:r>
      <w:bookmarkEnd w:id="259"/>
      <w:bookmarkEnd w:id="260"/>
      <w:bookmarkEnd w:id="261"/>
      <w:bookmarkEnd w:id="262"/>
      <w:bookmarkEnd w:id="263"/>
      <w:bookmarkEnd w:id="264"/>
    </w:p>
    <w:p w14:paraId="1BE8306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65" w:name="_Toc140132804"/>
      <w:bookmarkStart w:id="266" w:name="_Toc16634"/>
      <w:bookmarkStart w:id="267" w:name="_Toc163492871"/>
      <w:bookmarkStart w:id="268" w:name="_Toc21533"/>
      <w:bookmarkStart w:id="269" w:name="_Toc16138"/>
      <w:r>
        <w:rPr>
          <w:rFonts w:hint="eastAsia" w:ascii="宋体" w:hAnsi="宋体" w:eastAsia="宋体" w:cs="宋体"/>
          <w:b/>
          <w:bCs/>
          <w:color w:val="auto"/>
          <w:kern w:val="2"/>
          <w:sz w:val="24"/>
          <w:szCs w:val="24"/>
          <w:highlight w:val="none"/>
          <w:lang w:val="en-US" w:eastAsia="zh-CN" w:bidi="ar-SA"/>
        </w:rPr>
        <w:t>38.收取方式和标准</w:t>
      </w:r>
      <w:bookmarkEnd w:id="265"/>
      <w:bookmarkEnd w:id="266"/>
      <w:bookmarkEnd w:id="267"/>
      <w:bookmarkEnd w:id="268"/>
      <w:bookmarkEnd w:id="269"/>
    </w:p>
    <w:p w14:paraId="02D2258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8</w:t>
      </w:r>
      <w:r>
        <w:rPr>
          <w:rFonts w:hint="eastAsia" w:ascii="宋体" w:hAnsi="宋体" w:eastAsia="宋体" w:cs="宋体"/>
          <w:color w:val="auto"/>
          <w:sz w:val="24"/>
          <w:szCs w:val="24"/>
          <w:highlight w:val="none"/>
        </w:rPr>
        <w:t>.1采购代理机构按“投标人须知前附表”规定的方式和标准收取采购代理服务费。</w:t>
      </w:r>
    </w:p>
    <w:p w14:paraId="2D714DB1">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0" w:name="_Toc15853"/>
      <w:bookmarkStart w:id="271" w:name="_Toc7566"/>
      <w:bookmarkStart w:id="272" w:name="_Toc140132805"/>
      <w:bookmarkStart w:id="273" w:name="_Toc26455"/>
      <w:bookmarkStart w:id="274" w:name="_Toc155185883"/>
      <w:bookmarkStart w:id="275" w:name="_Toc163492872"/>
      <w:r>
        <w:rPr>
          <w:rFonts w:hint="eastAsia" w:ascii="宋体" w:hAnsi="宋体" w:eastAsia="宋体" w:cs="宋体"/>
          <w:b/>
          <w:bCs/>
          <w:color w:val="auto"/>
          <w:kern w:val="2"/>
          <w:sz w:val="24"/>
          <w:szCs w:val="24"/>
          <w:highlight w:val="none"/>
          <w:lang w:val="en-US" w:eastAsia="zh-CN" w:bidi="ar-SA"/>
        </w:rPr>
        <w:t>（十二）无效投标和废标</w:t>
      </w:r>
      <w:bookmarkEnd w:id="270"/>
      <w:bookmarkEnd w:id="271"/>
      <w:bookmarkEnd w:id="272"/>
      <w:bookmarkEnd w:id="273"/>
      <w:bookmarkEnd w:id="274"/>
      <w:bookmarkEnd w:id="275"/>
    </w:p>
    <w:p w14:paraId="767E070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6" w:name="_Toc32022"/>
      <w:bookmarkStart w:id="277" w:name="_Toc9909"/>
      <w:bookmarkStart w:id="278" w:name="_Toc140132806"/>
      <w:bookmarkStart w:id="279" w:name="_Toc163492873"/>
      <w:bookmarkStart w:id="280" w:name="_Toc23298"/>
      <w:r>
        <w:rPr>
          <w:rFonts w:hint="eastAsia" w:ascii="宋体" w:hAnsi="宋体" w:eastAsia="宋体" w:cs="宋体"/>
          <w:b/>
          <w:bCs/>
          <w:color w:val="auto"/>
          <w:kern w:val="2"/>
          <w:sz w:val="24"/>
          <w:szCs w:val="24"/>
          <w:highlight w:val="none"/>
          <w:lang w:val="en-US" w:eastAsia="zh-CN" w:bidi="ar-SA"/>
        </w:rPr>
        <w:t>39.无效投标</w:t>
      </w:r>
      <w:bookmarkEnd w:id="276"/>
      <w:bookmarkEnd w:id="277"/>
      <w:bookmarkEnd w:id="278"/>
      <w:bookmarkEnd w:id="279"/>
      <w:bookmarkEnd w:id="280"/>
    </w:p>
    <w:p w14:paraId="23CD115C">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.1投标文件存在“第四章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资格审查”、“第五章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规定的投标无效情形的，其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3AD1D8C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1" w:name="_Toc3107"/>
      <w:bookmarkStart w:id="282" w:name="_Toc15799"/>
      <w:bookmarkStart w:id="283" w:name="_Toc18467"/>
      <w:bookmarkStart w:id="284" w:name="_Toc163492874"/>
      <w:bookmarkStart w:id="285" w:name="_Toc140132807"/>
      <w:r>
        <w:rPr>
          <w:rFonts w:hint="eastAsia" w:ascii="宋体" w:hAnsi="宋体" w:eastAsia="宋体" w:cs="宋体"/>
          <w:b/>
          <w:bCs/>
          <w:color w:val="auto"/>
          <w:kern w:val="2"/>
          <w:sz w:val="24"/>
          <w:szCs w:val="24"/>
          <w:highlight w:val="none"/>
          <w:lang w:val="en-US" w:eastAsia="zh-CN" w:bidi="ar-SA"/>
        </w:rPr>
        <w:t>40.废标</w:t>
      </w:r>
      <w:bookmarkEnd w:id="281"/>
      <w:bookmarkEnd w:id="282"/>
      <w:bookmarkEnd w:id="283"/>
      <w:bookmarkEnd w:id="284"/>
      <w:bookmarkEnd w:id="285"/>
    </w:p>
    <w:p w14:paraId="28AC3DE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.1在招标采购中出现有“第五章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r>
        <w:rPr>
          <w:rFonts w:hint="eastAsia" w:ascii="宋体" w:hAnsi="宋体" w:eastAsia="宋体" w:cs="宋体"/>
          <w:color w:val="auto"/>
          <w:sz w:val="24"/>
          <w:szCs w:val="24"/>
          <w:highlight w:val="none"/>
          <w:lang w:val="en-US" w:eastAsia="zh-CN"/>
        </w:rPr>
        <w:t>及本招标文件</w:t>
      </w:r>
      <w:r>
        <w:rPr>
          <w:rFonts w:hint="eastAsia" w:ascii="宋体" w:hAnsi="宋体" w:eastAsia="宋体" w:cs="宋体"/>
          <w:color w:val="auto"/>
          <w:sz w:val="24"/>
          <w:szCs w:val="24"/>
          <w:highlight w:val="none"/>
        </w:rPr>
        <w:t>规定的废标情形的，应予以</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lang w:eastAsia="zh-CN"/>
        </w:rPr>
        <w:t>。</w:t>
      </w:r>
    </w:p>
    <w:p w14:paraId="53D78C6B">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6" w:name="_Toc140132766"/>
      <w:bookmarkStart w:id="287" w:name="_Toc163492875"/>
      <w:bookmarkStart w:id="288" w:name="_Toc22480"/>
      <w:bookmarkStart w:id="289" w:name="_Toc3516"/>
      <w:bookmarkStart w:id="290" w:name="_Toc16271"/>
      <w:bookmarkStart w:id="291" w:name="_Toc140132808"/>
      <w:bookmarkStart w:id="292" w:name="_Toc155185884"/>
      <w:r>
        <w:rPr>
          <w:rFonts w:hint="eastAsia" w:ascii="宋体" w:hAnsi="宋体" w:eastAsia="宋体" w:cs="宋体"/>
          <w:b/>
          <w:bCs/>
          <w:color w:val="auto"/>
          <w:kern w:val="2"/>
          <w:sz w:val="24"/>
          <w:szCs w:val="24"/>
          <w:highlight w:val="none"/>
          <w:lang w:val="en-US" w:eastAsia="zh-CN" w:bidi="ar-SA"/>
        </w:rPr>
        <w:t>（十三）落实政府采购政策</w:t>
      </w:r>
      <w:bookmarkEnd w:id="286"/>
      <w:bookmarkEnd w:id="287"/>
      <w:r>
        <w:rPr>
          <w:rFonts w:hint="eastAsia" w:ascii="宋体" w:hAnsi="宋体" w:eastAsia="宋体" w:cs="宋体"/>
          <w:b/>
          <w:bCs/>
          <w:color w:val="auto"/>
          <w:kern w:val="2"/>
          <w:sz w:val="24"/>
          <w:szCs w:val="24"/>
          <w:highlight w:val="none"/>
          <w:lang w:val="en-US" w:eastAsia="zh-CN" w:bidi="ar-SA"/>
        </w:rPr>
        <w:t>（包括但不限于下列具体政策要求）</w:t>
      </w:r>
      <w:bookmarkEnd w:id="288"/>
      <w:bookmarkEnd w:id="289"/>
      <w:bookmarkEnd w:id="290"/>
    </w:p>
    <w:p w14:paraId="5C7DA6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3" w:name="_Toc23969"/>
      <w:bookmarkStart w:id="294" w:name="_Toc12045"/>
      <w:bookmarkStart w:id="295" w:name="_Toc21216"/>
      <w:bookmarkStart w:id="296" w:name="_Toc163492876"/>
      <w:r>
        <w:rPr>
          <w:rFonts w:hint="eastAsia" w:ascii="宋体" w:hAnsi="宋体" w:eastAsia="宋体" w:cs="宋体"/>
          <w:b/>
          <w:bCs/>
          <w:color w:val="auto"/>
          <w:kern w:val="2"/>
          <w:sz w:val="24"/>
          <w:szCs w:val="24"/>
          <w:highlight w:val="none"/>
          <w:lang w:val="en-US" w:eastAsia="zh-CN" w:bidi="ar-SA"/>
        </w:rPr>
        <w:t>41.</w:t>
      </w:r>
      <w:bookmarkEnd w:id="293"/>
      <w:bookmarkEnd w:id="294"/>
      <w:bookmarkEnd w:id="295"/>
      <w:bookmarkEnd w:id="296"/>
      <w:r>
        <w:rPr>
          <w:rFonts w:hint="eastAsia" w:ascii="宋体" w:hAnsi="宋体" w:cs="宋体"/>
          <w:b/>
          <w:bCs/>
          <w:color w:val="auto"/>
          <w:kern w:val="2"/>
          <w:sz w:val="24"/>
          <w:szCs w:val="28"/>
          <w:highlight w:val="none"/>
          <w:lang w:val="en-US" w:eastAsia="zh-CN" w:bidi="ar-SA"/>
        </w:rPr>
        <w:t>本</w:t>
      </w:r>
      <w:r>
        <w:rPr>
          <w:rFonts w:hint="eastAsia" w:ascii="宋体" w:hAnsi="宋体" w:eastAsia="宋体" w:cs="宋体"/>
          <w:b/>
          <w:bCs/>
          <w:color w:val="auto"/>
          <w:kern w:val="2"/>
          <w:sz w:val="24"/>
          <w:szCs w:val="28"/>
          <w:highlight w:val="none"/>
          <w:lang w:val="en-US" w:eastAsia="zh-CN" w:bidi="ar-SA"/>
        </w:rPr>
        <w:t>国产品和进口产品</w:t>
      </w:r>
    </w:p>
    <w:p w14:paraId="76394195">
      <w:pPr>
        <w:pStyle w:val="41"/>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41.1本国产品标准及支持政策</w:t>
      </w:r>
    </w:p>
    <w:p w14:paraId="33BBB372">
      <w:pPr>
        <w:pStyle w:val="41"/>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AB1B63C">
      <w:pPr>
        <w:pStyle w:val="41"/>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41.1.2产品在境内生产的组件成本应达到财政部会同相关部门确定的总成本规定比例（具体产品目录及比例标准按国家后续发布的规定执行）。在分产品目</w:t>
      </w:r>
      <w:r>
        <w:rPr>
          <w:rFonts w:hint="eastAsia"/>
          <w:iCs/>
          <w:snapToGrid w:val="0"/>
          <w:color w:val="auto"/>
          <w:spacing w:val="-6"/>
          <w:sz w:val="24"/>
          <w:highlight w:val="none"/>
          <w:lang w:val="en-US" w:eastAsia="zh-CN"/>
        </w:rPr>
        <w:t>录及比例标准正式实施前的过渡期内，符合境内生产条件的产品，可视同本国产</w:t>
      </w:r>
      <w:r>
        <w:rPr>
          <w:rFonts w:hint="eastAsia"/>
          <w:snapToGrid w:val="0"/>
          <w:color w:val="auto"/>
          <w:sz w:val="24"/>
          <w:highlight w:val="none"/>
          <w:lang w:val="en-US" w:eastAsia="zh-CN"/>
        </w:rPr>
        <w:t>品。</w:t>
      </w:r>
    </w:p>
    <w:p w14:paraId="5D5A7715">
      <w:pPr>
        <w:pStyle w:val="41"/>
        <w:keepNext w:val="0"/>
        <w:keepLines w:val="0"/>
        <w:pageBreakBefore w:val="0"/>
        <w:widowControl w:val="0"/>
        <w:kinsoku/>
        <w:overflowPunct/>
        <w:topLinePunct w:val="0"/>
        <w:autoSpaceDE/>
        <w:autoSpaceDN/>
        <w:bidi w:val="0"/>
        <w:adjustRightInd/>
        <w:jc w:val="both"/>
        <w:textAlignment w:val="auto"/>
        <w:rPr>
          <w:rFonts w:hint="default"/>
          <w:snapToGrid w:val="0"/>
          <w:color w:val="auto"/>
          <w:sz w:val="24"/>
          <w:highlight w:val="none"/>
          <w:lang w:val="en-US" w:eastAsia="zh-CN"/>
        </w:rPr>
      </w:pPr>
      <w:r>
        <w:rPr>
          <w:rFonts w:hint="eastAsia"/>
          <w:snapToGrid w:val="0"/>
          <w:color w:val="auto"/>
          <w:sz w:val="24"/>
          <w:highlight w:val="none"/>
          <w:lang w:val="en-US" w:eastAsia="zh-CN"/>
        </w:rPr>
        <w:t>41.1.3对国家相关部门后续发布的特定产品清单内的产品，除满足上述条件外，还需同时满足关键组件境内生产、关键工序境内完成等特定要求。</w:t>
      </w:r>
    </w:p>
    <w:p w14:paraId="067E8032">
      <w:pPr>
        <w:pStyle w:val="41"/>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41.1.4</w:t>
      </w:r>
      <w:r>
        <w:rPr>
          <w:rFonts w:hint="eastAsia" w:eastAsia="宋体"/>
          <w:snapToGrid w:val="0"/>
          <w:color w:val="auto"/>
          <w:sz w:val="24"/>
          <w:highlight w:val="none"/>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CDF317C">
      <w:pPr>
        <w:pStyle w:val="41"/>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snapToGrid w:val="0"/>
          <w:color w:val="auto"/>
          <w:sz w:val="24"/>
          <w:highlight w:val="none"/>
          <w:lang w:val="en-US" w:eastAsia="zh-CN"/>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2EADA03A">
      <w:pPr>
        <w:pStyle w:val="41"/>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医疗器械产品，取得药品监督管理部门授予的准字号医疗器械注册证的，</w:t>
      </w:r>
      <w:r>
        <w:rPr>
          <w:rFonts w:hint="eastAsia"/>
          <w:snapToGrid w:val="0"/>
          <w:color w:val="auto"/>
          <w:sz w:val="24"/>
          <w:highlight w:val="none"/>
          <w:lang w:val="en-US" w:eastAsia="zh-CN"/>
        </w:rPr>
        <w:t>视为符合本国产品标准。</w:t>
      </w:r>
    </w:p>
    <w:p w14:paraId="18319993">
      <w:pPr>
        <w:pStyle w:val="41"/>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41.1.6采购标的仅包含单一产品时，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17EBAEEA">
      <w:pPr>
        <w:pStyle w:val="41"/>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41.1.7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11F94985">
      <w:pPr>
        <w:pStyle w:val="41"/>
        <w:keepNext w:val="0"/>
        <w:keepLines w:val="0"/>
        <w:pageBreakBefore w:val="0"/>
        <w:widowControl w:val="0"/>
        <w:kinsoku/>
        <w:overflowPunct/>
        <w:topLinePunct w:val="0"/>
        <w:autoSpaceDE/>
        <w:autoSpaceDN/>
        <w:bidi w:val="0"/>
        <w:adjustRightInd/>
        <w:jc w:val="both"/>
        <w:textAlignment w:val="auto"/>
        <w:rPr>
          <w:rFonts w:hint="default" w:eastAsia="宋体"/>
          <w:snapToGrid w:val="0"/>
          <w:color w:val="auto"/>
          <w:sz w:val="24"/>
          <w:highlight w:val="none"/>
          <w:lang w:val="en-US" w:eastAsia="zh-CN"/>
        </w:rPr>
      </w:pPr>
      <w:r>
        <w:rPr>
          <w:rFonts w:hint="eastAsia"/>
          <w:snapToGrid w:val="0"/>
          <w:color w:val="auto"/>
          <w:sz w:val="24"/>
          <w:highlight w:val="none"/>
          <w:lang w:val="en-US" w:eastAsia="zh-CN"/>
        </w:rPr>
        <w:t>41.2进口产品</w:t>
      </w:r>
    </w:p>
    <w:p w14:paraId="61A28A2F">
      <w:pPr>
        <w:pStyle w:val="41"/>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1E5B9D62">
      <w:pPr>
        <w:pStyle w:val="41"/>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41.2</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 xml:space="preserve">进口产品指通过中国海关报关验放进入中国境内且产自关境外的产品，包括已经进入中国境内的进口产品。 </w:t>
      </w:r>
    </w:p>
    <w:p w14:paraId="3AD91D40">
      <w:pPr>
        <w:pStyle w:val="41"/>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3若采购需求中写明允许采购进口产品，投标人应保证所投产品可履行合法报通关手续进入中国关境内。</w:t>
      </w:r>
    </w:p>
    <w:p w14:paraId="20674311">
      <w:pPr>
        <w:pStyle w:val="41"/>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41.</w:t>
      </w:r>
      <w:r>
        <w:rPr>
          <w:rFonts w:hint="eastAsia"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lang w:val="en-US" w:eastAsia="zh-CN"/>
        </w:rPr>
        <w:t>4若采购需求中未写明允许采购进口产品，如投标人所投产品为进口产品，其投标将被认定为</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w:t>
      </w:r>
    </w:p>
    <w:p w14:paraId="54ACD6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7" w:name="_Toc17933"/>
      <w:bookmarkStart w:id="298" w:name="_Toc163492877"/>
      <w:bookmarkStart w:id="299" w:name="_Toc3349"/>
      <w:bookmarkStart w:id="300" w:name="_Toc13373"/>
      <w:r>
        <w:rPr>
          <w:rFonts w:hint="eastAsia" w:ascii="宋体" w:hAnsi="宋体" w:eastAsia="宋体" w:cs="宋体"/>
          <w:b/>
          <w:bCs/>
          <w:color w:val="auto"/>
          <w:kern w:val="2"/>
          <w:sz w:val="24"/>
          <w:szCs w:val="24"/>
          <w:highlight w:val="none"/>
          <w:lang w:val="en-US" w:eastAsia="zh-CN" w:bidi="ar-SA"/>
        </w:rPr>
        <w:t>42.中小企业、监狱企业及残疾人福利性单位</w:t>
      </w:r>
      <w:bookmarkEnd w:id="297"/>
      <w:bookmarkEnd w:id="298"/>
      <w:bookmarkEnd w:id="299"/>
      <w:bookmarkEnd w:id="300"/>
    </w:p>
    <w:p w14:paraId="3FAB2123">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 xml:space="preserve">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14:paraId="24E1F0D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42</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2</w:t>
      </w:r>
      <w:r>
        <w:rPr>
          <w:rFonts w:hint="eastAsia" w:ascii="宋体" w:hAnsi="宋体" w:eastAsia="宋体" w:cs="宋体"/>
          <w:snapToGrid w:val="0"/>
          <w:color w:val="auto"/>
          <w:sz w:val="24"/>
          <w:szCs w:val="24"/>
          <w:highlight w:val="none"/>
        </w:rPr>
        <w:t>为促进中小企业发展，依据《关于印发</w:t>
      </w:r>
      <w:r>
        <w:rPr>
          <w:rFonts w:hint="eastAsia"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政府采购促进中小企业发展管理办法</w:t>
      </w:r>
      <w:r>
        <w:rPr>
          <w:rFonts w:hint="eastAsia" w:cs="宋体"/>
          <w:snapToGrid w:val="0"/>
          <w:color w:val="auto"/>
          <w:sz w:val="24"/>
          <w:szCs w:val="24"/>
          <w:highlight w:val="none"/>
          <w:lang w:eastAsia="zh-CN"/>
        </w:rPr>
        <w:t>〉的通知》</w:t>
      </w:r>
      <w:r>
        <w:rPr>
          <w:rFonts w:hint="eastAsia" w:ascii="宋体" w:hAnsi="宋体" w:eastAsia="宋体" w:cs="宋体"/>
          <w:snapToGrid w:val="0"/>
          <w:color w:val="auto"/>
          <w:sz w:val="24"/>
          <w:szCs w:val="24"/>
          <w:highlight w:val="none"/>
        </w:rPr>
        <w:t>（财库〔2020〕46号）、《财政部 司法部关于政府采购支持监狱企业发展有关问题的通知》（财库〔2014〕68号）、《关于促进残疾人就业政府采购政策的通知》（财库〔2017〕141号）的规定，本项目供应商如</w:t>
      </w:r>
      <w:r>
        <w:rPr>
          <w:rFonts w:hint="eastAsia" w:ascii="宋体" w:hAnsi="宋体" w:eastAsia="宋体" w:cs="宋体"/>
          <w:snapToGrid w:val="0"/>
          <w:color w:val="auto"/>
          <w:sz w:val="24"/>
          <w:szCs w:val="24"/>
          <w:highlight w:val="none"/>
          <w:lang w:eastAsia="zh-CN"/>
        </w:rPr>
        <w:t>需享受中小企业相关政策的，且</w:t>
      </w:r>
      <w:r>
        <w:rPr>
          <w:rFonts w:hint="eastAsia" w:ascii="宋体" w:hAnsi="宋体" w:eastAsia="宋体" w:cs="宋体"/>
          <w:snapToGrid w:val="0"/>
          <w:color w:val="auto"/>
          <w:sz w:val="24"/>
          <w:szCs w:val="24"/>
          <w:highlight w:val="none"/>
        </w:rPr>
        <w:t>符合上述文件规定的，</w:t>
      </w:r>
      <w:r>
        <w:rPr>
          <w:rFonts w:hint="eastAsia" w:ascii="宋体" w:hAnsi="宋体" w:eastAsia="宋体" w:cs="宋体"/>
          <w:snapToGrid w:val="0"/>
          <w:color w:val="auto"/>
          <w:sz w:val="24"/>
          <w:szCs w:val="24"/>
          <w:highlight w:val="none"/>
          <w:lang w:eastAsia="zh-CN"/>
        </w:rPr>
        <w:t>应按本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，评审时，</w:t>
      </w:r>
      <w:r>
        <w:rPr>
          <w:rFonts w:hint="eastAsia" w:ascii="宋体" w:hAnsi="宋体" w:eastAsia="宋体" w:cs="宋体"/>
          <w:snapToGrid w:val="0"/>
          <w:color w:val="auto"/>
          <w:sz w:val="24"/>
          <w:szCs w:val="24"/>
          <w:highlight w:val="none"/>
          <w:lang w:val="en-US" w:eastAsia="zh-CN"/>
        </w:rPr>
        <w:t>评标委员会</w:t>
      </w:r>
      <w:r>
        <w:rPr>
          <w:rFonts w:hint="eastAsia" w:ascii="宋体" w:hAnsi="宋体" w:eastAsia="宋体" w:cs="宋体"/>
          <w:snapToGrid w:val="0"/>
          <w:color w:val="auto"/>
          <w:sz w:val="24"/>
          <w:szCs w:val="24"/>
          <w:highlight w:val="none"/>
        </w:rPr>
        <w:t>将依据</w:t>
      </w:r>
      <w:r>
        <w:rPr>
          <w:rFonts w:hint="eastAsia" w:ascii="宋体" w:hAnsi="宋体" w:eastAsia="宋体" w:cs="宋体"/>
          <w:snapToGrid w:val="0"/>
          <w:color w:val="auto"/>
          <w:sz w:val="24"/>
          <w:szCs w:val="24"/>
          <w:highlight w:val="none"/>
          <w:lang w:eastAsia="zh-CN"/>
        </w:rPr>
        <w:t>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w:t>
      </w:r>
      <w:r>
        <w:rPr>
          <w:rFonts w:hint="eastAsia" w:ascii="宋体" w:hAnsi="宋体" w:eastAsia="宋体" w:cs="宋体"/>
          <w:snapToGrid w:val="0"/>
          <w:color w:val="auto"/>
          <w:sz w:val="24"/>
          <w:szCs w:val="24"/>
          <w:highlight w:val="none"/>
        </w:rPr>
        <w:t>“</w:t>
      </w:r>
      <w:r>
        <w:rPr>
          <w:rFonts w:hint="eastAsia" w:ascii="宋体" w:hAnsi="宋体" w:eastAsia="宋体" w:cs="宋体"/>
          <w:snapToGrid w:val="0"/>
          <w:color w:val="auto"/>
          <w:sz w:val="24"/>
          <w:szCs w:val="24"/>
          <w:highlight w:val="none"/>
          <w:lang w:val="en-US" w:eastAsia="zh-CN"/>
        </w:rPr>
        <w:t>投标人</w:t>
      </w:r>
      <w:r>
        <w:rPr>
          <w:rFonts w:hint="eastAsia" w:ascii="宋体" w:hAnsi="宋体" w:eastAsia="宋体" w:cs="宋体"/>
          <w:snapToGrid w:val="0"/>
          <w:color w:val="auto"/>
          <w:sz w:val="24"/>
          <w:szCs w:val="24"/>
          <w:highlight w:val="none"/>
        </w:rPr>
        <w:t>须知前附表”规定的报价扣除比例，对供应商报价进行价格扣除，用扣除后的价格参与评审</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公告中明确项目专门面向中小企业采购的，“</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”为资格要求文件，</w:t>
      </w:r>
      <w:r>
        <w:rPr>
          <w:rFonts w:hint="eastAsia" w:ascii="宋体" w:hAnsi="宋体" w:eastAsia="宋体" w:cs="宋体"/>
          <w:snapToGrid w:val="0"/>
          <w:color w:val="auto"/>
          <w:sz w:val="24"/>
          <w:szCs w:val="24"/>
          <w:highlight w:val="none"/>
        </w:rPr>
        <w:t>供应商</w:t>
      </w:r>
      <w:r>
        <w:rPr>
          <w:rFonts w:hint="eastAsia" w:ascii="宋体" w:hAnsi="宋体" w:eastAsia="宋体" w:cs="宋体"/>
          <w:snapToGrid w:val="0"/>
          <w:color w:val="auto"/>
          <w:sz w:val="24"/>
          <w:szCs w:val="24"/>
          <w:highlight w:val="none"/>
          <w:lang w:eastAsia="zh-CN"/>
        </w:rPr>
        <w:t>参与</w:t>
      </w:r>
      <w:r>
        <w:rPr>
          <w:rFonts w:hint="eastAsia" w:ascii="宋体" w:hAnsi="宋体" w:eastAsia="宋体" w:cs="宋体"/>
          <w:snapToGrid w:val="0"/>
          <w:color w:val="auto"/>
          <w:sz w:val="24"/>
          <w:szCs w:val="24"/>
          <w:highlight w:val="none"/>
          <w:lang w:val="en-US" w:eastAsia="zh-CN"/>
        </w:rPr>
        <w:t>投标</w:t>
      </w:r>
      <w:r>
        <w:rPr>
          <w:rFonts w:hint="eastAsia" w:ascii="宋体" w:hAnsi="宋体" w:eastAsia="宋体" w:cs="宋体"/>
          <w:snapToGrid w:val="0"/>
          <w:color w:val="auto"/>
          <w:sz w:val="24"/>
          <w:szCs w:val="24"/>
          <w:highlight w:val="none"/>
          <w:lang w:eastAsia="zh-CN"/>
        </w:rPr>
        <w:t>须按本</w:t>
      </w:r>
      <w:r>
        <w:rPr>
          <w:rFonts w:hint="eastAsia" w:ascii="宋体" w:hAnsi="宋体" w:eastAsia="宋体" w:cs="宋体"/>
          <w:snapToGrid w:val="0"/>
          <w:color w:val="auto"/>
          <w:sz w:val="24"/>
          <w:szCs w:val="24"/>
          <w:highlight w:val="none"/>
          <w:lang w:val="en-US" w:eastAsia="zh-CN"/>
        </w:rPr>
        <w:t>招标</w:t>
      </w:r>
      <w:r>
        <w:rPr>
          <w:rFonts w:hint="eastAsia" w:ascii="宋体" w:hAnsi="宋体" w:eastAsia="宋体" w:cs="宋体"/>
          <w:snapToGrid w:val="0"/>
          <w:color w:val="auto"/>
          <w:sz w:val="24"/>
          <w:szCs w:val="24"/>
          <w:highlight w:val="none"/>
          <w:lang w:eastAsia="zh-CN"/>
        </w:rPr>
        <w:t>文件规定格式</w:t>
      </w:r>
      <w:r>
        <w:rPr>
          <w:rFonts w:hint="eastAsia" w:ascii="宋体" w:hAnsi="宋体" w:eastAsia="宋体" w:cs="宋体"/>
          <w:snapToGrid w:val="0"/>
          <w:color w:val="auto"/>
          <w:sz w:val="24"/>
          <w:szCs w:val="24"/>
          <w:highlight w:val="none"/>
        </w:rPr>
        <w:t>提供</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中小企业声明函</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rPr>
        <w:t>监狱企业证明文件</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或</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残疾人福利性单位声明函</w:t>
      </w:r>
      <w:r>
        <w:rPr>
          <w:rFonts w:hint="eastAsia" w:ascii="宋体" w:hAnsi="宋体" w:eastAsia="宋体" w:cs="宋体"/>
          <w:snapToGrid w:val="0"/>
          <w:color w:val="auto"/>
          <w:sz w:val="24"/>
          <w:szCs w:val="24"/>
          <w:highlight w:val="none"/>
          <w:lang w:eastAsia="zh-CN"/>
        </w:rPr>
        <w:t>”等作为资格证明文件。</w:t>
      </w:r>
      <w:r>
        <w:rPr>
          <w:rFonts w:hint="eastAsia" w:ascii="宋体" w:hAnsi="宋体" w:eastAsia="宋体" w:cs="宋体"/>
          <w:snapToGrid w:val="0"/>
          <w:color w:val="auto"/>
          <w:sz w:val="24"/>
          <w:szCs w:val="24"/>
          <w:highlight w:val="none"/>
          <w:lang w:val="en-US" w:eastAsia="zh-CN"/>
        </w:rPr>
        <w:t xml:space="preserve"> </w:t>
      </w:r>
    </w:p>
    <w:p w14:paraId="04411488">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42.3 供应商提供的货物、工程或者服务符合下列情形的，享受中小企业扶持政策： </w:t>
      </w:r>
    </w:p>
    <w:p w14:paraId="69FA8E38">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（1）在货物采购项目中，货物由中小企业制造，即货物由中小企业生产且使用该中小企业商号或者注册商标； </w:t>
      </w:r>
    </w:p>
    <w:p w14:paraId="06166A9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（2）在工程采购项目中，工程由中小企业承建，即工程施工单位为中小企业； </w:t>
      </w:r>
    </w:p>
    <w:p w14:paraId="4287706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（3）在服务采购项目中，服务由中小企业承接，即提供服务的人员为中小企业依照《中华人民共和国劳动合同法》订立劳动合同的从业人员。</w:t>
      </w:r>
    </w:p>
    <w:p w14:paraId="5610B5A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42.4 在服务采购项目中，供应商提供的服务既有中小企业承接，也有大型企业承接的，不享受中小企业扶持政策。 </w:t>
      </w:r>
    </w:p>
    <w:p w14:paraId="590DB6A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42.5 以联合体形式参加政府采购活动，联合体各方均为中小企业的，联合体视同中小企业。其中，联合体各方均为小微企业的，联合体视同小微企业。</w:t>
      </w:r>
    </w:p>
    <w:p w14:paraId="301A165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842BA7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D564213">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42.7.1 安置的残疾人占本单位在职职工人数的比例不低于 25% （含 25%），并且安置的残疾人人数不少于 10 人（含 10人）； </w:t>
      </w:r>
    </w:p>
    <w:p w14:paraId="6388F8A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42.7.2 依法与安置的每位残疾人签订了1年以上（含1年）的劳动合同或服务协议； </w:t>
      </w:r>
    </w:p>
    <w:p w14:paraId="255D849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42.7.3 为安置的每位残疾人按月足额缴纳了基本养老保险、基本医疗保险、失业保险、工伤保险和生育保险等社会保险费； </w:t>
      </w:r>
    </w:p>
    <w:p w14:paraId="49860B70">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42.7.4 通过银行等金融机构向安置的每位残疾人，按月支付了不低于单位所在区县适用的经省级人民政府批准的月最低工资标准的工资； </w:t>
      </w:r>
    </w:p>
    <w:p w14:paraId="7EF5F090">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42.7.5 提供本单位制造的货物、承担的工程或者服务（以下简称产品），或者提供其他残疾人福利性单位制造的货物（不包括使用非残疾人福利性单位注册商标的货物）； </w:t>
      </w:r>
    </w:p>
    <w:p w14:paraId="65A6B550">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 </w:t>
      </w:r>
    </w:p>
    <w:p w14:paraId="36980805">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42.8 本项目是否专门面向中小企业预留采购份额见“第一章 </w:t>
      </w:r>
      <w:r>
        <w:rPr>
          <w:rFonts w:hint="eastAsia" w:ascii="宋体" w:hAnsi="宋体" w:eastAsia="宋体" w:cs="宋体"/>
          <w:color w:val="auto"/>
          <w:sz w:val="24"/>
          <w:szCs w:val="24"/>
          <w:highlight w:val="none"/>
          <w:lang w:val="en-US" w:eastAsia="zh-CN"/>
        </w:rPr>
        <w:t>招标公告</w:t>
      </w:r>
      <w:r>
        <w:rPr>
          <w:rFonts w:hint="eastAsia" w:ascii="宋体" w:hAnsi="宋体" w:eastAsia="宋体" w:cs="宋体"/>
          <w:snapToGrid w:val="0"/>
          <w:color w:val="auto"/>
          <w:sz w:val="24"/>
          <w:szCs w:val="24"/>
          <w:highlight w:val="none"/>
          <w:lang w:val="en-US" w:eastAsia="zh-CN"/>
        </w:rPr>
        <w:t>”。    42.9 采购标的对应的中小企业划分标准所属行业见“投标人须知前附表”。    42.10 小微企业价格评审优惠的政策调整：见“投标人须知前附表”及“第五章 评标方法及标准”。</w:t>
      </w:r>
    </w:p>
    <w:p w14:paraId="1ECF0DA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1" w:name="_Toc23996"/>
      <w:bookmarkStart w:id="302" w:name="_Toc163492878"/>
      <w:bookmarkStart w:id="303" w:name="_Toc15890"/>
      <w:bookmarkStart w:id="304" w:name="_Toc5861"/>
      <w:r>
        <w:rPr>
          <w:rFonts w:hint="eastAsia" w:ascii="宋体" w:hAnsi="宋体" w:eastAsia="宋体" w:cs="宋体"/>
          <w:b/>
          <w:bCs/>
          <w:color w:val="auto"/>
          <w:kern w:val="2"/>
          <w:sz w:val="24"/>
          <w:szCs w:val="24"/>
          <w:highlight w:val="none"/>
          <w:lang w:val="en-US" w:eastAsia="zh-CN" w:bidi="ar-SA"/>
        </w:rPr>
        <w:t>43.政府采购节能产品、环境标志产品</w:t>
      </w:r>
      <w:bookmarkEnd w:id="301"/>
      <w:bookmarkEnd w:id="302"/>
      <w:bookmarkEnd w:id="303"/>
      <w:bookmarkEnd w:id="304"/>
    </w:p>
    <w:p w14:paraId="351455E8">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14:paraId="644F8C2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43.2 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4EEC5C5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43.3 如本项目采购产品属于实施政府强制采购品目清单范围的节能产品，则投标人所报产品必须获得国家确定的认证机构出具的、处于有效期之内的节能产品认证证书，否则</w:t>
      </w:r>
      <w:r>
        <w:rPr>
          <w:rFonts w:hint="eastAsia" w:ascii="宋体" w:hAnsi="宋体" w:eastAsia="宋体" w:cs="宋体"/>
          <w:b/>
          <w:bCs/>
          <w:snapToGrid w:val="0"/>
          <w:color w:val="auto"/>
          <w:sz w:val="24"/>
          <w:szCs w:val="24"/>
          <w:highlight w:val="none"/>
          <w:lang w:val="en-US" w:eastAsia="zh-CN"/>
        </w:rPr>
        <w:t>投标无效</w:t>
      </w:r>
      <w:r>
        <w:rPr>
          <w:rFonts w:hint="eastAsia" w:ascii="宋体" w:hAnsi="宋体" w:eastAsia="宋体" w:cs="宋体"/>
          <w:snapToGrid w:val="0"/>
          <w:color w:val="auto"/>
          <w:sz w:val="24"/>
          <w:szCs w:val="24"/>
          <w:highlight w:val="none"/>
          <w:lang w:val="en-US" w:eastAsia="zh-CN"/>
        </w:rPr>
        <w:t xml:space="preserve">。 </w:t>
      </w:r>
    </w:p>
    <w:p w14:paraId="07737FFF">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43.4 非政府强制采购的节能产品或环境标志产品，依据品目清单和认证证书实施政府优先采购。优先采购的具体规定见“第五章 评标方法及标准”（如涉及）。</w:t>
      </w:r>
    </w:p>
    <w:p w14:paraId="29701910">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 xml:space="preserve">43.5 </w:t>
      </w:r>
      <w:r>
        <w:rPr>
          <w:rFonts w:hint="eastAsia" w:ascii="宋体" w:hAnsi="宋体" w:eastAsia="宋体" w:cs="宋体"/>
          <w:snapToGrid w:val="0"/>
          <w:color w:val="auto"/>
          <w:sz w:val="24"/>
          <w:szCs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已作为投标时强制性要求不再给予</w:t>
      </w:r>
      <w:r>
        <w:rPr>
          <w:rFonts w:hint="eastAsia" w:ascii="宋体" w:hAnsi="宋体" w:eastAsia="宋体" w:cs="宋体"/>
          <w:snapToGrid w:val="0"/>
          <w:color w:val="auto"/>
          <w:sz w:val="24"/>
          <w:szCs w:val="24"/>
          <w:highlight w:val="none"/>
          <w:lang w:val="en-US" w:eastAsia="zh-CN"/>
        </w:rPr>
        <w:t>价格评审优惠</w:t>
      </w:r>
      <w:r>
        <w:rPr>
          <w:rFonts w:hint="eastAsia" w:ascii="宋体" w:hAnsi="宋体" w:eastAsia="宋体" w:cs="宋体"/>
          <w:snapToGrid w:val="0"/>
          <w:color w:val="auto"/>
          <w:sz w:val="24"/>
          <w:szCs w:val="24"/>
          <w:highlight w:val="none"/>
        </w:rPr>
        <w:t>，未提供认证证书的视为</w:t>
      </w:r>
      <w:r>
        <w:rPr>
          <w:rFonts w:hint="eastAsia" w:ascii="宋体" w:hAnsi="宋体" w:eastAsia="宋体" w:cs="宋体"/>
          <w:b/>
          <w:bCs/>
          <w:snapToGrid w:val="0"/>
          <w:color w:val="auto"/>
          <w:sz w:val="24"/>
          <w:szCs w:val="24"/>
          <w:highlight w:val="none"/>
          <w:lang w:val="en-US" w:eastAsia="zh-CN"/>
        </w:rPr>
        <w:t>投标</w:t>
      </w:r>
      <w:r>
        <w:rPr>
          <w:rFonts w:hint="eastAsia" w:ascii="宋体" w:hAnsi="宋体" w:eastAsia="宋体" w:cs="宋体"/>
          <w:b/>
          <w:bCs/>
          <w:snapToGrid w:val="0"/>
          <w:color w:val="auto"/>
          <w:sz w:val="24"/>
          <w:szCs w:val="24"/>
          <w:highlight w:val="none"/>
        </w:rPr>
        <w:t>无效</w:t>
      </w:r>
      <w:r>
        <w:rPr>
          <w:rFonts w:hint="eastAsia" w:ascii="宋体" w:hAnsi="宋体" w:eastAsia="宋体" w:cs="宋体"/>
          <w:snapToGrid w:val="0"/>
          <w:color w:val="auto"/>
          <w:sz w:val="24"/>
          <w:szCs w:val="24"/>
          <w:highlight w:val="none"/>
        </w:rPr>
        <w:t>。属于</w:t>
      </w:r>
      <w:r>
        <w:rPr>
          <w:rFonts w:hint="eastAsia" w:ascii="宋体" w:hAnsi="宋体" w:eastAsia="宋体" w:cs="宋体"/>
          <w:snapToGrid w:val="0"/>
          <w:color w:val="auto"/>
          <w:sz w:val="24"/>
          <w:szCs w:val="24"/>
          <w:highlight w:val="none"/>
          <w:lang w:val="en-US" w:eastAsia="zh-CN"/>
        </w:rPr>
        <w:t>优先采购</w:t>
      </w:r>
      <w:r>
        <w:rPr>
          <w:rFonts w:hint="eastAsia" w:ascii="宋体" w:hAnsi="宋体" w:eastAsia="宋体" w:cs="宋体"/>
          <w:snapToGrid w:val="0"/>
          <w:color w:val="auto"/>
          <w:sz w:val="24"/>
          <w:szCs w:val="24"/>
          <w:highlight w:val="none"/>
        </w:rPr>
        <w:t>节能产品政府采购品目清单、环境标志产品政府采购品目清单</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lang w:val="en-US" w:eastAsia="zh-CN"/>
        </w:rPr>
        <w:t>创新产品</w:t>
      </w:r>
      <w:r>
        <w:rPr>
          <w:rFonts w:hint="eastAsia" w:ascii="宋体" w:hAnsi="宋体" w:eastAsia="宋体" w:cs="宋体"/>
          <w:snapToGrid w:val="0"/>
          <w:color w:val="auto"/>
          <w:sz w:val="24"/>
          <w:szCs w:val="24"/>
          <w:highlight w:val="none"/>
        </w:rPr>
        <w:t>范围的，按照“</w:t>
      </w:r>
      <w:r>
        <w:rPr>
          <w:rFonts w:hint="eastAsia" w:ascii="宋体" w:hAnsi="宋体" w:eastAsia="宋体" w:cs="宋体"/>
          <w:color w:val="auto"/>
          <w:sz w:val="24"/>
          <w:szCs w:val="24"/>
          <w:highlight w:val="none"/>
          <w:lang w:val="en-US" w:eastAsia="zh-CN"/>
        </w:rPr>
        <w:t>第五章 评标方法及标准</w:t>
      </w:r>
      <w:r>
        <w:rPr>
          <w:rFonts w:hint="eastAsia" w:ascii="宋体" w:hAnsi="宋体" w:eastAsia="宋体" w:cs="宋体"/>
          <w:snapToGrid w:val="0"/>
          <w:color w:val="auto"/>
          <w:sz w:val="24"/>
          <w:szCs w:val="24"/>
          <w:highlight w:val="none"/>
        </w:rPr>
        <w:t>”中相关规定</w:t>
      </w:r>
      <w:r>
        <w:rPr>
          <w:rFonts w:hint="eastAsia" w:ascii="宋体" w:hAnsi="宋体" w:eastAsia="宋体" w:cs="宋体"/>
          <w:color w:val="auto"/>
          <w:sz w:val="24"/>
          <w:szCs w:val="24"/>
          <w:highlight w:val="none"/>
          <w:lang w:val="en-US" w:eastAsia="zh-CN"/>
        </w:rPr>
        <w:t>在评审时给予价格评审优惠，具体详见</w:t>
      </w:r>
      <w:r>
        <w:rPr>
          <w:rFonts w:hint="eastAsia" w:ascii="宋体" w:hAnsi="宋体" w:eastAsia="宋体" w:cs="宋体"/>
          <w:snapToGrid w:val="0"/>
          <w:color w:val="auto"/>
          <w:sz w:val="24"/>
          <w:szCs w:val="24"/>
          <w:highlight w:val="none"/>
          <w:lang w:val="en-US" w:eastAsia="zh-CN"/>
        </w:rPr>
        <w:t>“投标人须知前附表”及</w:t>
      </w:r>
      <w:r>
        <w:rPr>
          <w:rFonts w:hint="eastAsia" w:ascii="宋体" w:hAnsi="宋体" w:eastAsia="宋体" w:cs="宋体"/>
          <w:color w:val="auto"/>
          <w:sz w:val="24"/>
          <w:szCs w:val="24"/>
          <w:highlight w:val="none"/>
          <w:lang w:val="en-US" w:eastAsia="zh-CN"/>
        </w:rPr>
        <w:t>“第五章 评标方法及标准”</w:t>
      </w:r>
      <w:r>
        <w:rPr>
          <w:rFonts w:hint="eastAsia" w:ascii="宋体" w:hAnsi="宋体" w:eastAsia="宋体" w:cs="宋体"/>
          <w:color w:val="auto"/>
          <w:sz w:val="24"/>
          <w:szCs w:val="24"/>
          <w:highlight w:val="none"/>
        </w:rPr>
        <w:t>。</w:t>
      </w:r>
    </w:p>
    <w:p w14:paraId="1CA4780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5" w:name="_Toc8054"/>
      <w:bookmarkStart w:id="306" w:name="_Toc5777"/>
      <w:bookmarkStart w:id="307" w:name="_Toc22896"/>
      <w:bookmarkStart w:id="308" w:name="_Toc163492879"/>
      <w:r>
        <w:rPr>
          <w:rFonts w:hint="eastAsia" w:ascii="宋体" w:hAnsi="宋体" w:eastAsia="宋体" w:cs="宋体"/>
          <w:b/>
          <w:bCs/>
          <w:color w:val="auto"/>
          <w:kern w:val="2"/>
          <w:sz w:val="24"/>
          <w:szCs w:val="24"/>
          <w:highlight w:val="none"/>
          <w:lang w:val="en-US" w:eastAsia="zh-CN" w:bidi="ar-SA"/>
        </w:rPr>
        <w:t>44.正版软件</w:t>
      </w:r>
      <w:bookmarkEnd w:id="305"/>
      <w:bookmarkEnd w:id="306"/>
      <w:bookmarkEnd w:id="307"/>
      <w:r>
        <w:rPr>
          <w:rFonts w:hint="eastAsia" w:ascii="宋体" w:hAnsi="宋体" w:eastAsia="宋体" w:cs="宋体"/>
          <w:b/>
          <w:bCs/>
          <w:color w:val="auto"/>
          <w:kern w:val="2"/>
          <w:sz w:val="24"/>
          <w:szCs w:val="24"/>
          <w:highlight w:val="none"/>
          <w:lang w:val="en-US" w:eastAsia="zh-CN" w:bidi="ar-SA"/>
        </w:rPr>
        <w:t xml:space="preserve">  </w:t>
      </w:r>
    </w:p>
    <w:p w14:paraId="19E439C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3A7B65D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9" w:name="_Toc7834"/>
      <w:bookmarkStart w:id="310" w:name="_Toc27611"/>
      <w:bookmarkStart w:id="311" w:name="_Toc15694"/>
      <w:r>
        <w:rPr>
          <w:rFonts w:hint="eastAsia" w:ascii="宋体" w:hAnsi="宋体" w:eastAsia="宋体" w:cs="宋体"/>
          <w:b/>
          <w:bCs/>
          <w:color w:val="auto"/>
          <w:kern w:val="2"/>
          <w:sz w:val="24"/>
          <w:szCs w:val="24"/>
          <w:highlight w:val="none"/>
          <w:lang w:val="en-US" w:eastAsia="zh-CN" w:bidi="ar-SA"/>
        </w:rPr>
        <w:t>45.网络安全专用产品</w:t>
      </w:r>
      <w:bookmarkEnd w:id="309"/>
      <w:bookmarkEnd w:id="310"/>
      <w:bookmarkEnd w:id="311"/>
      <w:r>
        <w:rPr>
          <w:rFonts w:hint="eastAsia" w:ascii="宋体" w:hAnsi="宋体" w:eastAsia="宋体" w:cs="宋体"/>
          <w:b/>
          <w:bCs/>
          <w:color w:val="auto"/>
          <w:kern w:val="2"/>
          <w:sz w:val="24"/>
          <w:szCs w:val="24"/>
          <w:highlight w:val="none"/>
          <w:lang w:val="en-US" w:eastAsia="zh-CN" w:bidi="ar-SA"/>
        </w:rPr>
        <w:t xml:space="preserve">   </w:t>
      </w:r>
    </w:p>
    <w:p w14:paraId="4B117054">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w:t>
      </w:r>
      <w:r>
        <w:rPr>
          <w:rFonts w:hint="eastAsia"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网络关键设备和网络安全专用产品目录</w:t>
      </w:r>
      <w:r>
        <w:rPr>
          <w:rFonts w:hint="eastAsia"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的公告》等相关文件要求，所投标（响应）设备或产品至少符合以下条件之一：一是已由具备资格的机构安全认证合格或安全检测符合要求；二是已获得《计算机信息系统安全专用产品销售许可证》，且在有效期内。采购人、中标</w:t>
      </w:r>
      <w:r>
        <w:rPr>
          <w:rFonts w:hint="eastAsia"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成交</w:t>
      </w:r>
      <w:r>
        <w:rPr>
          <w:rFonts w:hint="eastAsia"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人双方签订合同及验收环节，应包含上述网络安全要求的条款。</w:t>
      </w:r>
    </w:p>
    <w:p w14:paraId="5A2F67C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45.2本项目中如涉及国家强制性产品认证证书（CCC 认证证书）、电信设备进网许可证、无线电发射设备核准证等市场准入类资质的，应严格执行国家相关法律法规的要求。采购人、中标</w:t>
      </w:r>
      <w:r>
        <w:rPr>
          <w:rFonts w:hint="eastAsia"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成交</w:t>
      </w:r>
      <w:r>
        <w:rPr>
          <w:rFonts w:hint="eastAsia"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 xml:space="preserve">人双方签订合同及验收环节，应包含上述市场准入类资质要求的条款。 </w:t>
      </w:r>
    </w:p>
    <w:p w14:paraId="4CE3D9A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2" w:name="_Toc27892"/>
      <w:bookmarkStart w:id="313" w:name="_Toc11862"/>
      <w:bookmarkStart w:id="314" w:name="_Toc5974"/>
      <w:r>
        <w:rPr>
          <w:rFonts w:hint="eastAsia" w:ascii="宋体" w:hAnsi="宋体" w:eastAsia="宋体" w:cs="宋体"/>
          <w:b/>
          <w:bCs/>
          <w:color w:val="auto"/>
          <w:kern w:val="2"/>
          <w:sz w:val="24"/>
          <w:szCs w:val="24"/>
          <w:highlight w:val="none"/>
          <w:lang w:val="en-US" w:eastAsia="zh-CN" w:bidi="ar-SA"/>
        </w:rPr>
        <w:t>46.采购需求标准</w:t>
      </w:r>
      <w:bookmarkEnd w:id="312"/>
      <w:bookmarkEnd w:id="313"/>
      <w:bookmarkEnd w:id="314"/>
      <w:r>
        <w:rPr>
          <w:rFonts w:hint="eastAsia" w:ascii="宋体" w:hAnsi="宋体" w:eastAsia="宋体" w:cs="宋体"/>
          <w:b/>
          <w:bCs/>
          <w:color w:val="auto"/>
          <w:kern w:val="2"/>
          <w:sz w:val="24"/>
          <w:szCs w:val="24"/>
          <w:highlight w:val="none"/>
          <w:lang w:val="en-US" w:eastAsia="zh-CN" w:bidi="ar-SA"/>
        </w:rPr>
        <w:t xml:space="preserve">   </w:t>
      </w:r>
    </w:p>
    <w:p w14:paraId="382DDDBA">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46.1 商品包装、快递包装政府采购需求标准（试行） </w:t>
      </w:r>
    </w:p>
    <w:p w14:paraId="3DBCEE7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为助力打好污染防治攻坚战，推广使用绿色包装，根据财政部关于印发《商品包装政府采购需求标准（试行）</w:t>
      </w:r>
      <w:r>
        <w:rPr>
          <w:rFonts w:hint="eastAsia" w:cs="宋体"/>
          <w:snapToGrid w:val="0"/>
          <w:color w:val="auto"/>
          <w:sz w:val="24"/>
          <w:szCs w:val="24"/>
          <w:highlight w:val="none"/>
          <w:lang w:val="en-US" w:eastAsia="zh-CN"/>
        </w:rPr>
        <w:t>》《</w:t>
      </w:r>
      <w:r>
        <w:rPr>
          <w:rFonts w:hint="eastAsia" w:ascii="宋体" w:hAnsi="宋体" w:eastAsia="宋体" w:cs="宋体"/>
          <w:snapToGrid w:val="0"/>
          <w:color w:val="auto"/>
          <w:sz w:val="24"/>
          <w:szCs w:val="24"/>
          <w:highlight w:val="none"/>
          <w:lang w:val="en-US" w:eastAsia="zh-CN"/>
        </w:rPr>
        <w:t xml:space="preserve">快递包装政府采购需求标准（试行）》的通知（财办库〔2020〕123 号），本项目如涉及商品包装和快递包装的，则其具体要求见第三章《采购需求》。 </w:t>
      </w:r>
    </w:p>
    <w:p w14:paraId="2B41897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46.2 绿色数据中心政府采购需求标准（试行） </w:t>
      </w:r>
    </w:p>
    <w:p w14:paraId="31A0686F">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07951A7B">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46.3台式计算机政府采购需求标准</w:t>
      </w:r>
    </w:p>
    <w:p w14:paraId="4B313D4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483FD0E6">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46.4便携式计算机政府采购需求标准</w:t>
      </w:r>
    </w:p>
    <w:p w14:paraId="0D1F36A0">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5D3DB8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46.5一体式计算机政府采购需求标准</w:t>
      </w:r>
    </w:p>
    <w:p w14:paraId="057C4B7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5552F55">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46.6工作站政府采购需求标准</w:t>
      </w:r>
    </w:p>
    <w:p w14:paraId="6F2F8F1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3655AA9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46.7通用服务器政府采购需求标准</w:t>
      </w:r>
    </w:p>
    <w:p w14:paraId="0AE0AA84">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079D6995">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46.8操作系统政府采购需求标准</w:t>
      </w:r>
    </w:p>
    <w:p w14:paraId="4810565F">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01E96F87">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46.9数据库政府采购需求标准</w:t>
      </w:r>
    </w:p>
    <w:p w14:paraId="7E851C99">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E9B642">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46.10物业管理服务政府采购需求标准（办公场所类）（试行）</w:t>
      </w:r>
    </w:p>
    <w:p w14:paraId="55F5483D">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28E24BC4">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5" w:name="_Toc18589"/>
      <w:bookmarkStart w:id="316" w:name="_Toc17357"/>
      <w:bookmarkStart w:id="317" w:name="_Toc27566"/>
      <w:r>
        <w:rPr>
          <w:rFonts w:hint="eastAsia" w:ascii="宋体" w:hAnsi="宋体" w:eastAsia="宋体" w:cs="宋体"/>
          <w:b/>
          <w:bCs/>
          <w:color w:val="auto"/>
          <w:kern w:val="2"/>
          <w:sz w:val="24"/>
          <w:szCs w:val="24"/>
          <w:highlight w:val="none"/>
          <w:lang w:val="en-US" w:eastAsia="zh-CN" w:bidi="ar-SA"/>
        </w:rPr>
        <w:t>（十四）政府采购合同融资政策</w:t>
      </w:r>
      <w:bookmarkEnd w:id="291"/>
      <w:bookmarkEnd w:id="292"/>
      <w:bookmarkEnd w:id="308"/>
      <w:bookmarkEnd w:id="315"/>
      <w:bookmarkEnd w:id="316"/>
      <w:bookmarkEnd w:id="317"/>
    </w:p>
    <w:p w14:paraId="04E4B81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8" w:name="_Toc10372"/>
      <w:bookmarkStart w:id="319" w:name="_Toc10283"/>
      <w:bookmarkStart w:id="320" w:name="_Toc16609"/>
      <w:bookmarkStart w:id="321" w:name="_Toc163492880"/>
      <w:r>
        <w:rPr>
          <w:rFonts w:hint="eastAsia" w:ascii="宋体" w:hAnsi="宋体" w:eastAsia="宋体" w:cs="宋体"/>
          <w:b/>
          <w:bCs/>
          <w:color w:val="auto"/>
          <w:kern w:val="2"/>
          <w:sz w:val="24"/>
          <w:szCs w:val="24"/>
          <w:highlight w:val="none"/>
          <w:lang w:val="en-US" w:eastAsia="zh-CN" w:bidi="ar-SA"/>
        </w:rPr>
        <w:t>47.政府采购合同融资政策</w:t>
      </w:r>
      <w:bookmarkEnd w:id="318"/>
      <w:bookmarkEnd w:id="319"/>
      <w:bookmarkEnd w:id="320"/>
      <w:bookmarkEnd w:id="321"/>
    </w:p>
    <w:p w14:paraId="0885DF80">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.1政府采购合同融资政策：见投标人须知前附表。</w:t>
      </w:r>
    </w:p>
    <w:p w14:paraId="7FC2DF3C">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22" w:name="_Toc6921"/>
      <w:bookmarkStart w:id="323" w:name="_Toc163492881"/>
      <w:bookmarkStart w:id="324" w:name="_Toc21672"/>
      <w:bookmarkStart w:id="325" w:name="_Toc25511"/>
      <w:r>
        <w:rPr>
          <w:rFonts w:hint="eastAsia" w:ascii="宋体" w:hAnsi="宋体" w:eastAsia="宋体" w:cs="宋体"/>
          <w:b/>
          <w:bCs/>
          <w:color w:val="auto"/>
          <w:kern w:val="2"/>
          <w:sz w:val="24"/>
          <w:szCs w:val="24"/>
          <w:highlight w:val="none"/>
          <w:lang w:val="en-US" w:eastAsia="zh-CN" w:bidi="ar-SA"/>
        </w:rPr>
        <w:t>（十五）其他</w:t>
      </w:r>
      <w:bookmarkEnd w:id="322"/>
      <w:bookmarkEnd w:id="323"/>
      <w:bookmarkEnd w:id="324"/>
      <w:bookmarkEnd w:id="325"/>
    </w:p>
    <w:p w14:paraId="111A18A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26" w:name="_Toc28158"/>
      <w:bookmarkStart w:id="327" w:name="_Toc19852"/>
      <w:bookmarkStart w:id="328" w:name="_Toc163492882"/>
      <w:bookmarkStart w:id="329" w:name="_Toc1148"/>
      <w:r>
        <w:rPr>
          <w:rFonts w:hint="eastAsia" w:ascii="宋体" w:hAnsi="宋体" w:eastAsia="宋体" w:cs="宋体"/>
          <w:b/>
          <w:bCs/>
          <w:color w:val="auto"/>
          <w:kern w:val="2"/>
          <w:sz w:val="24"/>
          <w:szCs w:val="24"/>
          <w:highlight w:val="none"/>
          <w:lang w:val="en-US" w:eastAsia="zh-CN" w:bidi="ar-SA"/>
        </w:rPr>
        <w:t>48.需要补充的其他内容</w:t>
      </w:r>
      <w:bookmarkEnd w:id="326"/>
      <w:bookmarkEnd w:id="327"/>
      <w:bookmarkEnd w:id="328"/>
      <w:bookmarkEnd w:id="329"/>
    </w:p>
    <w:p w14:paraId="3594B724">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.1需要补充的其他内容：见投标人须知前附表。</w:t>
      </w:r>
    </w:p>
    <w:p w14:paraId="279DE14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30" w:name="_Toc163492883"/>
      <w:bookmarkStart w:id="331" w:name="_Toc24080"/>
      <w:bookmarkStart w:id="332" w:name="_Toc155185886"/>
      <w:bookmarkStart w:id="333" w:name="_Toc11583"/>
      <w:bookmarkStart w:id="334" w:name="_Toc140132810"/>
      <w:bookmarkStart w:id="335" w:name="_Toc746"/>
      <w:r>
        <w:rPr>
          <w:rFonts w:hint="eastAsia" w:ascii="宋体" w:hAnsi="宋体" w:eastAsia="宋体" w:cs="宋体"/>
          <w:b/>
          <w:bCs/>
          <w:color w:val="auto"/>
          <w:kern w:val="2"/>
          <w:sz w:val="24"/>
          <w:szCs w:val="24"/>
          <w:highlight w:val="none"/>
          <w:lang w:val="en-US" w:eastAsia="zh-CN" w:bidi="ar-SA"/>
        </w:rPr>
        <w:t>49.适用法律</w:t>
      </w:r>
      <w:bookmarkEnd w:id="330"/>
      <w:bookmarkEnd w:id="331"/>
      <w:bookmarkEnd w:id="332"/>
      <w:bookmarkEnd w:id="333"/>
      <w:bookmarkEnd w:id="334"/>
      <w:bookmarkEnd w:id="335"/>
    </w:p>
    <w:p w14:paraId="5E55EA28">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49</w:t>
      </w:r>
      <w:r>
        <w:rPr>
          <w:rFonts w:hint="eastAsia" w:ascii="宋体" w:hAnsi="宋体" w:eastAsia="宋体" w:cs="宋体"/>
          <w:snapToGrid w:val="0"/>
          <w:color w:val="auto"/>
          <w:sz w:val="24"/>
          <w:szCs w:val="24"/>
          <w:highlight w:val="none"/>
        </w:rPr>
        <w:t>.1采购人、采购代理机构及投标人的一切采购活动均适用《中华人民共和国政府采购法</w:t>
      </w:r>
      <w:r>
        <w:rPr>
          <w:rFonts w:hint="eastAsia"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中华人民共和国政府采购法实施条例</w:t>
      </w:r>
      <w:r>
        <w:rPr>
          <w:rFonts w:hint="eastAsia"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政府采购货物和服务招标投标管理办法》（财政部令第87号）及相关法律法规。</w:t>
      </w:r>
    </w:p>
    <w:p w14:paraId="7CF5D961">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49</w:t>
      </w:r>
      <w:r>
        <w:rPr>
          <w:rFonts w:hint="eastAsia" w:ascii="宋体" w:hAnsi="宋体" w:eastAsia="宋体" w:cs="宋体"/>
          <w:snapToGrid w:val="0"/>
          <w:color w:val="auto"/>
          <w:sz w:val="24"/>
          <w:szCs w:val="24"/>
          <w:highlight w:val="none"/>
        </w:rPr>
        <w:t>.2政府采购合同的履行、违约责任和解决争议的方法等适用《中华人民共和国民法典》。</w:t>
      </w:r>
    </w:p>
    <w:p w14:paraId="302CDDC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36" w:name="_Toc17601"/>
      <w:bookmarkStart w:id="337" w:name="_Toc17546"/>
      <w:bookmarkStart w:id="338" w:name="_Toc7856"/>
      <w:bookmarkStart w:id="339" w:name="_Toc155185887"/>
      <w:bookmarkStart w:id="340" w:name="_Toc163492884"/>
      <w:r>
        <w:rPr>
          <w:rFonts w:hint="eastAsia" w:ascii="宋体" w:hAnsi="宋体" w:eastAsia="宋体" w:cs="宋体"/>
          <w:b/>
          <w:bCs/>
          <w:color w:val="auto"/>
          <w:kern w:val="2"/>
          <w:sz w:val="24"/>
          <w:szCs w:val="24"/>
          <w:highlight w:val="none"/>
          <w:lang w:val="en-US" w:eastAsia="zh-CN" w:bidi="ar-SA"/>
        </w:rPr>
        <w:t>50.解释权</w:t>
      </w:r>
      <w:bookmarkEnd w:id="336"/>
      <w:bookmarkEnd w:id="337"/>
      <w:bookmarkEnd w:id="338"/>
      <w:bookmarkEnd w:id="339"/>
      <w:bookmarkEnd w:id="340"/>
    </w:p>
    <w:p w14:paraId="608A73DC">
      <w:pPr>
        <w:pStyle w:val="41"/>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lang w:val="en-US" w:eastAsia="zh-CN"/>
        </w:rPr>
        <w:t>50</w:t>
      </w:r>
      <w:r>
        <w:rPr>
          <w:rFonts w:hint="eastAsia" w:ascii="宋体" w:hAnsi="宋体" w:eastAsia="宋体" w:cs="宋体"/>
          <w:snapToGrid w:val="0"/>
          <w:color w:val="auto"/>
          <w:sz w:val="24"/>
          <w:szCs w:val="24"/>
          <w:highlight w:val="none"/>
        </w:rPr>
        <w:t>.1本招标文件最终解释权归采购人或采购代理机构所有。</w:t>
      </w:r>
    </w:p>
    <w:p w14:paraId="40DE2E2E">
      <w:pPr>
        <w:pStyle w:val="41"/>
        <w:keepNext w:val="0"/>
        <w:keepLines w:val="0"/>
        <w:pageBreakBefore w:val="0"/>
        <w:widowControl w:val="0"/>
        <w:kinsoku/>
        <w:overflowPunct/>
        <w:topLinePunct w:val="0"/>
        <w:autoSpaceDE/>
        <w:autoSpaceDN/>
        <w:bidi w:val="0"/>
        <w:adjustRightInd/>
        <w:textAlignment w:val="auto"/>
        <w:rPr>
          <w:rFonts w:hint="eastAsia"/>
          <w:snapToGrid w:val="0"/>
          <w:color w:val="auto"/>
          <w:highlight w:val="none"/>
        </w:rPr>
      </w:pPr>
    </w:p>
    <w:p w14:paraId="6A15BE78">
      <w:pPr>
        <w:pStyle w:val="41"/>
        <w:keepNext w:val="0"/>
        <w:keepLines w:val="0"/>
        <w:pageBreakBefore w:val="0"/>
        <w:widowControl w:val="0"/>
        <w:kinsoku/>
        <w:overflowPunct/>
        <w:topLinePunct w:val="0"/>
        <w:autoSpaceDE/>
        <w:autoSpaceDN/>
        <w:bidi w:val="0"/>
        <w:adjustRightInd/>
        <w:textAlignment w:val="auto"/>
        <w:rPr>
          <w:rFonts w:hint="eastAsia"/>
          <w:snapToGrid w:val="0"/>
          <w:color w:val="auto"/>
          <w:highlight w:val="none"/>
        </w:rPr>
      </w:pPr>
    </w:p>
    <w:p w14:paraId="6666687B">
      <w:pPr>
        <w:pStyle w:val="41"/>
        <w:keepNext w:val="0"/>
        <w:keepLines w:val="0"/>
        <w:pageBreakBefore w:val="0"/>
        <w:widowControl w:val="0"/>
        <w:kinsoku/>
        <w:overflowPunct/>
        <w:topLinePunct w:val="0"/>
        <w:autoSpaceDE/>
        <w:autoSpaceDN/>
        <w:bidi w:val="0"/>
        <w:adjustRightInd/>
        <w:textAlignment w:val="auto"/>
        <w:rPr>
          <w:rFonts w:hint="eastAsia"/>
          <w:snapToGrid w:val="0"/>
          <w:color w:val="auto"/>
          <w:highlight w:val="none"/>
        </w:rPr>
      </w:pPr>
    </w:p>
    <w:p w14:paraId="13EBF126">
      <w:pPr>
        <w:pStyle w:val="41"/>
        <w:keepNext w:val="0"/>
        <w:keepLines w:val="0"/>
        <w:pageBreakBefore w:val="0"/>
        <w:widowControl w:val="0"/>
        <w:kinsoku/>
        <w:overflowPunct/>
        <w:topLinePunct w:val="0"/>
        <w:autoSpaceDE/>
        <w:autoSpaceDN/>
        <w:bidi w:val="0"/>
        <w:adjustRightInd/>
        <w:textAlignment w:val="auto"/>
        <w:rPr>
          <w:rFonts w:hint="eastAsia"/>
          <w:snapToGrid w:val="0"/>
          <w:color w:val="auto"/>
          <w:highlight w:val="none"/>
        </w:rPr>
      </w:pPr>
    </w:p>
    <w:p w14:paraId="15F0877E">
      <w:pPr>
        <w:pStyle w:val="41"/>
        <w:keepNext w:val="0"/>
        <w:keepLines w:val="0"/>
        <w:pageBreakBefore w:val="0"/>
        <w:widowControl w:val="0"/>
        <w:kinsoku/>
        <w:overflowPunct/>
        <w:topLinePunct w:val="0"/>
        <w:autoSpaceDE/>
        <w:autoSpaceDN/>
        <w:bidi w:val="0"/>
        <w:adjustRightInd/>
        <w:textAlignment w:val="auto"/>
        <w:rPr>
          <w:rFonts w:hint="eastAsia"/>
          <w:snapToGrid w:val="0"/>
          <w:color w:val="auto"/>
          <w:highlight w:val="none"/>
        </w:rPr>
      </w:pPr>
    </w:p>
    <w:p w14:paraId="0EE75921">
      <w:pPr>
        <w:pStyle w:val="41"/>
        <w:keepNext w:val="0"/>
        <w:keepLines w:val="0"/>
        <w:pageBreakBefore w:val="0"/>
        <w:widowControl w:val="0"/>
        <w:kinsoku/>
        <w:overflowPunct/>
        <w:topLinePunct w:val="0"/>
        <w:autoSpaceDE/>
        <w:autoSpaceDN/>
        <w:bidi w:val="0"/>
        <w:adjustRightInd/>
        <w:textAlignment w:val="auto"/>
        <w:rPr>
          <w:rFonts w:hint="eastAsia"/>
          <w:snapToGrid w:val="0"/>
          <w:color w:val="auto"/>
          <w:highlight w:val="none"/>
        </w:rPr>
      </w:pPr>
    </w:p>
    <w:p w14:paraId="7F0A8682">
      <w:pPr>
        <w:pStyle w:val="41"/>
        <w:keepNext w:val="0"/>
        <w:keepLines w:val="0"/>
        <w:pageBreakBefore w:val="0"/>
        <w:widowControl w:val="0"/>
        <w:kinsoku/>
        <w:overflowPunct/>
        <w:topLinePunct w:val="0"/>
        <w:autoSpaceDE/>
        <w:autoSpaceDN/>
        <w:bidi w:val="0"/>
        <w:adjustRightInd/>
        <w:textAlignment w:val="auto"/>
        <w:rPr>
          <w:rFonts w:hint="eastAsia"/>
          <w:snapToGrid w:val="0"/>
          <w:color w:val="auto"/>
          <w:highlight w:val="none"/>
        </w:rPr>
      </w:pPr>
    </w:p>
    <w:p w14:paraId="5085F113">
      <w:pPr>
        <w:pStyle w:val="41"/>
        <w:keepNext w:val="0"/>
        <w:keepLines w:val="0"/>
        <w:pageBreakBefore w:val="0"/>
        <w:widowControl w:val="0"/>
        <w:kinsoku/>
        <w:overflowPunct/>
        <w:topLinePunct w:val="0"/>
        <w:autoSpaceDE/>
        <w:autoSpaceDN/>
        <w:bidi w:val="0"/>
        <w:adjustRightInd/>
        <w:textAlignment w:val="auto"/>
        <w:rPr>
          <w:rFonts w:hint="eastAsia"/>
          <w:snapToGrid w:val="0"/>
          <w:color w:val="auto"/>
          <w:highlight w:val="none"/>
        </w:rPr>
      </w:pPr>
    </w:p>
    <w:p w14:paraId="269FC04F">
      <w:pPr>
        <w:rPr>
          <w:rFonts w:hint="eastAsia" w:ascii="宋体" w:hAnsi="宋体" w:eastAsia="宋体" w:cs="宋体"/>
          <w:b/>
          <w:bCs/>
          <w:color w:val="auto"/>
          <w:kern w:val="44"/>
          <w:sz w:val="36"/>
          <w:szCs w:val="36"/>
          <w:highlight w:val="none"/>
          <w:lang w:val="en-US" w:eastAsia="zh-CN" w:bidi="ar-SA"/>
        </w:rPr>
      </w:pPr>
      <w:bookmarkStart w:id="341" w:name="_Toc21746"/>
      <w:bookmarkStart w:id="342" w:name="_Toc155185888"/>
      <w:r>
        <w:rPr>
          <w:rFonts w:hint="eastAsia" w:ascii="宋体" w:hAnsi="宋体" w:eastAsia="宋体" w:cs="宋体"/>
          <w:b/>
          <w:bCs/>
          <w:color w:val="auto"/>
          <w:kern w:val="44"/>
          <w:sz w:val="36"/>
          <w:szCs w:val="36"/>
          <w:highlight w:val="none"/>
          <w:lang w:val="en-US" w:eastAsia="zh-CN" w:bidi="ar-SA"/>
        </w:rPr>
        <w:br w:type="page"/>
      </w:r>
    </w:p>
    <w:p w14:paraId="399253E5">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第三章 采购需求</w:t>
      </w:r>
      <w:bookmarkEnd w:id="341"/>
      <w:bookmarkEnd w:id="342"/>
    </w:p>
    <w:p w14:paraId="384E150D">
      <w:pPr>
        <w:pStyle w:val="59"/>
        <w:pageBreakBefore w:val="0"/>
        <w:shd w:val="clear" w:color="auto" w:fill="auto"/>
        <w:kinsoku/>
        <w:wordWrap/>
        <w:overflowPunct/>
        <w:topLinePunct w:val="0"/>
        <w:bidi w:val="0"/>
        <w:spacing w:line="360" w:lineRule="auto"/>
        <w:ind w:firstLine="426" w:firstLineChars="177"/>
        <w:rPr>
          <w:rFonts w:hint="eastAsia" w:ascii="宋体" w:hAnsi="宋体" w:eastAsia="宋体" w:cs="宋体"/>
          <w:color w:val="auto"/>
          <w:sz w:val="24"/>
          <w:highlight w:val="none"/>
          <w:lang w:val="en-US" w:eastAsia="zh-CN"/>
        </w:rPr>
      </w:pPr>
      <w:bookmarkStart w:id="343" w:name="_Toc155185889"/>
      <w:bookmarkStart w:id="344" w:name="_Toc140132812"/>
      <w:r>
        <w:rPr>
          <w:rFonts w:hint="eastAsia" w:ascii="宋体" w:hAnsi="宋体" w:eastAsia="宋体" w:cs="宋体"/>
          <w:b/>
          <w:bCs/>
          <w:color w:val="auto"/>
          <w:sz w:val="24"/>
          <w:highlight w:val="none"/>
          <w:lang w:val="en-US" w:eastAsia="zh-CN"/>
        </w:rPr>
        <w:t>一、项目名称</w:t>
      </w:r>
    </w:p>
    <w:p w14:paraId="640509A5">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“公益福彩·情暖天山”2026年公益宣传及品牌推广服务项目</w:t>
      </w:r>
    </w:p>
    <w:p w14:paraId="70081E3D">
      <w:pPr>
        <w:pStyle w:val="59"/>
        <w:pageBreakBefore w:val="0"/>
        <w:shd w:val="clear" w:color="auto" w:fill="auto"/>
        <w:kinsoku/>
        <w:wordWrap/>
        <w:overflowPunct/>
        <w:topLinePunct w:val="0"/>
        <w:bidi w:val="0"/>
        <w:spacing w:line="360" w:lineRule="auto"/>
        <w:ind w:firstLine="426" w:firstLineChars="177"/>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二、项目预算</w:t>
      </w:r>
    </w:p>
    <w:p w14:paraId="159F925E">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采购预算（招标控制价）</w:t>
      </w:r>
      <w:r>
        <w:rPr>
          <w:rFonts w:hint="eastAsia" w:ascii="宋体" w:hAnsi="宋体" w:eastAsia="宋体" w:cs="宋体"/>
          <w:color w:val="auto"/>
          <w:sz w:val="24"/>
          <w:highlight w:val="none"/>
          <w:lang w:val="en-US" w:eastAsia="zh-CN"/>
        </w:rPr>
        <w:t>：546万元</w:t>
      </w:r>
    </w:p>
    <w:p w14:paraId="6E55EB6F">
      <w:pPr>
        <w:pStyle w:val="59"/>
        <w:pageBreakBefore w:val="0"/>
        <w:shd w:val="clear" w:color="auto" w:fill="auto"/>
        <w:kinsoku/>
        <w:wordWrap/>
        <w:overflowPunct/>
        <w:topLinePunct w:val="0"/>
        <w:bidi w:val="0"/>
        <w:spacing w:line="360" w:lineRule="auto"/>
        <w:ind w:firstLine="426" w:firstLineChars="177"/>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三</w:t>
      </w:r>
      <w:r>
        <w:rPr>
          <w:rFonts w:hint="eastAsia" w:ascii="宋体" w:hAnsi="宋体" w:eastAsia="宋体" w:cs="宋体"/>
          <w:b/>
          <w:bCs/>
          <w:color w:val="auto"/>
          <w:sz w:val="24"/>
          <w:highlight w:val="none"/>
          <w:lang w:val="en-US" w:eastAsia="zh-CN"/>
        </w:rPr>
        <w:t>、项目要求</w:t>
      </w:r>
    </w:p>
    <w:p w14:paraId="2DF77FEF">
      <w:pPr>
        <w:pStyle w:val="59"/>
        <w:pageBreakBefore w:val="0"/>
        <w:shd w:val="clear" w:color="auto" w:fill="auto"/>
        <w:kinsoku/>
        <w:wordWrap/>
        <w:overflowPunct/>
        <w:topLinePunct w:val="0"/>
        <w:bidi w:val="0"/>
        <w:spacing w:line="360" w:lineRule="auto"/>
        <w:ind w:firstLine="426" w:firstLineChars="177"/>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（一）项目目标</w:t>
      </w:r>
    </w:p>
    <w:p w14:paraId="1F86CA9A">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深化福利彩票“扶老、助残、救孤、济困”核心发行宗旨的社会传播，强化公众认知；全方位彰显福彩“公益、责任、阳光”的品牌价值，提升品牌公信力；扩大福彩品牌在新疆区域的传播力、引导力和影响力，实现全域覆盖；提升社会各界对新疆福利彩票的认知度、美誉度和用户好感度；助力福利彩票市场实现和谐、健康、高质量发展，激发市场内生动力。</w:t>
      </w:r>
    </w:p>
    <w:p w14:paraId="01EF879A">
      <w:pPr>
        <w:pStyle w:val="59"/>
        <w:pageBreakBefore w:val="0"/>
        <w:shd w:val="clear" w:color="auto" w:fill="auto"/>
        <w:kinsoku/>
        <w:wordWrap/>
        <w:overflowPunct/>
        <w:topLinePunct w:val="0"/>
        <w:bidi w:val="0"/>
        <w:spacing w:line="360" w:lineRule="auto"/>
        <w:ind w:firstLine="426" w:firstLineChars="177"/>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（二）项目内容</w:t>
      </w:r>
    </w:p>
    <w:p w14:paraId="751B5EF0">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1.项目概述 </w:t>
      </w:r>
    </w:p>
    <w:p w14:paraId="15AD9A35">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以“公益福彩・情暖天山”为主题，策划公益宣传及品牌推广活动。活动整合品牌宣传、公益展示、节目演出、互动游戏、集章抽奖、拍照打卡及线上线下联动宣传等多元形式，打造集品牌传播与用户体验于一体的公益品牌推广场景，实现品效合一的传播成效，推动品牌从“单向传播”深化为“用户深度认同”，彰显福彩公益内核与品牌温度。</w:t>
      </w:r>
    </w:p>
    <w:p w14:paraId="18CDBE2B">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2.时间、地点及场次</w:t>
      </w:r>
    </w:p>
    <w:p w14:paraId="58CF4CF2">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在2026年</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月期间</w:t>
      </w:r>
      <w:r>
        <w:rPr>
          <w:rFonts w:hint="eastAsia" w:ascii="宋体" w:hAnsi="宋体" w:eastAsia="宋体" w:cs="宋体"/>
          <w:color w:val="auto"/>
          <w:sz w:val="24"/>
          <w:highlight w:val="none"/>
          <w:lang w:val="en-US" w:eastAsia="zh-CN"/>
        </w:rPr>
        <w:t>，利用周末时间在乌鲁木齐市、克拉玛依市、哈密市、昌吉市、伊宁市、吐鲁番市、塔城市、阿勒泰市、博乐市、库尔勒市、阿克苏市、喀什市、和田市、阿图什市14个城市的商场或户外开展公益地推活动，每个城市各2场，每天一场，不少于28场，每场活动持续时间不少于8小时。</w:t>
      </w:r>
    </w:p>
    <w:p w14:paraId="2CF00851">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3.活动开展方式</w:t>
      </w:r>
    </w:p>
    <w:p w14:paraId="2C709760">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提供的活动方式包括但不限于：打造沉浸式主题场地与福彩公益及责任彩票展示区（公示公益金使用案例及责任彩票案例），编排融合地域文化与彩票公益、责任彩票内涵的文艺节目，设计趣味互动游戏、福彩知识问答及集章抽奖环节，实时观看开奖等核心场景，并通过前期预热、中期宣传、后期裂变的全周期线上线下联动宣传，构建 “公益可感、责任可知、互动有趣、传播高效” 的活动体系。</w:t>
      </w:r>
    </w:p>
    <w:p w14:paraId="5C878AB3">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4.活动场地要求</w:t>
      </w:r>
    </w:p>
    <w:p w14:paraId="54F33304">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活动选择在客流量多且年轻客群占比高的商业综合体内或户外（2选1）开展。选择的</w:t>
      </w:r>
      <w:r>
        <w:rPr>
          <w:rFonts w:hint="eastAsia" w:ascii="宋体" w:hAnsi="宋体" w:cs="宋体"/>
          <w:color w:val="auto"/>
          <w:sz w:val="24"/>
          <w:highlight w:val="none"/>
          <w:lang w:val="en-US" w:eastAsia="zh-CN"/>
        </w:rPr>
        <w:t>场地</w:t>
      </w:r>
      <w:r>
        <w:rPr>
          <w:rFonts w:hint="eastAsia" w:ascii="宋体" w:hAnsi="宋体" w:eastAsia="宋体" w:cs="宋体"/>
          <w:color w:val="auto"/>
          <w:sz w:val="24"/>
          <w:highlight w:val="none"/>
          <w:lang w:val="en-US" w:eastAsia="zh-CN"/>
        </w:rPr>
        <w:t>（包含但不限于）：乌鲁木齐市会展吾悦广场或新疆大巴扎、喀什市古城万达广场或东城万达、伊宁市万荣购物中心、库尔勒市新汇嘉商场、昌吉市汇嘉时代广场、塔城市卓悦百盛购物中心或千泉湖广场、哈密市汇嘉时代商业综合体、克拉玛依市新汇嘉商场或汇嘉滨河广场、阿克苏市世纪广场或天百商场、和田市金鹰国际商场、阿勒泰市五百里风情街、博州赛里木湖景区、阿图什市幸福小区广场、</w:t>
      </w:r>
      <w:r>
        <w:rPr>
          <w:rFonts w:hint="eastAsia" w:ascii="宋体" w:hAnsi="宋体" w:cs="宋体"/>
          <w:color w:val="auto"/>
          <w:sz w:val="24"/>
          <w:highlight w:val="none"/>
          <w:lang w:val="en-US" w:eastAsia="zh-CN"/>
        </w:rPr>
        <w:t>吐鲁番市</w:t>
      </w:r>
      <w:r>
        <w:rPr>
          <w:rFonts w:hint="eastAsia" w:ascii="宋体" w:hAnsi="宋体" w:eastAsia="宋体" w:cs="宋体"/>
          <w:color w:val="auto"/>
          <w:sz w:val="24"/>
          <w:highlight w:val="none"/>
          <w:lang w:val="en-US" w:eastAsia="zh-CN"/>
        </w:rPr>
        <w:t>西游步行街。（活动场地需选择在客流量大、年轻客群占比高的核心商圈商场中庭或户外广场。具体场地由中标供应商根据此标准选择并报采购人确认。）</w:t>
      </w:r>
    </w:p>
    <w:p w14:paraId="53022AE9">
      <w:pPr>
        <w:pStyle w:val="59"/>
        <w:pageBreakBefore w:val="0"/>
        <w:shd w:val="clear" w:color="auto" w:fill="auto"/>
        <w:kinsoku/>
        <w:wordWrap/>
        <w:overflowPunct/>
        <w:topLinePunct w:val="0"/>
        <w:bidi w:val="0"/>
        <w:spacing w:line="360" w:lineRule="auto"/>
        <w:ind w:firstLine="426" w:firstLineChars="177"/>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（三）付款方式</w:t>
      </w:r>
      <w:r>
        <w:rPr>
          <w:rFonts w:hint="eastAsia" w:ascii="宋体" w:hAnsi="宋体" w:eastAsia="宋体" w:cs="宋体"/>
          <w:color w:val="auto"/>
          <w:sz w:val="24"/>
          <w:highlight w:val="none"/>
          <w:lang w:val="en-US" w:eastAsia="zh-CN"/>
        </w:rPr>
        <w:t xml:space="preserve"> </w:t>
      </w:r>
    </w:p>
    <w:p w14:paraId="4D08C688">
      <w:pPr>
        <w:pStyle w:val="59"/>
        <w:pageBreakBefore w:val="0"/>
        <w:shd w:val="clear" w:color="auto" w:fill="auto"/>
        <w:kinsoku/>
        <w:wordWrap/>
        <w:overflowPunct/>
        <w:topLinePunct w:val="0"/>
        <w:bidi w:val="0"/>
        <w:spacing w:line="360" w:lineRule="auto"/>
        <w:ind w:firstLine="424" w:firstLineChars="177"/>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费用分为三次支付，项目实施方案经双方确定且双方签订合同后，支付合同费用总额的55%；2026年8月，若已开展的活动（不少于10个城市）均验收合格，支付合同费用总额的35%；活动执行完毕且验收合格后支付合同费用总额的10%，并一次性无息退还履约保证金。</w:t>
      </w:r>
    </w:p>
    <w:p w14:paraId="22EE63D3">
      <w:pPr>
        <w:pStyle w:val="59"/>
        <w:pageBreakBefore w:val="0"/>
        <w:shd w:val="clear" w:color="auto" w:fill="auto"/>
        <w:kinsoku/>
        <w:wordWrap/>
        <w:overflowPunct/>
        <w:topLinePunct w:val="0"/>
        <w:bidi w:val="0"/>
        <w:spacing w:line="360" w:lineRule="auto"/>
        <w:ind w:firstLine="426" w:firstLineChars="177"/>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（四）项目执行</w:t>
      </w:r>
    </w:p>
    <w:p w14:paraId="25C93F0D">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所有工作均由供应商全权负责，包括但不限于物料设计制作、仓储运输、现场搭建与拆卸、场地租赁及手续办理、与场地方沟通对接、活动场地清理、音响灯光设备调试、工作人员招募培训与管理、奖品纪念品采购与发放、线上小程序开发与现场秩序维护、现场安全保障、相关部门备案等，新疆福彩仅提供必要的政策指导及福彩相关基础资料。</w:t>
      </w:r>
    </w:p>
    <w:p w14:paraId="21250E19">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1.场地及搭建要求</w:t>
      </w:r>
    </w:p>
    <w:p w14:paraId="79ED2B01">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场地及搭建要求：①选址标准：优先选择客流量大、年轻客群占比高的核心商圈商场中庭或户外广场，单个活动场地总面积不低于120平方米，场地周边500米范围内无福彩竞品销售点位；②搭建标准：主舞台搭建面积不低于40平方米，物料需采用色显精度高、稳固安全、环保耐用的材质，外观美观大方，符合“公益福彩·情暖天山”主题风格，融入福彩游戏元素、福彩公益元素、责任彩票元素及新疆民族特色元素；③内容要求：现场必须设置展板、展架等物料，内容需经新疆福彩审核确认，突出公益成果、发行宗旨、责任彩票及理性购彩理念，达到推广造势与用户共情的效果。④现场设备质量及灯光效果：现场设备必须质量可靠、运行稳定无故障，灯光效果需柔和适中、亮度均匀，既能清晰呈现现场公益展示内容、保障活动顺利开展，又能营造温馨且欢快的公益氛围，贴合活动现场主题。⑤现场必须设置福利彩票文化展示区，供参与者体验彩票公益文化。</w:t>
      </w:r>
    </w:p>
    <w:p w14:paraId="64021962">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2.奖品要求</w:t>
      </w:r>
    </w:p>
    <w:p w14:paraId="3D490B6A">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最终选用奖品类型由新疆福彩确定。奖品分为纪念品和抽奖奖品，①奖品费用占项目最终成交价的比例为28%—40%；其中，纪念品费用占项目最终成交价的比例不低于5%，且单个纪念品价值不低于10元；抽奖奖品总费用占项目最终成交价的比例不低于23%，且单场抽奖奖品费用占项目最终成交价的比例不低于0.8%，②价格依据：所有实物奖品、纪念品价格以活动当期京东、天猫等正规电商平台公开售价为基准，供应商需提供采购凭证及价格截图；③奖项配置：单场活动抽奖设置三级及以上奖项，一等奖不</w:t>
      </w:r>
      <w:r>
        <w:rPr>
          <w:rFonts w:hint="eastAsia" w:ascii="宋体" w:hAnsi="宋体" w:cs="宋体"/>
          <w:color w:val="auto"/>
          <w:sz w:val="24"/>
          <w:highlight w:val="none"/>
          <w:lang w:val="en-US" w:eastAsia="zh-CN"/>
        </w:rPr>
        <w:t>少于</w:t>
      </w:r>
      <w:r>
        <w:rPr>
          <w:rFonts w:hint="eastAsia" w:ascii="宋体" w:hAnsi="宋体" w:eastAsia="宋体" w:cs="宋体"/>
          <w:color w:val="auto"/>
          <w:sz w:val="24"/>
          <w:highlight w:val="none"/>
          <w:lang w:val="en-US" w:eastAsia="zh-CN"/>
        </w:rPr>
        <w:t xml:space="preserve">6个（每个抽奖环节至少1个），单个价值≥5000元；二等奖不少于20个（每个抽奖环节至少5个），单个价值≥500元；三等奖不少于40个（每个抽奖环节至少10个），单个价值≥100元；④定制要求：除一等奖外，所有奖品、纪念品须印有符合新疆福彩官方规范的福彩标志LOGO，样式经新疆福彩审核确认；⑤展示要求：活动现场需设置专门奖品展示区，或在主题海报、宣传大屏上清晰印制奖品图案及价值。 </w:t>
      </w:r>
    </w:p>
    <w:p w14:paraId="54558D97">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3.活动物品归属</w:t>
      </w:r>
    </w:p>
    <w:p w14:paraId="1FE5E231">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烘托活动现场氛围搭建的宣传物料须循环使用，活动结束后，宣传物料（除数字大屏外）和未使用完的活动奖品，交由活动开展的地（州、市）福彩中心选择保留使用。</w:t>
      </w:r>
    </w:p>
    <w:p w14:paraId="7A3E9ECD">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4.现场宣传</w:t>
      </w:r>
    </w:p>
    <w:p w14:paraId="5220715B">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内容要求：通过音频播报、视频展播、海报展示、互动讲解等方式，全面宣传福彩发行宗旨、责任彩票建设、理性购彩知识、打击非法彩票政策、公益属性及游戏规则等内容，现场宣传物料（海报、展架、DM单等）需统一设计风格并经新疆福彩审核；②社交传播激励：参与者以活动现场为背景拍摄图文或视频，发布至朋友圈、抖音等社交平台并附带#公益福彩情暖天山#话题，同时关注新疆福彩官方公众号及抖音号，可凭发布记录领取纪念品1份（每人限领1次，不可重复领取）。</w:t>
      </w:r>
    </w:p>
    <w:p w14:paraId="5023B30E">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5.线上+线下宣传</w:t>
      </w:r>
    </w:p>
    <w:p w14:paraId="33EEE2FC">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构建“线上引流—线下体验—线上裂变”的联动体系，以“公益福彩·情暖天山”为主题开发融合地域特色的线上互动小程序，嵌入新疆福彩官方公众号。通过小程序开展线上抽奖、福彩知识答题、集卡兑换等活动，引导线上用户跳转至线下参与活动，形成“线上线下双向赋能”的传播闭环。</w:t>
      </w:r>
    </w:p>
    <w:p w14:paraId="383F2ABF">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6.节目演出</w:t>
      </w:r>
    </w:p>
    <w:p w14:paraId="5DADCB2C">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①基础要求：单场活动安排不少于4个文艺节目，单个节目时长≥3分钟，参与人数≥5人，必须为正规的</w:t>
      </w:r>
      <w:r>
        <w:rPr>
          <w:rFonts w:hint="eastAsia" w:ascii="宋体" w:hAnsi="宋体" w:cs="宋体"/>
          <w:color w:val="auto"/>
          <w:sz w:val="24"/>
          <w:highlight w:val="none"/>
          <w:lang w:val="en-US" w:eastAsia="zh-CN"/>
        </w:rPr>
        <w:t>、具</w:t>
      </w:r>
      <w:r>
        <w:rPr>
          <w:rFonts w:hint="eastAsia" w:ascii="宋体" w:hAnsi="宋体" w:eastAsia="宋体" w:cs="宋体"/>
          <w:color w:val="auto"/>
          <w:sz w:val="24"/>
          <w:highlight w:val="none"/>
          <w:lang w:val="en-US" w:eastAsia="zh-CN"/>
        </w:rPr>
        <w:t>有专业资质的演出团队表演，杜绝低俗、暴力等不良内容；②内容要求：节目题材包括歌舞表演、民族乐器演奏、传统文化展示等，需贴合活动主题，融入福彩公益理念、责任彩票宣传、打击非法彩票及新疆多民族文化等元素，助力“文化润疆”工程，内容新颖、积极向上；③应标要求：投标时需提供每个节目的详细资料，包括节目脚本、演出团队资质证明、节目演出视频等。</w:t>
      </w:r>
    </w:p>
    <w:p w14:paraId="1B1BEF04">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7.游戏互动</w:t>
      </w:r>
    </w:p>
    <w:p w14:paraId="6932B3D9">
      <w:pPr>
        <w:pStyle w:val="59"/>
        <w:pageBreakBefore w:val="0"/>
        <w:shd w:val="clear" w:color="auto" w:fill="auto"/>
        <w:kinsoku/>
        <w:wordWrap/>
        <w:overflowPunct/>
        <w:topLinePunct w:val="0"/>
        <w:bidi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线上互动：必须具备会场主屏幕与用户手机端联动的线上互动能力，单场设置不少于4个多人参与的有奖互动游戏（如摇一摇、切水果等线上游戏），分时段开展以聚集现场人气；②线下游戏：现场设置不少于4个趣味小游戏，难度适中，兼具趣味性、安全性和挑战性，既要让现场参与者踊跃参加，又不能让参与者失去积极性，使活动现场保持人气热度。参与者完成游戏可获得奖品及“游戏徽章”，集齐所有徽章可参与抽奖环节；③应标要求：投标时需提供每个游戏的具体规则说明、游戏演示视频、道具清单、安全保障措施等资料。</w:t>
      </w:r>
    </w:p>
    <w:p w14:paraId="1CEAA384">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8.抽奖互动</w:t>
      </w:r>
    </w:p>
    <w:p w14:paraId="2A97D2D7">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抽奖环节面向完成线下小游戏并集齐“游戏徽章”的参与者开放，通过现场摇号、随机抽取等公开透明方式进行，中奖结果现场公示，确保公平公正，中奖者需凭有效凭证及徽章领取奖品并签字确认。</w:t>
      </w:r>
    </w:p>
    <w:p w14:paraId="3DBB2F77">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9.观看开奖</w:t>
      </w:r>
    </w:p>
    <w:p w14:paraId="45D253C2">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通过现场大屏播放福彩开奖直播节目，方便参与者现场核对彩票，观看福彩新闻信息。</w:t>
      </w:r>
    </w:p>
    <w:p w14:paraId="4DEFF4E8">
      <w:pPr>
        <w:pStyle w:val="59"/>
        <w:pageBreakBefore w:val="0"/>
        <w:shd w:val="clear" w:color="auto" w:fill="auto"/>
        <w:kinsoku/>
        <w:wordWrap/>
        <w:overflowPunct/>
        <w:topLinePunct w:val="0"/>
        <w:bidi w:val="0"/>
        <w:spacing w:line="360" w:lineRule="auto"/>
        <w:ind w:firstLine="426" w:firstLineChars="177"/>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（五）宣传推广</w:t>
      </w:r>
    </w:p>
    <w:p w14:paraId="2D2BEE27">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本次活动必须以前期预热—中期宣传—后期持续的全周期线上线下联动宣传为抓手，在活动实施全过程中，有效达成福彩公益价值的深度传递与品牌知名度的显著提升的项目成效。</w:t>
      </w:r>
    </w:p>
    <w:p w14:paraId="21ED1B05">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1.依托新疆福彩微信公众号阵地，创新运用积分积累、每日签到、知识答题、游戏互动、趣味投票等互动手段，将福彩公益传播融入用户日常行为，高效提升粉丝活跃度、粘性及长期留存率。</w:t>
      </w:r>
    </w:p>
    <w:p w14:paraId="0BF8D36C">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2.宣传物料制作：供应商负责设计制作活动预告、倒计时海报（单场≥5张）、倒计时视频（单场≥2个）、H5推广页面（单场≥1个），所有物料需融入主题元素及地域特色，经新疆福彩审核后发布。</w:t>
      </w:r>
    </w:p>
    <w:p w14:paraId="2550AE3E">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3.活动回顾制作：单场活动结束后24小时内，完成活动回顾短视频制作（单场≥1条，总≥20条），内容涵盖活动亮点、公益展示、用户反响等，时长30秒</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3分钟，适配各平台传播需求。</w:t>
      </w:r>
    </w:p>
    <w:p w14:paraId="196EB1C7">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4.文稿宣传：单场活动撰写3篇图文稿件，分别为活动预告篇、首日纪实篇、结束总结篇，重点突出活动主题、时间地点、核心亮点及公益价值，字数不少于800字/篇，配图不少于3张。</w:t>
      </w:r>
    </w:p>
    <w:p w14:paraId="3B25E0B8">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5.媒体资源：合作媒体为正规媒体</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不含新疆福彩自有媒体</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，包括但不限于省级党报、广播电视台、重点新闻网站及主流新媒体平台。</w:t>
      </w:r>
    </w:p>
    <w:p w14:paraId="463377F7">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6.新媒体传播：结合抖音、小红书、快手等平台特性，设置#公益福彩情暖天山# #福彩公益在身边#等多个主题话题，单场活动新媒体主话题曝光量≥40万次，整体活动累计话题曝光量≥400万次，供应商需实时监控传播数据并定期提交报告。</w:t>
      </w:r>
    </w:p>
    <w:p w14:paraId="5E260FA1">
      <w:pPr>
        <w:pStyle w:val="59"/>
        <w:pageBreakBefore w:val="0"/>
        <w:shd w:val="clear" w:color="auto" w:fill="auto"/>
        <w:kinsoku/>
        <w:wordWrap/>
        <w:overflowPunct/>
        <w:topLinePunct w:val="0"/>
        <w:bidi w:val="0"/>
        <w:spacing w:line="360" w:lineRule="auto"/>
        <w:ind w:firstLine="426" w:firstLineChars="177"/>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（六）团队要求</w:t>
      </w:r>
    </w:p>
    <w:p w14:paraId="7846735F">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1.执行团队：</w:t>
      </w:r>
      <w:r>
        <w:rPr>
          <w:rFonts w:hint="eastAsia" w:ascii="宋体" w:hAnsi="宋体" w:cs="宋体"/>
          <w:color w:val="auto"/>
          <w:sz w:val="24"/>
          <w:highlight w:val="none"/>
          <w:lang w:val="en-US" w:eastAsia="zh-CN"/>
        </w:rPr>
        <w:t>①</w:t>
      </w:r>
      <w:r>
        <w:rPr>
          <w:rFonts w:hint="eastAsia" w:ascii="宋体" w:hAnsi="宋体" w:eastAsia="宋体" w:cs="宋体"/>
          <w:color w:val="auto"/>
          <w:sz w:val="24"/>
          <w:highlight w:val="none"/>
          <w:lang w:val="en-US" w:eastAsia="zh-CN"/>
        </w:rPr>
        <w:t>人员配置</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单场活动现场工作人员不少于15人，</w:t>
      </w:r>
      <w:r>
        <w:rPr>
          <w:rFonts w:hint="eastAsia" w:ascii="宋体" w:hAnsi="宋体" w:cs="宋体"/>
          <w:color w:val="auto"/>
          <w:sz w:val="24"/>
          <w:highlight w:val="none"/>
          <w:lang w:val="en-US" w:eastAsia="zh-CN"/>
        </w:rPr>
        <w:t>至少配备活动负责人1人、</w:t>
      </w:r>
      <w:r>
        <w:rPr>
          <w:rFonts w:hint="eastAsia" w:ascii="宋体" w:hAnsi="宋体" w:eastAsia="宋体" w:cs="宋体"/>
          <w:color w:val="auto"/>
          <w:sz w:val="24"/>
          <w:highlight w:val="none"/>
          <w:lang w:val="en-US" w:eastAsia="zh-CN"/>
        </w:rPr>
        <w:t>主持人</w:t>
      </w:r>
      <w:r>
        <w:rPr>
          <w:rFonts w:hint="eastAsia" w:ascii="宋体" w:hAnsi="宋体" w:cs="宋体"/>
          <w:color w:val="auto"/>
          <w:sz w:val="24"/>
          <w:highlight w:val="none"/>
          <w:lang w:val="en-US" w:eastAsia="zh-CN"/>
        </w:rPr>
        <w:t>1人</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游戏</w:t>
      </w:r>
      <w:r>
        <w:rPr>
          <w:rFonts w:hint="eastAsia" w:ascii="宋体" w:hAnsi="宋体" w:eastAsia="宋体" w:cs="宋体"/>
          <w:color w:val="auto"/>
          <w:sz w:val="24"/>
          <w:highlight w:val="none"/>
          <w:lang w:val="en-US" w:eastAsia="zh-CN"/>
        </w:rPr>
        <w:t>引导员</w:t>
      </w:r>
      <w:r>
        <w:rPr>
          <w:rFonts w:hint="eastAsia" w:ascii="宋体" w:hAnsi="宋体" w:cs="宋体"/>
          <w:color w:val="auto"/>
          <w:sz w:val="24"/>
          <w:highlight w:val="none"/>
          <w:lang w:val="en-US" w:eastAsia="zh-CN"/>
        </w:rPr>
        <w:t>6人</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奖品管理员2人、技术保障员1人、摄影摄像2人、</w:t>
      </w:r>
      <w:r>
        <w:rPr>
          <w:rFonts w:hint="eastAsia" w:ascii="宋体" w:hAnsi="宋体" w:eastAsia="宋体" w:cs="宋体"/>
          <w:color w:val="auto"/>
          <w:sz w:val="24"/>
          <w:highlight w:val="none"/>
          <w:lang w:val="en-US" w:eastAsia="zh-CN"/>
        </w:rPr>
        <w:t>安全保障员</w:t>
      </w:r>
      <w:r>
        <w:rPr>
          <w:rFonts w:hint="eastAsia" w:ascii="宋体" w:hAnsi="宋体" w:cs="宋体"/>
          <w:color w:val="auto"/>
          <w:sz w:val="24"/>
          <w:highlight w:val="none"/>
          <w:lang w:val="en-US" w:eastAsia="zh-CN"/>
        </w:rPr>
        <w:t>2人</w:t>
      </w:r>
      <w:r>
        <w:rPr>
          <w:rFonts w:hint="eastAsia" w:ascii="宋体" w:hAnsi="宋体" w:eastAsia="宋体" w:cs="宋体"/>
          <w:color w:val="auto"/>
          <w:sz w:val="24"/>
          <w:highlight w:val="none"/>
          <w:lang w:val="en-US" w:eastAsia="zh-CN"/>
        </w:rPr>
        <w:t>等，人员分工明确；</w:t>
      </w:r>
      <w:r>
        <w:rPr>
          <w:rFonts w:hint="eastAsia" w:ascii="宋体" w:hAnsi="宋体" w:cs="宋体"/>
          <w:color w:val="auto"/>
          <w:sz w:val="24"/>
          <w:highlight w:val="none"/>
          <w:lang w:val="en-US" w:eastAsia="zh-CN"/>
        </w:rPr>
        <w:t>②</w:t>
      </w:r>
      <w:r>
        <w:rPr>
          <w:rFonts w:hint="eastAsia" w:ascii="宋体" w:hAnsi="宋体" w:eastAsia="宋体" w:cs="宋体"/>
          <w:color w:val="auto"/>
          <w:sz w:val="24"/>
          <w:highlight w:val="none"/>
          <w:lang w:val="en-US" w:eastAsia="zh-CN"/>
        </w:rPr>
        <w:t>核心人员项目核心负责人及执行骨干</w:t>
      </w:r>
      <w:r>
        <w:rPr>
          <w:rFonts w:hint="eastAsia" w:ascii="宋体" w:hAnsi="宋体" w:cs="宋体"/>
          <w:color w:val="auto"/>
          <w:sz w:val="24"/>
          <w:highlight w:val="none"/>
          <w:lang w:val="en-US" w:eastAsia="zh-CN"/>
        </w:rPr>
        <w:t>须具备</w:t>
      </w:r>
      <w:r>
        <w:rPr>
          <w:rFonts w:hint="eastAsia" w:ascii="宋体" w:hAnsi="宋体" w:eastAsia="宋体" w:cs="宋体"/>
          <w:color w:val="auto"/>
          <w:sz w:val="24"/>
          <w:highlight w:val="none"/>
          <w:lang w:val="en-US" w:eastAsia="zh-CN"/>
        </w:rPr>
        <w:t>近三年（自投标截止日起向前推算）2个及以上</w:t>
      </w:r>
      <w:r>
        <w:rPr>
          <w:rFonts w:hint="eastAsia" w:ascii="宋体" w:hAnsi="宋体" w:cs="宋体"/>
          <w:color w:val="auto"/>
          <w:sz w:val="24"/>
          <w:highlight w:val="none"/>
          <w:lang w:val="en-US" w:eastAsia="zh-CN"/>
        </w:rPr>
        <w:t>类似</w:t>
      </w:r>
      <w:r>
        <w:rPr>
          <w:rFonts w:hint="eastAsia" w:ascii="宋体" w:hAnsi="宋体" w:eastAsia="宋体" w:cs="宋体"/>
          <w:color w:val="auto"/>
          <w:sz w:val="24"/>
          <w:highlight w:val="none"/>
          <w:lang w:val="en-US" w:eastAsia="zh-CN"/>
        </w:rPr>
        <w:t>公益活动执行经验，熟悉</w:t>
      </w:r>
      <w:r>
        <w:rPr>
          <w:rFonts w:hint="eastAsia" w:ascii="宋体" w:hAnsi="宋体" w:cs="宋体"/>
          <w:color w:val="auto"/>
          <w:sz w:val="24"/>
          <w:highlight w:val="none"/>
          <w:lang w:val="en-US" w:eastAsia="zh-CN"/>
        </w:rPr>
        <w:t>彩票行业</w:t>
      </w:r>
      <w:r>
        <w:rPr>
          <w:rFonts w:hint="eastAsia" w:ascii="宋体" w:hAnsi="宋体" w:eastAsia="宋体" w:cs="宋体"/>
          <w:color w:val="auto"/>
          <w:sz w:val="24"/>
          <w:highlight w:val="none"/>
          <w:lang w:val="en-US" w:eastAsia="zh-CN"/>
        </w:rPr>
        <w:t>相关政策法规，投标时需提供劳动合同、项目业绩证明等材料；</w:t>
      </w:r>
      <w:r>
        <w:rPr>
          <w:rFonts w:hint="eastAsia" w:ascii="宋体" w:hAnsi="宋体" w:cs="宋体"/>
          <w:color w:val="auto"/>
          <w:sz w:val="24"/>
          <w:highlight w:val="none"/>
          <w:lang w:val="en-US" w:eastAsia="zh-CN"/>
        </w:rPr>
        <w:t>③</w:t>
      </w:r>
      <w:r>
        <w:rPr>
          <w:rFonts w:hint="eastAsia" w:ascii="宋体" w:hAnsi="宋体" w:eastAsia="宋体" w:cs="宋体"/>
          <w:color w:val="auto"/>
          <w:sz w:val="24"/>
          <w:highlight w:val="none"/>
          <w:lang w:val="en-US" w:eastAsia="zh-CN"/>
        </w:rPr>
        <w:t>培训管理</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供应商需对所有工作人员进行岗前培训，内容包括福彩知识、活动流程、服务规范、应急处理等，确保工作人员服务态度良好、业务熟练；</w:t>
      </w:r>
      <w:r>
        <w:rPr>
          <w:rFonts w:hint="eastAsia" w:ascii="宋体" w:hAnsi="宋体" w:cs="宋体"/>
          <w:color w:val="auto"/>
          <w:sz w:val="24"/>
          <w:highlight w:val="none"/>
          <w:lang w:val="en-US" w:eastAsia="zh-CN"/>
        </w:rPr>
        <w:t>④</w:t>
      </w:r>
      <w:r>
        <w:rPr>
          <w:rFonts w:hint="eastAsia" w:ascii="宋体" w:hAnsi="宋体" w:eastAsia="宋体" w:cs="宋体"/>
          <w:color w:val="auto"/>
          <w:sz w:val="24"/>
          <w:highlight w:val="none"/>
          <w:lang w:val="en-US" w:eastAsia="zh-CN"/>
        </w:rPr>
        <w:t>统一形象</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工作人员需统一穿着印有“公益福彩·情暖天山”LOGO的服装，款式、配色经新疆福彩审核确认。</w:t>
      </w:r>
    </w:p>
    <w:p w14:paraId="7ED40717">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2.技术团队：负责线上小程序开发的团队</w:t>
      </w:r>
      <w:r>
        <w:rPr>
          <w:rFonts w:hint="eastAsia" w:ascii="宋体" w:hAnsi="宋体" w:cs="宋体"/>
          <w:color w:val="auto"/>
          <w:sz w:val="24"/>
          <w:highlight w:val="none"/>
          <w:lang w:val="en-US" w:eastAsia="zh-CN"/>
        </w:rPr>
        <w:t>须具备</w:t>
      </w:r>
      <w:r>
        <w:rPr>
          <w:rFonts w:hint="eastAsia" w:ascii="宋体" w:hAnsi="宋体" w:eastAsia="宋体" w:cs="宋体"/>
          <w:color w:val="auto"/>
          <w:sz w:val="24"/>
          <w:highlight w:val="none"/>
          <w:lang w:val="en-US" w:eastAsia="zh-CN"/>
        </w:rPr>
        <w:t>设计、数字媒体技术等专业</w:t>
      </w:r>
      <w:r>
        <w:rPr>
          <w:rFonts w:hint="eastAsia" w:ascii="宋体" w:hAnsi="宋体" w:cs="宋体"/>
          <w:color w:val="auto"/>
          <w:sz w:val="24"/>
          <w:highlight w:val="none"/>
          <w:lang w:val="en-US" w:eastAsia="zh-CN"/>
        </w:rPr>
        <w:t>技术能力</w:t>
      </w:r>
      <w:r>
        <w:rPr>
          <w:rFonts w:hint="eastAsia" w:ascii="宋体" w:hAnsi="宋体" w:eastAsia="宋体" w:cs="宋体"/>
          <w:color w:val="auto"/>
          <w:sz w:val="24"/>
          <w:highlight w:val="none"/>
          <w:lang w:val="en-US" w:eastAsia="zh-CN"/>
        </w:rPr>
        <w:t>，拥有同类线上活动开发经验，保障小程序适配性、兼容性及数据安全；其他专业岗位人员（如电工、影像调试员等）需提供相应资格证书（如电工证、特种设备操作证等）。</w:t>
      </w:r>
    </w:p>
    <w:p w14:paraId="035987C0">
      <w:pPr>
        <w:pStyle w:val="59"/>
        <w:pageBreakBefore w:val="0"/>
        <w:shd w:val="clear" w:color="auto" w:fill="auto"/>
        <w:kinsoku/>
        <w:wordWrap/>
        <w:overflowPunct/>
        <w:topLinePunct w:val="0"/>
        <w:bidi w:val="0"/>
        <w:spacing w:line="360" w:lineRule="auto"/>
        <w:ind w:firstLine="426" w:firstLineChars="177"/>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（七）活动保障</w:t>
      </w:r>
    </w:p>
    <w:p w14:paraId="18E2DFF2">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 安全保障：供应商需制定完善的现场突发情况应急处理预案（含人员疏散、消防安全、医疗急救、纠纷处理等内容），提前与场地方、公安、消防等部门沟通对接，明确安全责任分工，活动现场配备急救箱、灭火器等安全设施，确保无拥挤、踩踏等安全事故发生。</w:t>
      </w:r>
    </w:p>
    <w:p w14:paraId="2A68CC55">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 人员保障：工作人员的饮食、交通、住宿、休息等后勤需求由供应商全权负责，保障人员服务状态良好。</w:t>
      </w:r>
    </w:p>
    <w:p w14:paraId="04E4D251">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 资料提供：新疆福彩向供应商提供福彩公益相关基础资料（如公益项目案例、品牌LOGO规范等），供应商需妥善保管并仅用于本项目。</w:t>
      </w:r>
    </w:p>
    <w:p w14:paraId="1EC491DE">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 方案调整：供应商需严格按照经审核的活动方案执行，如需调整须提前3个工作日提交书面申请，经新疆福彩书面同意后方可实施。</w:t>
      </w:r>
    </w:p>
    <w:p w14:paraId="31406A29">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 服务验收：现场工作人员的服务质量（包括态度、专业度、仪容仪表等）纳入单场活动验收指标，新疆福彩可现场提出整改要求。</w:t>
      </w:r>
    </w:p>
    <w:p w14:paraId="5E8E1C8F">
      <w:pPr>
        <w:pStyle w:val="59"/>
        <w:pageBreakBefore w:val="0"/>
        <w:shd w:val="clear" w:color="auto" w:fill="auto"/>
        <w:kinsoku/>
        <w:wordWrap/>
        <w:overflowPunct/>
        <w:topLinePunct w:val="0"/>
        <w:bidi w:val="0"/>
        <w:spacing w:line="360" w:lineRule="auto"/>
        <w:ind w:firstLine="426" w:firstLineChars="177"/>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（八）专人联系</w:t>
      </w:r>
    </w:p>
    <w:p w14:paraId="233E67B5">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需指定1名专职联络人负责与新疆福彩的日常对接，联络人信息及授权委托书需在合同签订时提交。联络人若需变动，供应商需提前5个工作日提交书面通知及新联络人资料；若联络人履职不到位，供应商需在收到新疆福彩书面通知后3日内完成人员更换。</w:t>
      </w:r>
    </w:p>
    <w:p w14:paraId="44574A4C">
      <w:pPr>
        <w:pStyle w:val="59"/>
        <w:pageBreakBefore w:val="0"/>
        <w:shd w:val="clear" w:color="auto" w:fill="auto"/>
        <w:kinsoku/>
        <w:wordWrap/>
        <w:overflowPunct/>
        <w:topLinePunct w:val="0"/>
        <w:bidi w:val="0"/>
        <w:spacing w:line="360" w:lineRule="auto"/>
        <w:ind w:firstLine="426" w:firstLineChars="177"/>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（九）补偿情况</w:t>
      </w:r>
    </w:p>
    <w:p w14:paraId="24563F8E">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如果突发重大自然灾害、政府征用、疫情管控等不可抗力情况，造成活动不能正常进行，供应商应提前与新疆福彩协商，根据双方协商结果进行择期补办，直至约定内容全部履行。</w:t>
      </w:r>
    </w:p>
    <w:p w14:paraId="600EFC73">
      <w:pPr>
        <w:pStyle w:val="59"/>
        <w:pageBreakBefore w:val="0"/>
        <w:shd w:val="clear" w:color="auto" w:fill="auto"/>
        <w:kinsoku/>
        <w:wordWrap/>
        <w:overflowPunct/>
        <w:topLinePunct w:val="0"/>
        <w:bidi w:val="0"/>
        <w:spacing w:line="360" w:lineRule="auto"/>
        <w:ind w:firstLine="426" w:firstLineChars="177"/>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（十）</w:t>
      </w:r>
      <w:r>
        <w:rPr>
          <w:rFonts w:hint="eastAsia" w:ascii="宋体" w:hAnsi="宋体" w:eastAsia="宋体" w:cs="宋体"/>
          <w:b/>
          <w:bCs/>
          <w:color w:val="auto"/>
          <w:sz w:val="24"/>
          <w:highlight w:val="none"/>
          <w:lang w:val="en-US" w:eastAsia="zh-CN"/>
        </w:rPr>
        <w:t>活动实施方案</w:t>
      </w:r>
    </w:p>
    <w:p w14:paraId="74DC058D">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需根据本采购需求，编制完整的活动实施方案及配套方案（如宣传方案、场地搭建设计方案、安全方案、应急预案等），用于竞标评审。实施方案需至少包含以下内容：活动背景与核心目标、详细时间安排与场地规划、活动内容设计与执行流程、人员分工与培训计划、物资筹备清单（含规格、数量、预算）、分阶段执行时间表、总预算明细（与中标金额一致）、主持人及演出团队信息、节目、游戏、风险防控预案、效果评估指标及方法、后续传播跟进计划等，确保方案具备可操作性和针对性。</w:t>
      </w:r>
    </w:p>
    <w:p w14:paraId="7C6F5CF6">
      <w:pPr>
        <w:pStyle w:val="59"/>
        <w:pageBreakBefore w:val="0"/>
        <w:shd w:val="clear" w:color="auto" w:fill="auto"/>
        <w:kinsoku/>
        <w:wordWrap/>
        <w:overflowPunct/>
        <w:topLinePunct w:val="0"/>
        <w:bidi w:val="0"/>
        <w:spacing w:line="360" w:lineRule="auto"/>
        <w:ind w:firstLine="426" w:firstLineChars="177"/>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（十一）</w:t>
      </w:r>
      <w:r>
        <w:rPr>
          <w:rFonts w:hint="eastAsia" w:ascii="宋体" w:hAnsi="宋体" w:eastAsia="宋体" w:cs="宋体"/>
          <w:b/>
          <w:bCs/>
          <w:color w:val="auto"/>
          <w:sz w:val="24"/>
          <w:highlight w:val="none"/>
          <w:lang w:val="en-US" w:eastAsia="zh-CN"/>
        </w:rPr>
        <w:t>验收</w:t>
      </w:r>
    </w:p>
    <w:p w14:paraId="793FD606">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本项目验收分为方案验收、活动验收及结案验收三个环节，所有验收均需出具书面验收报告，由双方签字确认后生效。</w:t>
      </w:r>
    </w:p>
    <w:p w14:paraId="18C2C73C">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方案验收</w:t>
      </w:r>
    </w:p>
    <w:p w14:paraId="65035791">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须在中标后5个工作日内，根据新疆福彩意见提供最终活动实施方案。供应商在与新疆福彩沟通后，依据采购需求和合同内容提供最终活动实施方案。最终活动实施方案通过新疆福彩审核后，视为验收合格。签订合同后，新疆福彩支付第一笔费用。</w:t>
      </w:r>
    </w:p>
    <w:p w14:paraId="7FFAF347">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活动验收</w:t>
      </w:r>
    </w:p>
    <w:p w14:paraId="3C9CA4AB">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新疆福彩使用《活动现场执行情况验收单》对每场活动的活动前、活动中、活动后执行情况进行监督验收，采用纸质版现场双方签字确认的方式。验收单内容包括：验收主体、验收节点、验收内容及签字权责，确保每场活动各个阶段的内容可追溯、权责清晰。若在验收时发现供应商未按照实施方案执行、擅自修改实施方案或违反合同内容，则验收不合格，供应商必须按照实施方案进行整改，整改后经新疆福彩重新验收且合格后方可继续开展活动。若供应商拒不整改或者整改后仍未符合合同约定，则视为违约</w:t>
      </w:r>
      <w:r>
        <w:rPr>
          <w:rFonts w:hint="eastAsia" w:ascii="宋体" w:hAnsi="宋体" w:cs="宋体"/>
          <w:color w:val="auto"/>
          <w:sz w:val="24"/>
          <w:highlight w:val="none"/>
          <w:lang w:val="en-US" w:eastAsia="zh-CN"/>
        </w:rPr>
        <w:t>（违约责任详见合同）</w:t>
      </w:r>
      <w:r>
        <w:rPr>
          <w:rFonts w:hint="eastAsia" w:ascii="宋体" w:hAnsi="宋体" w:eastAsia="宋体" w:cs="宋体"/>
          <w:color w:val="auto"/>
          <w:sz w:val="24"/>
          <w:highlight w:val="none"/>
          <w:lang w:val="en-US" w:eastAsia="zh-CN"/>
        </w:rPr>
        <w:t xml:space="preserve">。  </w:t>
      </w:r>
    </w:p>
    <w:p w14:paraId="1A0152E8">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供应商在每个</w:t>
      </w:r>
      <w:r>
        <w:rPr>
          <w:rFonts w:hint="eastAsia" w:ascii="宋体" w:hAnsi="宋体" w:cs="宋体"/>
          <w:color w:val="auto"/>
          <w:sz w:val="24"/>
          <w:highlight w:val="none"/>
          <w:lang w:val="en-US" w:eastAsia="zh-CN"/>
        </w:rPr>
        <w:t>城市</w:t>
      </w:r>
      <w:r>
        <w:rPr>
          <w:rFonts w:hint="eastAsia" w:ascii="宋体" w:hAnsi="宋体" w:eastAsia="宋体" w:cs="宋体"/>
          <w:color w:val="auto"/>
          <w:sz w:val="24"/>
          <w:highlight w:val="none"/>
          <w:lang w:val="en-US" w:eastAsia="zh-CN"/>
        </w:rPr>
        <w:t>活动执行完毕后向新疆福彩提供活动执行报告。报告内容包括但不限于：现场的图片、文字、视频、奖品发放数据、活动现场执行情况验收单等资料，经新疆福彩验收无误后，视为合格。</w:t>
      </w:r>
      <w:r>
        <w:rPr>
          <w:rFonts w:hint="eastAsia" w:ascii="宋体" w:hAnsi="宋体" w:eastAsia="宋体" w:cs="宋体"/>
          <w:color w:val="auto"/>
          <w:sz w:val="24"/>
          <w:highlight w:val="none"/>
          <w:lang w:val="en-US" w:eastAsia="zh-CN"/>
        </w:rPr>
        <w:t>2026年8月，若已开展的活动（不少于10个城市）均验收合格，支付第二笔费用。</w:t>
      </w:r>
    </w:p>
    <w:p w14:paraId="0BB90A51">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 xml:space="preserve">结案验收 </w:t>
      </w:r>
    </w:p>
    <w:p w14:paraId="38AE501A">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活动全部执行完毕后，供应商须向新疆福彩提交书面结案报告（含项目整体执行情况、所有场次验收单、各</w:t>
      </w:r>
      <w:r>
        <w:rPr>
          <w:rFonts w:hint="eastAsia" w:ascii="宋体" w:hAnsi="宋体" w:cs="宋体"/>
          <w:color w:val="auto"/>
          <w:sz w:val="24"/>
          <w:highlight w:val="none"/>
          <w:lang w:val="en-US" w:eastAsia="zh-CN"/>
        </w:rPr>
        <w:t>城市</w:t>
      </w:r>
      <w:r>
        <w:rPr>
          <w:rFonts w:hint="eastAsia" w:ascii="宋体" w:hAnsi="宋体" w:eastAsia="宋体" w:cs="宋体"/>
          <w:color w:val="auto"/>
          <w:sz w:val="24"/>
          <w:highlight w:val="none"/>
          <w:lang w:val="en-US" w:eastAsia="zh-CN"/>
        </w:rPr>
        <w:t>执行报告、宣传传播数据、供应商财务明细、奖品发放总台账、活动效果分析等）及佐证材料。新疆福彩将结合以下内容进行结案验收：①实施方案及合同；②活动现场图文、视频资料；③各举办</w:t>
      </w:r>
      <w:r>
        <w:rPr>
          <w:rFonts w:hint="eastAsia" w:ascii="宋体" w:hAnsi="宋体" w:cs="宋体"/>
          <w:color w:val="auto"/>
          <w:sz w:val="24"/>
          <w:highlight w:val="none"/>
          <w:lang w:val="en-US" w:eastAsia="zh-CN"/>
        </w:rPr>
        <w:t>城市所在</w:t>
      </w:r>
      <w:r>
        <w:rPr>
          <w:rFonts w:hint="eastAsia" w:ascii="宋体" w:hAnsi="宋体" w:eastAsia="宋体" w:cs="宋体"/>
          <w:color w:val="auto"/>
          <w:sz w:val="24"/>
          <w:highlight w:val="none"/>
          <w:lang w:val="en-US" w:eastAsia="zh-CN"/>
        </w:rPr>
        <w:t>地州福彩中心满意度反馈表；④宣传推广及传播目标达成情况。验收合格，则支付尾款；若不合格，则新疆福彩有权要求供应商按合同总金额的30%支付违约金，违约金来源为项目尾款或履约保证金。</w:t>
      </w:r>
    </w:p>
    <w:p w14:paraId="0B3C2408">
      <w:pPr>
        <w:pStyle w:val="59"/>
        <w:pageBreakBefore w:val="0"/>
        <w:shd w:val="clear" w:color="auto" w:fill="auto"/>
        <w:kinsoku/>
        <w:wordWrap/>
        <w:overflowPunct/>
        <w:topLinePunct w:val="0"/>
        <w:bidi w:val="0"/>
        <w:spacing w:line="360" w:lineRule="auto"/>
        <w:ind w:firstLine="426" w:firstLineChars="177"/>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（十二）增值服务</w:t>
      </w:r>
    </w:p>
    <w:p w14:paraId="4773A244">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（一）竞标时能提供高于采购需求基本标之外的增值服务，如增加相关服务等，所提供增值服务须具备相关依据证明其价值。所有增值服务包含在响应总价中。</w:t>
      </w:r>
    </w:p>
    <w:p w14:paraId="775896B6">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（二）所提供增值服务与本项目须有一定的相似性、关联性。</w:t>
      </w:r>
    </w:p>
    <w:p w14:paraId="6FA0BF05">
      <w:pPr>
        <w:pStyle w:val="59"/>
        <w:pageBreakBefore w:val="0"/>
        <w:shd w:val="clear" w:color="auto" w:fill="auto"/>
        <w:kinsoku/>
        <w:wordWrap/>
        <w:overflowPunct/>
        <w:topLinePunct w:val="0"/>
        <w:bidi w:val="0"/>
        <w:spacing w:line="360" w:lineRule="auto"/>
        <w:ind w:firstLine="426" w:firstLineChars="177"/>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lang w:val="en-US" w:eastAsia="zh-CN"/>
        </w:rPr>
        <w:t>（十三）</w:t>
      </w:r>
      <w:r>
        <w:rPr>
          <w:rFonts w:hint="eastAsia" w:ascii="宋体" w:hAnsi="宋体" w:eastAsia="宋体" w:cs="宋体"/>
          <w:b/>
          <w:bCs/>
          <w:color w:val="auto"/>
          <w:sz w:val="24"/>
          <w:highlight w:val="none"/>
          <w:lang w:val="en-US" w:eastAsia="zh-CN"/>
        </w:rPr>
        <w:t>风险防控</w:t>
      </w:r>
      <w:r>
        <w:rPr>
          <w:rFonts w:hint="eastAsia" w:ascii="宋体" w:hAnsi="宋体" w:eastAsia="宋体" w:cs="宋体"/>
          <w:color w:val="auto"/>
          <w:sz w:val="24"/>
          <w:highlight w:val="none"/>
          <w:lang w:val="en-US" w:eastAsia="zh-CN"/>
        </w:rPr>
        <w:t xml:space="preserve">   </w:t>
      </w:r>
    </w:p>
    <w:p w14:paraId="2E68B988">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双方应按照本项目合作协议约定内容严格履行义务，不得无故解除合同。任何一方违约，都应承担违约责任，给对方造成损失的，应赔偿对方损失及解决纠纷而发生的费用，并向对方支付相当于本合同总金额20%的违约金。</w:t>
      </w:r>
    </w:p>
    <w:p w14:paraId="3A3B12EE">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除本项目协议条款所规定的内容之外，任何一方若因其他原因中途退出合作，需提前一个月书面通知对方，经双方协商一致后，根据协商结果执行。因此给对方造成经济损失的，应赔偿对方相应的损失并退还已支付的合作费用。</w:t>
      </w:r>
    </w:p>
    <w:p w14:paraId="1A66BCB9">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供应商须保证，其交付设计成果不存在侵犯任何第三方知识产权的情况。如因供应商交付的工作成果引起任何知识产权争议，均由供应商负责解决并承担相应法律责任；若由此造成新疆福彩损失的，供应商应负责赔偿。</w:t>
      </w:r>
    </w:p>
    <w:p w14:paraId="73B011B7">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（四）供应商在履行合同中，出现损害国家利益和社会公共利益情形的，供应商必须承担由此造成的一切损失，新疆福彩有权追诉供应商一切法律责任。涉及违法犯罪的，依法移交司法机关处置。</w:t>
      </w:r>
    </w:p>
    <w:p w14:paraId="0A78C304">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（五）违约方除承担违约责任外，守约方因维护合法权益所支出的维权费用包括但不限于律师费、诉讼费、交通费等一切维权合理支出均由违约方承担。</w:t>
      </w:r>
    </w:p>
    <w:p w14:paraId="52615E01">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（六）因国家政策变化、实施环境变化、预算项目调整等情形时，双方应及时以书面形式通知对方，并根据具体的变化情况，协商解决办法。</w:t>
      </w:r>
    </w:p>
    <w:p w14:paraId="260F8C44">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（七）项目执行期间新疆福彩进行履约验收。如发现供应商未按照合同规定内容履约，且拒不整改的供应商应向新疆福彩支付合同总金额的20%违约金。</w:t>
      </w:r>
    </w:p>
    <w:p w14:paraId="7211872C">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（八）供应商必须严格遵照《中华人民共和国突发事件应对法</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新疆维吾尔自治区社会治安综合治理条例</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大型群众性活动安全管理条例》等法律法规中的相关内容，确保地推活动的合法性和安全性。</w:t>
      </w:r>
    </w:p>
    <w:p w14:paraId="3A43105C">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（九）供应商应负责做好活动所需的报备、审批等工作，确保活动符合相关法律法规的要求，避免因手续不全导致的法律风险。</w:t>
      </w:r>
    </w:p>
    <w:p w14:paraId="2EE21938">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（十）供应商应与场地方进行充分的沟通对接，明确安全通道、消防器材等设施的位置和使用情况，确保活动现场的安全设施完备且有效。</w:t>
      </w:r>
    </w:p>
    <w:p w14:paraId="7D0DEBB0">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（十一）供应商应制定详细的活动现场安全管理措施，包括但不限于人员疏散方案、消防安全预案等，确保活动过程中不出现安全隐患。</w:t>
      </w:r>
    </w:p>
    <w:p w14:paraId="28B3FDF7">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（十二）供应商应制定完善的活动现场突发情况应急处理预案，明确工作人员的分工和职责，确保在突发情况下能够迅速、有效地应对。</w:t>
      </w:r>
    </w:p>
    <w:p w14:paraId="4D78DD4E">
      <w:pPr>
        <w:pStyle w:val="59"/>
        <w:pageBreakBefore w:val="0"/>
        <w:shd w:val="clear" w:color="auto" w:fill="auto"/>
        <w:kinsoku/>
        <w:wordWrap/>
        <w:overflowPunct/>
        <w:topLinePunct w:val="0"/>
        <w:bidi w:val="0"/>
        <w:spacing w:line="360" w:lineRule="auto"/>
        <w:ind w:firstLine="424" w:firstLineChars="17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（十三）供应商应采取有效措施，防止参与者拥挤、踩踏、争执等安全隐患的发生，确保活动现场秩序井然。</w:t>
      </w:r>
    </w:p>
    <w:p w14:paraId="43C94116">
      <w:pPr>
        <w:pStyle w:val="59"/>
        <w:pageBreakBefore w:val="0"/>
        <w:shd w:val="clear" w:color="auto" w:fill="auto"/>
        <w:kinsoku/>
        <w:wordWrap/>
        <w:overflowPunct/>
        <w:topLinePunct w:val="0"/>
        <w:bidi w:val="0"/>
        <w:spacing w:line="360" w:lineRule="auto"/>
        <w:ind w:firstLine="426" w:firstLineChars="177"/>
        <w:rPr>
          <w:rFonts w:hint="eastAsia" w:ascii="宋体" w:hAnsi="宋体" w:eastAsia="宋体" w:cs="宋体"/>
          <w:color w:val="auto"/>
          <w:sz w:val="24"/>
          <w:highlight w:val="none"/>
          <w:lang w:val="en-US" w:eastAsia="zh-CN"/>
        </w:rPr>
      </w:pPr>
      <w:r>
        <w:rPr>
          <w:rFonts w:hint="eastAsia" w:ascii="宋体" w:hAnsi="宋体" w:cs="宋体"/>
          <w:b/>
          <w:bCs/>
          <w:color w:val="auto"/>
          <w:sz w:val="24"/>
          <w:highlight w:val="none"/>
          <w:lang w:val="en-US" w:eastAsia="zh-CN"/>
        </w:rPr>
        <w:t>（十四）</w:t>
      </w:r>
      <w:r>
        <w:rPr>
          <w:rFonts w:hint="eastAsia" w:ascii="宋体" w:hAnsi="宋体" w:eastAsia="宋体" w:cs="宋体"/>
          <w:b/>
          <w:bCs/>
          <w:color w:val="auto"/>
          <w:sz w:val="24"/>
          <w:highlight w:val="none"/>
          <w:lang w:val="en-US" w:eastAsia="zh-CN"/>
        </w:rPr>
        <w:t>备注</w:t>
      </w:r>
    </w:p>
    <w:p w14:paraId="350C3395">
      <w:pPr>
        <w:pStyle w:val="59"/>
        <w:pageBreakBefore w:val="0"/>
        <w:shd w:val="clear" w:color="auto" w:fill="auto"/>
        <w:kinsoku/>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原则上，新疆福彩在招标相关文件中针对招标项目所提出的各项要求以及供应商在投标相关文件中提供承诺的增值服务等内容（以下简称“上述内容”），在双方签订的采购合同中均应充分体现并全面履行。如受行业惯例、内部规定或其他因素影响，上述内容无法写入合同的，应在投标时明确告知，并承诺将上述内容作为双方拟签订合同的补充合同。竞标时，须根据本采购需求提供相应服务方案，完全响应本采购需求内容。 </w:t>
      </w:r>
      <w:bookmarkEnd w:id="343"/>
      <w:bookmarkEnd w:id="344"/>
    </w:p>
    <w:p w14:paraId="6BA9A7B8">
      <w:pPr>
        <w:rPr>
          <w:rFonts w:hint="eastAsia" w:ascii="宋体" w:hAnsi="宋体" w:eastAsia="宋体" w:cs="宋体"/>
          <w:b/>
          <w:bCs/>
          <w:color w:val="auto"/>
          <w:kern w:val="44"/>
          <w:sz w:val="36"/>
          <w:szCs w:val="36"/>
          <w:highlight w:val="none"/>
          <w:lang w:val="en-US" w:eastAsia="zh-CN" w:bidi="ar-SA"/>
        </w:rPr>
      </w:pPr>
      <w:bookmarkStart w:id="345" w:name="_Toc155185895"/>
      <w:bookmarkStart w:id="346" w:name="_Toc17715"/>
      <w:r>
        <w:rPr>
          <w:rFonts w:hint="eastAsia" w:ascii="宋体" w:hAnsi="宋体" w:eastAsia="宋体" w:cs="宋体"/>
          <w:b/>
          <w:bCs/>
          <w:color w:val="auto"/>
          <w:kern w:val="44"/>
          <w:sz w:val="36"/>
          <w:szCs w:val="36"/>
          <w:highlight w:val="none"/>
          <w:lang w:val="en-US" w:eastAsia="zh-CN" w:bidi="ar-SA"/>
        </w:rPr>
        <w:br w:type="page"/>
      </w:r>
    </w:p>
    <w:p w14:paraId="53AC2E74">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345"/>
      <w:bookmarkEnd w:id="346"/>
    </w:p>
    <w:p w14:paraId="1EA48D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347" w:name="_Toc31801"/>
      <w:r>
        <w:rPr>
          <w:rFonts w:hint="eastAsia"/>
          <w:color w:val="auto"/>
          <w:sz w:val="28"/>
          <w:szCs w:val="28"/>
          <w:highlight w:val="none"/>
          <w:lang w:val="en-US" w:eastAsia="zh-CN"/>
        </w:rPr>
        <w:t>一、资格审查程序</w:t>
      </w:r>
      <w:bookmarkEnd w:id="347"/>
      <w:r>
        <w:rPr>
          <w:rFonts w:hint="eastAsia"/>
          <w:color w:val="auto"/>
          <w:sz w:val="28"/>
          <w:szCs w:val="28"/>
          <w:highlight w:val="none"/>
          <w:lang w:val="en-US" w:eastAsia="zh-CN"/>
        </w:rPr>
        <w:t xml:space="preserve"> </w:t>
      </w:r>
    </w:p>
    <w:p w14:paraId="350D4A2D">
      <w:pPr>
        <w:pStyle w:val="41"/>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 xml:space="preserve">1 开标结束后，采购人或采购代理机构将根据《资格审查要求》中的规定，对投标人进行资格审查，并形成资格审查结果。 </w:t>
      </w:r>
    </w:p>
    <w:p w14:paraId="5A484C7B">
      <w:pPr>
        <w:pStyle w:val="41"/>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default"/>
          <w:color w:val="auto"/>
          <w:highlight w:val="none"/>
          <w:lang w:val="en-US" w:eastAsia="zh-CN"/>
        </w:rPr>
        <w:t xml:space="preserve">2 </w:t>
      </w:r>
      <w:r>
        <w:rPr>
          <w:rFonts w:hint="eastAsia"/>
          <w:color w:val="auto"/>
          <w:highlight w:val="none"/>
          <w:lang w:val="en-US" w:eastAsia="zh-CN"/>
        </w:rPr>
        <w:t>投标人《资格证明文件》有任何一项不符合《资格审查要求》的，资格审查不合格，其</w:t>
      </w:r>
      <w:r>
        <w:rPr>
          <w:rFonts w:hint="eastAsia"/>
          <w:b/>
          <w:bCs/>
          <w:color w:val="auto"/>
          <w:highlight w:val="none"/>
          <w:lang w:val="en-US" w:eastAsia="zh-CN"/>
        </w:rPr>
        <w:t>投标无效</w:t>
      </w:r>
      <w:r>
        <w:rPr>
          <w:rFonts w:hint="eastAsia"/>
          <w:color w:val="auto"/>
          <w:highlight w:val="none"/>
          <w:lang w:val="en-US" w:eastAsia="zh-CN"/>
        </w:rPr>
        <w:t xml:space="preserve">。 </w:t>
      </w:r>
    </w:p>
    <w:p w14:paraId="040CA2F8">
      <w:pPr>
        <w:pStyle w:val="41"/>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color w:val="auto"/>
          <w:highlight w:val="none"/>
        </w:rPr>
      </w:pPr>
      <w:r>
        <w:rPr>
          <w:rFonts w:hint="eastAsia"/>
          <w:color w:val="auto"/>
          <w:highlight w:val="none"/>
          <w:lang w:val="en-US" w:eastAsia="zh-CN"/>
        </w:rPr>
        <w:t>3</w:t>
      </w:r>
      <w:r>
        <w:rPr>
          <w:rFonts w:hint="default"/>
          <w:color w:val="auto"/>
          <w:highlight w:val="none"/>
          <w:lang w:val="en-US" w:eastAsia="zh-CN"/>
        </w:rPr>
        <w:t xml:space="preserve"> </w:t>
      </w:r>
      <w:r>
        <w:rPr>
          <w:rFonts w:hint="eastAsia"/>
          <w:color w:val="auto"/>
          <w:highlight w:val="none"/>
          <w:lang w:val="en-US" w:eastAsia="zh-CN"/>
        </w:rPr>
        <w:t>资格审查合格的投标人不足</w:t>
      </w:r>
      <w:r>
        <w:rPr>
          <w:rFonts w:hint="default"/>
          <w:color w:val="auto"/>
          <w:highlight w:val="none"/>
          <w:lang w:val="en-US" w:eastAsia="zh-CN"/>
        </w:rPr>
        <w:t>3</w:t>
      </w:r>
      <w:r>
        <w:rPr>
          <w:rFonts w:hint="eastAsia"/>
          <w:color w:val="auto"/>
          <w:highlight w:val="none"/>
          <w:lang w:val="en-US" w:eastAsia="zh-CN"/>
        </w:rPr>
        <w:t xml:space="preserve">家的，不进行评标。 </w:t>
      </w:r>
    </w:p>
    <w:p w14:paraId="0D8A83EA">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348" w:name="_Toc19754"/>
      <w:r>
        <w:rPr>
          <w:rFonts w:hint="eastAsia"/>
          <w:color w:val="auto"/>
          <w:sz w:val="28"/>
          <w:szCs w:val="28"/>
          <w:highlight w:val="none"/>
          <w:lang w:val="en-US" w:eastAsia="zh-CN"/>
        </w:rPr>
        <w:t>二、资格审查要求</w:t>
      </w:r>
      <w:bookmarkEnd w:id="348"/>
      <w:r>
        <w:rPr>
          <w:rFonts w:hint="eastAsia"/>
          <w:color w:val="auto"/>
          <w:sz w:val="28"/>
          <w:szCs w:val="28"/>
          <w:highlight w:val="none"/>
          <w:lang w:val="en-US" w:eastAsia="zh-CN"/>
        </w:rPr>
        <w:t xml:space="preserve"> </w:t>
      </w:r>
    </w:p>
    <w:tbl>
      <w:tblPr>
        <w:tblStyle w:val="32"/>
        <w:tblW w:w="10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09"/>
        <w:gridCol w:w="2450"/>
        <w:gridCol w:w="5728"/>
        <w:gridCol w:w="1064"/>
      </w:tblGrid>
      <w:tr w14:paraId="34F3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809" w:type="dxa"/>
            <w:shd w:val="clear" w:color="auto" w:fill="D8D8D8" w:themeFill="background1" w:themeFillShade="D9"/>
            <w:vAlign w:val="center"/>
          </w:tcPr>
          <w:p w14:paraId="6F9E32A4">
            <w:pPr>
              <w:pStyle w:val="53"/>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2450" w:type="dxa"/>
            <w:shd w:val="clear" w:color="auto" w:fill="D8D8D8" w:themeFill="background1" w:themeFillShade="D9"/>
            <w:vAlign w:val="center"/>
          </w:tcPr>
          <w:p w14:paraId="64D12812">
            <w:pPr>
              <w:pStyle w:val="53"/>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审查因素</w:t>
            </w:r>
          </w:p>
        </w:tc>
        <w:tc>
          <w:tcPr>
            <w:tcW w:w="5728" w:type="dxa"/>
            <w:shd w:val="clear" w:color="auto" w:fill="D8D8D8" w:themeFill="background1" w:themeFillShade="D9"/>
            <w:vAlign w:val="center"/>
          </w:tcPr>
          <w:p w14:paraId="4394A311">
            <w:pPr>
              <w:pStyle w:val="53"/>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1064" w:type="dxa"/>
            <w:shd w:val="clear" w:color="auto" w:fill="D8D8D8" w:themeFill="background1" w:themeFillShade="D9"/>
            <w:vAlign w:val="center"/>
          </w:tcPr>
          <w:p w14:paraId="40E3FE21">
            <w:pPr>
              <w:pStyle w:val="53"/>
              <w:jc w:val="center"/>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备注</w:t>
            </w:r>
          </w:p>
        </w:tc>
      </w:tr>
      <w:tr w14:paraId="2125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85" w:hRule="atLeast"/>
          <w:jc w:val="center"/>
        </w:trPr>
        <w:tc>
          <w:tcPr>
            <w:tcW w:w="809" w:type="dxa"/>
            <w:shd w:val="clear" w:color="auto" w:fill="FFFFFF" w:themeFill="background1"/>
            <w:vAlign w:val="center"/>
          </w:tcPr>
          <w:p w14:paraId="198EA60A">
            <w:pPr>
              <w:pStyle w:val="53"/>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2450" w:type="dxa"/>
            <w:shd w:val="clear" w:color="auto" w:fill="FFFFFF" w:themeFill="background1"/>
            <w:vAlign w:val="center"/>
          </w:tcPr>
          <w:p w14:paraId="0B4D5030">
            <w:pPr>
              <w:keepNext w:val="0"/>
              <w:keepLines w:val="0"/>
              <w:suppressLineNumbers w:val="0"/>
              <w:spacing w:before="0" w:beforeAutospacing="0" w:after="0" w:afterAutospacing="0" w:line="400" w:lineRule="exact"/>
              <w:ind w:left="0" w:leftChars="0" w:right="0" w:rightChars="0"/>
              <w:rPr>
                <w:rFonts w:hint="eastAsia" w:ascii="Times New Roman" w:hAnsi="宋体" w:eastAsia="宋体" w:cs="Times New Roman"/>
                <w:color w:val="auto"/>
                <w:highlight w:val="none"/>
              </w:rPr>
            </w:pPr>
            <w:r>
              <w:rPr>
                <w:rFonts w:hint="default" w:ascii="Times New Roman" w:hAnsi="宋体" w:eastAsia="宋体" w:cs="Times New Roman"/>
                <w:color w:val="auto"/>
                <w:highlight w:val="none"/>
              </w:rPr>
              <w:t>《中华人民共和国政府采购法》第二十二条的相关规定</w:t>
            </w:r>
          </w:p>
        </w:tc>
        <w:tc>
          <w:tcPr>
            <w:tcW w:w="5728" w:type="dxa"/>
            <w:shd w:val="clear" w:color="auto" w:fill="FFFFFF" w:themeFill="background1"/>
            <w:vAlign w:val="center"/>
          </w:tcPr>
          <w:p w14:paraId="23543703">
            <w:pPr>
              <w:pStyle w:val="53"/>
              <w:jc w:val="both"/>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提供供应商信用承诺函</w:t>
            </w:r>
          </w:p>
        </w:tc>
        <w:tc>
          <w:tcPr>
            <w:tcW w:w="1064" w:type="dxa"/>
            <w:shd w:val="clear" w:color="auto" w:fill="FFFFFF" w:themeFill="background1"/>
            <w:vAlign w:val="center"/>
          </w:tcPr>
          <w:p w14:paraId="20741810">
            <w:pPr>
              <w:pStyle w:val="53"/>
              <w:jc w:val="center"/>
              <w:rPr>
                <w:rFonts w:hint="eastAsia" w:ascii="宋体" w:hAnsi="宋体" w:eastAsia="宋体" w:cs="宋体"/>
                <w:b/>
                <w:bCs/>
                <w:color w:val="auto"/>
                <w:sz w:val="24"/>
                <w:szCs w:val="24"/>
                <w:highlight w:val="none"/>
              </w:rPr>
            </w:pPr>
          </w:p>
        </w:tc>
      </w:tr>
      <w:tr w14:paraId="287C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85" w:hRule="atLeast"/>
          <w:jc w:val="center"/>
        </w:trPr>
        <w:tc>
          <w:tcPr>
            <w:tcW w:w="809" w:type="dxa"/>
            <w:shd w:val="clear" w:color="auto" w:fill="FFFFFF" w:themeFill="background1"/>
            <w:vAlign w:val="center"/>
          </w:tcPr>
          <w:p w14:paraId="73E97A17">
            <w:pPr>
              <w:pStyle w:val="53"/>
              <w:jc w:val="center"/>
              <w:rPr>
                <w:rFonts w:hint="eastAsia" w:ascii="宋体" w:hAnsi="宋体" w:eastAsia="宋体" w:cs="宋体"/>
                <w:b/>
                <w:bCs/>
                <w:color w:val="auto"/>
                <w:kern w:val="2"/>
                <w:sz w:val="24"/>
                <w:szCs w:val="24"/>
                <w:highlight w:val="none"/>
                <w:lang w:val="en-US" w:eastAsia="zh-CN" w:bidi="ar-SA"/>
              </w:rPr>
            </w:pPr>
            <w:r>
              <w:rPr>
                <w:rFonts w:hint="eastAsia" w:cs="宋体"/>
                <w:b/>
                <w:bCs/>
                <w:color w:val="auto"/>
                <w:sz w:val="24"/>
                <w:szCs w:val="24"/>
                <w:highlight w:val="none"/>
                <w:lang w:val="en-US" w:eastAsia="zh-CN"/>
              </w:rPr>
              <w:t>2</w:t>
            </w:r>
          </w:p>
        </w:tc>
        <w:tc>
          <w:tcPr>
            <w:tcW w:w="2450" w:type="dxa"/>
            <w:shd w:val="clear" w:color="auto" w:fill="FFFFFF" w:themeFill="background1"/>
            <w:vAlign w:val="center"/>
          </w:tcPr>
          <w:p w14:paraId="1A5619AB">
            <w:pPr>
              <w:keepNext w:val="0"/>
              <w:keepLines w:val="0"/>
              <w:suppressLineNumbers w:val="0"/>
              <w:spacing w:before="0" w:beforeAutospacing="0" w:after="0" w:afterAutospacing="0" w:line="400" w:lineRule="exact"/>
              <w:ind w:left="0" w:leftChars="0" w:right="0" w:rightChars="0"/>
              <w:rPr>
                <w:rFonts w:hint="default" w:ascii="Times New Roman" w:hAnsi="宋体" w:eastAsia="宋体" w:cs="Times New Roman"/>
                <w:color w:val="auto"/>
                <w:highlight w:val="none"/>
              </w:rPr>
            </w:pPr>
            <w:r>
              <w:rPr>
                <w:rFonts w:hint="eastAsia" w:ascii="Times New Roman" w:hAnsi="宋体" w:eastAsia="宋体" w:cs="Times New Roman"/>
                <w:color w:val="auto"/>
                <w:kern w:val="2"/>
                <w:sz w:val="24"/>
                <w:szCs w:val="22"/>
                <w:highlight w:val="none"/>
                <w:lang w:val="en-US" w:eastAsia="zh-CN" w:bidi="ar-SA"/>
              </w:rPr>
              <w:t>政府采购政策要求</w:t>
            </w:r>
          </w:p>
        </w:tc>
        <w:tc>
          <w:tcPr>
            <w:tcW w:w="5728" w:type="dxa"/>
            <w:shd w:val="clear" w:color="auto" w:fill="FFFFFF" w:themeFill="background1"/>
            <w:vAlign w:val="center"/>
          </w:tcPr>
          <w:p w14:paraId="10D7A78F">
            <w:pPr>
              <w:pStyle w:val="53"/>
              <w:jc w:val="both"/>
              <w:rPr>
                <w:rFonts w:hint="eastAsia"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是否提供中小企业声明函</w:t>
            </w:r>
          </w:p>
        </w:tc>
        <w:tc>
          <w:tcPr>
            <w:tcW w:w="1064" w:type="dxa"/>
            <w:shd w:val="clear" w:color="auto" w:fill="FFFFFF" w:themeFill="background1"/>
            <w:vAlign w:val="center"/>
          </w:tcPr>
          <w:p w14:paraId="045C5018">
            <w:pPr>
              <w:pStyle w:val="53"/>
              <w:jc w:val="center"/>
              <w:rPr>
                <w:rFonts w:hint="eastAsia" w:ascii="宋体" w:hAnsi="宋体" w:eastAsia="宋体" w:cs="宋体"/>
                <w:b/>
                <w:bCs/>
                <w:color w:val="auto"/>
                <w:sz w:val="24"/>
                <w:szCs w:val="24"/>
                <w:highlight w:val="none"/>
              </w:rPr>
            </w:pPr>
          </w:p>
        </w:tc>
      </w:tr>
      <w:tr w14:paraId="4A655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64" w:hRule="atLeast"/>
          <w:jc w:val="center"/>
        </w:trPr>
        <w:tc>
          <w:tcPr>
            <w:tcW w:w="809" w:type="dxa"/>
            <w:shd w:val="clear" w:color="auto" w:fill="FFFFFF" w:themeFill="background1"/>
            <w:vAlign w:val="center"/>
          </w:tcPr>
          <w:p w14:paraId="05457416">
            <w:pPr>
              <w:pStyle w:val="53"/>
              <w:jc w:val="center"/>
              <w:rPr>
                <w:rFonts w:hint="eastAsia" w:ascii="宋体" w:hAnsi="宋体" w:eastAsia="宋体" w:cs="宋体"/>
                <w:b/>
                <w:bCs/>
                <w:color w:val="auto"/>
                <w:kern w:val="2"/>
                <w:sz w:val="24"/>
                <w:szCs w:val="24"/>
                <w:highlight w:val="none"/>
                <w:lang w:val="en-US" w:eastAsia="zh-CN" w:bidi="ar-SA"/>
              </w:rPr>
            </w:pPr>
            <w:r>
              <w:rPr>
                <w:rFonts w:hint="eastAsia" w:cs="宋体"/>
                <w:b/>
                <w:bCs/>
                <w:color w:val="auto"/>
                <w:sz w:val="24"/>
                <w:szCs w:val="24"/>
                <w:highlight w:val="none"/>
                <w:lang w:val="en-US" w:eastAsia="zh-CN"/>
              </w:rPr>
              <w:t>3</w:t>
            </w:r>
          </w:p>
        </w:tc>
        <w:tc>
          <w:tcPr>
            <w:tcW w:w="2450" w:type="dxa"/>
            <w:shd w:val="clear" w:color="auto" w:fill="FFFFFF" w:themeFill="background1"/>
            <w:vAlign w:val="center"/>
          </w:tcPr>
          <w:p w14:paraId="3FD5AE1E">
            <w:pPr>
              <w:keepNext w:val="0"/>
              <w:keepLines w:val="0"/>
              <w:suppressLineNumbers w:val="0"/>
              <w:spacing w:before="0" w:beforeAutospacing="0" w:after="0" w:afterAutospacing="0" w:line="400" w:lineRule="exact"/>
              <w:ind w:left="0" w:leftChars="0" w:right="0" w:rightChars="0"/>
              <w:rPr>
                <w:rFonts w:hint="eastAsia" w:ascii="Times New Roman" w:hAnsi="宋体" w:eastAsia="宋体" w:cs="Times New Roman"/>
                <w:color w:val="auto"/>
                <w:kern w:val="2"/>
                <w:sz w:val="24"/>
                <w:szCs w:val="22"/>
                <w:highlight w:val="none"/>
                <w:lang w:val="en-US" w:eastAsia="zh-CN" w:bidi="ar-SA"/>
              </w:rPr>
            </w:pPr>
            <w:r>
              <w:rPr>
                <w:rFonts w:hint="eastAsia" w:ascii="Times New Roman" w:hAnsi="宋体" w:eastAsia="宋体" w:cs="Times New Roman"/>
                <w:color w:val="auto"/>
                <w:highlight w:val="none"/>
                <w:lang w:val="en-US" w:eastAsia="zh-CN"/>
              </w:rPr>
              <w:t>信用信息</w:t>
            </w:r>
          </w:p>
        </w:tc>
        <w:tc>
          <w:tcPr>
            <w:tcW w:w="5728" w:type="dxa"/>
            <w:shd w:val="clear" w:color="auto" w:fill="FFFFFF" w:themeFill="background1"/>
            <w:vAlign w:val="center"/>
          </w:tcPr>
          <w:p w14:paraId="177EBB25">
            <w:pPr>
              <w:pStyle w:val="53"/>
              <w:jc w:val="both"/>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 xml:space="preserve">查询渠道：信用中国网站和中国政府采购网（ </w:t>
            </w:r>
          </w:p>
          <w:p w14:paraId="252269E6">
            <w:pPr>
              <w:pStyle w:val="53"/>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6"/>
                <w:sz w:val="24"/>
                <w:szCs w:val="24"/>
                <w:highlight w:val="none"/>
                <w:lang w:val="en-US" w:eastAsia="zh-CN"/>
              </w:rPr>
              <w:t>www.creditchina.gov.cn 、www.ccgp.gov.cn</w:t>
            </w:r>
            <w:r>
              <w:rPr>
                <w:rFonts w:hint="eastAsia" w:cs="宋体"/>
                <w:color w:val="auto"/>
                <w:spacing w:val="-6"/>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p w14:paraId="726F7CE5">
            <w:pPr>
              <w:pStyle w:val="53"/>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截止时点：投标截止时间以后、资格审查阶段采购人或采购代理机构的实际查询时间； </w:t>
            </w:r>
          </w:p>
          <w:p w14:paraId="386C268B">
            <w:pPr>
              <w:pStyle w:val="53"/>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pacing w:val="-6"/>
                <w:sz w:val="24"/>
                <w:szCs w:val="24"/>
                <w:highlight w:val="none"/>
                <w:lang w:val="en-US" w:eastAsia="zh-CN"/>
              </w:rPr>
              <w:t>信用信息的使用原则：经认定的被列入失信被执行人、重大税收违法失信主体、政府采购严重违法失信行为记录名单的投标人，其</w:t>
            </w:r>
            <w:r>
              <w:rPr>
                <w:rFonts w:hint="eastAsia" w:ascii="宋体" w:hAnsi="宋体" w:eastAsia="宋体" w:cs="宋体"/>
                <w:b/>
                <w:bCs/>
                <w:color w:val="auto"/>
                <w:spacing w:val="-6"/>
                <w:sz w:val="24"/>
                <w:szCs w:val="24"/>
                <w:highlight w:val="none"/>
                <w:lang w:val="en-US" w:eastAsia="zh-CN"/>
              </w:rPr>
              <w:t>投标无效</w:t>
            </w:r>
            <w:r>
              <w:rPr>
                <w:rFonts w:hint="eastAsia" w:ascii="宋体" w:hAnsi="宋体" w:eastAsia="宋体" w:cs="宋体"/>
                <w:color w:val="auto"/>
                <w:spacing w:val="-6"/>
                <w:sz w:val="24"/>
                <w:szCs w:val="24"/>
                <w:highlight w:val="none"/>
                <w:lang w:val="en-US" w:eastAsia="zh-CN"/>
              </w:rPr>
              <w:t>。联合体形式投标的，联合体成员存在不良信用记录，视同联合体存在不良信用记录。</w:t>
            </w:r>
          </w:p>
        </w:tc>
        <w:tc>
          <w:tcPr>
            <w:tcW w:w="1064" w:type="dxa"/>
            <w:shd w:val="clear" w:color="auto" w:fill="FFFFFF" w:themeFill="background1"/>
            <w:vAlign w:val="center"/>
          </w:tcPr>
          <w:p w14:paraId="29CA622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p>
        </w:tc>
      </w:tr>
      <w:tr w14:paraId="386FB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48" w:hRule="atLeast"/>
          <w:jc w:val="center"/>
        </w:trPr>
        <w:tc>
          <w:tcPr>
            <w:tcW w:w="809" w:type="dxa"/>
            <w:shd w:val="clear" w:color="auto" w:fill="FFFFFF" w:themeFill="background1"/>
            <w:vAlign w:val="center"/>
          </w:tcPr>
          <w:p w14:paraId="68F1227E">
            <w:pPr>
              <w:pStyle w:val="53"/>
              <w:jc w:val="center"/>
              <w:rPr>
                <w:rFonts w:hint="eastAsia" w:ascii="宋体" w:hAnsi="宋体" w:eastAsia="宋体" w:cs="宋体"/>
                <w:b/>
                <w:bCs/>
                <w:color w:val="auto"/>
                <w:kern w:val="2"/>
                <w:sz w:val="24"/>
                <w:szCs w:val="24"/>
                <w:highlight w:val="none"/>
                <w:lang w:val="en-US" w:eastAsia="zh-CN" w:bidi="ar-SA"/>
              </w:rPr>
            </w:pPr>
            <w:r>
              <w:rPr>
                <w:rFonts w:hint="eastAsia" w:cs="宋体"/>
                <w:b/>
                <w:bCs/>
                <w:color w:val="auto"/>
                <w:sz w:val="24"/>
                <w:szCs w:val="24"/>
                <w:highlight w:val="none"/>
                <w:lang w:val="en-US" w:eastAsia="zh-CN"/>
              </w:rPr>
              <w:t>4</w:t>
            </w:r>
          </w:p>
        </w:tc>
        <w:tc>
          <w:tcPr>
            <w:tcW w:w="2450" w:type="dxa"/>
            <w:shd w:val="clear" w:color="auto" w:fill="FFFFFF" w:themeFill="background1"/>
            <w:vAlign w:val="center"/>
          </w:tcPr>
          <w:p w14:paraId="022B7E1C">
            <w:pPr>
              <w:keepNext w:val="0"/>
              <w:keepLines w:val="0"/>
              <w:suppressLineNumbers w:val="0"/>
              <w:spacing w:before="0" w:beforeAutospacing="0" w:after="0" w:afterAutospacing="0" w:line="400" w:lineRule="exact"/>
              <w:ind w:left="0" w:leftChars="0" w:right="0" w:rightChars="0"/>
              <w:rPr>
                <w:rFonts w:hint="eastAsia" w:ascii="Times New Roman" w:hAnsi="宋体" w:eastAsia="宋体" w:cs="Times New Roman"/>
                <w:color w:val="auto"/>
                <w:kern w:val="2"/>
                <w:sz w:val="24"/>
                <w:szCs w:val="22"/>
                <w:highlight w:val="none"/>
                <w:lang w:val="en-US" w:eastAsia="zh-CN" w:bidi="ar-SA"/>
              </w:rPr>
            </w:pPr>
            <w:r>
              <w:rPr>
                <w:rFonts w:hint="default" w:ascii="Times New Roman" w:hAnsi="宋体" w:eastAsia="宋体" w:cs="Times New Roman"/>
                <w:color w:val="auto"/>
                <w:highlight w:val="none"/>
              </w:rPr>
              <w:t>投标保证金</w:t>
            </w:r>
          </w:p>
        </w:tc>
        <w:tc>
          <w:tcPr>
            <w:tcW w:w="5728" w:type="dxa"/>
            <w:shd w:val="clear" w:color="auto" w:fill="FFFFFF" w:themeFill="background1"/>
            <w:vAlign w:val="center"/>
          </w:tcPr>
          <w:p w14:paraId="1D7266C0">
            <w:pPr>
              <w:pStyle w:val="53"/>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提供保证金缴纳</w:t>
            </w:r>
            <w:r>
              <w:rPr>
                <w:rFonts w:hint="eastAsia" w:cs="宋体"/>
                <w:color w:val="auto"/>
                <w:kern w:val="2"/>
                <w:sz w:val="24"/>
                <w:szCs w:val="24"/>
                <w:highlight w:val="none"/>
                <w:lang w:val="en-US" w:eastAsia="zh-CN" w:bidi="ar-SA"/>
              </w:rPr>
              <w:t>凭证</w:t>
            </w:r>
            <w:r>
              <w:rPr>
                <w:rFonts w:hint="eastAsia" w:ascii="宋体" w:hAnsi="宋体" w:eastAsia="宋体" w:cs="宋体"/>
                <w:color w:val="auto"/>
                <w:kern w:val="2"/>
                <w:sz w:val="24"/>
                <w:szCs w:val="24"/>
                <w:highlight w:val="none"/>
                <w:lang w:val="en-US" w:eastAsia="zh-CN" w:bidi="ar-SA"/>
              </w:rPr>
              <w:t>或者保函</w:t>
            </w:r>
          </w:p>
        </w:tc>
        <w:tc>
          <w:tcPr>
            <w:tcW w:w="1064" w:type="dxa"/>
            <w:shd w:val="clear" w:color="auto" w:fill="FFFFFF" w:themeFill="background1"/>
            <w:vAlign w:val="center"/>
          </w:tcPr>
          <w:p w14:paraId="438028A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p>
        </w:tc>
      </w:tr>
      <w:tr w14:paraId="3F06E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50" w:hRule="atLeast"/>
          <w:jc w:val="center"/>
        </w:trPr>
        <w:tc>
          <w:tcPr>
            <w:tcW w:w="809" w:type="dxa"/>
            <w:shd w:val="clear" w:color="auto" w:fill="FFFFFF" w:themeFill="background1"/>
            <w:vAlign w:val="center"/>
          </w:tcPr>
          <w:p w14:paraId="5D109EFC">
            <w:pPr>
              <w:pStyle w:val="53"/>
              <w:jc w:val="center"/>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5</w:t>
            </w:r>
          </w:p>
        </w:tc>
        <w:tc>
          <w:tcPr>
            <w:tcW w:w="2450" w:type="dxa"/>
            <w:shd w:val="clear" w:color="auto" w:fill="FFFFFF" w:themeFill="background1"/>
            <w:vAlign w:val="center"/>
          </w:tcPr>
          <w:p w14:paraId="63152329">
            <w:pPr>
              <w:keepNext w:val="0"/>
              <w:keepLines w:val="0"/>
              <w:suppressLineNumbers w:val="0"/>
              <w:spacing w:before="0" w:beforeAutospacing="0" w:after="0" w:afterAutospacing="0" w:line="400" w:lineRule="exact"/>
              <w:ind w:left="0" w:leftChars="0" w:right="0" w:rightChars="0"/>
              <w:rPr>
                <w:rFonts w:hint="eastAsia" w:ascii="Times New Roman" w:hAnsi="宋体" w:eastAsia="宋体" w:cs="Times New Roman"/>
                <w:color w:val="auto"/>
                <w:kern w:val="2"/>
                <w:sz w:val="24"/>
                <w:szCs w:val="22"/>
                <w:highlight w:val="none"/>
                <w:lang w:val="en-US" w:eastAsia="zh-CN" w:bidi="ar-SA"/>
              </w:rPr>
            </w:pPr>
            <w:r>
              <w:rPr>
                <w:rFonts w:hint="eastAsia" w:ascii="Times New Roman" w:hAnsi="宋体" w:eastAsia="宋体" w:cs="Times New Roman"/>
                <w:color w:val="auto"/>
                <w:highlight w:val="none"/>
                <w:lang w:val="en-US" w:eastAsia="zh-CN"/>
              </w:rPr>
              <w:t>法律、行政法规规定的其他条件</w:t>
            </w:r>
          </w:p>
        </w:tc>
        <w:tc>
          <w:tcPr>
            <w:tcW w:w="5728" w:type="dxa"/>
            <w:shd w:val="clear" w:color="auto" w:fill="FFFFFF" w:themeFill="background1"/>
            <w:vAlign w:val="center"/>
          </w:tcPr>
          <w:p w14:paraId="53C6FB8A">
            <w:pPr>
              <w:pStyle w:val="53"/>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法律、行政法规规定的其他条件</w:t>
            </w:r>
          </w:p>
        </w:tc>
        <w:tc>
          <w:tcPr>
            <w:tcW w:w="1064" w:type="dxa"/>
            <w:shd w:val="clear" w:color="auto" w:fill="FFFFFF" w:themeFill="background1"/>
            <w:vAlign w:val="center"/>
          </w:tcPr>
          <w:p w14:paraId="41D5FEAB">
            <w:pPr>
              <w:pStyle w:val="53"/>
              <w:jc w:val="center"/>
              <w:rPr>
                <w:rFonts w:hint="eastAsia" w:ascii="宋体" w:hAnsi="宋体" w:eastAsia="宋体" w:cs="宋体"/>
                <w:b/>
                <w:bCs/>
                <w:color w:val="auto"/>
                <w:kern w:val="2"/>
                <w:sz w:val="24"/>
                <w:szCs w:val="24"/>
                <w:highlight w:val="none"/>
                <w:lang w:val="en-US" w:eastAsia="zh-CN" w:bidi="ar-SA"/>
              </w:rPr>
            </w:pPr>
          </w:p>
        </w:tc>
      </w:tr>
    </w:tbl>
    <w:p w14:paraId="7190FAD0">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w:t>
      </w:r>
    </w:p>
    <w:p w14:paraId="1C9A03A9">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4CBCF26D">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10FFDAF9">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68F8D5ED">
      <w:pPr>
        <w:rPr>
          <w:rFonts w:hint="eastAsia" w:ascii="宋体" w:hAnsi="宋体" w:eastAsia="宋体" w:cs="宋体"/>
          <w:b/>
          <w:bCs/>
          <w:color w:val="auto"/>
          <w:kern w:val="44"/>
          <w:sz w:val="36"/>
          <w:szCs w:val="36"/>
          <w:highlight w:val="none"/>
          <w:lang w:val="en-US" w:eastAsia="zh-CN" w:bidi="ar-SA"/>
        </w:rPr>
      </w:pPr>
      <w:bookmarkStart w:id="349" w:name="_Toc155185903"/>
      <w:bookmarkStart w:id="350" w:name="_Toc18814"/>
      <w:r>
        <w:rPr>
          <w:rFonts w:hint="eastAsia" w:ascii="宋体" w:hAnsi="宋体" w:eastAsia="宋体" w:cs="宋体"/>
          <w:b/>
          <w:bCs/>
          <w:color w:val="auto"/>
          <w:kern w:val="44"/>
          <w:sz w:val="36"/>
          <w:szCs w:val="36"/>
          <w:highlight w:val="none"/>
          <w:lang w:val="en-US" w:eastAsia="zh-CN" w:bidi="ar-SA"/>
        </w:rPr>
        <w:br w:type="page"/>
      </w:r>
    </w:p>
    <w:p w14:paraId="0942BD9B">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default"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第五章 评标方法</w:t>
      </w:r>
      <w:bookmarkEnd w:id="349"/>
      <w:r>
        <w:rPr>
          <w:rFonts w:hint="eastAsia" w:ascii="宋体" w:hAnsi="宋体" w:eastAsia="宋体" w:cs="宋体"/>
          <w:b/>
          <w:bCs/>
          <w:color w:val="auto"/>
          <w:kern w:val="44"/>
          <w:sz w:val="36"/>
          <w:szCs w:val="36"/>
          <w:highlight w:val="none"/>
          <w:lang w:val="en-US" w:eastAsia="zh-CN" w:bidi="ar-SA"/>
        </w:rPr>
        <w:t>及标准</w:t>
      </w:r>
      <w:r>
        <w:rPr>
          <w:rFonts w:hint="eastAsia" w:eastAsia="宋体" w:cs="宋体"/>
          <w:b/>
          <w:bCs/>
          <w:color w:val="auto"/>
          <w:kern w:val="44"/>
          <w:sz w:val="36"/>
          <w:szCs w:val="36"/>
          <w:highlight w:val="none"/>
          <w:lang w:val="en-US" w:eastAsia="zh-CN" w:bidi="ar-SA"/>
        </w:rPr>
        <w:t>（</w:t>
      </w:r>
      <w:r>
        <w:rPr>
          <w:rFonts w:hint="eastAsia" w:ascii="宋体" w:hAnsi="宋体" w:eastAsia="宋体" w:cs="宋体"/>
          <w:b/>
          <w:bCs/>
          <w:color w:val="auto"/>
          <w:kern w:val="44"/>
          <w:sz w:val="36"/>
          <w:szCs w:val="36"/>
          <w:highlight w:val="none"/>
          <w:lang w:val="en-US" w:eastAsia="zh-CN" w:bidi="ar-SA"/>
        </w:rPr>
        <w:t>综合评分法</w:t>
      </w:r>
      <w:r>
        <w:rPr>
          <w:rFonts w:hint="eastAsia" w:eastAsia="宋体" w:cs="宋体"/>
          <w:b/>
          <w:bCs/>
          <w:color w:val="auto"/>
          <w:kern w:val="44"/>
          <w:sz w:val="36"/>
          <w:szCs w:val="36"/>
          <w:highlight w:val="none"/>
          <w:lang w:val="en-US" w:eastAsia="zh-CN" w:bidi="ar-SA"/>
        </w:rPr>
        <w:t>）</w:t>
      </w:r>
      <w:bookmarkEnd w:id="350"/>
    </w:p>
    <w:p w14:paraId="5B537BD2">
      <w:pPr>
        <w:pStyle w:val="41"/>
        <w:jc w:val="both"/>
        <w:rPr>
          <w:rFonts w:hint="eastAsia" w:ascii="宋体" w:hAnsi="宋体" w:eastAsia="宋体" w:cs="宋体"/>
          <w:color w:val="auto"/>
          <w:sz w:val="24"/>
          <w:szCs w:val="24"/>
          <w:highlight w:val="none"/>
        </w:rPr>
      </w:pPr>
      <w:bookmarkStart w:id="351" w:name="_Toc109900322"/>
      <w:bookmarkStart w:id="352" w:name="_Toc109899484"/>
      <w:bookmarkStart w:id="353" w:name="_Toc511894518"/>
      <w:bookmarkStart w:id="354" w:name="_Toc109899903"/>
      <w:bookmarkStart w:id="355" w:name="_Toc140132826"/>
      <w:bookmarkStart w:id="356" w:name="_Toc272247709"/>
      <w:bookmarkStart w:id="357" w:name="_Toc61280402"/>
      <w:bookmarkStart w:id="358" w:name="_Toc155185905"/>
      <w:bookmarkStart w:id="359" w:name="_Toc494561962"/>
      <w:bookmarkStart w:id="360" w:name="_Toc278891606"/>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597C886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61" w:name="_Toc4301"/>
      <w:bookmarkStart w:id="362" w:name="_Toc17592"/>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361"/>
      <w:bookmarkEnd w:id="362"/>
    </w:p>
    <w:p w14:paraId="6BDD3E4D">
      <w:pPr>
        <w:pStyle w:val="41"/>
        <w:keepNext w:val="0"/>
        <w:keepLines w:val="0"/>
        <w:pageBreakBefore w:val="0"/>
        <w:widowControl w:val="0"/>
        <w:kinsoku/>
        <w:wordWrap w:val="0"/>
        <w:overflowPunct/>
        <w:topLinePunct w:val="0"/>
        <w:autoSpaceDE/>
        <w:autoSpaceDN/>
        <w:bidi w:val="0"/>
        <w:adjustRightInd/>
        <w:snapToGrid/>
        <w:ind w:firstLine="482"/>
        <w:jc w:val="both"/>
        <w:textAlignment w:val="auto"/>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7A9CE2FA">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color w:val="auto"/>
          <w:sz w:val="28"/>
          <w:szCs w:val="28"/>
          <w:highlight w:val="none"/>
          <w:lang w:val="zh-CN" w:eastAsia="zh-CN"/>
        </w:rPr>
      </w:pPr>
      <w:bookmarkStart w:id="363" w:name="_Toc27095"/>
      <w:bookmarkStart w:id="364" w:name="_Toc2887"/>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363"/>
      <w:bookmarkEnd w:id="364"/>
    </w:p>
    <w:p w14:paraId="49F1EE23">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65" w:name="_Toc19642"/>
      <w:r>
        <w:rPr>
          <w:rFonts w:hint="eastAsia" w:ascii="宋体" w:hAnsi="宋体" w:eastAsia="宋体" w:cs="宋体"/>
          <w:b/>
          <w:bCs/>
          <w:color w:val="auto"/>
          <w:kern w:val="2"/>
          <w:sz w:val="24"/>
          <w:szCs w:val="24"/>
          <w:highlight w:val="none"/>
          <w:lang w:val="zh-CN" w:eastAsia="zh-CN" w:bidi="ar-SA"/>
        </w:rPr>
        <w:t>（一）符合性审查</w:t>
      </w:r>
      <w:bookmarkEnd w:id="365"/>
    </w:p>
    <w:p w14:paraId="5B626FF4">
      <w:pPr>
        <w:pStyle w:val="41"/>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w:t>
      </w:r>
      <w:r>
        <w:rPr>
          <w:rFonts w:hint="eastAsia" w:cs="宋体"/>
          <w:color w:val="auto"/>
          <w:sz w:val="24"/>
          <w:szCs w:val="24"/>
          <w:highlight w:val="none"/>
          <w:lang w:val="en-US" w:eastAsia="zh-CN"/>
        </w:rPr>
        <w:t>详见</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069EE8E0">
      <w:pPr>
        <w:pStyle w:val="41"/>
        <w:jc w:val="both"/>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0BB88AF5">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66" w:name="_Toc102057744"/>
      <w:bookmarkStart w:id="367" w:name="_Toc102056244"/>
      <w:bookmarkStart w:id="368" w:name="_Toc102116048"/>
      <w:bookmarkStart w:id="369" w:name="_Toc102119879"/>
      <w:bookmarkStart w:id="370" w:name="_Toc155185907"/>
      <w:bookmarkStart w:id="371" w:name="_Toc102114946"/>
      <w:bookmarkStart w:id="372" w:name="_Toc102116178"/>
      <w:bookmarkStart w:id="373" w:name="_Toc163492903"/>
      <w:bookmarkStart w:id="374" w:name="_Toc3217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366"/>
      <w:bookmarkEnd w:id="367"/>
      <w:bookmarkEnd w:id="368"/>
      <w:bookmarkEnd w:id="369"/>
      <w:bookmarkEnd w:id="370"/>
      <w:bookmarkEnd w:id="371"/>
      <w:bookmarkEnd w:id="372"/>
      <w:r>
        <w:rPr>
          <w:rFonts w:hint="eastAsia" w:ascii="宋体" w:hAnsi="宋体" w:eastAsia="宋体" w:cs="宋体"/>
          <w:b/>
          <w:bCs/>
          <w:color w:val="auto"/>
          <w:kern w:val="2"/>
          <w:sz w:val="24"/>
          <w:szCs w:val="24"/>
          <w:highlight w:val="none"/>
          <w:lang w:val="zh-CN" w:eastAsia="zh-CN" w:bidi="ar-SA"/>
        </w:rPr>
        <w:t>及修正</w:t>
      </w:r>
      <w:bookmarkEnd w:id="373"/>
      <w:bookmarkEnd w:id="374"/>
    </w:p>
    <w:p w14:paraId="09552E83">
      <w:pPr>
        <w:pStyle w:val="41"/>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评标期间，对于投标文件中含义不明确、同类问题表述不一致或者有明显文字和计算错误的内容需要投标人作出必要的澄清、说明或者补正的，评标委员会应当在政采云平台评标系统中以书面形式要求投标人作出必要的澄清、说明或者补正。</w:t>
      </w:r>
    </w:p>
    <w:p w14:paraId="634B4460">
      <w:pPr>
        <w:pStyle w:val="41"/>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4.投标人应按照评标委员会要求在规定时间内作出澄清、说明或者补正，澄清、说明或者补正不得超出投标文件的范围或者改变投标文件的实质性内容。</w:t>
      </w:r>
    </w:p>
    <w:p w14:paraId="5E444FA8">
      <w:pPr>
        <w:pStyle w:val="4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5.投标人的澄清、说明或者补正是其投标文件的有效组成部分，澄清、说明或者补正应当在政采云平台评标系统中加盖电子印章后提交。</w:t>
      </w:r>
    </w:p>
    <w:p w14:paraId="1C980B99">
      <w:pPr>
        <w:pStyle w:val="41"/>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报价合理性说明：评标委员会认为投标人的报价明显低于其他通过符合性审查投标人的报价，有可能影响服务质量或者不能诚信履约的，应当要求该投标人在合理的时间内提供说明，必要时提交相关证明材料；若投标人不能证明其报价合理性的，评标委员会应当将其作</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lang w:val="en-US" w:eastAsia="zh-CN"/>
        </w:rPr>
        <w:t>处理。</w:t>
      </w:r>
    </w:p>
    <w:p w14:paraId="3903A4DD">
      <w:pPr>
        <w:pStyle w:val="41"/>
        <w:jc w:val="both"/>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w:t>
      </w:r>
      <w:r>
        <w:rPr>
          <w:rFonts w:hint="eastAsia"/>
          <w:color w:val="auto"/>
          <w:highlight w:val="none"/>
          <w:lang w:val="en-US" w:eastAsia="zh-CN"/>
        </w:rPr>
        <w:t>将一个采购包中的内容拆分投标，其</w:t>
      </w:r>
      <w:r>
        <w:rPr>
          <w:rFonts w:hint="eastAsia"/>
          <w:b/>
          <w:bCs/>
          <w:color w:val="auto"/>
          <w:highlight w:val="none"/>
          <w:lang w:val="en-US" w:eastAsia="zh-CN"/>
        </w:rPr>
        <w:t>投标无效</w:t>
      </w:r>
      <w:r>
        <w:rPr>
          <w:rFonts w:hint="eastAsia"/>
          <w:color w:val="auto"/>
          <w:highlight w:val="none"/>
          <w:lang w:val="en-US" w:eastAsia="zh-CN"/>
        </w:rPr>
        <w:t>。</w:t>
      </w:r>
    </w:p>
    <w:p w14:paraId="14053BE2">
      <w:pPr>
        <w:pStyle w:val="41"/>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8.投标文件报价出现前后不一致的，除招标文件另有规定外，按照下列规定修正：</w:t>
      </w:r>
    </w:p>
    <w:p w14:paraId="6E7A253F">
      <w:pPr>
        <w:pStyle w:val="41"/>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8.1投标文件中开标一览表（报价表）内容与投标文件中相应内容不一致的，以开标一览表（报价表）为准；</w:t>
      </w:r>
    </w:p>
    <w:p w14:paraId="36118B7B">
      <w:pPr>
        <w:pStyle w:val="41"/>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8.2大写金额和小写金额不一致的，以大写金额为准；</w:t>
      </w:r>
    </w:p>
    <w:p w14:paraId="7EDD8174">
      <w:pPr>
        <w:pStyle w:val="41"/>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8.3单价金额小数点或者百分比有明显错位的，以开标一览表的总价为准，并修改单价；</w:t>
      </w:r>
    </w:p>
    <w:p w14:paraId="018B8ED8">
      <w:pPr>
        <w:pStyle w:val="41"/>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8.4总价金额与按单价汇总金额不一致的，以单价金额计算结果为准。</w:t>
      </w:r>
    </w:p>
    <w:p w14:paraId="74CF6758">
      <w:pPr>
        <w:pStyle w:val="41"/>
        <w:keepNext w:val="0"/>
        <w:keepLines w:val="0"/>
        <w:pageBreakBefore w:val="0"/>
        <w:widowControl w:val="0"/>
        <w:kinsoku/>
        <w:wordWrap w:val="0"/>
        <w:overflowPunct/>
        <w:topLinePunct w:val="0"/>
        <w:autoSpaceDE/>
        <w:autoSpaceDN/>
        <w:bidi w:val="0"/>
        <w:adjustRightInd/>
        <w:snapToGrid/>
        <w:ind w:left="0" w:leftChars="0" w:firstLine="480" w:firstLineChars="200"/>
        <w:jc w:val="both"/>
        <w:textAlignment w:val="auto"/>
        <w:rPr>
          <w:rFonts w:hint="eastAsia"/>
          <w:color w:val="auto"/>
          <w:highlight w:val="none"/>
          <w:lang w:val="en-US" w:eastAsia="zh-CN"/>
        </w:rPr>
      </w:pPr>
      <w:r>
        <w:rPr>
          <w:rFonts w:hint="eastAsia"/>
          <w:color w:val="auto"/>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b/>
          <w:bCs/>
          <w:color w:val="auto"/>
          <w:highlight w:val="none"/>
          <w:lang w:val="en-US" w:eastAsia="zh-CN"/>
        </w:rPr>
        <w:t>投标无效</w:t>
      </w:r>
      <w:r>
        <w:rPr>
          <w:rFonts w:hint="eastAsia"/>
          <w:color w:val="auto"/>
          <w:highlight w:val="none"/>
          <w:lang w:val="en-US" w:eastAsia="zh-CN"/>
        </w:rPr>
        <w:t>。</w:t>
      </w:r>
    </w:p>
    <w:p w14:paraId="28E85347">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75" w:name="_Toc13089"/>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bookmarkEnd w:id="375"/>
    </w:p>
    <w:p w14:paraId="493D5FD6">
      <w:pPr>
        <w:pStyle w:val="4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15607164">
      <w:pPr>
        <w:pStyle w:val="4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.有效投标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1CC8B438">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76" w:name="_Toc33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bookmarkEnd w:id="376"/>
    </w:p>
    <w:p w14:paraId="04FF50E9">
      <w:pPr>
        <w:pStyle w:val="41"/>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投标报价评审</w:t>
      </w:r>
    </w:p>
    <w:p w14:paraId="361EB4D6">
      <w:pPr>
        <w:pStyle w:val="41"/>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11.1服务项目的价格分值占总分值的比重不得低于</w:t>
      </w:r>
      <w:r>
        <w:rPr>
          <w:rFonts w:hint="default"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执行国家统一定价标准和采用固定价格采购的项目，其价格不列为评审因素。价格分应当采用低价优先法计算，即满足招标文件要求且投标价格最低的投标报价为评标基准价，其价格分为满分。其他投标人的价格分统一按照下列公式计算：</w:t>
      </w:r>
    </w:p>
    <w:p w14:paraId="4643D821">
      <w:pPr>
        <w:pStyle w:val="41"/>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投标报价得分=</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评标基准价／投标报价</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×价格分值</w:t>
      </w:r>
    </w:p>
    <w:p w14:paraId="07F04979">
      <w:pPr>
        <w:pStyle w:val="41"/>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评标过程中，不得去掉报价中的最高报价和最低报价。</w:t>
      </w:r>
    </w:p>
    <w:p w14:paraId="32DA94E3">
      <w:pPr>
        <w:pStyle w:val="41"/>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11.2除算术修正和落实政府采购政策的价格扣除外，不对投标报价进行调整；</w:t>
      </w:r>
    </w:p>
    <w:p w14:paraId="40D75F63">
      <w:pPr>
        <w:pStyle w:val="41"/>
        <w:jc w:val="both"/>
        <w:rPr>
          <w:color w:val="auto"/>
          <w:highlight w:val="none"/>
        </w:rPr>
      </w:pPr>
      <w:r>
        <w:rPr>
          <w:rFonts w:hint="eastAsia" w:ascii="宋体" w:hAnsi="宋体" w:eastAsia="宋体" w:cs="宋体"/>
          <w:color w:val="auto"/>
          <w:sz w:val="24"/>
          <w:szCs w:val="24"/>
          <w:highlight w:val="none"/>
          <w:lang w:val="en-US" w:eastAsia="zh-CN"/>
        </w:rPr>
        <w:t>11.3价格分值见本章“四、评标标准”</w:t>
      </w:r>
      <w:r>
        <w:rPr>
          <w:color w:val="auto"/>
          <w:highlight w:val="none"/>
        </w:rPr>
        <w:t>。</w:t>
      </w:r>
    </w:p>
    <w:p w14:paraId="60B1C704">
      <w:pPr>
        <w:pStyle w:val="41"/>
        <w:jc w:val="both"/>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政府采购异常低价审查</w:t>
      </w:r>
    </w:p>
    <w:p w14:paraId="41571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12.1</w:t>
      </w:r>
      <w:r>
        <w:rPr>
          <w:rFonts w:hint="eastAsia"/>
          <w:color w:val="auto"/>
          <w:sz w:val="24"/>
          <w:szCs w:val="24"/>
          <w:highlight w:val="none"/>
        </w:rPr>
        <w:t>政府采购评审中出现下列情形之一的，评审委员会应当启动异常低价投标（响应）审查程序：</w:t>
      </w:r>
    </w:p>
    <w:p w14:paraId="616311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w:t>
      </w:r>
      <w:r>
        <w:rPr>
          <w:rFonts w:hint="eastAsia"/>
          <w:color w:val="auto"/>
          <w:sz w:val="24"/>
          <w:szCs w:val="24"/>
          <w:highlight w:val="none"/>
          <w:lang w:eastAsia="zh-CN"/>
        </w:rPr>
        <w:t>〈</w:t>
      </w:r>
      <w:r>
        <w:rPr>
          <w:rFonts w:hint="eastAsia"/>
          <w:color w:val="auto"/>
          <w:sz w:val="24"/>
          <w:szCs w:val="24"/>
          <w:highlight w:val="none"/>
        </w:rPr>
        <w:t>全部通过符合性审查供应商投标（响应）报价平均值×50%；</w:t>
      </w:r>
    </w:p>
    <w:p w14:paraId="75AF2E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w:t>
      </w:r>
      <w:r>
        <w:rPr>
          <w:rFonts w:hint="eastAsia"/>
          <w:color w:val="auto"/>
          <w:sz w:val="24"/>
          <w:szCs w:val="24"/>
          <w:highlight w:val="none"/>
          <w:lang w:eastAsia="zh-CN"/>
        </w:rPr>
        <w:t>〈</w:t>
      </w:r>
      <w:r>
        <w:rPr>
          <w:rFonts w:hint="eastAsia"/>
          <w:color w:val="auto"/>
          <w:sz w:val="24"/>
          <w:szCs w:val="24"/>
          <w:highlight w:val="none"/>
        </w:rPr>
        <w:t>通过符合性审查的次低报价供应商投标（响应）报价×50%；</w:t>
      </w:r>
    </w:p>
    <w:p w14:paraId="3A1192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w:t>
      </w:r>
      <w:r>
        <w:rPr>
          <w:rFonts w:hint="eastAsia"/>
          <w:color w:val="auto"/>
          <w:sz w:val="24"/>
          <w:szCs w:val="24"/>
          <w:highlight w:val="none"/>
          <w:lang w:eastAsia="zh-CN"/>
        </w:rPr>
        <w:t>〈</w:t>
      </w:r>
      <w:r>
        <w:rPr>
          <w:rFonts w:hint="eastAsia"/>
          <w:color w:val="auto"/>
          <w:sz w:val="24"/>
          <w:szCs w:val="24"/>
          <w:highlight w:val="none"/>
        </w:rPr>
        <w:t>采购项目最高限价×45%；</w:t>
      </w:r>
    </w:p>
    <w:p w14:paraId="258738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540C88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12.2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AB89A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59161C7">
      <w:pPr>
        <w:pStyle w:val="41"/>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.政府采购政策评审</w:t>
      </w:r>
    </w:p>
    <w:p w14:paraId="7B121F13">
      <w:pPr>
        <w:pStyle w:val="41"/>
        <w:numPr>
          <w:ilvl w:val="0"/>
          <w:numId w:val="0"/>
        </w:numPr>
        <w:ind w:firstLine="480" w:firstLineChars="200"/>
        <w:jc w:val="both"/>
        <w:rPr>
          <w:color w:val="auto"/>
          <w:highlight w:val="none"/>
        </w:rPr>
      </w:pPr>
      <w:r>
        <w:rPr>
          <w:color w:val="auto"/>
          <w:highlight w:val="none"/>
        </w:rPr>
        <w:t>1</w:t>
      </w:r>
      <w:r>
        <w:rPr>
          <w:rFonts w:hint="eastAsia"/>
          <w:color w:val="auto"/>
          <w:highlight w:val="none"/>
          <w:lang w:val="en-US" w:eastAsia="zh-CN"/>
        </w:rPr>
        <w:t>3</w:t>
      </w:r>
      <w:r>
        <w:rPr>
          <w:color w:val="auto"/>
          <w:highlight w:val="none"/>
        </w:rPr>
        <w:t>.1非专门面向中小企业的采购项目或采购包，对符合规定的小微企业（</w:t>
      </w:r>
      <w:r>
        <w:rPr>
          <w:rFonts w:hint="eastAsia"/>
          <w:color w:val="auto"/>
          <w:highlight w:val="none"/>
          <w:lang w:val="en-US" w:eastAsia="zh-CN"/>
        </w:rPr>
        <w:t>含</w:t>
      </w:r>
      <w:r>
        <w:rPr>
          <w:color w:val="auto"/>
          <w:highlight w:val="none"/>
        </w:rPr>
        <w:t>监狱企业、残疾人福利性单位、联合体各方均为小微企业的联合体、符合小微企业划分标准的个体工商户视同小微企业）报价</w:t>
      </w:r>
      <w:r>
        <w:rPr>
          <w:rFonts w:hint="eastAsia"/>
          <w:color w:val="auto"/>
          <w:highlight w:val="none"/>
        </w:rPr>
        <w:t>按照本招标文件</w:t>
      </w:r>
      <w:r>
        <w:rPr>
          <w:rFonts w:hint="eastAsia"/>
          <w:color w:val="auto"/>
          <w:highlight w:val="none"/>
          <w:lang w:eastAsia="zh-CN"/>
        </w:rPr>
        <w:t>“</w:t>
      </w:r>
      <w:r>
        <w:rPr>
          <w:rFonts w:hint="eastAsia"/>
          <w:color w:val="auto"/>
          <w:highlight w:val="none"/>
        </w:rPr>
        <w:t>投标人须知前附表”中的规定</w:t>
      </w:r>
      <w:r>
        <w:rPr>
          <w:color w:val="auto"/>
          <w:highlight w:val="none"/>
        </w:rPr>
        <w:t>扣除</w:t>
      </w:r>
      <w:r>
        <w:rPr>
          <w:rFonts w:hint="eastAsia"/>
          <w:color w:val="auto"/>
          <w:highlight w:val="none"/>
        </w:rPr>
        <w:t>，对小微企业中的监狱企业、</w:t>
      </w:r>
      <w:r>
        <w:rPr>
          <w:rFonts w:hint="eastAsia" w:ascii="宋体" w:hAnsi="宋体" w:eastAsia="宋体" w:cs="宋体"/>
          <w:color w:val="auto"/>
          <w:sz w:val="24"/>
          <w:szCs w:val="24"/>
          <w:highlight w:val="none"/>
        </w:rPr>
        <w:t>残疾人福利性单位的报价按照本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的投标人</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ascii="宋体" w:hAnsi="宋体" w:eastAsia="宋体" w:cs="宋体"/>
          <w:color w:val="auto"/>
          <w:sz w:val="24"/>
          <w:szCs w:val="24"/>
          <w:highlight w:val="none"/>
          <w:lang w:eastAsia="zh-CN"/>
        </w:rPr>
        <w:t>。</w:t>
      </w:r>
    </w:p>
    <w:p w14:paraId="341929E8">
      <w:pPr>
        <w:pStyle w:val="41"/>
        <w:numPr>
          <w:ilvl w:val="0"/>
          <w:numId w:val="0"/>
        </w:numPr>
        <w:ind w:firstLine="480" w:firstLineChars="200"/>
        <w:jc w:val="both"/>
        <w:rPr>
          <w:rFonts w:ascii="宋体" w:hAnsi="宋体" w:eastAsia="宋体"/>
          <w:color w:val="auto"/>
          <w:highlight w:val="none"/>
        </w:rPr>
      </w:pPr>
      <w:r>
        <w:rPr>
          <w:rFonts w:hint="eastAsia" w:ascii="宋体" w:hAnsi="宋体" w:eastAsia="宋体"/>
          <w:color w:val="auto"/>
          <w:highlight w:val="none"/>
          <w:lang w:val="en-US" w:eastAsia="zh-CN"/>
        </w:rPr>
        <w:t>1</w:t>
      </w:r>
      <w:r>
        <w:rPr>
          <w:rFonts w:hint="eastAsia"/>
          <w:color w:val="auto"/>
          <w:highlight w:val="none"/>
          <w:lang w:val="en-US" w:eastAsia="zh-CN"/>
        </w:rPr>
        <w:t>3</w:t>
      </w:r>
      <w:r>
        <w:rPr>
          <w:rFonts w:hint="eastAsia" w:ascii="宋体" w:hAnsi="宋体" w:eastAsia="宋体"/>
          <w:color w:val="auto"/>
          <w:highlight w:val="none"/>
          <w:lang w:val="en-US" w:eastAsia="zh-CN"/>
        </w:rPr>
        <w:t>.</w:t>
      </w:r>
      <w:r>
        <w:rPr>
          <w:rFonts w:hint="eastAsia" w:ascii="宋体" w:hAnsi="宋体" w:eastAsia="宋体"/>
          <w:color w:val="auto"/>
          <w:highlight w:val="none"/>
          <w:lang w:val="zh-CN" w:eastAsia="zh-CN"/>
        </w:rPr>
        <w:t>2</w:t>
      </w:r>
      <w:r>
        <w:rPr>
          <w:rFonts w:ascii="宋体" w:hAnsi="宋体" w:eastAsia="宋体"/>
          <w:color w:val="auto"/>
          <w:highlight w:val="none"/>
        </w:rPr>
        <w:t>参加政府采购活动的小微企业</w:t>
      </w:r>
      <w:r>
        <w:rPr>
          <w:rFonts w:hint="eastAsia"/>
          <w:color w:val="auto"/>
          <w:highlight w:val="none"/>
        </w:rPr>
        <w:t>（含节能环保、创新产品企业）</w:t>
      </w:r>
      <w:r>
        <w:rPr>
          <w:rFonts w:ascii="宋体" w:hAnsi="宋体" w:eastAsia="宋体"/>
          <w:color w:val="auto"/>
          <w:highlight w:val="none"/>
        </w:rPr>
        <w:t>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color w:val="auto"/>
          <w:highlight w:val="none"/>
          <w:lang w:val="en-US" w:eastAsia="zh-CN"/>
        </w:rPr>
        <w:t>若供应商同时属于小型或微型企业、监狱企业、残疾人福利性单位 中的两种及以上，将不重复享受小微企业价格扣减的优惠政策。</w:t>
      </w:r>
    </w:p>
    <w:p w14:paraId="2FDF1D92">
      <w:pPr>
        <w:pStyle w:val="41"/>
        <w:numPr>
          <w:ilvl w:val="0"/>
          <w:numId w:val="0"/>
        </w:numPr>
        <w:ind w:firstLine="480" w:firstLineChars="200"/>
        <w:jc w:val="both"/>
        <w:rPr>
          <w:rFonts w:hint="eastAsia"/>
          <w:color w:val="auto"/>
          <w:highlight w:val="none"/>
          <w:lang w:val="en-US" w:eastAsia="zh-CN"/>
        </w:rPr>
      </w:pPr>
      <w:r>
        <w:rPr>
          <w:rFonts w:hint="eastAsia"/>
          <w:color w:val="auto"/>
          <w:highlight w:val="none"/>
          <w:lang w:val="en-US" w:eastAsia="zh-CN"/>
        </w:rPr>
        <w:t>组成联合体或者接受分包的小微企业与联合体内其他企业、分包企业</w:t>
      </w:r>
      <w:r>
        <w:rPr>
          <w:rFonts w:hint="default"/>
          <w:color w:val="auto"/>
          <w:highlight w:val="none"/>
          <w:lang w:val="en-US" w:eastAsia="zh-CN"/>
        </w:rPr>
        <w:t>之间存在直接控股、管理关系的，不享受价格扣除优惠政策。</w:t>
      </w:r>
    </w:p>
    <w:p w14:paraId="7501C83E">
      <w:pPr>
        <w:pStyle w:val="41"/>
        <w:numPr>
          <w:ilvl w:val="0"/>
          <w:numId w:val="0"/>
        </w:numPr>
        <w:ind w:firstLine="480" w:firstLineChars="200"/>
        <w:jc w:val="both"/>
        <w:rPr>
          <w:rFonts w:ascii="宋体" w:hAnsi="宋体" w:eastAsia="宋体"/>
          <w:color w:val="auto"/>
          <w:highlight w:val="none"/>
        </w:rPr>
      </w:pPr>
      <w:r>
        <w:rPr>
          <w:rFonts w:ascii="宋体" w:hAnsi="宋体" w:eastAsia="宋体" w:cstheme="minorBidi"/>
          <w:color w:val="auto"/>
          <w:kern w:val="2"/>
          <w:sz w:val="24"/>
          <w:szCs w:val="22"/>
          <w:highlight w:val="none"/>
          <w:lang w:val="en-US" w:eastAsia="zh-CN" w:bidi="ar-SA"/>
        </w:rPr>
        <w:t>价格扣除比例对小型企业和微型企业同等对待，不作区分。</w:t>
      </w:r>
    </w:p>
    <w:p w14:paraId="59DDB050">
      <w:pPr>
        <w:pStyle w:val="41"/>
        <w:numPr>
          <w:ilvl w:val="0"/>
          <w:numId w:val="0"/>
        </w:numPr>
        <w:ind w:firstLine="480" w:firstLineChars="200"/>
        <w:jc w:val="both"/>
        <w:rPr>
          <w:rFonts w:ascii="宋体" w:hAnsi="宋体" w:eastAsia="宋体"/>
          <w:color w:val="auto"/>
          <w:highlight w:val="none"/>
        </w:rPr>
      </w:pPr>
      <w:r>
        <w:rPr>
          <w:rFonts w:hint="eastAsia" w:ascii="宋体" w:hAnsi="宋体" w:eastAsia="宋体"/>
          <w:color w:val="auto"/>
          <w:highlight w:val="none"/>
          <w:lang w:val="en-US" w:eastAsia="zh-CN"/>
        </w:rPr>
        <w:t>1</w:t>
      </w:r>
      <w:r>
        <w:rPr>
          <w:rFonts w:hint="eastAsia"/>
          <w:color w:val="auto"/>
          <w:highlight w:val="none"/>
          <w:lang w:val="en-US" w:eastAsia="zh-CN"/>
        </w:rPr>
        <w:t>3</w:t>
      </w:r>
      <w:r>
        <w:rPr>
          <w:rFonts w:hint="eastAsia" w:ascii="宋体" w:hAnsi="宋体" w:eastAsia="宋体"/>
          <w:color w:val="auto"/>
          <w:highlight w:val="none"/>
          <w:lang w:val="en-US" w:eastAsia="zh-CN"/>
        </w:rPr>
        <w:t>.</w:t>
      </w:r>
      <w:r>
        <w:rPr>
          <w:rFonts w:hint="eastAsia" w:ascii="宋体" w:hAnsi="宋体" w:eastAsia="宋体"/>
          <w:color w:val="auto"/>
          <w:highlight w:val="none"/>
          <w:lang w:val="zh-CN" w:eastAsia="zh-CN"/>
        </w:rPr>
        <w:t>3</w:t>
      </w:r>
      <w:r>
        <w:rPr>
          <w:rFonts w:ascii="宋体" w:hAnsi="宋体" w:eastAsia="宋体"/>
          <w:color w:val="auto"/>
          <w:highlight w:val="none"/>
        </w:rPr>
        <w:t>专门面向中小企业、预留部分采购份额面向中小企业采购的项目或采购包，评审时不再进行价格扣除。</w:t>
      </w:r>
    </w:p>
    <w:p w14:paraId="40A6E68A">
      <w:pPr>
        <w:pStyle w:val="41"/>
        <w:keepNext w:val="0"/>
        <w:keepLines w:val="0"/>
        <w:pageBreakBefore w:val="0"/>
        <w:widowControl w:val="0"/>
        <w:kinsoku/>
        <w:overflowPunct/>
        <w:topLinePunct w:val="0"/>
        <w:autoSpaceDE/>
        <w:autoSpaceDN/>
        <w:bidi w:val="0"/>
        <w:adjustRightInd/>
        <w:jc w:val="both"/>
        <w:textAlignment w:val="auto"/>
        <w:rPr>
          <w:rFonts w:hint="eastAsia" w:ascii="宋体" w:hAnsi="宋体" w:eastAsia="宋体"/>
          <w:color w:val="auto"/>
          <w:highlight w:val="none"/>
        </w:rPr>
      </w:pPr>
      <w:r>
        <w:rPr>
          <w:rFonts w:hint="eastAsia" w:ascii="宋体" w:hAnsi="宋体" w:eastAsia="宋体"/>
          <w:color w:val="auto"/>
          <w:highlight w:val="none"/>
          <w:lang w:val="en-US" w:eastAsia="zh-CN"/>
        </w:rPr>
        <w:t>1</w:t>
      </w:r>
      <w:r>
        <w:rPr>
          <w:rFonts w:hint="eastAsia"/>
          <w:color w:val="auto"/>
          <w:highlight w:val="none"/>
          <w:lang w:val="en-US" w:eastAsia="zh-CN"/>
        </w:rPr>
        <w:t>3</w:t>
      </w:r>
      <w:r>
        <w:rPr>
          <w:rFonts w:hint="eastAsia" w:ascii="宋体" w:hAnsi="宋体" w:eastAsia="宋体"/>
          <w:color w:val="auto"/>
          <w:highlight w:val="none"/>
          <w:lang w:val="en-US" w:eastAsia="zh-CN"/>
        </w:rPr>
        <w:t>.4</w:t>
      </w:r>
      <w:r>
        <w:rPr>
          <w:rFonts w:hint="eastAsia" w:ascii="宋体" w:hAnsi="宋体" w:eastAsia="宋体"/>
          <w:color w:val="auto"/>
          <w:highlight w:val="none"/>
        </w:rPr>
        <w:t>对于未预留份额专门面向中小企业的政府采购项目，以及预留份额政府采购项目中的非预留部分标项，对小型和微型企业的投标报价给予</w:t>
      </w:r>
      <w:r>
        <w:rPr>
          <w:rFonts w:hint="eastAsia"/>
          <w:color w:val="auto"/>
          <w:highlight w:val="none"/>
          <w:lang w:eastAsia="zh-CN"/>
        </w:rPr>
        <w:t>10%—20%</w:t>
      </w:r>
      <w:r>
        <w:rPr>
          <w:rFonts w:hint="eastAsia" w:ascii="宋体" w:hAnsi="宋体" w:eastAsia="宋体"/>
          <w:color w:val="auto"/>
          <w:highlight w:val="none"/>
        </w:rPr>
        <w:t>的扣除，用扣除后的价格参与评审。接受大中型企业与小微企业组成联合体或者允许大中型企业向一家或者多家小微企业分包的政府采购项目，对于联合</w:t>
      </w:r>
      <w:r>
        <w:rPr>
          <w:rFonts w:hint="eastAsia" w:ascii="宋体" w:hAnsi="宋体" w:eastAsia="宋体"/>
          <w:color w:val="auto"/>
          <w:highlight w:val="none"/>
          <w:lang w:val="en-US" w:eastAsia="zh-CN"/>
        </w:rPr>
        <w:t>体</w:t>
      </w:r>
      <w:r>
        <w:rPr>
          <w:rFonts w:hint="eastAsia" w:ascii="宋体" w:hAnsi="宋体" w:eastAsia="宋体"/>
          <w:color w:val="auto"/>
          <w:highlight w:val="none"/>
        </w:rPr>
        <w:t>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或者分包意向协议</w:t>
      </w:r>
      <w:r>
        <w:rPr>
          <w:rFonts w:hint="eastAsia" w:ascii="宋体" w:hAnsi="宋体" w:eastAsia="宋体"/>
          <w:color w:val="auto"/>
          <w:highlight w:val="none"/>
          <w:lang w:val="en-US" w:eastAsia="zh-CN"/>
        </w:rPr>
        <w:t>书</w:t>
      </w:r>
      <w:r>
        <w:rPr>
          <w:rFonts w:hint="eastAsia" w:ascii="宋体" w:hAnsi="宋体" w:eastAsia="宋体"/>
          <w:color w:val="auto"/>
          <w:highlight w:val="none"/>
        </w:rPr>
        <w:t>约定小微企业的合同份额占到合同总金额30%以上的，对联合体或者大中型企业的报价给予</w:t>
      </w:r>
      <w:r>
        <w:rPr>
          <w:rFonts w:hint="eastAsia"/>
          <w:color w:val="auto"/>
          <w:highlight w:val="none"/>
          <w:lang w:eastAsia="zh-CN"/>
        </w:rPr>
        <w:t>4%—6%</w:t>
      </w:r>
      <w:r>
        <w:rPr>
          <w:rFonts w:hint="eastAsia" w:ascii="宋体" w:hAnsi="宋体" w:eastAsia="宋体"/>
          <w:color w:val="auto"/>
          <w:highlight w:val="none"/>
        </w:rPr>
        <w:t>的扣除，用扣除后的价格参加评审。组成联合体或者接受分包的小微企业与联合体内其他企业、分包企业之间存在直接控股、管理关系的，不享受价格扣除优惠政策。</w:t>
      </w:r>
    </w:p>
    <w:p w14:paraId="6E53F380">
      <w:pPr>
        <w:pStyle w:val="41"/>
        <w:keepNext w:val="0"/>
        <w:keepLines w:val="0"/>
        <w:pageBreakBefore w:val="0"/>
        <w:widowControl w:val="0"/>
        <w:kinsoku/>
        <w:overflowPunct/>
        <w:topLinePunct w:val="0"/>
        <w:autoSpaceDE/>
        <w:autoSpaceDN/>
        <w:bidi w:val="0"/>
        <w:adjustRightInd/>
        <w:jc w:val="both"/>
        <w:textAlignment w:val="auto"/>
        <w:rPr>
          <w:rFonts w:hint="eastAsia"/>
          <w:snapToGrid w:val="0"/>
          <w:color w:val="auto"/>
          <w:sz w:val="24"/>
          <w:highlight w:val="none"/>
          <w:lang w:val="en-US" w:eastAsia="zh-CN"/>
        </w:rPr>
      </w:pPr>
      <w:r>
        <w:rPr>
          <w:rFonts w:hint="eastAsia" w:eastAsia="宋体"/>
          <w:snapToGrid w:val="0"/>
          <w:color w:val="auto"/>
          <w:sz w:val="24"/>
          <w:highlight w:val="none"/>
          <w:lang w:val="en-US" w:eastAsia="zh-CN"/>
        </w:rPr>
        <w:t>13.5</w:t>
      </w:r>
      <w:r>
        <w:rPr>
          <w:rFonts w:hint="eastAsia"/>
          <w:snapToGrid w:val="0"/>
          <w:color w:val="auto"/>
          <w:sz w:val="24"/>
          <w:highlight w:val="none"/>
          <w:lang w:val="en-US" w:eastAsia="zh-CN"/>
        </w:rPr>
        <w:t>供应商对其提供的产品出具《关于符合本国产品标准的声明函》（样式见附件1，以下简称《声明函》）或财政部会同有关部门规定的有关证明文件。出具符合要求的《声明函》或有关证明文件的，该产品视为本国产品。</w:t>
      </w:r>
    </w:p>
    <w:p w14:paraId="6E259FA2">
      <w:pPr>
        <w:pStyle w:val="41"/>
        <w:jc w:val="both"/>
        <w:rPr>
          <w:rFonts w:hint="eastAsia" w:ascii="宋体" w:hAnsi="宋体" w:eastAsia="宋体" w:cs="宋体"/>
          <w:color w:val="auto"/>
          <w:sz w:val="24"/>
          <w:szCs w:val="24"/>
          <w:highlight w:val="none"/>
          <w:lang w:val="en-US" w:eastAsia="zh-CN"/>
        </w:rPr>
      </w:pPr>
      <w:r>
        <w:rPr>
          <w:rFonts w:hint="eastAsia"/>
          <w:snapToGrid w:val="0"/>
          <w:color w:val="auto"/>
          <w:sz w:val="24"/>
          <w:highlight w:val="none"/>
          <w:lang w:val="en-US" w:eastAsia="zh-CN"/>
        </w:rPr>
        <w:t>13.6</w:t>
      </w:r>
      <w:r>
        <w:rPr>
          <w:rFonts w:hint="eastAsia" w:eastAsia="宋体"/>
          <w:snapToGrid w:val="0"/>
          <w:color w:val="auto"/>
          <w:sz w:val="24"/>
          <w:highlight w:val="none"/>
          <w:lang w:val="en-US" w:eastAsia="zh-CN"/>
        </w:rPr>
        <w:t>采购标的仅包含单一产品时，</w:t>
      </w:r>
      <w:r>
        <w:rPr>
          <w:rFonts w:hint="eastAsia" w:ascii="宋体" w:hAnsi="宋体" w:eastAsia="宋体" w:cs="宋体"/>
          <w:color w:val="auto"/>
          <w:sz w:val="24"/>
          <w:szCs w:val="24"/>
          <w:highlight w:val="none"/>
          <w:lang w:val="en-US" w:eastAsia="zh-CN"/>
        </w:rPr>
        <w:t>政府采购活动中既有本国产品又有非本国产品参与竞争的，依法对本国产品给予价格评审优惠，对本国产品的报价给予20%的价格扣除，用扣除后的价格参与评审。对于仅有本国产品参与竞争的政府采购项目，本国产品不享受价格扣除评审优惠。</w:t>
      </w:r>
    </w:p>
    <w:p w14:paraId="2B2CE195">
      <w:pPr>
        <w:pStyle w:val="41"/>
        <w:keepNext w:val="0"/>
        <w:keepLines w:val="0"/>
        <w:pageBreakBefore w:val="0"/>
        <w:widowControl w:val="0"/>
        <w:kinsoku/>
        <w:overflowPunct/>
        <w:topLinePunct w:val="0"/>
        <w:autoSpaceDE/>
        <w:autoSpaceDN/>
        <w:bidi w:val="0"/>
        <w:adjustRightInd/>
        <w:jc w:val="both"/>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7</w:t>
      </w:r>
      <w:r>
        <w:rPr>
          <w:rFonts w:hint="eastAsia" w:eastAsia="宋体"/>
          <w:snapToGrid w:val="0"/>
          <w:color w:val="auto"/>
          <w:sz w:val="24"/>
          <w:highlight w:val="none"/>
          <w:lang w:val="en-US" w:eastAsia="zh-CN"/>
        </w:rPr>
        <w:t>采购标的中含有多种产品，供应商为该采购项目或者采购包提供的符合本国产品标准的产品成本之和占该供应商提供的全部产品成本之和的比例达到80%以上时，且供应商在投标（响应）文件中对此作出承诺</w:t>
      </w:r>
      <w:r>
        <w:rPr>
          <w:rFonts w:hint="eastAsia"/>
          <w:snapToGrid w:val="0"/>
          <w:color w:val="auto"/>
          <w:sz w:val="24"/>
          <w:highlight w:val="none"/>
          <w:lang w:val="en-US" w:eastAsia="zh-CN"/>
        </w:rPr>
        <w:t>，出具《</w:t>
      </w:r>
      <w:r>
        <w:rPr>
          <w:rFonts w:hint="eastAsia" w:eastAsia="宋体"/>
          <w:snapToGrid w:val="0"/>
          <w:color w:val="auto"/>
          <w:sz w:val="24"/>
          <w:highlight w:val="none"/>
          <w:lang w:val="en-US" w:eastAsia="zh-CN"/>
        </w:rPr>
        <w:t>本国产品成本占比承诺函</w:t>
      </w:r>
      <w:r>
        <w:rPr>
          <w:rFonts w:hint="eastAsia"/>
          <w:snapToGrid w:val="0"/>
          <w:color w:val="auto"/>
          <w:sz w:val="24"/>
          <w:highlight w:val="none"/>
          <w:lang w:val="en-US" w:eastAsia="zh-CN"/>
        </w:rPr>
        <w:t>》（样式见附件2，以下简称《承诺函》），</w:t>
      </w:r>
      <w:r>
        <w:rPr>
          <w:rFonts w:hint="eastAsia" w:eastAsia="宋体"/>
          <w:snapToGrid w:val="0"/>
          <w:color w:val="auto"/>
          <w:sz w:val="24"/>
          <w:highlight w:val="none"/>
          <w:lang w:val="en-US" w:eastAsia="zh-CN"/>
        </w:rPr>
        <w:t>则依法对该供应商提供的全部产品给予价格评审优惠，即对该供应商提供的全部产品的总报价给予20%的价格扣除，用扣除后的价格参与评审</w:t>
      </w:r>
      <w:r>
        <w:rPr>
          <w:rFonts w:hint="eastAsia"/>
          <w:snapToGrid w:val="0"/>
          <w:color w:val="auto"/>
          <w:sz w:val="24"/>
          <w:highlight w:val="none"/>
          <w:lang w:val="en-US" w:eastAsia="zh-CN"/>
        </w:rPr>
        <w:t>。若供应商所投产品均符合本国产品标准，且已提供《声明函》，可不填写《承诺函》。</w:t>
      </w:r>
    </w:p>
    <w:p w14:paraId="2EF66F5C">
      <w:pPr>
        <w:pStyle w:val="41"/>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8</w:t>
      </w:r>
      <w:r>
        <w:rPr>
          <w:rFonts w:hint="eastAsia" w:eastAsia="宋体"/>
          <w:snapToGrid w:val="0"/>
          <w:color w:val="auto"/>
          <w:sz w:val="24"/>
          <w:highlight w:val="none"/>
          <w:lang w:val="en-US" w:eastAsia="zh-CN"/>
        </w:rPr>
        <w:t>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7C5FFEA9">
      <w:pPr>
        <w:pStyle w:val="41"/>
        <w:jc w:val="both"/>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对医疗器械产品，</w:t>
      </w:r>
      <w:r>
        <w:rPr>
          <w:rFonts w:hint="eastAsia"/>
          <w:snapToGrid w:val="0"/>
          <w:color w:val="auto"/>
          <w:sz w:val="24"/>
          <w:highlight w:val="none"/>
          <w:lang w:val="en-US" w:eastAsia="zh-CN"/>
        </w:rPr>
        <w:t>提供</w:t>
      </w:r>
      <w:r>
        <w:rPr>
          <w:rFonts w:hint="eastAsia" w:eastAsia="宋体"/>
          <w:snapToGrid w:val="0"/>
          <w:color w:val="auto"/>
          <w:sz w:val="24"/>
          <w:highlight w:val="none"/>
          <w:lang w:val="en-US" w:eastAsia="zh-CN"/>
        </w:rPr>
        <w:t>取得药品监督管理部门授予的准字号医疗器械注册证的，</w:t>
      </w:r>
      <w:r>
        <w:rPr>
          <w:rFonts w:hint="eastAsia"/>
          <w:snapToGrid w:val="0"/>
          <w:color w:val="auto"/>
          <w:sz w:val="24"/>
          <w:highlight w:val="none"/>
          <w:lang w:val="en-US" w:eastAsia="zh-CN"/>
        </w:rPr>
        <w:t>视为符合本国产品标准，无须填写</w:t>
      </w:r>
      <w:r>
        <w:rPr>
          <w:rFonts w:hint="eastAsia" w:eastAsia="宋体"/>
          <w:snapToGrid w:val="0"/>
          <w:color w:val="auto"/>
          <w:sz w:val="24"/>
          <w:highlight w:val="none"/>
          <w:lang w:val="en-US" w:eastAsia="zh-CN"/>
        </w:rPr>
        <w:t>《声明函》</w:t>
      </w:r>
      <w:r>
        <w:rPr>
          <w:rFonts w:hint="eastAsia"/>
          <w:snapToGrid w:val="0"/>
          <w:color w:val="auto"/>
          <w:sz w:val="24"/>
          <w:highlight w:val="none"/>
          <w:lang w:val="en-US" w:eastAsia="zh-CN"/>
        </w:rPr>
        <w:t>，</w:t>
      </w:r>
      <w:r>
        <w:rPr>
          <w:rFonts w:hint="eastAsia" w:ascii="宋体" w:hAnsi="宋体" w:eastAsia="宋体" w:cs="宋体"/>
          <w:color w:val="auto"/>
          <w:sz w:val="24"/>
          <w:szCs w:val="24"/>
          <w:highlight w:val="none"/>
          <w:lang w:val="en-US" w:eastAsia="zh-CN"/>
        </w:rPr>
        <w:t>报价给予20%的价格扣除，用扣除后的价格参与评审</w:t>
      </w:r>
      <w:r>
        <w:rPr>
          <w:rFonts w:hint="eastAsia" w:cs="宋体"/>
          <w:color w:val="auto"/>
          <w:sz w:val="24"/>
          <w:szCs w:val="24"/>
          <w:highlight w:val="none"/>
          <w:lang w:val="en-US" w:eastAsia="zh-CN"/>
        </w:rPr>
        <w:t>。</w:t>
      </w:r>
    </w:p>
    <w:p w14:paraId="0C285111">
      <w:pPr>
        <w:pStyle w:val="41"/>
        <w:jc w:val="both"/>
        <w:rPr>
          <w:rFonts w:hint="eastAsia" w:ascii="宋体" w:hAnsi="宋体" w:eastAsia="宋体"/>
          <w:color w:val="auto"/>
          <w:highlight w:val="none"/>
        </w:rPr>
      </w:pPr>
      <w:r>
        <w:rPr>
          <w:rFonts w:hint="eastAsia" w:eastAsia="宋体"/>
          <w:snapToGrid w:val="0"/>
          <w:color w:val="auto"/>
          <w:sz w:val="24"/>
          <w:highlight w:val="none"/>
          <w:lang w:val="en-US" w:eastAsia="zh-CN"/>
        </w:rPr>
        <w:t>13.</w:t>
      </w:r>
      <w:r>
        <w:rPr>
          <w:rFonts w:hint="eastAsia"/>
          <w:snapToGrid w:val="0"/>
          <w:color w:val="auto"/>
          <w:sz w:val="24"/>
          <w:highlight w:val="none"/>
          <w:lang w:val="en-US" w:eastAsia="zh-CN"/>
        </w:rPr>
        <w:t>9</w:t>
      </w:r>
      <w:r>
        <w:rPr>
          <w:rFonts w:hint="eastAsia" w:eastAsia="宋体"/>
          <w:snapToGrid w:val="0"/>
          <w:color w:val="auto"/>
          <w:sz w:val="24"/>
          <w:highlight w:val="none"/>
          <w:lang w:val="en-US" w:eastAsia="zh-CN"/>
        </w:rPr>
        <w:t>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5F43F255">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77" w:name="_Toc1351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bookmarkEnd w:id="377"/>
    </w:p>
    <w:p w14:paraId="27728B5C">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14.评标过程中，各项分值一般精确到小数点后两位，评标得分应为商务评分、技术评分、报价评分之和。评标委员会各成员应汇总每个投标人的得分。</w:t>
      </w:r>
    </w:p>
    <w:p w14:paraId="5D51432C">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14.1.评标结果汇总完成后，采购代理机构应对评标结果进行复核。经复核发现存在以下情形之一的，</w:t>
      </w:r>
      <w:r>
        <w:rPr>
          <w:rFonts w:hint="eastAsia"/>
          <w:iCs/>
          <w:color w:val="auto"/>
          <w:spacing w:val="-6"/>
          <w:sz w:val="24"/>
          <w:highlight w:val="none"/>
          <w:lang w:val="en-US" w:eastAsia="zh-CN"/>
        </w:rPr>
        <w:t>评标委员会应当当场修改评标结果，并在评标报告中记载</w:t>
      </w:r>
      <w:r>
        <w:rPr>
          <w:rFonts w:hint="eastAsia"/>
          <w:color w:val="auto"/>
          <w:highlight w:val="none"/>
          <w:lang w:val="en-US" w:eastAsia="zh-CN"/>
        </w:rPr>
        <w:t>：</w:t>
      </w:r>
    </w:p>
    <w:p w14:paraId="694F9F5F">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s="宋体"/>
          <w:iCs/>
          <w:color w:val="auto"/>
          <w:kern w:val="2"/>
          <w:sz w:val="24"/>
          <w:szCs w:val="24"/>
          <w:highlight w:val="none"/>
          <w:shd w:val="clear" w:fill="FFFFFF" w:themeFill="background1"/>
          <w:lang w:val="en-US" w:eastAsia="zh-CN" w:bidi="ar-SA"/>
        </w:rPr>
        <w:t>（1）</w:t>
      </w:r>
      <w:r>
        <w:rPr>
          <w:rFonts w:hint="eastAsia"/>
          <w:color w:val="auto"/>
          <w:highlight w:val="none"/>
          <w:lang w:val="en-US" w:eastAsia="zh-CN"/>
        </w:rPr>
        <w:t>分值汇总计算错误的；</w:t>
      </w:r>
    </w:p>
    <w:p w14:paraId="5B298189">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（2）分项评分超出评分标准范围的；</w:t>
      </w:r>
    </w:p>
    <w:p w14:paraId="73333FE3">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（3）评标委员会成员对客观评审因素评分不一致的；</w:t>
      </w:r>
    </w:p>
    <w:p w14:paraId="6F975BF4">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（4）经评标委员会认定评分畸高、畸低的。</w:t>
      </w:r>
    </w:p>
    <w:p w14:paraId="5E00EB79">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15.各投标人的最终得分为评标委员会所有成员对各投标人评标得分汇总后的算术平均值。</w:t>
      </w:r>
    </w:p>
    <w:p w14:paraId="79D6106A">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56CC86CE">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15.2采购人或者采购代理机构不得通过对样品进行检测、对投标人进行考察等方式改变评审结果。</w:t>
      </w:r>
    </w:p>
    <w:p w14:paraId="20C74467">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78" w:name="_Toc17225"/>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bookmarkEnd w:id="378"/>
    </w:p>
    <w:p w14:paraId="72B88CF2">
      <w:pPr>
        <w:pStyle w:val="41"/>
        <w:jc w:val="both"/>
        <w:rPr>
          <w:rFonts w:hint="eastAsia"/>
          <w:color w:val="auto"/>
          <w:highlight w:val="none"/>
        </w:rPr>
      </w:pPr>
      <w:r>
        <w:rPr>
          <w:rFonts w:hint="eastAsia"/>
          <w:color w:val="auto"/>
          <w:highlight w:val="none"/>
          <w:lang w:val="en-US" w:eastAsia="zh-CN"/>
        </w:rPr>
        <w:t>16.</w:t>
      </w:r>
      <w:r>
        <w:rPr>
          <w:rFonts w:hint="eastAsia"/>
          <w:color w:val="auto"/>
          <w:highlight w:val="none"/>
        </w:rPr>
        <w:t>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w:t>
      </w:r>
      <w:r>
        <w:rPr>
          <w:rFonts w:hint="eastAsia"/>
          <w:color w:val="auto"/>
          <w:highlight w:val="none"/>
          <w:lang w:val="en-US" w:eastAsia="zh-CN"/>
        </w:rPr>
        <w:t>按</w:t>
      </w:r>
      <w:r>
        <w:rPr>
          <w:rFonts w:hint="eastAsia"/>
          <w:color w:val="auto"/>
          <w:highlight w:val="none"/>
        </w:rPr>
        <w:t>技术指标</w:t>
      </w:r>
      <w:r>
        <w:rPr>
          <w:rFonts w:hint="eastAsia"/>
          <w:color w:val="auto"/>
          <w:highlight w:val="none"/>
          <w:lang w:val="en-US" w:eastAsia="zh-CN"/>
        </w:rPr>
        <w:t>优劣顺序排列</w:t>
      </w:r>
      <w:r>
        <w:rPr>
          <w:rFonts w:hint="eastAsia"/>
          <w:color w:val="auto"/>
          <w:highlight w:val="none"/>
        </w:rPr>
        <w:t>。</w:t>
      </w:r>
    </w:p>
    <w:p w14:paraId="2E4DD5E8">
      <w:pPr>
        <w:pStyle w:val="41"/>
        <w:jc w:val="both"/>
        <w:rPr>
          <w:color w:val="auto"/>
          <w:highlight w:val="none"/>
        </w:rPr>
      </w:pPr>
      <w:r>
        <w:rPr>
          <w:rFonts w:hint="eastAsia"/>
          <w:color w:val="auto"/>
          <w:highlight w:val="none"/>
          <w:lang w:val="en-US" w:eastAsia="zh-CN"/>
        </w:rPr>
        <w:t>17.</w:t>
      </w:r>
      <w:r>
        <w:rPr>
          <w:rFonts w:hint="eastAsia"/>
          <w:color w:val="auto"/>
          <w:highlight w:val="none"/>
        </w:rPr>
        <w:t>中标候选人</w:t>
      </w:r>
      <w:r>
        <w:rPr>
          <w:rFonts w:hint="eastAsia"/>
          <w:color w:val="auto"/>
          <w:highlight w:val="none"/>
          <w:lang w:val="en-US" w:eastAsia="zh-CN"/>
        </w:rPr>
        <w:t>推荐家数详</w:t>
      </w:r>
      <w:r>
        <w:rPr>
          <w:rFonts w:hint="eastAsia"/>
          <w:color w:val="auto"/>
          <w:highlight w:val="none"/>
        </w:rPr>
        <w:t>见“</w:t>
      </w:r>
      <w:r>
        <w:rPr>
          <w:rFonts w:hint="eastAsia"/>
          <w:color w:val="auto"/>
          <w:highlight w:val="none"/>
          <w:lang w:val="en-US" w:eastAsia="zh-CN"/>
        </w:rPr>
        <w:t>投标人须知</w:t>
      </w:r>
      <w:r>
        <w:rPr>
          <w:rFonts w:hint="eastAsia"/>
          <w:color w:val="auto"/>
          <w:highlight w:val="none"/>
        </w:rPr>
        <w:t>前附表”。</w:t>
      </w:r>
    </w:p>
    <w:p w14:paraId="06C0F2BB">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79" w:name="_Toc2157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bookmarkEnd w:id="379"/>
    </w:p>
    <w:p w14:paraId="42FAE988">
      <w:pPr>
        <w:pStyle w:val="41"/>
        <w:jc w:val="both"/>
        <w:rPr>
          <w:color w:val="auto"/>
          <w:highlight w:val="none"/>
        </w:rPr>
      </w:pPr>
      <w:r>
        <w:rPr>
          <w:rFonts w:hint="eastAsia"/>
          <w:color w:val="auto"/>
          <w:highlight w:val="none"/>
          <w:lang w:val="en-US" w:eastAsia="zh-CN"/>
        </w:rPr>
        <w:t>18.</w:t>
      </w:r>
      <w:r>
        <w:rPr>
          <w:rFonts w:hint="eastAsia"/>
          <w:color w:val="auto"/>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57A62D0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80" w:name="_Toc102119852"/>
      <w:bookmarkStart w:id="381" w:name="_Toc155185913"/>
      <w:bookmarkStart w:id="382" w:name="_Toc163492906"/>
      <w:bookmarkStart w:id="383" w:name="_Toc102116021"/>
      <w:bookmarkStart w:id="384" w:name="_Toc102116151"/>
      <w:bookmarkStart w:id="385" w:name="_Toc102057717"/>
      <w:bookmarkStart w:id="386" w:name="_Toc102056217"/>
      <w:bookmarkStart w:id="387" w:name="_Toc102114919"/>
      <w:bookmarkStart w:id="388" w:name="_Toc158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380"/>
      <w:bookmarkEnd w:id="381"/>
      <w:bookmarkEnd w:id="382"/>
      <w:bookmarkEnd w:id="383"/>
      <w:bookmarkEnd w:id="384"/>
      <w:bookmarkEnd w:id="385"/>
      <w:bookmarkEnd w:id="386"/>
      <w:bookmarkEnd w:id="387"/>
      <w:bookmarkEnd w:id="388"/>
    </w:p>
    <w:p w14:paraId="133B6691">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19.投标人存在下列情形之一的，</w:t>
      </w:r>
      <w:r>
        <w:rPr>
          <w:rFonts w:hint="eastAsia"/>
          <w:b/>
          <w:bCs/>
          <w:color w:val="auto"/>
          <w:highlight w:val="none"/>
          <w:lang w:val="en-US" w:eastAsia="zh-CN"/>
        </w:rPr>
        <w:t>投标无效</w:t>
      </w:r>
      <w:r>
        <w:rPr>
          <w:rFonts w:hint="eastAsia"/>
          <w:color w:val="auto"/>
          <w:highlight w:val="none"/>
          <w:lang w:val="en-US" w:eastAsia="zh-CN"/>
        </w:rPr>
        <w:t>：</w:t>
      </w:r>
    </w:p>
    <w:p w14:paraId="17D7823C">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投标人</w:t>
      </w:r>
      <w:r>
        <w:rPr>
          <w:rFonts w:hint="eastAsia"/>
          <w:color w:val="auto"/>
          <w:highlight w:val="none"/>
          <w:lang w:val="zh-CN" w:eastAsia="zh-CN"/>
        </w:rPr>
        <w:t>不具备《中华人民共和国政府采购法》第二十二条规定条件</w:t>
      </w:r>
      <w:r>
        <w:rPr>
          <w:rFonts w:hint="eastAsia"/>
          <w:color w:val="auto"/>
          <w:highlight w:val="none"/>
          <w:lang w:val="en-US" w:eastAsia="zh-CN"/>
        </w:rPr>
        <w:t>；</w:t>
      </w:r>
    </w:p>
    <w:p w14:paraId="31043B7B">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eastAsia="宋体"/>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2</w:t>
      </w:r>
      <w:r>
        <w:rPr>
          <w:rFonts w:hint="eastAsia"/>
          <w:color w:val="auto"/>
          <w:highlight w:val="none"/>
        </w:rPr>
        <w:t>投标文件未按招标文件要求签署、盖章的</w:t>
      </w:r>
      <w:r>
        <w:rPr>
          <w:rFonts w:hint="eastAsia"/>
          <w:color w:val="auto"/>
          <w:highlight w:val="none"/>
          <w:lang w:val="en-US" w:eastAsia="zh-CN"/>
        </w:rPr>
        <w:t>；</w:t>
      </w:r>
    </w:p>
    <w:p w14:paraId="5A894B01">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3</w:t>
      </w:r>
      <w:r>
        <w:rPr>
          <w:rFonts w:hint="eastAsia"/>
          <w:color w:val="auto"/>
          <w:highlight w:val="none"/>
          <w:lang w:val="en-US" w:eastAsia="zh-CN"/>
        </w:rPr>
        <w:t>不具备招标文件中规定的资格要求的（投标人未提供有效资格文件的，视为投标人不具备招标文件中规定的资格要求）；</w:t>
      </w:r>
    </w:p>
    <w:p w14:paraId="4CA0A066">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4</w:t>
      </w:r>
      <w:r>
        <w:rPr>
          <w:rFonts w:hint="eastAsia"/>
          <w:color w:val="auto"/>
          <w:highlight w:val="none"/>
          <w:lang w:val="en-US" w:eastAsia="zh-CN"/>
        </w:rPr>
        <w:t>投标</w:t>
      </w:r>
      <w:r>
        <w:rPr>
          <w:rFonts w:hint="eastAsia"/>
          <w:color w:val="auto"/>
          <w:highlight w:val="none"/>
          <w:lang w:val="zh-CN" w:eastAsia="zh-CN"/>
        </w:rPr>
        <w:t>文件提供虚假材料的</w:t>
      </w:r>
      <w:r>
        <w:rPr>
          <w:rFonts w:hint="eastAsia"/>
          <w:color w:val="auto"/>
          <w:highlight w:val="none"/>
          <w:lang w:val="en-US" w:eastAsia="zh-CN"/>
        </w:rPr>
        <w:t>；</w:t>
      </w:r>
    </w:p>
    <w:p w14:paraId="78520FE9">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5</w:t>
      </w:r>
      <w:r>
        <w:rPr>
          <w:rFonts w:hint="eastAsia"/>
          <w:color w:val="auto"/>
          <w:highlight w:val="none"/>
          <w:lang w:val="en-US" w:eastAsia="zh-CN"/>
        </w:rPr>
        <w:t>投标</w:t>
      </w:r>
      <w:r>
        <w:rPr>
          <w:rFonts w:hint="eastAsia"/>
          <w:color w:val="auto"/>
          <w:highlight w:val="none"/>
          <w:lang w:val="zh-CN" w:eastAsia="zh-CN"/>
        </w:rPr>
        <w:t>文件不满足</w:t>
      </w:r>
      <w:r>
        <w:rPr>
          <w:rFonts w:hint="eastAsia"/>
          <w:color w:val="auto"/>
          <w:highlight w:val="none"/>
          <w:lang w:val="en-US" w:eastAsia="zh-CN"/>
        </w:rPr>
        <w:t>招标</w:t>
      </w:r>
      <w:r>
        <w:rPr>
          <w:rFonts w:hint="eastAsia"/>
          <w:color w:val="auto"/>
          <w:highlight w:val="none"/>
          <w:lang w:val="zh-CN" w:eastAsia="zh-CN"/>
        </w:rPr>
        <w:t>文件中标注“★”号的实质性条款（或指标）要求的</w:t>
      </w:r>
      <w:r>
        <w:rPr>
          <w:rFonts w:hint="eastAsia"/>
          <w:color w:val="auto"/>
          <w:highlight w:val="none"/>
          <w:lang w:val="en-US" w:eastAsia="zh-CN"/>
        </w:rPr>
        <w:t>；</w:t>
      </w:r>
    </w:p>
    <w:p w14:paraId="4C2AF6AA">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6</w:t>
      </w:r>
      <w:r>
        <w:rPr>
          <w:rFonts w:hint="eastAsia"/>
          <w:color w:val="auto"/>
          <w:highlight w:val="none"/>
          <w:lang w:val="en-US" w:eastAsia="zh-CN"/>
        </w:rPr>
        <w:t>投标人</w:t>
      </w:r>
      <w:r>
        <w:rPr>
          <w:rFonts w:hint="eastAsia"/>
          <w:color w:val="auto"/>
          <w:highlight w:val="none"/>
          <w:lang w:val="zh-CN" w:eastAsia="zh-CN"/>
        </w:rPr>
        <w:t>报价超过招标文件中规定的</w:t>
      </w:r>
      <w:r>
        <w:rPr>
          <w:rFonts w:hint="eastAsia" w:ascii="宋体" w:hAnsi="宋体" w:eastAsia="宋体"/>
          <w:color w:val="auto"/>
          <w:highlight w:val="none"/>
          <w:lang w:val="en-US" w:eastAsia="zh-CN"/>
        </w:rPr>
        <w:t>最高限价或者预算金额</w:t>
      </w:r>
      <w:r>
        <w:rPr>
          <w:rFonts w:hint="eastAsia"/>
          <w:color w:val="auto"/>
          <w:highlight w:val="none"/>
          <w:lang w:val="zh-CN" w:eastAsia="zh-CN"/>
        </w:rPr>
        <w:t>的</w:t>
      </w:r>
      <w:r>
        <w:rPr>
          <w:rFonts w:hint="eastAsia"/>
          <w:color w:val="auto"/>
          <w:highlight w:val="none"/>
          <w:lang w:val="en-US" w:eastAsia="zh-CN"/>
        </w:rPr>
        <w:t>；</w:t>
      </w:r>
    </w:p>
    <w:p w14:paraId="7E1EF8D9">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7联合体的供应商未提交各方共同签署的</w:t>
      </w:r>
      <w:r>
        <w:rPr>
          <w:rFonts w:hint="eastAsia"/>
          <w:color w:val="auto"/>
          <w:highlight w:val="none"/>
          <w:lang w:val="en-US" w:eastAsia="zh-CN"/>
        </w:rPr>
        <w:t>联合体</w:t>
      </w:r>
      <w:r>
        <w:rPr>
          <w:rFonts w:hint="eastAsia"/>
          <w:color w:val="auto"/>
          <w:highlight w:val="none"/>
          <w:lang w:val="zh-CN" w:eastAsia="zh-CN"/>
        </w:rPr>
        <w:t>协议</w:t>
      </w:r>
      <w:r>
        <w:rPr>
          <w:rFonts w:hint="eastAsia"/>
          <w:color w:val="auto"/>
          <w:highlight w:val="none"/>
          <w:lang w:val="en-US" w:eastAsia="zh-CN"/>
        </w:rPr>
        <w:t>的；</w:t>
      </w:r>
    </w:p>
    <w:p w14:paraId="1992E2B3">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8</w:t>
      </w:r>
      <w:r>
        <w:rPr>
          <w:rFonts w:hint="eastAsia"/>
          <w:color w:val="auto"/>
          <w:highlight w:val="none"/>
          <w:lang w:val="en-US" w:eastAsia="zh-CN"/>
        </w:rPr>
        <w:t>投标人</w:t>
      </w:r>
      <w:r>
        <w:rPr>
          <w:rFonts w:hint="eastAsia"/>
          <w:color w:val="auto"/>
          <w:highlight w:val="none"/>
          <w:lang w:val="zh-CN" w:eastAsia="zh-CN"/>
        </w:rPr>
        <w:t>未按</w:t>
      </w:r>
      <w:r>
        <w:rPr>
          <w:rFonts w:hint="eastAsia"/>
          <w:color w:val="auto"/>
          <w:highlight w:val="none"/>
          <w:lang w:val="en-US" w:eastAsia="zh-CN"/>
        </w:rPr>
        <w:t>招标</w:t>
      </w:r>
      <w:r>
        <w:rPr>
          <w:rFonts w:hint="eastAsia"/>
          <w:color w:val="auto"/>
          <w:highlight w:val="none"/>
          <w:lang w:val="zh-CN" w:eastAsia="zh-CN"/>
        </w:rPr>
        <w:t>文件</w:t>
      </w:r>
      <w:r>
        <w:rPr>
          <w:rFonts w:hint="eastAsia"/>
          <w:color w:val="auto"/>
          <w:highlight w:val="none"/>
          <w:lang w:val="en-US" w:eastAsia="zh-CN"/>
        </w:rPr>
        <w:t>的规定</w:t>
      </w:r>
      <w:r>
        <w:rPr>
          <w:rFonts w:hint="eastAsia"/>
          <w:color w:val="auto"/>
          <w:highlight w:val="none"/>
          <w:lang w:val="zh-CN" w:eastAsia="zh-CN"/>
        </w:rPr>
        <w:t>交纳投标保证金</w:t>
      </w:r>
      <w:r>
        <w:rPr>
          <w:rFonts w:hint="eastAsia"/>
          <w:color w:val="auto"/>
          <w:highlight w:val="none"/>
          <w:lang w:val="en-US" w:eastAsia="zh-CN"/>
        </w:rPr>
        <w:t>的；</w:t>
      </w:r>
    </w:p>
    <w:p w14:paraId="678049D1">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zh-CN" w:eastAsia="zh-CN"/>
        </w:rPr>
      </w:pPr>
      <w:r>
        <w:rPr>
          <w:rFonts w:hint="eastAsia"/>
          <w:color w:val="auto"/>
          <w:highlight w:val="none"/>
          <w:lang w:val="en-US" w:eastAsia="zh-CN"/>
        </w:rPr>
        <w:t>19.</w:t>
      </w:r>
      <w:r>
        <w:rPr>
          <w:rFonts w:hint="eastAsia"/>
          <w:color w:val="auto"/>
          <w:highlight w:val="none"/>
          <w:lang w:val="zh-CN" w:eastAsia="zh-CN"/>
        </w:rPr>
        <w:t>9评审期间，</w:t>
      </w:r>
      <w:r>
        <w:rPr>
          <w:rFonts w:hint="eastAsia"/>
          <w:color w:val="auto"/>
          <w:highlight w:val="none"/>
          <w:lang w:val="en-US" w:eastAsia="zh-CN"/>
        </w:rPr>
        <w:t>投标人</w:t>
      </w:r>
      <w:r>
        <w:rPr>
          <w:rFonts w:hint="eastAsia"/>
          <w:color w:val="auto"/>
          <w:highlight w:val="none"/>
          <w:lang w:val="zh-CN" w:eastAsia="zh-CN"/>
        </w:rPr>
        <w:t>没有按评标委员会的要求提交经授权代表签字的澄清、说明、补正或改变了</w:t>
      </w:r>
      <w:r>
        <w:rPr>
          <w:rFonts w:hint="eastAsia"/>
          <w:color w:val="auto"/>
          <w:highlight w:val="none"/>
          <w:lang w:val="en-US" w:eastAsia="zh-CN"/>
        </w:rPr>
        <w:t>投标</w:t>
      </w:r>
      <w:r>
        <w:rPr>
          <w:rFonts w:hint="eastAsia"/>
          <w:color w:val="auto"/>
          <w:highlight w:val="none"/>
          <w:lang w:val="zh-CN" w:eastAsia="zh-CN"/>
        </w:rPr>
        <w:t>文件的实质性内容</w:t>
      </w:r>
      <w:r>
        <w:rPr>
          <w:rFonts w:hint="eastAsia"/>
          <w:color w:val="auto"/>
          <w:highlight w:val="none"/>
          <w:lang w:val="en-US" w:eastAsia="zh-CN"/>
        </w:rPr>
        <w:t>的；</w:t>
      </w:r>
    </w:p>
    <w:p w14:paraId="019D7CFE">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10</w:t>
      </w:r>
      <w:r>
        <w:rPr>
          <w:rFonts w:hint="eastAsia"/>
          <w:color w:val="auto"/>
          <w:highlight w:val="none"/>
          <w:lang w:val="en-US" w:eastAsia="zh-CN"/>
        </w:rPr>
        <w:t>投标人</w:t>
      </w:r>
      <w:r>
        <w:rPr>
          <w:rFonts w:hint="eastAsia"/>
          <w:color w:val="auto"/>
          <w:highlight w:val="none"/>
          <w:lang w:val="zh-CN" w:eastAsia="zh-CN"/>
        </w:rPr>
        <w:t>对采购人、采购代理机构、评标委员会及其工作人员施加影响，有碍公平、公正</w:t>
      </w:r>
      <w:r>
        <w:rPr>
          <w:rFonts w:hint="eastAsia"/>
          <w:color w:val="auto"/>
          <w:highlight w:val="none"/>
          <w:lang w:val="en-US" w:eastAsia="zh-CN"/>
        </w:rPr>
        <w:t>的；</w:t>
      </w:r>
    </w:p>
    <w:p w14:paraId="5DB6321E">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default"/>
          <w:color w:val="auto"/>
          <w:highlight w:val="none"/>
          <w:lang w:val="en-US" w:eastAsia="zh-CN"/>
        </w:rPr>
      </w:pPr>
      <w:r>
        <w:rPr>
          <w:rFonts w:hint="eastAsia"/>
          <w:color w:val="auto"/>
          <w:highlight w:val="none"/>
          <w:lang w:val="en-US" w:eastAsia="zh-CN"/>
        </w:rPr>
        <w:t>19.11投标文件含有采购人不能接受的附加条件的；</w:t>
      </w:r>
    </w:p>
    <w:p w14:paraId="64771416">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19.</w:t>
      </w:r>
      <w:r>
        <w:rPr>
          <w:rFonts w:hint="eastAsia"/>
          <w:color w:val="auto"/>
          <w:highlight w:val="none"/>
          <w:lang w:val="zh-CN" w:eastAsia="zh-CN"/>
        </w:rPr>
        <w:t>1</w:t>
      </w:r>
      <w:r>
        <w:rPr>
          <w:rFonts w:hint="eastAsia"/>
          <w:color w:val="auto"/>
          <w:highlight w:val="none"/>
          <w:lang w:val="en-US" w:eastAsia="zh-CN"/>
        </w:rPr>
        <w:t>2法律法规</w:t>
      </w:r>
      <w:r>
        <w:rPr>
          <w:rFonts w:hint="eastAsia"/>
          <w:color w:val="auto"/>
          <w:highlight w:val="none"/>
          <w:lang w:val="zh-CN" w:eastAsia="zh-CN"/>
        </w:rPr>
        <w:t>、规章规定属于</w:t>
      </w:r>
      <w:r>
        <w:rPr>
          <w:rFonts w:hint="eastAsia"/>
          <w:color w:val="auto"/>
          <w:highlight w:val="none"/>
          <w:lang w:val="en-US" w:eastAsia="zh-CN"/>
        </w:rPr>
        <w:t>投标</w:t>
      </w:r>
      <w:r>
        <w:rPr>
          <w:rFonts w:hint="eastAsia"/>
          <w:color w:val="auto"/>
          <w:highlight w:val="none"/>
          <w:lang w:val="zh-CN" w:eastAsia="zh-CN"/>
        </w:rPr>
        <w:t>无效的其他情形。</w:t>
      </w:r>
    </w:p>
    <w:p w14:paraId="16C27CAE">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20.有下列情形之一的，视为投标人串通投标，其</w:t>
      </w:r>
      <w:r>
        <w:rPr>
          <w:rFonts w:hint="eastAsia"/>
          <w:b/>
          <w:bCs/>
          <w:color w:val="auto"/>
          <w:highlight w:val="none"/>
          <w:lang w:val="en-US" w:eastAsia="zh-CN"/>
        </w:rPr>
        <w:t>投标无效</w:t>
      </w:r>
      <w:r>
        <w:rPr>
          <w:rFonts w:hint="eastAsia"/>
          <w:color w:val="auto"/>
          <w:highlight w:val="none"/>
          <w:lang w:val="en-US" w:eastAsia="zh-CN"/>
        </w:rPr>
        <w:t>：</w:t>
      </w:r>
    </w:p>
    <w:p w14:paraId="4CE1B240">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20.1不同投标人的投标文件由同一单位或者个人编制；</w:t>
      </w:r>
    </w:p>
    <w:p w14:paraId="5219CE96">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20.2不同投标人委托同一单位或者个人办理投标事宜；</w:t>
      </w:r>
    </w:p>
    <w:p w14:paraId="2CC6EB94">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20.3不同投标人的投标文件载明的项目管理成员或者联系人员为同一人；</w:t>
      </w:r>
    </w:p>
    <w:p w14:paraId="1B370CBD">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20.4不同投标人的投标文件异常一致或者投标报价呈规律性差异；</w:t>
      </w:r>
    </w:p>
    <w:p w14:paraId="6388C15F">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20.5不同投标人的投标文件相互混装；</w:t>
      </w:r>
    </w:p>
    <w:p w14:paraId="4AB4126E">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20.6不同投标人的投标保证金从同一单位或者个人的账户转出；</w:t>
      </w:r>
    </w:p>
    <w:p w14:paraId="54EC9078">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20.7</w:t>
      </w:r>
      <w:r>
        <w:rPr>
          <w:rFonts w:hint="eastAsia"/>
          <w:color w:val="auto"/>
          <w:highlight w:val="none"/>
          <w:lang w:val="zh-CN" w:eastAsia="zh-CN"/>
        </w:rPr>
        <w:t>不同投标人使用同一电脑（机器特征值一致：如MAC地址等）或使用同一电子密钥，编制或上传电子投标文件</w:t>
      </w:r>
      <w:r>
        <w:rPr>
          <w:rFonts w:hint="eastAsia"/>
          <w:color w:val="auto"/>
          <w:highlight w:val="none"/>
          <w:lang w:val="en-US" w:eastAsia="zh-CN"/>
        </w:rPr>
        <w:t>；</w:t>
      </w:r>
    </w:p>
    <w:p w14:paraId="6EA28AD3">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default" w:eastAsia="宋体"/>
          <w:color w:val="auto"/>
          <w:highlight w:val="none"/>
          <w:lang w:val="en-US" w:eastAsia="zh-CN"/>
        </w:rPr>
      </w:pPr>
      <w:r>
        <w:rPr>
          <w:rFonts w:hint="eastAsia"/>
          <w:color w:val="auto"/>
          <w:highlight w:val="none"/>
          <w:lang w:val="en-US" w:eastAsia="zh-CN"/>
        </w:rPr>
        <w:t>20.8法律法规、规章规定属于投标人串通投标的其他情形</w:t>
      </w:r>
      <w:r>
        <w:rPr>
          <w:rFonts w:hint="eastAsia"/>
          <w:color w:val="auto"/>
          <w:highlight w:val="none"/>
          <w:lang w:val="zh-CN" w:eastAsia="zh-CN"/>
        </w:rPr>
        <w:t>。</w:t>
      </w:r>
    </w:p>
    <w:p w14:paraId="23F7EB45">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w:t>
      </w:r>
      <w:r>
        <w:rPr>
          <w:color w:val="auto"/>
          <w:highlight w:val="none"/>
        </w:rPr>
        <w:t>.</w:t>
      </w:r>
      <w:r>
        <w:rPr>
          <w:rFonts w:hint="eastAsia"/>
          <w:color w:val="auto"/>
          <w:highlight w:val="none"/>
        </w:rPr>
        <w:t>根据《中华人民共和国政府采购法》第三十六条之规定，在招标采购过程中，出现下列情形之一的，应予</w:t>
      </w:r>
      <w:r>
        <w:rPr>
          <w:rFonts w:hint="eastAsia"/>
          <w:b/>
          <w:bCs/>
          <w:color w:val="auto"/>
          <w:highlight w:val="none"/>
        </w:rPr>
        <w:t>废标</w:t>
      </w:r>
      <w:r>
        <w:rPr>
          <w:rFonts w:hint="eastAsia"/>
          <w:color w:val="auto"/>
          <w:highlight w:val="none"/>
        </w:rPr>
        <w:t>：</w:t>
      </w:r>
    </w:p>
    <w:p w14:paraId="0885C095">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w:t>
      </w:r>
      <w:r>
        <w:rPr>
          <w:color w:val="auto"/>
          <w:highlight w:val="none"/>
        </w:rPr>
        <w:t>.1</w:t>
      </w:r>
      <w:r>
        <w:rPr>
          <w:rFonts w:hint="eastAsia"/>
          <w:iCs/>
          <w:color w:val="auto"/>
          <w:spacing w:val="-6"/>
          <w:sz w:val="24"/>
          <w:highlight w:val="none"/>
        </w:rPr>
        <w:t>符合专业条件的供应商或者对招标文件作实质响应的供应商不足3家的；</w:t>
      </w:r>
    </w:p>
    <w:p w14:paraId="0631373A">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w:t>
      </w:r>
      <w:r>
        <w:rPr>
          <w:color w:val="auto"/>
          <w:highlight w:val="none"/>
        </w:rPr>
        <w:t>.2</w:t>
      </w:r>
      <w:r>
        <w:rPr>
          <w:rFonts w:hint="eastAsia"/>
          <w:color w:val="auto"/>
          <w:highlight w:val="none"/>
        </w:rPr>
        <w:t>出现影响采购公正的违法、违规行为的；</w:t>
      </w:r>
    </w:p>
    <w:p w14:paraId="6DFC3C10">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w:t>
      </w:r>
      <w:r>
        <w:rPr>
          <w:color w:val="auto"/>
          <w:highlight w:val="none"/>
        </w:rPr>
        <w:t>.3</w:t>
      </w:r>
      <w:r>
        <w:rPr>
          <w:rFonts w:hint="eastAsia"/>
          <w:color w:val="auto"/>
          <w:highlight w:val="none"/>
        </w:rPr>
        <w:t>投标人的报价均超过了采购预算，采购人不能支付的；</w:t>
      </w:r>
    </w:p>
    <w:p w14:paraId="325D5449">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lang w:val="en-US" w:eastAsia="zh-CN"/>
        </w:rPr>
      </w:pPr>
      <w:r>
        <w:rPr>
          <w:rFonts w:hint="eastAsia"/>
          <w:color w:val="auto"/>
          <w:highlight w:val="none"/>
          <w:lang w:val="en-US" w:eastAsia="zh-CN"/>
        </w:rPr>
        <w:t>21</w:t>
      </w:r>
      <w:r>
        <w:rPr>
          <w:color w:val="auto"/>
          <w:highlight w:val="none"/>
        </w:rPr>
        <w:t>.4</w:t>
      </w:r>
      <w:r>
        <w:rPr>
          <w:rFonts w:hint="eastAsia"/>
          <w:color w:val="auto"/>
          <w:highlight w:val="none"/>
        </w:rPr>
        <w:t>因重大变故，采购任务取消的</w:t>
      </w:r>
      <w:r>
        <w:rPr>
          <w:rFonts w:hint="eastAsia"/>
          <w:color w:val="auto"/>
          <w:highlight w:val="none"/>
          <w:lang w:val="en-US" w:eastAsia="zh-CN"/>
        </w:rPr>
        <w:t>；</w:t>
      </w:r>
    </w:p>
    <w:p w14:paraId="6A83BB82">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21.5法律法规</w:t>
      </w:r>
      <w:r>
        <w:rPr>
          <w:rFonts w:hint="eastAsia"/>
          <w:color w:val="auto"/>
          <w:highlight w:val="none"/>
        </w:rPr>
        <w:t>、规章规定属于</w:t>
      </w:r>
      <w:r>
        <w:rPr>
          <w:rFonts w:hint="eastAsia"/>
          <w:color w:val="auto"/>
          <w:highlight w:val="none"/>
          <w:lang w:val="en-US" w:eastAsia="zh-CN"/>
        </w:rPr>
        <w:t>废标</w:t>
      </w:r>
      <w:r>
        <w:rPr>
          <w:rFonts w:hint="eastAsia"/>
          <w:color w:val="auto"/>
          <w:highlight w:val="none"/>
        </w:rPr>
        <w:t>的其他情形。</w:t>
      </w:r>
    </w:p>
    <w:p w14:paraId="42CDA5B0">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22.</w:t>
      </w:r>
      <w:r>
        <w:rPr>
          <w:rFonts w:hint="eastAsia"/>
          <w:color w:val="auto"/>
          <w:highlight w:val="none"/>
        </w:rPr>
        <w:t>废标后，采购人应当将废标理由通知所有投标人。</w:t>
      </w:r>
    </w:p>
    <w:p w14:paraId="2FDA248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89" w:name="_Toc163492907"/>
      <w:bookmarkStart w:id="390" w:name="_Toc102057718"/>
      <w:bookmarkStart w:id="391" w:name="_Toc102116022"/>
      <w:bookmarkStart w:id="392" w:name="_Toc12911"/>
      <w:bookmarkStart w:id="393" w:name="_Toc102114920"/>
      <w:bookmarkStart w:id="394" w:name="_Toc102056218"/>
      <w:bookmarkStart w:id="395" w:name="_Toc102116152"/>
      <w:bookmarkStart w:id="396" w:name="_Toc102119853"/>
      <w:bookmarkStart w:id="397" w:name="_Toc15518591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389"/>
      <w:bookmarkEnd w:id="390"/>
      <w:bookmarkEnd w:id="391"/>
      <w:bookmarkEnd w:id="392"/>
      <w:bookmarkEnd w:id="393"/>
      <w:bookmarkEnd w:id="394"/>
      <w:bookmarkEnd w:id="395"/>
      <w:bookmarkEnd w:id="396"/>
      <w:bookmarkEnd w:id="397"/>
    </w:p>
    <w:p w14:paraId="037101CA">
      <w:pPr>
        <w:pStyle w:val="41"/>
        <w:jc w:val="both"/>
        <w:rPr>
          <w:rFonts w:hint="eastAsia"/>
          <w:color w:val="auto"/>
          <w:highlight w:val="none"/>
        </w:rPr>
      </w:pPr>
      <w:r>
        <w:rPr>
          <w:rFonts w:hint="eastAsia"/>
          <w:color w:val="auto"/>
          <w:highlight w:val="none"/>
          <w:lang w:val="en-US" w:eastAsia="zh-CN"/>
        </w:rPr>
        <w:t>23</w:t>
      </w:r>
      <w:r>
        <w:rPr>
          <w:color w:val="auto"/>
          <w:highlight w:val="none"/>
        </w:rPr>
        <w:t>.</w:t>
      </w:r>
      <w:r>
        <w:rPr>
          <w:rFonts w:hint="eastAsia"/>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58DB4C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jc w:val="both"/>
        <w:textAlignment w:val="auto"/>
        <w:rPr>
          <w:rFonts w:hint="eastAsia" w:ascii="宋体" w:hAnsi="宋体" w:eastAsia="宋体" w:cs="宋体"/>
          <w:b/>
          <w:bCs/>
          <w:color w:val="auto"/>
          <w:kern w:val="2"/>
          <w:sz w:val="24"/>
          <w:szCs w:val="24"/>
          <w:highlight w:val="none"/>
          <w:lang w:val="zh-CN" w:eastAsia="zh-CN" w:bidi="ar-SA"/>
        </w:rPr>
      </w:pPr>
      <w:bookmarkStart w:id="398" w:name="_Toc2192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bookmarkEnd w:id="398"/>
    </w:p>
    <w:p w14:paraId="453903DF">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有</w:t>
      </w:r>
      <w:r>
        <w:rPr>
          <w:rFonts w:hint="eastAsia"/>
          <w:color w:val="auto"/>
          <w:highlight w:val="none"/>
          <w:lang w:eastAsia="zh-CN"/>
        </w:rPr>
        <w:t>《</w:t>
      </w:r>
      <w:r>
        <w:rPr>
          <w:rFonts w:hint="eastAsia"/>
          <w:color w:val="auto"/>
          <w:highlight w:val="none"/>
        </w:rPr>
        <w:t>中华人民共和国政府采购法</w:t>
      </w:r>
      <w:r>
        <w:rPr>
          <w:rFonts w:hint="eastAsia"/>
          <w:color w:val="auto"/>
          <w:highlight w:val="none"/>
          <w:lang w:eastAsia="zh-CN"/>
        </w:rPr>
        <w:t>》</w:t>
      </w:r>
      <w:r>
        <w:rPr>
          <w:rFonts w:hint="eastAsia"/>
          <w:color w:val="auto"/>
          <w:highlight w:val="none"/>
        </w:rPr>
        <w:t>第七十一条、第七十二条规定的违法行为之一，影响或者可能影响中标结果的，依照下列规定处理：</w:t>
      </w:r>
    </w:p>
    <w:p w14:paraId="1E3A5801">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.1</w:t>
      </w:r>
      <w:r>
        <w:rPr>
          <w:rFonts w:hint="eastAsia"/>
          <w:iCs/>
          <w:color w:val="auto"/>
          <w:spacing w:val="-6"/>
          <w:sz w:val="24"/>
          <w:highlight w:val="none"/>
        </w:rPr>
        <w:t>未确定中标供应商的，终止本次政府采购活动，重新开展政府采购活动。</w:t>
      </w:r>
    </w:p>
    <w:p w14:paraId="18D084FC">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.2已确定中标供应商但尚未签订政府采购合同的，中标结果无效，从合格的中标候选人中另行确定中标供应商；没有合格的中标候选人的，重新开展政府采购活动。</w:t>
      </w:r>
    </w:p>
    <w:p w14:paraId="5046D6C1">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.3政府采购合同已签订但尚未履行的，撤销合同，从合格的中标候选人中另行确定中标供应商；没有合格的中标候选人的，重新开展政府采购活动。</w:t>
      </w:r>
    </w:p>
    <w:p w14:paraId="752D2094">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rFonts w:hint="eastAsia"/>
          <w:color w:val="auto"/>
          <w:highlight w:val="none"/>
        </w:rPr>
      </w:pPr>
      <w:r>
        <w:rPr>
          <w:rFonts w:hint="eastAsia"/>
          <w:color w:val="auto"/>
          <w:highlight w:val="none"/>
          <w:lang w:val="en-US" w:eastAsia="zh-CN"/>
        </w:rPr>
        <w:t>24</w:t>
      </w:r>
      <w:r>
        <w:rPr>
          <w:rFonts w:hint="eastAsia"/>
          <w:color w:val="auto"/>
          <w:highlight w:val="none"/>
        </w:rPr>
        <w:t>.4政府采购合同已经履行，给采购人、供应商造成损失的，由责任人承担赔偿责任。</w:t>
      </w:r>
    </w:p>
    <w:p w14:paraId="7E1A8E82">
      <w:pPr>
        <w:pStyle w:val="41"/>
        <w:keepNext w:val="0"/>
        <w:keepLines w:val="0"/>
        <w:pageBreakBefore w:val="0"/>
        <w:widowControl w:val="0"/>
        <w:kinsoku/>
        <w:wordWrap w:val="0"/>
        <w:overflowPunct/>
        <w:topLinePunct w:val="0"/>
        <w:autoSpaceDE/>
        <w:autoSpaceDN/>
        <w:bidi w:val="0"/>
        <w:adjustRightInd/>
        <w:snapToGrid/>
        <w:spacing w:line="460" w:lineRule="exact"/>
        <w:ind w:firstLine="482"/>
        <w:jc w:val="both"/>
        <w:textAlignment w:val="auto"/>
        <w:rPr>
          <w:color w:val="auto"/>
          <w:highlight w:val="none"/>
        </w:rPr>
      </w:pPr>
      <w:r>
        <w:rPr>
          <w:rFonts w:hint="eastAsia"/>
          <w:color w:val="auto"/>
          <w:highlight w:val="none"/>
          <w:lang w:val="en-US" w:eastAsia="zh-CN"/>
        </w:rPr>
        <w:t>24</w:t>
      </w:r>
      <w:r>
        <w:rPr>
          <w:rFonts w:hint="eastAsia"/>
          <w:color w:val="auto"/>
          <w:highlight w:val="none"/>
        </w:rPr>
        <w:t>.5政府采购当事人有其他违反</w:t>
      </w:r>
      <w:r>
        <w:rPr>
          <w:rFonts w:hint="eastAsia"/>
          <w:iCs/>
          <w:color w:val="auto"/>
          <w:spacing w:val="-6"/>
          <w:sz w:val="24"/>
          <w:highlight w:val="none"/>
          <w:lang w:eastAsia="zh-CN"/>
        </w:rPr>
        <w:t>《</w:t>
      </w:r>
      <w:r>
        <w:rPr>
          <w:rFonts w:hint="eastAsia"/>
          <w:iCs/>
          <w:color w:val="auto"/>
          <w:spacing w:val="-6"/>
          <w:sz w:val="24"/>
          <w:highlight w:val="none"/>
        </w:rPr>
        <w:t>中华人民共和国政府采购法</w:t>
      </w:r>
      <w:r>
        <w:rPr>
          <w:rFonts w:hint="eastAsia"/>
          <w:iCs/>
          <w:color w:val="auto"/>
          <w:spacing w:val="-6"/>
          <w:sz w:val="24"/>
          <w:highlight w:val="none"/>
          <w:lang w:eastAsia="zh-CN"/>
        </w:rPr>
        <w:t>》</w:t>
      </w:r>
      <w:r>
        <w:rPr>
          <w:rFonts w:hint="eastAsia"/>
          <w:iCs/>
          <w:color w:val="auto"/>
          <w:spacing w:val="-6"/>
          <w:sz w:val="24"/>
          <w:highlight w:val="none"/>
        </w:rPr>
        <w:t>或者</w:t>
      </w:r>
      <w:r>
        <w:rPr>
          <w:rFonts w:hint="eastAsia"/>
          <w:iCs/>
          <w:color w:val="auto"/>
          <w:spacing w:val="-6"/>
          <w:sz w:val="24"/>
          <w:highlight w:val="none"/>
          <w:lang w:eastAsia="zh-CN"/>
        </w:rPr>
        <w:t>《</w:t>
      </w:r>
      <w:r>
        <w:rPr>
          <w:rFonts w:hint="eastAsia"/>
          <w:iCs/>
          <w:color w:val="auto"/>
          <w:spacing w:val="-6"/>
          <w:sz w:val="24"/>
          <w:highlight w:val="none"/>
        </w:rPr>
        <w:t>中华人民共和国政府采购法实施条例</w:t>
      </w:r>
      <w:r>
        <w:rPr>
          <w:rFonts w:hint="eastAsia"/>
          <w:iCs/>
          <w:color w:val="auto"/>
          <w:spacing w:val="-6"/>
          <w:sz w:val="24"/>
          <w:highlight w:val="none"/>
          <w:lang w:eastAsia="zh-CN"/>
        </w:rPr>
        <w:t>》</w:t>
      </w:r>
      <w:r>
        <w:rPr>
          <w:rFonts w:hint="eastAsia"/>
          <w:color w:val="auto"/>
          <w:highlight w:val="none"/>
        </w:rPr>
        <w:t>等法律法规规定的行为，经改正后仍然影响或者可能影响中标结果或者依法被认定为中标无效的，依照</w:t>
      </w:r>
      <w:r>
        <w:rPr>
          <w:rFonts w:hint="eastAsia"/>
          <w:color w:val="auto"/>
          <w:highlight w:val="none"/>
          <w:lang w:val="en-US" w:eastAsia="zh-CN"/>
        </w:rPr>
        <w:t>24</w:t>
      </w:r>
      <w:r>
        <w:rPr>
          <w:rFonts w:hint="eastAsia"/>
          <w:color w:val="auto"/>
          <w:highlight w:val="none"/>
        </w:rPr>
        <w:t>.1</w:t>
      </w:r>
      <w:r>
        <w:rPr>
          <w:rFonts w:hint="eastAsia"/>
          <w:color w:val="auto"/>
          <w:highlight w:val="none"/>
          <w:lang w:eastAsia="zh-CN"/>
        </w:rPr>
        <w:t>—</w:t>
      </w:r>
      <w:r>
        <w:rPr>
          <w:rFonts w:hint="eastAsia"/>
          <w:color w:val="auto"/>
          <w:highlight w:val="none"/>
          <w:lang w:val="en-US" w:eastAsia="zh-CN"/>
        </w:rPr>
        <w:t>24</w:t>
      </w:r>
      <w:r>
        <w:rPr>
          <w:rFonts w:hint="eastAsia"/>
          <w:color w:val="auto"/>
          <w:highlight w:val="none"/>
        </w:rPr>
        <w:t>.4规定处理。</w:t>
      </w:r>
    </w:p>
    <w:bookmarkEnd w:id="351"/>
    <w:bookmarkEnd w:id="352"/>
    <w:bookmarkEnd w:id="353"/>
    <w:bookmarkEnd w:id="354"/>
    <w:bookmarkEnd w:id="355"/>
    <w:bookmarkEnd w:id="356"/>
    <w:bookmarkEnd w:id="357"/>
    <w:bookmarkEnd w:id="358"/>
    <w:bookmarkEnd w:id="359"/>
    <w:bookmarkEnd w:id="360"/>
    <w:p w14:paraId="738DBB16">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default" w:ascii="宋体" w:hAnsi="宋体" w:eastAsia="宋体" w:cs="宋体"/>
          <w:color w:val="auto"/>
          <w:sz w:val="28"/>
          <w:szCs w:val="28"/>
          <w:highlight w:val="none"/>
          <w:lang w:val="en-US" w:eastAsia="zh-CN"/>
        </w:rPr>
      </w:pPr>
      <w:bookmarkStart w:id="399" w:name="_Toc14768"/>
      <w:bookmarkStart w:id="400" w:name="_Toc27264"/>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399"/>
      <w:bookmarkEnd w:id="400"/>
    </w:p>
    <w:p w14:paraId="58F38909">
      <w:pPr>
        <w:pStyle w:val="41"/>
        <w:keepNext w:val="0"/>
        <w:keepLines w:val="0"/>
        <w:pageBreakBefore w:val="0"/>
        <w:widowControl w:val="0"/>
        <w:kinsoku/>
        <w:overflowPunct/>
        <w:topLinePunct w:val="0"/>
        <w:autoSpaceDE/>
        <w:autoSpaceDN/>
        <w:bidi w:val="0"/>
        <w:adjustRightInd/>
        <w:snapToGrid/>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可根据项目的情况增加上述内容中未包含的要求</w:t>
      </w:r>
      <w:r>
        <w:rPr>
          <w:rFonts w:hint="eastAsia"/>
          <w:color w:val="auto"/>
          <w:highlight w:val="none"/>
          <w:lang w:eastAsia="zh-CN"/>
        </w:rPr>
        <w:t>】</w:t>
      </w:r>
    </w:p>
    <w:p w14:paraId="2E5C4BE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401" w:name="_Toc22385"/>
      <w:bookmarkStart w:id="402" w:name="_Toc2099"/>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401"/>
      <w:bookmarkEnd w:id="402"/>
    </w:p>
    <w:p w14:paraId="52C9C905">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03" w:name="_Toc163492909"/>
      <w:bookmarkStart w:id="404" w:name="_Toc29368"/>
      <w:bookmarkStart w:id="405" w:name="_Toc1508"/>
      <w:bookmarkStart w:id="406" w:name="_Toc12396"/>
      <w:r>
        <w:rPr>
          <w:rFonts w:hint="eastAsia" w:ascii="宋体" w:hAnsi="宋体" w:eastAsia="宋体" w:cs="宋体"/>
          <w:b/>
          <w:bCs/>
          <w:color w:val="auto"/>
          <w:kern w:val="2"/>
          <w:sz w:val="24"/>
          <w:szCs w:val="24"/>
          <w:highlight w:val="none"/>
          <w:lang w:val="zh-CN" w:eastAsia="zh-CN" w:bidi="ar-SA"/>
        </w:rPr>
        <w:t>（一）符合性审查表</w:t>
      </w:r>
      <w:bookmarkEnd w:id="403"/>
      <w:bookmarkEnd w:id="404"/>
      <w:bookmarkEnd w:id="405"/>
      <w:bookmarkEnd w:id="406"/>
    </w:p>
    <w:tbl>
      <w:tblPr>
        <w:tblStyle w:val="32"/>
        <w:tblW w:w="9245" w:type="dxa"/>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1302"/>
        <w:gridCol w:w="5481"/>
        <w:gridCol w:w="866"/>
        <w:gridCol w:w="1088"/>
      </w:tblGrid>
      <w:tr w14:paraId="0EF85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508" w:type="dxa"/>
            <w:vMerge w:val="restart"/>
            <w:shd w:val="clear" w:color="auto" w:fill="D8D8D8" w:themeFill="background1" w:themeFillShade="D9"/>
            <w:vAlign w:val="center"/>
          </w:tcPr>
          <w:p w14:paraId="5893642B">
            <w:pPr>
              <w:pStyle w:val="53"/>
              <w:jc w:val="center"/>
              <w:rPr>
                <w:rFonts w:hint="eastAsia" w:ascii="宋体" w:hAnsi="宋体" w:eastAsia="宋体" w:cs="宋体"/>
                <w:b/>
                <w:bCs/>
                <w:color w:val="auto"/>
                <w:sz w:val="21"/>
                <w:szCs w:val="21"/>
                <w:highlight w:val="none"/>
                <w:lang w:val="zh-CN"/>
              </w:rPr>
            </w:pPr>
            <w:bookmarkStart w:id="407" w:name="_Toc163492910"/>
            <w:bookmarkStart w:id="408" w:name="_Toc155185917"/>
            <w:r>
              <w:rPr>
                <w:rFonts w:hint="eastAsia" w:ascii="宋体" w:hAnsi="宋体" w:eastAsia="宋体" w:cs="宋体"/>
                <w:b/>
                <w:bCs/>
                <w:color w:val="auto"/>
                <w:sz w:val="21"/>
                <w:szCs w:val="21"/>
                <w:highlight w:val="none"/>
                <w:lang w:val="zh-CN"/>
              </w:rPr>
              <w:t>序号</w:t>
            </w:r>
          </w:p>
        </w:tc>
        <w:tc>
          <w:tcPr>
            <w:tcW w:w="1302" w:type="dxa"/>
            <w:vMerge w:val="restart"/>
            <w:shd w:val="clear" w:color="auto" w:fill="D8D8D8" w:themeFill="background1" w:themeFillShade="D9"/>
            <w:vAlign w:val="center"/>
          </w:tcPr>
          <w:p w14:paraId="6EBD67A8">
            <w:pPr>
              <w:pStyle w:val="53"/>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5481" w:type="dxa"/>
            <w:vMerge w:val="restart"/>
            <w:shd w:val="clear" w:color="auto" w:fill="D8D8D8" w:themeFill="background1" w:themeFillShade="D9"/>
            <w:vAlign w:val="center"/>
          </w:tcPr>
          <w:p w14:paraId="7CD3F0F8">
            <w:pPr>
              <w:pStyle w:val="53"/>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1954" w:type="dxa"/>
            <w:gridSpan w:val="2"/>
            <w:shd w:val="clear" w:color="auto" w:fill="D8D8D8" w:themeFill="background1" w:themeFillShade="D9"/>
            <w:vAlign w:val="center"/>
          </w:tcPr>
          <w:p w14:paraId="55D6EDEE">
            <w:pPr>
              <w:pStyle w:val="53"/>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2F050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508" w:type="dxa"/>
            <w:vMerge w:val="continue"/>
            <w:shd w:val="clear" w:color="auto" w:fill="D8D8D8" w:themeFill="background1" w:themeFillShade="D9"/>
            <w:vAlign w:val="center"/>
          </w:tcPr>
          <w:p w14:paraId="5AEE40D6">
            <w:pPr>
              <w:pStyle w:val="53"/>
              <w:jc w:val="center"/>
              <w:rPr>
                <w:rFonts w:hint="eastAsia" w:ascii="宋体" w:hAnsi="宋体" w:eastAsia="宋体" w:cs="宋体"/>
                <w:b/>
                <w:bCs/>
                <w:color w:val="auto"/>
                <w:sz w:val="21"/>
                <w:szCs w:val="21"/>
                <w:highlight w:val="none"/>
                <w:lang w:val="zh-CN"/>
              </w:rPr>
            </w:pPr>
          </w:p>
        </w:tc>
        <w:tc>
          <w:tcPr>
            <w:tcW w:w="1302" w:type="dxa"/>
            <w:vMerge w:val="continue"/>
            <w:shd w:val="clear" w:color="auto" w:fill="D8D8D8" w:themeFill="background1" w:themeFillShade="D9"/>
            <w:vAlign w:val="center"/>
          </w:tcPr>
          <w:p w14:paraId="59CB22E2">
            <w:pPr>
              <w:pStyle w:val="53"/>
              <w:jc w:val="center"/>
              <w:rPr>
                <w:rFonts w:hint="eastAsia" w:ascii="宋体" w:hAnsi="宋体" w:eastAsia="宋体" w:cs="宋体"/>
                <w:b/>
                <w:bCs/>
                <w:color w:val="auto"/>
                <w:sz w:val="21"/>
                <w:szCs w:val="21"/>
                <w:highlight w:val="none"/>
                <w:lang w:val="zh-CN"/>
              </w:rPr>
            </w:pPr>
          </w:p>
        </w:tc>
        <w:tc>
          <w:tcPr>
            <w:tcW w:w="5481" w:type="dxa"/>
            <w:vMerge w:val="continue"/>
            <w:shd w:val="clear" w:color="auto" w:fill="D8D8D8" w:themeFill="background1" w:themeFillShade="D9"/>
            <w:vAlign w:val="center"/>
          </w:tcPr>
          <w:p w14:paraId="26EB570C">
            <w:pPr>
              <w:pStyle w:val="53"/>
              <w:jc w:val="center"/>
              <w:rPr>
                <w:rFonts w:hint="eastAsia" w:ascii="宋体" w:hAnsi="宋体" w:eastAsia="宋体" w:cs="宋体"/>
                <w:b/>
                <w:bCs/>
                <w:color w:val="auto"/>
                <w:sz w:val="21"/>
                <w:szCs w:val="21"/>
                <w:highlight w:val="none"/>
                <w:lang w:val="zh-CN"/>
              </w:rPr>
            </w:pPr>
          </w:p>
        </w:tc>
        <w:tc>
          <w:tcPr>
            <w:tcW w:w="866" w:type="dxa"/>
            <w:shd w:val="clear" w:color="auto" w:fill="D8D8D8" w:themeFill="background1" w:themeFillShade="D9"/>
            <w:vAlign w:val="center"/>
          </w:tcPr>
          <w:p w14:paraId="7CCD6990">
            <w:pPr>
              <w:pStyle w:val="53"/>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1088" w:type="dxa"/>
            <w:shd w:val="clear" w:color="auto" w:fill="D8D8D8" w:themeFill="background1" w:themeFillShade="D9"/>
            <w:vAlign w:val="center"/>
          </w:tcPr>
          <w:p w14:paraId="68A0D632">
            <w:pPr>
              <w:pStyle w:val="53"/>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33621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508" w:type="dxa"/>
            <w:shd w:val="clear" w:color="auto" w:fill="auto"/>
            <w:vAlign w:val="center"/>
          </w:tcPr>
          <w:p w14:paraId="20FB71B7">
            <w:pPr>
              <w:pStyle w:val="53"/>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1302" w:type="dxa"/>
            <w:vAlign w:val="center"/>
          </w:tcPr>
          <w:p w14:paraId="4A6DA866">
            <w:pPr>
              <w:pStyle w:val="53"/>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5481" w:type="dxa"/>
            <w:shd w:val="clear" w:color="auto" w:fill="auto"/>
            <w:vAlign w:val="center"/>
          </w:tcPr>
          <w:p w14:paraId="7339C6F0">
            <w:pPr>
              <w:pStyle w:val="53"/>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866" w:type="dxa"/>
            <w:shd w:val="clear" w:color="auto" w:fill="auto"/>
            <w:vAlign w:val="center"/>
          </w:tcPr>
          <w:p w14:paraId="11939926">
            <w:pPr>
              <w:pStyle w:val="53"/>
              <w:rPr>
                <w:rFonts w:hint="eastAsia" w:ascii="宋体" w:hAnsi="宋体" w:eastAsia="宋体" w:cs="宋体"/>
                <w:color w:val="auto"/>
                <w:sz w:val="21"/>
                <w:szCs w:val="21"/>
                <w:highlight w:val="none"/>
                <w:lang w:val="zh-CN"/>
              </w:rPr>
            </w:pPr>
          </w:p>
        </w:tc>
        <w:tc>
          <w:tcPr>
            <w:tcW w:w="1088" w:type="dxa"/>
            <w:shd w:val="clear" w:color="auto" w:fill="auto"/>
            <w:vAlign w:val="center"/>
          </w:tcPr>
          <w:p w14:paraId="761637BA">
            <w:pPr>
              <w:pStyle w:val="53"/>
              <w:rPr>
                <w:rFonts w:hint="eastAsia" w:ascii="宋体" w:hAnsi="宋体" w:eastAsia="宋体" w:cs="宋体"/>
                <w:color w:val="auto"/>
                <w:sz w:val="21"/>
                <w:szCs w:val="21"/>
                <w:highlight w:val="none"/>
                <w:lang w:val="zh-CN"/>
              </w:rPr>
            </w:pPr>
          </w:p>
        </w:tc>
      </w:tr>
      <w:tr w14:paraId="63DA4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508" w:type="dxa"/>
            <w:shd w:val="clear" w:color="auto" w:fill="auto"/>
            <w:vAlign w:val="center"/>
          </w:tcPr>
          <w:p w14:paraId="04E32D3C">
            <w:pPr>
              <w:pStyle w:val="53"/>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1302" w:type="dxa"/>
            <w:shd w:val="clear" w:color="auto" w:fill="auto"/>
            <w:vAlign w:val="center"/>
          </w:tcPr>
          <w:p w14:paraId="1CBAC112">
            <w:pPr>
              <w:pStyle w:val="53"/>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5481" w:type="dxa"/>
            <w:shd w:val="clear" w:color="auto" w:fill="auto"/>
            <w:vAlign w:val="center"/>
          </w:tcPr>
          <w:p w14:paraId="0D51A487">
            <w:pPr>
              <w:pStyle w:val="53"/>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文件中标注“★”号的实质性条款（或指标）要求的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866" w:type="dxa"/>
            <w:shd w:val="clear" w:color="auto" w:fill="auto"/>
            <w:vAlign w:val="center"/>
          </w:tcPr>
          <w:p w14:paraId="37E60D29">
            <w:pPr>
              <w:pStyle w:val="53"/>
              <w:rPr>
                <w:rFonts w:hint="eastAsia" w:ascii="宋体" w:hAnsi="宋体" w:eastAsia="宋体" w:cs="宋体"/>
                <w:color w:val="auto"/>
                <w:sz w:val="21"/>
                <w:szCs w:val="21"/>
                <w:highlight w:val="none"/>
                <w:lang w:val="zh-CN"/>
              </w:rPr>
            </w:pPr>
          </w:p>
        </w:tc>
        <w:tc>
          <w:tcPr>
            <w:tcW w:w="1088" w:type="dxa"/>
            <w:shd w:val="clear" w:color="auto" w:fill="auto"/>
            <w:vAlign w:val="center"/>
          </w:tcPr>
          <w:p w14:paraId="2F34A197">
            <w:pPr>
              <w:pStyle w:val="53"/>
              <w:rPr>
                <w:rFonts w:hint="eastAsia" w:ascii="宋体" w:hAnsi="宋体" w:eastAsia="宋体" w:cs="宋体"/>
                <w:color w:val="auto"/>
                <w:sz w:val="21"/>
                <w:szCs w:val="21"/>
                <w:highlight w:val="none"/>
                <w:lang w:val="zh-CN"/>
              </w:rPr>
            </w:pPr>
          </w:p>
        </w:tc>
      </w:tr>
      <w:tr w14:paraId="692B7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508" w:type="dxa"/>
            <w:shd w:val="clear" w:color="auto" w:fill="auto"/>
            <w:vAlign w:val="center"/>
          </w:tcPr>
          <w:p w14:paraId="57731449">
            <w:pPr>
              <w:pStyle w:val="53"/>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1302" w:type="dxa"/>
            <w:vAlign w:val="center"/>
          </w:tcPr>
          <w:p w14:paraId="3D8ADAB8">
            <w:pPr>
              <w:pStyle w:val="53"/>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5481" w:type="dxa"/>
            <w:shd w:val="clear" w:color="auto" w:fill="auto"/>
            <w:vAlign w:val="center"/>
          </w:tcPr>
          <w:p w14:paraId="5FBA42B7">
            <w:pPr>
              <w:pStyle w:val="5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w:t>
            </w:r>
            <w:r>
              <w:rPr>
                <w:rFonts w:hint="eastAsia" w:cs="宋体"/>
                <w:color w:val="auto"/>
                <w:kern w:val="2"/>
                <w:sz w:val="21"/>
                <w:szCs w:val="21"/>
                <w:highlight w:val="none"/>
                <w:lang w:val="en-US" w:eastAsia="zh-CN" w:bidi="ar-SA"/>
              </w:rPr>
              <w:t>唯一且</w:t>
            </w:r>
            <w:r>
              <w:rPr>
                <w:rFonts w:hint="eastAsia" w:ascii="宋体" w:hAnsi="宋体" w:eastAsia="宋体" w:cs="宋体"/>
                <w:color w:val="auto"/>
                <w:kern w:val="2"/>
                <w:sz w:val="21"/>
                <w:szCs w:val="21"/>
                <w:highlight w:val="none"/>
                <w:lang w:val="en-US" w:eastAsia="zh-CN" w:bidi="ar-SA"/>
              </w:rPr>
              <w:t>未超过招标文件中规定的</w:t>
            </w:r>
            <w:r>
              <w:rPr>
                <w:rFonts w:hint="eastAsia" w:ascii="宋体" w:hAnsi="宋体" w:eastAsia="宋体" w:cs="宋体"/>
                <w:color w:val="auto"/>
                <w:sz w:val="21"/>
                <w:szCs w:val="21"/>
                <w:highlight w:val="none"/>
                <w:lang w:val="en-US" w:eastAsia="zh-CN"/>
              </w:rPr>
              <w:t>最高限价或者预算金额</w:t>
            </w:r>
            <w:r>
              <w:rPr>
                <w:rFonts w:hint="eastAsia" w:ascii="宋体" w:hAnsi="宋体" w:eastAsia="宋体" w:cs="宋体"/>
                <w:color w:val="auto"/>
                <w:kern w:val="2"/>
                <w:sz w:val="21"/>
                <w:szCs w:val="21"/>
                <w:highlight w:val="none"/>
                <w:lang w:val="en-US" w:eastAsia="zh-CN" w:bidi="ar-SA"/>
              </w:rPr>
              <w:t>的</w:t>
            </w:r>
          </w:p>
        </w:tc>
        <w:tc>
          <w:tcPr>
            <w:tcW w:w="866" w:type="dxa"/>
            <w:shd w:val="clear" w:color="auto" w:fill="auto"/>
            <w:vAlign w:val="center"/>
          </w:tcPr>
          <w:p w14:paraId="1F1A1C27">
            <w:pPr>
              <w:pStyle w:val="53"/>
              <w:rPr>
                <w:rFonts w:hint="eastAsia" w:ascii="宋体" w:hAnsi="宋体" w:eastAsia="宋体" w:cs="宋体"/>
                <w:color w:val="auto"/>
                <w:sz w:val="21"/>
                <w:szCs w:val="21"/>
                <w:highlight w:val="none"/>
                <w:lang w:val="zh-CN"/>
              </w:rPr>
            </w:pPr>
          </w:p>
        </w:tc>
        <w:tc>
          <w:tcPr>
            <w:tcW w:w="1088" w:type="dxa"/>
            <w:shd w:val="clear" w:color="auto" w:fill="auto"/>
            <w:vAlign w:val="center"/>
          </w:tcPr>
          <w:p w14:paraId="1CD840F8">
            <w:pPr>
              <w:pStyle w:val="53"/>
              <w:rPr>
                <w:rFonts w:hint="eastAsia" w:ascii="宋体" w:hAnsi="宋体" w:eastAsia="宋体" w:cs="宋体"/>
                <w:color w:val="auto"/>
                <w:sz w:val="21"/>
                <w:szCs w:val="21"/>
                <w:highlight w:val="none"/>
                <w:lang w:val="zh-CN"/>
              </w:rPr>
            </w:pPr>
          </w:p>
        </w:tc>
      </w:tr>
      <w:tr w14:paraId="37CFD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508" w:type="dxa"/>
            <w:shd w:val="clear" w:color="auto" w:fill="auto"/>
            <w:vAlign w:val="center"/>
          </w:tcPr>
          <w:p w14:paraId="278ABA9B">
            <w:pPr>
              <w:pStyle w:val="53"/>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4</w:t>
            </w:r>
          </w:p>
        </w:tc>
        <w:tc>
          <w:tcPr>
            <w:tcW w:w="1302" w:type="dxa"/>
            <w:vAlign w:val="center"/>
          </w:tcPr>
          <w:p w14:paraId="4D99E4A9">
            <w:pPr>
              <w:pStyle w:val="5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5481" w:type="dxa"/>
            <w:shd w:val="clear" w:color="auto" w:fill="auto"/>
            <w:vAlign w:val="center"/>
          </w:tcPr>
          <w:p w14:paraId="32D553A8">
            <w:pPr>
              <w:pStyle w:val="53"/>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866" w:type="dxa"/>
            <w:shd w:val="clear" w:color="auto" w:fill="auto"/>
            <w:vAlign w:val="center"/>
          </w:tcPr>
          <w:p w14:paraId="577BA264">
            <w:pPr>
              <w:pStyle w:val="53"/>
              <w:rPr>
                <w:rFonts w:hint="eastAsia" w:ascii="宋体" w:hAnsi="宋体" w:eastAsia="宋体" w:cs="宋体"/>
                <w:color w:val="auto"/>
                <w:sz w:val="21"/>
                <w:szCs w:val="21"/>
                <w:highlight w:val="none"/>
                <w:lang w:val="zh-CN"/>
              </w:rPr>
            </w:pPr>
          </w:p>
        </w:tc>
        <w:tc>
          <w:tcPr>
            <w:tcW w:w="1088" w:type="dxa"/>
            <w:shd w:val="clear" w:color="auto" w:fill="auto"/>
            <w:vAlign w:val="center"/>
          </w:tcPr>
          <w:p w14:paraId="43B5E313">
            <w:pPr>
              <w:pStyle w:val="53"/>
              <w:rPr>
                <w:rFonts w:hint="eastAsia" w:ascii="宋体" w:hAnsi="宋体" w:eastAsia="宋体" w:cs="宋体"/>
                <w:color w:val="auto"/>
                <w:sz w:val="21"/>
                <w:szCs w:val="21"/>
                <w:highlight w:val="none"/>
                <w:lang w:val="zh-CN"/>
              </w:rPr>
            </w:pPr>
          </w:p>
        </w:tc>
      </w:tr>
      <w:tr w14:paraId="307EB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508" w:type="dxa"/>
            <w:shd w:val="clear" w:color="auto" w:fill="auto"/>
            <w:vAlign w:val="center"/>
          </w:tcPr>
          <w:p w14:paraId="34D63949">
            <w:pPr>
              <w:pStyle w:val="53"/>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5</w:t>
            </w:r>
          </w:p>
        </w:tc>
        <w:tc>
          <w:tcPr>
            <w:tcW w:w="1302" w:type="dxa"/>
            <w:shd w:val="clear" w:color="auto" w:fill="auto"/>
            <w:vAlign w:val="center"/>
          </w:tcPr>
          <w:p w14:paraId="5323AC3C">
            <w:pPr>
              <w:pStyle w:val="5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投标文件的澄清、说明、补正</w:t>
            </w:r>
          </w:p>
        </w:tc>
        <w:tc>
          <w:tcPr>
            <w:tcW w:w="5481" w:type="dxa"/>
            <w:shd w:val="clear" w:color="auto" w:fill="auto"/>
            <w:vAlign w:val="center"/>
          </w:tcPr>
          <w:p w14:paraId="2320BC33">
            <w:pPr>
              <w:pStyle w:val="5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评审期间</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866" w:type="dxa"/>
            <w:shd w:val="clear" w:color="auto" w:fill="auto"/>
            <w:vAlign w:val="center"/>
          </w:tcPr>
          <w:p w14:paraId="1ED9B135">
            <w:pPr>
              <w:pStyle w:val="53"/>
              <w:rPr>
                <w:rFonts w:hint="eastAsia" w:ascii="宋体" w:hAnsi="宋体" w:eastAsia="宋体" w:cs="宋体"/>
                <w:color w:val="auto"/>
                <w:sz w:val="21"/>
                <w:szCs w:val="21"/>
                <w:highlight w:val="none"/>
                <w:lang w:val="zh-CN"/>
              </w:rPr>
            </w:pPr>
          </w:p>
        </w:tc>
        <w:tc>
          <w:tcPr>
            <w:tcW w:w="1088" w:type="dxa"/>
            <w:shd w:val="clear" w:color="auto" w:fill="auto"/>
            <w:vAlign w:val="center"/>
          </w:tcPr>
          <w:p w14:paraId="0BFACFB4">
            <w:pPr>
              <w:pStyle w:val="53"/>
              <w:rPr>
                <w:rFonts w:hint="eastAsia" w:ascii="宋体" w:hAnsi="宋体" w:eastAsia="宋体" w:cs="宋体"/>
                <w:color w:val="auto"/>
                <w:sz w:val="21"/>
                <w:szCs w:val="21"/>
                <w:highlight w:val="none"/>
                <w:lang w:val="zh-CN"/>
              </w:rPr>
            </w:pPr>
          </w:p>
        </w:tc>
      </w:tr>
      <w:tr w14:paraId="01F17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508" w:type="dxa"/>
            <w:shd w:val="clear" w:color="auto" w:fill="auto"/>
            <w:vAlign w:val="center"/>
          </w:tcPr>
          <w:p w14:paraId="04616684">
            <w:pPr>
              <w:pStyle w:val="53"/>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6</w:t>
            </w:r>
          </w:p>
        </w:tc>
        <w:tc>
          <w:tcPr>
            <w:tcW w:w="1302" w:type="dxa"/>
            <w:shd w:val="clear" w:color="auto" w:fill="auto"/>
            <w:vAlign w:val="center"/>
          </w:tcPr>
          <w:p w14:paraId="21FAB78C">
            <w:pPr>
              <w:pStyle w:val="5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投标人影响评标</w:t>
            </w:r>
          </w:p>
        </w:tc>
        <w:tc>
          <w:tcPr>
            <w:tcW w:w="5481" w:type="dxa"/>
            <w:shd w:val="clear" w:color="auto" w:fill="auto"/>
            <w:vAlign w:val="center"/>
          </w:tcPr>
          <w:p w14:paraId="0C8F393A">
            <w:pPr>
              <w:pStyle w:val="53"/>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866" w:type="dxa"/>
            <w:shd w:val="clear" w:color="auto" w:fill="auto"/>
            <w:vAlign w:val="center"/>
          </w:tcPr>
          <w:p w14:paraId="2D4F4141">
            <w:pPr>
              <w:pStyle w:val="53"/>
              <w:rPr>
                <w:rFonts w:hint="eastAsia" w:ascii="宋体" w:hAnsi="宋体" w:eastAsia="宋体" w:cs="宋体"/>
                <w:color w:val="auto"/>
                <w:sz w:val="21"/>
                <w:szCs w:val="21"/>
                <w:highlight w:val="none"/>
                <w:lang w:val="zh-CN"/>
              </w:rPr>
            </w:pPr>
          </w:p>
        </w:tc>
        <w:tc>
          <w:tcPr>
            <w:tcW w:w="1088" w:type="dxa"/>
            <w:shd w:val="clear" w:color="auto" w:fill="auto"/>
            <w:vAlign w:val="center"/>
          </w:tcPr>
          <w:p w14:paraId="2BA72F74">
            <w:pPr>
              <w:pStyle w:val="53"/>
              <w:rPr>
                <w:rFonts w:hint="eastAsia" w:ascii="宋体" w:hAnsi="宋体" w:eastAsia="宋体" w:cs="宋体"/>
                <w:color w:val="auto"/>
                <w:sz w:val="21"/>
                <w:szCs w:val="21"/>
                <w:highlight w:val="none"/>
                <w:lang w:val="zh-CN"/>
              </w:rPr>
            </w:pPr>
          </w:p>
        </w:tc>
      </w:tr>
      <w:tr w14:paraId="25B59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508" w:type="dxa"/>
            <w:shd w:val="clear" w:color="auto" w:fill="auto"/>
            <w:vAlign w:val="center"/>
          </w:tcPr>
          <w:p w14:paraId="21E23A45">
            <w:pPr>
              <w:pStyle w:val="53"/>
              <w:numPr>
                <w:ilvl w:val="0"/>
                <w:numId w:val="0"/>
              </w:numPr>
              <w:ind w:left="0" w:lef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7</w:t>
            </w:r>
          </w:p>
        </w:tc>
        <w:tc>
          <w:tcPr>
            <w:tcW w:w="1302" w:type="dxa"/>
            <w:shd w:val="clear" w:color="auto" w:fill="auto"/>
            <w:vAlign w:val="center"/>
          </w:tcPr>
          <w:p w14:paraId="2E84DBFF">
            <w:pPr>
              <w:pStyle w:val="5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围标串标情形</w:t>
            </w:r>
          </w:p>
        </w:tc>
        <w:tc>
          <w:tcPr>
            <w:tcW w:w="5481" w:type="dxa"/>
            <w:shd w:val="clear" w:color="auto" w:fill="auto"/>
            <w:vAlign w:val="center"/>
          </w:tcPr>
          <w:p w14:paraId="36025F17">
            <w:pPr>
              <w:pStyle w:val="53"/>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第20条情形之一的</w:t>
            </w:r>
          </w:p>
        </w:tc>
        <w:tc>
          <w:tcPr>
            <w:tcW w:w="866" w:type="dxa"/>
            <w:shd w:val="clear" w:color="auto" w:fill="auto"/>
            <w:vAlign w:val="center"/>
          </w:tcPr>
          <w:p w14:paraId="4416A372">
            <w:pPr>
              <w:pStyle w:val="53"/>
              <w:rPr>
                <w:rFonts w:hint="eastAsia" w:ascii="宋体" w:hAnsi="宋体" w:eastAsia="宋体" w:cs="宋体"/>
                <w:color w:val="auto"/>
                <w:sz w:val="21"/>
                <w:szCs w:val="21"/>
                <w:highlight w:val="none"/>
                <w:lang w:val="zh-CN"/>
              </w:rPr>
            </w:pPr>
          </w:p>
        </w:tc>
        <w:tc>
          <w:tcPr>
            <w:tcW w:w="1088" w:type="dxa"/>
            <w:shd w:val="clear" w:color="auto" w:fill="auto"/>
            <w:vAlign w:val="center"/>
          </w:tcPr>
          <w:p w14:paraId="6EB61201">
            <w:pPr>
              <w:pStyle w:val="53"/>
              <w:rPr>
                <w:rFonts w:hint="eastAsia" w:ascii="宋体" w:hAnsi="宋体" w:eastAsia="宋体" w:cs="宋体"/>
                <w:color w:val="auto"/>
                <w:sz w:val="21"/>
                <w:szCs w:val="21"/>
                <w:highlight w:val="none"/>
                <w:lang w:val="zh-CN"/>
              </w:rPr>
            </w:pPr>
          </w:p>
        </w:tc>
      </w:tr>
      <w:tr w14:paraId="1D57E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508" w:type="dxa"/>
            <w:shd w:val="clear" w:color="auto" w:fill="auto"/>
            <w:vAlign w:val="center"/>
          </w:tcPr>
          <w:p w14:paraId="19781585">
            <w:pPr>
              <w:pStyle w:val="53"/>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8</w:t>
            </w:r>
          </w:p>
        </w:tc>
        <w:tc>
          <w:tcPr>
            <w:tcW w:w="1302" w:type="dxa"/>
            <w:shd w:val="clear" w:color="auto" w:fill="auto"/>
            <w:vAlign w:val="center"/>
          </w:tcPr>
          <w:p w14:paraId="02524738">
            <w:pPr>
              <w:pStyle w:val="5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附加条件</w:t>
            </w:r>
          </w:p>
        </w:tc>
        <w:tc>
          <w:tcPr>
            <w:tcW w:w="5481" w:type="dxa"/>
            <w:shd w:val="clear" w:color="auto" w:fill="auto"/>
            <w:vAlign w:val="center"/>
          </w:tcPr>
          <w:p w14:paraId="51A70A54">
            <w:pPr>
              <w:pStyle w:val="5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投标文件没有采购人不能接受的附加条件的</w:t>
            </w:r>
          </w:p>
        </w:tc>
        <w:tc>
          <w:tcPr>
            <w:tcW w:w="866" w:type="dxa"/>
            <w:shd w:val="clear" w:color="auto" w:fill="auto"/>
            <w:vAlign w:val="center"/>
          </w:tcPr>
          <w:p w14:paraId="5A7C542E">
            <w:pPr>
              <w:pStyle w:val="53"/>
              <w:rPr>
                <w:rFonts w:hint="eastAsia" w:ascii="宋体" w:hAnsi="宋体" w:eastAsia="宋体" w:cs="宋体"/>
                <w:color w:val="auto"/>
                <w:sz w:val="21"/>
                <w:szCs w:val="21"/>
                <w:highlight w:val="none"/>
                <w:lang w:val="zh-CN"/>
              </w:rPr>
            </w:pPr>
          </w:p>
        </w:tc>
        <w:tc>
          <w:tcPr>
            <w:tcW w:w="1088" w:type="dxa"/>
            <w:shd w:val="clear" w:color="auto" w:fill="auto"/>
            <w:vAlign w:val="center"/>
          </w:tcPr>
          <w:p w14:paraId="5D64E0A2">
            <w:pPr>
              <w:pStyle w:val="53"/>
              <w:rPr>
                <w:rFonts w:hint="eastAsia" w:ascii="宋体" w:hAnsi="宋体" w:eastAsia="宋体" w:cs="宋体"/>
                <w:color w:val="auto"/>
                <w:sz w:val="21"/>
                <w:szCs w:val="21"/>
                <w:highlight w:val="none"/>
                <w:lang w:val="zh-CN"/>
              </w:rPr>
            </w:pPr>
          </w:p>
        </w:tc>
      </w:tr>
      <w:tr w14:paraId="04D7E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508" w:type="dxa"/>
            <w:shd w:val="clear" w:color="auto" w:fill="auto"/>
            <w:vAlign w:val="center"/>
          </w:tcPr>
          <w:p w14:paraId="518DDDFF">
            <w:pPr>
              <w:pStyle w:val="53"/>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1302" w:type="dxa"/>
            <w:shd w:val="clear" w:color="auto" w:fill="auto"/>
            <w:vAlign w:val="center"/>
          </w:tcPr>
          <w:p w14:paraId="0788B7F3">
            <w:pPr>
              <w:pStyle w:val="53"/>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其他无效情形</w:t>
            </w:r>
          </w:p>
        </w:tc>
        <w:tc>
          <w:tcPr>
            <w:tcW w:w="5481" w:type="dxa"/>
            <w:shd w:val="clear" w:color="auto" w:fill="auto"/>
            <w:vAlign w:val="center"/>
          </w:tcPr>
          <w:p w14:paraId="2B0D5F76">
            <w:pPr>
              <w:pStyle w:val="53"/>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没有</w:t>
            </w:r>
            <w:r>
              <w:rPr>
                <w:rFonts w:hint="eastAsia" w:cs="宋体"/>
                <w:color w:val="auto"/>
                <w:sz w:val="21"/>
                <w:szCs w:val="21"/>
                <w:highlight w:val="none"/>
                <w:lang w:val="en-US" w:eastAsia="zh-CN"/>
              </w:rPr>
              <w:t>法律法规</w:t>
            </w:r>
            <w:r>
              <w:rPr>
                <w:rFonts w:hint="eastAsia" w:ascii="宋体" w:hAnsi="宋体" w:eastAsia="宋体" w:cs="宋体"/>
                <w:color w:val="auto"/>
                <w:sz w:val="21"/>
                <w:szCs w:val="21"/>
                <w:highlight w:val="none"/>
                <w:lang w:val="zh-CN" w:eastAsia="zh-CN"/>
              </w:rPr>
              <w:t>、规章规定属于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866" w:type="dxa"/>
            <w:shd w:val="clear" w:color="auto" w:fill="auto"/>
            <w:vAlign w:val="center"/>
          </w:tcPr>
          <w:p w14:paraId="33901145">
            <w:pPr>
              <w:pStyle w:val="53"/>
              <w:rPr>
                <w:rFonts w:hint="eastAsia" w:ascii="宋体" w:hAnsi="宋体" w:eastAsia="宋体" w:cs="宋体"/>
                <w:color w:val="auto"/>
                <w:sz w:val="21"/>
                <w:szCs w:val="21"/>
                <w:highlight w:val="none"/>
                <w:lang w:val="zh-CN"/>
              </w:rPr>
            </w:pPr>
          </w:p>
        </w:tc>
        <w:tc>
          <w:tcPr>
            <w:tcW w:w="1088" w:type="dxa"/>
            <w:shd w:val="clear" w:color="auto" w:fill="auto"/>
            <w:vAlign w:val="center"/>
          </w:tcPr>
          <w:p w14:paraId="7894DA76">
            <w:pPr>
              <w:pStyle w:val="53"/>
              <w:rPr>
                <w:rFonts w:hint="eastAsia" w:ascii="宋体" w:hAnsi="宋体" w:eastAsia="宋体" w:cs="宋体"/>
                <w:color w:val="auto"/>
                <w:sz w:val="21"/>
                <w:szCs w:val="21"/>
                <w:highlight w:val="none"/>
                <w:lang w:val="zh-CN"/>
              </w:rPr>
            </w:pPr>
          </w:p>
        </w:tc>
      </w:tr>
    </w:tbl>
    <w:p w14:paraId="5E6D67FA">
      <w:pPr>
        <w:rPr>
          <w:rFonts w:hint="eastAsia" w:ascii="宋体" w:hAnsi="宋体" w:eastAsia="宋体" w:cstheme="minorBidi"/>
          <w:b/>
          <w:bCs/>
          <w:color w:val="auto"/>
          <w:kern w:val="2"/>
          <w:sz w:val="30"/>
          <w:szCs w:val="32"/>
          <w:highlight w:val="none"/>
          <w:lang w:val="zh-CN" w:eastAsia="zh-CN" w:bidi="ar-SA"/>
        </w:rPr>
      </w:pPr>
      <w:r>
        <w:rPr>
          <w:rFonts w:hint="eastAsia" w:ascii="宋体" w:hAnsi="宋体" w:eastAsia="宋体" w:cstheme="minorBidi"/>
          <w:b/>
          <w:bCs/>
          <w:color w:val="auto"/>
          <w:kern w:val="2"/>
          <w:sz w:val="30"/>
          <w:szCs w:val="32"/>
          <w:highlight w:val="none"/>
          <w:lang w:val="zh-CN" w:eastAsia="zh-CN" w:bidi="ar-SA"/>
        </w:rPr>
        <w:br w:type="page"/>
      </w:r>
    </w:p>
    <w:p w14:paraId="73BAA22C">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57E69487">
      <w:pPr>
        <w:shd w:val="clear" w:color="auto" w:fill="FFFFFF"/>
        <w:tabs>
          <w:tab w:val="left" w:pos="3045"/>
        </w:tabs>
        <w:autoSpaceDE w:val="0"/>
        <w:autoSpaceDN w:val="0"/>
        <w:adjustRightInd w:val="0"/>
        <w:snapToGrid w:val="0"/>
        <w:spacing w:line="360" w:lineRule="exact"/>
        <w:rPr>
          <w:rFonts w:hint="eastAsia"/>
          <w:color w:val="auto"/>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eastAsia="zh-CN"/>
        </w:rPr>
        <w:t>性</w:t>
      </w:r>
      <w:r>
        <w:rPr>
          <w:rFonts w:hint="eastAsia" w:cs="宋体"/>
          <w:b/>
          <w:color w:val="auto"/>
          <w:sz w:val="24"/>
          <w:highlight w:val="none"/>
          <w:lang w:val="en-US" w:eastAsia="zh-CN"/>
        </w:rPr>
        <w:t>审查表－</w:t>
      </w:r>
      <w:r>
        <w:rPr>
          <w:rFonts w:hint="eastAsia" w:ascii="宋体" w:hAnsi="宋体" w:cs="宋体"/>
          <w:b/>
          <w:color w:val="auto"/>
          <w:sz w:val="24"/>
          <w:highlight w:val="none"/>
        </w:rPr>
        <w:t>附表</w:t>
      </w:r>
    </w:p>
    <w:p w14:paraId="6E94007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bookmarkStart w:id="409" w:name="_Toc26981"/>
      <w:bookmarkStart w:id="410" w:name="_Toc32259"/>
      <w:bookmarkStart w:id="411" w:name="_Toc15958"/>
      <w:r>
        <w:rPr>
          <w:rFonts w:hint="eastAsia" w:ascii="宋体" w:hAnsi="宋体" w:eastAsia="宋体" w:cstheme="minorBidi"/>
          <w:b/>
          <w:bCs/>
          <w:color w:val="auto"/>
          <w:kern w:val="2"/>
          <w:sz w:val="28"/>
          <w:szCs w:val="28"/>
          <w:highlight w:val="none"/>
          <w:lang w:val="zh-CN" w:eastAsia="zh-CN" w:bidi="ar-SA"/>
        </w:rPr>
        <w:t>实质性响应一览表</w:t>
      </w:r>
      <w:bookmarkEnd w:id="409"/>
      <w:bookmarkEnd w:id="410"/>
      <w:bookmarkEnd w:id="411"/>
    </w:p>
    <w:p w14:paraId="084345E1">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584B3E64">
      <w:pPr>
        <w:pStyle w:val="25"/>
        <w:rPr>
          <w:rFonts w:hint="eastAsia" w:ascii="宋体" w:hAnsi="宋体" w:cs="宋体"/>
          <w:color w:val="auto"/>
          <w:highlight w:val="none"/>
        </w:rPr>
      </w:pPr>
    </w:p>
    <w:tbl>
      <w:tblPr>
        <w:tblStyle w:val="32"/>
        <w:tblW w:w="9439"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692"/>
        <w:gridCol w:w="3950"/>
        <w:gridCol w:w="2482"/>
        <w:gridCol w:w="732"/>
      </w:tblGrid>
      <w:tr w14:paraId="6918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83" w:type="dxa"/>
            <w:vMerge w:val="restart"/>
            <w:vAlign w:val="center"/>
          </w:tcPr>
          <w:p w14:paraId="763E8FF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5642" w:type="dxa"/>
            <w:gridSpan w:val="2"/>
            <w:vAlign w:val="center"/>
          </w:tcPr>
          <w:p w14:paraId="4544CCF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文件要求的实质性响应内容</w:t>
            </w:r>
          </w:p>
        </w:tc>
        <w:tc>
          <w:tcPr>
            <w:tcW w:w="2482" w:type="dxa"/>
            <w:vMerge w:val="restart"/>
            <w:vAlign w:val="center"/>
          </w:tcPr>
          <w:p w14:paraId="33AEE5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具体内容</w:t>
            </w:r>
          </w:p>
        </w:tc>
        <w:tc>
          <w:tcPr>
            <w:tcW w:w="732" w:type="dxa"/>
            <w:vMerge w:val="restart"/>
            <w:vAlign w:val="center"/>
          </w:tcPr>
          <w:p w14:paraId="3E3836C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48CCF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583" w:type="dxa"/>
            <w:vMerge w:val="continue"/>
            <w:vAlign w:val="center"/>
          </w:tcPr>
          <w:p w14:paraId="0684D98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692" w:type="dxa"/>
            <w:vAlign w:val="center"/>
          </w:tcPr>
          <w:p w14:paraId="4FB4607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实质性要求</w:t>
            </w:r>
          </w:p>
        </w:tc>
        <w:tc>
          <w:tcPr>
            <w:tcW w:w="3950" w:type="dxa"/>
            <w:vAlign w:val="center"/>
          </w:tcPr>
          <w:p w14:paraId="2C45324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招标文件中的规定</w:t>
            </w:r>
          </w:p>
        </w:tc>
        <w:tc>
          <w:tcPr>
            <w:tcW w:w="2482" w:type="dxa"/>
            <w:vMerge w:val="continue"/>
            <w:vAlign w:val="center"/>
          </w:tcPr>
          <w:p w14:paraId="2F7005E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32" w:type="dxa"/>
            <w:vMerge w:val="continue"/>
            <w:vAlign w:val="center"/>
          </w:tcPr>
          <w:p w14:paraId="63C56AF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r>
      <w:tr w14:paraId="7443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583" w:type="dxa"/>
            <w:vAlign w:val="center"/>
          </w:tcPr>
          <w:p w14:paraId="1A8EB50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692" w:type="dxa"/>
            <w:shd w:val="clear" w:color="auto" w:fill="auto"/>
            <w:vAlign w:val="center"/>
          </w:tcPr>
          <w:p w14:paraId="1656707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w:t>
            </w:r>
          </w:p>
        </w:tc>
        <w:tc>
          <w:tcPr>
            <w:tcW w:w="3950" w:type="dxa"/>
            <w:shd w:val="clear" w:color="auto" w:fill="auto"/>
            <w:vAlign w:val="center"/>
          </w:tcPr>
          <w:p w14:paraId="7EB4F722">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投标截止时间后90日历日。</w:t>
            </w:r>
          </w:p>
        </w:tc>
        <w:tc>
          <w:tcPr>
            <w:tcW w:w="2482" w:type="dxa"/>
            <w:vAlign w:val="center"/>
          </w:tcPr>
          <w:p w14:paraId="659F117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732" w:type="dxa"/>
            <w:vAlign w:val="center"/>
          </w:tcPr>
          <w:p w14:paraId="69C12A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72C6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583" w:type="dxa"/>
            <w:vAlign w:val="center"/>
          </w:tcPr>
          <w:p w14:paraId="15684D6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692" w:type="dxa"/>
            <w:shd w:val="clear" w:color="auto" w:fill="auto"/>
            <w:vAlign w:val="center"/>
          </w:tcPr>
          <w:p w14:paraId="4FBF5F4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范围</w:t>
            </w:r>
          </w:p>
        </w:tc>
        <w:tc>
          <w:tcPr>
            <w:tcW w:w="3950" w:type="dxa"/>
            <w:shd w:val="clear" w:color="auto" w:fill="auto"/>
            <w:vAlign w:val="center"/>
          </w:tcPr>
          <w:p w14:paraId="2BE82524">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以“公益福彩・情暖天山”为主题，策划公益宣传及品牌推广活动。在2026年5月—</w:t>
            </w:r>
            <w:r>
              <w:rPr>
                <w:rFonts w:hint="eastAsia" w:cs="宋体"/>
                <w:color w:val="auto"/>
                <w:kern w:val="2"/>
                <w:sz w:val="21"/>
                <w:szCs w:val="21"/>
                <w:highlight w:val="none"/>
                <w:lang w:val="en-US" w:eastAsia="zh-CN" w:bidi="ar-SA"/>
              </w:rPr>
              <w:t>9</w:t>
            </w:r>
            <w:r>
              <w:rPr>
                <w:rFonts w:hint="eastAsia" w:ascii="宋体" w:hAnsi="宋体" w:eastAsia="宋体" w:cs="宋体"/>
                <w:color w:val="auto"/>
                <w:kern w:val="2"/>
                <w:sz w:val="21"/>
                <w:szCs w:val="21"/>
                <w:highlight w:val="none"/>
                <w:lang w:val="en-US" w:eastAsia="zh-CN" w:bidi="ar-SA"/>
              </w:rPr>
              <w:t>月期间，利用周末时间在乌鲁木齐市、克拉玛依市、哈密市、昌吉市、伊宁市、吐鲁番市、塔城市、阿勒泰市、博乐市、库尔勒市、阿克苏市、喀什市、和田市、阿图什市14个城市的商场或户外开展公益地推活动，每个城市各2场，每天一场，不少于28场，每场活动持续时间不少于8小时。具体内容详见采购文件。</w:t>
            </w:r>
          </w:p>
        </w:tc>
        <w:tc>
          <w:tcPr>
            <w:tcW w:w="2482" w:type="dxa"/>
            <w:vAlign w:val="center"/>
          </w:tcPr>
          <w:p w14:paraId="4E84A70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732" w:type="dxa"/>
            <w:vAlign w:val="center"/>
          </w:tcPr>
          <w:p w14:paraId="7E4B224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17558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83" w:type="dxa"/>
            <w:shd w:val="clear" w:color="auto" w:fill="auto"/>
            <w:vAlign w:val="center"/>
          </w:tcPr>
          <w:p w14:paraId="72E1F4F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692" w:type="dxa"/>
            <w:shd w:val="clear" w:color="auto" w:fill="auto"/>
            <w:vAlign w:val="center"/>
          </w:tcPr>
          <w:p w14:paraId="281EDED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合同履约期限</w:t>
            </w:r>
          </w:p>
        </w:tc>
        <w:tc>
          <w:tcPr>
            <w:tcW w:w="3950" w:type="dxa"/>
            <w:shd w:val="clear" w:color="auto" w:fill="auto"/>
            <w:vAlign w:val="center"/>
          </w:tcPr>
          <w:p w14:paraId="471F0AB1">
            <w:pPr>
              <w:pStyle w:val="53"/>
              <w:rPr>
                <w:rFonts w:hint="eastAsia" w:ascii="宋体" w:hAnsi="宋体" w:eastAsia="宋体" w:cs="宋体"/>
                <w:color w:val="auto"/>
                <w:kern w:val="2"/>
                <w:sz w:val="21"/>
                <w:szCs w:val="21"/>
                <w:highlight w:val="none"/>
                <w:lang w:val="en-US" w:eastAsia="zh-CN" w:bidi="ar-SA"/>
              </w:rPr>
            </w:pPr>
            <w:r>
              <w:rPr>
                <w:rFonts w:hint="eastAsia" w:cs="宋体"/>
                <w:color w:val="auto"/>
                <w:sz w:val="24"/>
                <w:szCs w:val="24"/>
                <w:highlight w:val="none"/>
                <w:lang w:val="en-US" w:eastAsia="zh-CN"/>
              </w:rPr>
              <w:t>合同签订后至2026年9月底完成</w:t>
            </w:r>
          </w:p>
        </w:tc>
        <w:tc>
          <w:tcPr>
            <w:tcW w:w="2482" w:type="dxa"/>
            <w:shd w:val="clear" w:color="auto" w:fill="auto"/>
            <w:vAlign w:val="center"/>
          </w:tcPr>
          <w:p w14:paraId="6E53EE0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732" w:type="dxa"/>
            <w:vAlign w:val="center"/>
          </w:tcPr>
          <w:p w14:paraId="5C69BA1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0FD6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83" w:type="dxa"/>
            <w:shd w:val="clear" w:color="auto" w:fill="auto"/>
            <w:vAlign w:val="center"/>
          </w:tcPr>
          <w:p w14:paraId="799B2B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692" w:type="dxa"/>
            <w:shd w:val="clear" w:color="auto" w:fill="auto"/>
            <w:vAlign w:val="center"/>
          </w:tcPr>
          <w:p w14:paraId="6DC51D1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采购合同相关条款</w:t>
            </w:r>
          </w:p>
        </w:tc>
        <w:tc>
          <w:tcPr>
            <w:tcW w:w="3950" w:type="dxa"/>
            <w:shd w:val="clear" w:color="auto" w:fill="auto"/>
            <w:vAlign w:val="center"/>
          </w:tcPr>
          <w:p w14:paraId="411B69A5">
            <w:pPr>
              <w:pStyle w:val="77"/>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详见采购文件“第</w:t>
            </w:r>
            <w:r>
              <w:rPr>
                <w:rFonts w:hint="eastAsia" w:ascii="宋体" w:eastAsia="宋体" w:cs="宋体"/>
                <w:color w:val="auto"/>
                <w:kern w:val="0"/>
                <w:sz w:val="21"/>
                <w:szCs w:val="21"/>
                <w:highlight w:val="none"/>
                <w:lang w:val="en-US" w:eastAsia="zh-CN" w:bidi="ar-SA"/>
              </w:rPr>
              <w:t>六</w:t>
            </w:r>
            <w:r>
              <w:rPr>
                <w:rFonts w:hint="eastAsia" w:ascii="宋体" w:hAnsi="宋体" w:eastAsia="宋体" w:cs="宋体"/>
                <w:color w:val="auto"/>
                <w:kern w:val="0"/>
                <w:sz w:val="21"/>
                <w:szCs w:val="21"/>
                <w:highlight w:val="none"/>
                <w:lang w:val="en-US" w:eastAsia="zh-CN" w:bidi="ar-SA"/>
              </w:rPr>
              <w:t>章</w:t>
            </w:r>
            <w:r>
              <w:rPr>
                <w:rFonts w:hint="eastAsia" w:ascii="宋体" w:eastAsia="宋体" w:cs="宋体"/>
                <w:color w:val="auto"/>
                <w:kern w:val="0"/>
                <w:sz w:val="21"/>
                <w:szCs w:val="21"/>
                <w:highlight w:val="none"/>
                <w:lang w:val="en-US" w:eastAsia="zh-CN" w:bidi="ar-SA"/>
              </w:rPr>
              <w:t>合同草案</w:t>
            </w:r>
            <w:r>
              <w:rPr>
                <w:rFonts w:hint="eastAsia" w:ascii="宋体" w:hAnsi="宋体" w:eastAsia="宋体" w:cs="宋体"/>
                <w:color w:val="auto"/>
                <w:kern w:val="0"/>
                <w:sz w:val="21"/>
                <w:szCs w:val="21"/>
                <w:highlight w:val="none"/>
                <w:lang w:val="en-US" w:eastAsia="zh-CN" w:bidi="ar-SA"/>
              </w:rPr>
              <w:t>”</w:t>
            </w:r>
          </w:p>
        </w:tc>
        <w:tc>
          <w:tcPr>
            <w:tcW w:w="2482" w:type="dxa"/>
            <w:shd w:val="clear" w:color="auto" w:fill="auto"/>
            <w:vAlign w:val="center"/>
          </w:tcPr>
          <w:p w14:paraId="7AD2429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732" w:type="dxa"/>
            <w:vAlign w:val="center"/>
          </w:tcPr>
          <w:p w14:paraId="0478506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7DEC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583" w:type="dxa"/>
            <w:shd w:val="clear" w:color="auto" w:fill="auto"/>
            <w:vAlign w:val="center"/>
          </w:tcPr>
          <w:p w14:paraId="6C459FD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1692" w:type="dxa"/>
            <w:shd w:val="clear" w:color="auto" w:fill="auto"/>
            <w:vAlign w:val="center"/>
          </w:tcPr>
          <w:p w14:paraId="4168604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服务质量标准</w:t>
            </w:r>
          </w:p>
        </w:tc>
        <w:tc>
          <w:tcPr>
            <w:tcW w:w="3950" w:type="dxa"/>
            <w:shd w:val="clear" w:color="auto" w:fill="auto"/>
            <w:vAlign w:val="center"/>
          </w:tcPr>
          <w:p w14:paraId="07E17DA3">
            <w:pPr>
              <w:pStyle w:val="53"/>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详见采购文件“第三章采购需求”</w:t>
            </w:r>
          </w:p>
        </w:tc>
        <w:tc>
          <w:tcPr>
            <w:tcW w:w="2482" w:type="dxa"/>
            <w:shd w:val="clear" w:color="auto" w:fill="auto"/>
            <w:vAlign w:val="center"/>
          </w:tcPr>
          <w:p w14:paraId="753FC2D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投标人在</w:t>
            </w:r>
            <w:r>
              <w:rPr>
                <w:rFonts w:hint="eastAsia" w:ascii="宋体" w:hAnsi="宋体" w:eastAsia="宋体" w:cs="宋体"/>
                <w:color w:val="auto"/>
                <w:sz w:val="21"/>
                <w:szCs w:val="21"/>
                <w:highlight w:val="none"/>
              </w:rPr>
              <w:t>此处填写</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lang w:val="en-US" w:eastAsia="zh-CN"/>
              </w:rPr>
              <w:t>文件的相关内容</w:t>
            </w:r>
            <w:r>
              <w:rPr>
                <w:rFonts w:hint="eastAsia" w:ascii="宋体" w:hAnsi="宋体" w:eastAsia="宋体" w:cs="宋体"/>
                <w:color w:val="auto"/>
                <w:sz w:val="21"/>
                <w:szCs w:val="21"/>
                <w:highlight w:val="none"/>
                <w:lang w:eastAsia="zh-CN"/>
              </w:rPr>
              <w:t>】</w:t>
            </w:r>
          </w:p>
        </w:tc>
        <w:tc>
          <w:tcPr>
            <w:tcW w:w="732" w:type="dxa"/>
            <w:vAlign w:val="center"/>
          </w:tcPr>
          <w:p w14:paraId="6A7E96E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bl>
    <w:p w14:paraId="14170289">
      <w:pPr>
        <w:rPr>
          <w:rFonts w:hint="eastAsia"/>
          <w:b/>
          <w:bCs/>
          <w:color w:val="auto"/>
          <w:sz w:val="21"/>
          <w:szCs w:val="21"/>
          <w:highlight w:val="none"/>
          <w:lang w:val="en-US" w:eastAsia="zh-CN"/>
        </w:rPr>
      </w:pPr>
    </w:p>
    <w:p w14:paraId="77B1DDF2">
      <w:pPr>
        <w:rPr>
          <w:rFonts w:hint="default" w:eastAsia="宋体"/>
          <w:b/>
          <w:bCs/>
          <w:color w:val="auto"/>
          <w:sz w:val="21"/>
          <w:szCs w:val="21"/>
          <w:highlight w:val="none"/>
          <w:lang w:val="en-US" w:eastAsia="zh-CN"/>
        </w:rPr>
      </w:pPr>
      <w:r>
        <w:rPr>
          <w:rFonts w:hint="eastAsia"/>
          <w:b/>
          <w:bCs/>
          <w:color w:val="auto"/>
          <w:sz w:val="21"/>
          <w:szCs w:val="21"/>
          <w:highlight w:val="none"/>
          <w:lang w:val="en-US" w:eastAsia="zh-CN"/>
        </w:rPr>
        <w:t>注：“实质性响应一览表”中的内容为参考，可根据项目情况自行设置。</w:t>
      </w:r>
    </w:p>
    <w:p w14:paraId="34F3D8F3">
      <w:pPr>
        <w:rPr>
          <w:rFonts w:hint="eastAsia" w:ascii="宋体" w:hAnsi="宋体" w:eastAsia="宋体" w:cstheme="minorBidi"/>
          <w:b/>
          <w:bCs/>
          <w:color w:val="auto"/>
          <w:kern w:val="2"/>
          <w:sz w:val="30"/>
          <w:szCs w:val="32"/>
          <w:highlight w:val="none"/>
          <w:lang w:val="zh-CN" w:eastAsia="zh-CN" w:bidi="ar-SA"/>
        </w:rPr>
      </w:pPr>
      <w:r>
        <w:rPr>
          <w:rFonts w:hint="eastAsia" w:ascii="宋体" w:hAnsi="宋体" w:eastAsia="宋体" w:cstheme="minorBidi"/>
          <w:b/>
          <w:bCs/>
          <w:color w:val="auto"/>
          <w:kern w:val="2"/>
          <w:sz w:val="30"/>
          <w:szCs w:val="32"/>
          <w:highlight w:val="none"/>
          <w:lang w:val="zh-CN" w:eastAsia="zh-CN" w:bidi="ar-SA"/>
        </w:rPr>
        <w:br w:type="page"/>
      </w:r>
    </w:p>
    <w:p w14:paraId="595B1A7C">
      <w:pPr>
        <w:pStyle w:val="4"/>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12" w:name="_Toc27284"/>
      <w:bookmarkStart w:id="413" w:name="_Toc9173"/>
      <w:bookmarkStart w:id="414" w:name="_Toc30949"/>
      <w:r>
        <w:rPr>
          <w:rFonts w:hint="eastAsia" w:ascii="宋体" w:hAnsi="宋体" w:eastAsia="宋体" w:cs="宋体"/>
          <w:b/>
          <w:bCs/>
          <w:color w:val="auto"/>
          <w:kern w:val="2"/>
          <w:sz w:val="24"/>
          <w:szCs w:val="24"/>
          <w:highlight w:val="none"/>
          <w:lang w:val="zh-CN" w:eastAsia="zh-CN" w:bidi="ar-SA"/>
        </w:rPr>
        <w:t>（二）评分标准</w:t>
      </w:r>
      <w:bookmarkEnd w:id="407"/>
      <w:bookmarkEnd w:id="408"/>
      <w:bookmarkEnd w:id="412"/>
      <w:bookmarkEnd w:id="413"/>
      <w:bookmarkEnd w:id="414"/>
    </w:p>
    <w:tbl>
      <w:tblPr>
        <w:tblStyle w:val="32"/>
        <w:tblW w:w="93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0"/>
        <w:gridCol w:w="720"/>
        <w:gridCol w:w="915"/>
        <w:gridCol w:w="6675"/>
        <w:gridCol w:w="585"/>
      </w:tblGrid>
      <w:tr w14:paraId="1B86B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480" w:type="dxa"/>
            <w:tcBorders>
              <w:top w:val="single" w:color="000000" w:sz="4" w:space="0"/>
              <w:left w:val="single" w:color="000000" w:sz="4" w:space="0"/>
              <w:bottom w:val="single" w:color="000000" w:sz="4" w:space="0"/>
              <w:right w:val="single" w:color="000000" w:sz="4" w:space="0"/>
            </w:tcBorders>
            <w:vAlign w:val="center"/>
          </w:tcPr>
          <w:p w14:paraId="0B57A59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8310" w:type="dxa"/>
            <w:gridSpan w:val="3"/>
            <w:tcBorders>
              <w:top w:val="single" w:color="000000" w:sz="4" w:space="0"/>
              <w:left w:val="single" w:color="000000" w:sz="4" w:space="0"/>
              <w:bottom w:val="single" w:color="000000" w:sz="4" w:space="0"/>
              <w:right w:val="single" w:color="000000" w:sz="4" w:space="0"/>
            </w:tcBorders>
            <w:vAlign w:val="center"/>
          </w:tcPr>
          <w:p w14:paraId="4D8EDDF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评审因素</w:t>
            </w:r>
          </w:p>
        </w:tc>
        <w:tc>
          <w:tcPr>
            <w:tcW w:w="585" w:type="dxa"/>
            <w:tcBorders>
              <w:top w:val="single" w:color="000000" w:sz="4" w:space="0"/>
              <w:left w:val="single" w:color="000000" w:sz="4" w:space="0"/>
              <w:bottom w:val="single" w:color="000000" w:sz="4" w:space="0"/>
              <w:right w:val="single" w:color="000000" w:sz="4" w:space="0"/>
            </w:tcBorders>
            <w:vAlign w:val="center"/>
          </w:tcPr>
          <w:p w14:paraId="6CBD39AE">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分值</w:t>
            </w:r>
          </w:p>
        </w:tc>
      </w:tr>
      <w:tr w14:paraId="553B6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2115" w:type="dxa"/>
            <w:gridSpan w:val="3"/>
            <w:tcBorders>
              <w:top w:val="single" w:color="000000" w:sz="4" w:space="0"/>
              <w:left w:val="single" w:color="000000" w:sz="4" w:space="0"/>
              <w:bottom w:val="single" w:color="000000" w:sz="4" w:space="0"/>
              <w:right w:val="single" w:color="000000" w:sz="4" w:space="0"/>
            </w:tcBorders>
            <w:vAlign w:val="center"/>
          </w:tcPr>
          <w:p w14:paraId="1D24DC1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分值构成</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总分100分</w:t>
            </w:r>
            <w:r>
              <w:rPr>
                <w:rFonts w:hint="eastAsia" w:cs="宋体"/>
                <w:i w:val="0"/>
                <w:iCs w:val="0"/>
                <w:color w:val="auto"/>
                <w:kern w:val="0"/>
                <w:sz w:val="21"/>
                <w:szCs w:val="21"/>
                <w:highlight w:val="none"/>
                <w:u w:val="none"/>
                <w:lang w:val="en-US" w:eastAsia="zh-CN" w:bidi="ar"/>
              </w:rPr>
              <w:t>）</w:t>
            </w:r>
          </w:p>
        </w:tc>
        <w:tc>
          <w:tcPr>
            <w:tcW w:w="7260" w:type="dxa"/>
            <w:gridSpan w:val="2"/>
            <w:tcBorders>
              <w:top w:val="single" w:color="000000" w:sz="4" w:space="0"/>
              <w:left w:val="single" w:color="000000" w:sz="4" w:space="0"/>
              <w:bottom w:val="single" w:color="000000" w:sz="4" w:space="0"/>
              <w:right w:val="single" w:color="000000" w:sz="4" w:space="0"/>
            </w:tcBorders>
            <w:vAlign w:val="center"/>
          </w:tcPr>
          <w:p w14:paraId="6E75164C">
            <w:pPr>
              <w:keepNext w:val="0"/>
              <w:keepLines w:val="0"/>
              <w:widowControl/>
              <w:numPr>
                <w:ilvl w:val="0"/>
                <w:numId w:val="0"/>
              </w:numPr>
              <w:suppressLineNumbers w:val="0"/>
              <w:spacing w:line="240" w:lineRule="auto"/>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2"/>
                <w:sz w:val="21"/>
                <w:szCs w:val="21"/>
                <w:highlight w:val="none"/>
                <w:lang w:val="en-US" w:eastAsia="zh-CN" w:bidi="ar-SA"/>
              </w:rPr>
              <w:t>（1）</w:t>
            </w:r>
            <w:r>
              <w:rPr>
                <w:rFonts w:hint="eastAsia" w:ascii="宋体" w:hAnsi="宋体" w:eastAsia="宋体" w:cs="宋体"/>
                <w:i w:val="0"/>
                <w:iCs w:val="0"/>
                <w:color w:val="auto"/>
                <w:kern w:val="0"/>
                <w:sz w:val="21"/>
                <w:szCs w:val="21"/>
                <w:highlight w:val="none"/>
                <w:u w:val="none"/>
                <w:lang w:val="en-US" w:eastAsia="zh-CN" w:bidi="ar"/>
              </w:rPr>
              <w:t>报价：10分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（2）商务部分：12分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（3）技术部分：56分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（4）保障措施：18分                                     </w:t>
            </w:r>
          </w:p>
          <w:p w14:paraId="1CA0303E">
            <w:pPr>
              <w:keepNext w:val="0"/>
              <w:keepLines w:val="0"/>
              <w:widowControl/>
              <w:numPr>
                <w:ilvl w:val="0"/>
                <w:numId w:val="0"/>
              </w:numPr>
              <w:suppressLineNumbers w:val="0"/>
              <w:spacing w:line="240" w:lineRule="auto"/>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（5）增值服务：4分                                                                                          </w:t>
            </w:r>
          </w:p>
        </w:tc>
      </w:tr>
      <w:tr w14:paraId="669C0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8" w:hRule="atLeast"/>
          <w:jc w:val="center"/>
        </w:trPr>
        <w:tc>
          <w:tcPr>
            <w:tcW w:w="480" w:type="dxa"/>
            <w:tcBorders>
              <w:top w:val="single" w:color="000000" w:sz="4" w:space="0"/>
              <w:left w:val="single" w:color="000000" w:sz="4" w:space="0"/>
              <w:bottom w:val="single" w:color="000000" w:sz="4" w:space="0"/>
              <w:right w:val="single" w:color="000000" w:sz="4" w:space="0"/>
            </w:tcBorders>
            <w:vAlign w:val="center"/>
          </w:tcPr>
          <w:p w14:paraId="7561BF3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vAlign w:val="center"/>
          </w:tcPr>
          <w:p w14:paraId="6B6F3662">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投标报价（10分）</w:t>
            </w:r>
          </w:p>
        </w:tc>
        <w:tc>
          <w:tcPr>
            <w:tcW w:w="7590" w:type="dxa"/>
            <w:gridSpan w:val="2"/>
            <w:tcBorders>
              <w:top w:val="single" w:color="000000" w:sz="4" w:space="0"/>
              <w:left w:val="single" w:color="000000" w:sz="4" w:space="0"/>
              <w:bottom w:val="single" w:color="000000" w:sz="4" w:space="0"/>
              <w:right w:val="single" w:color="000000" w:sz="4" w:space="0"/>
            </w:tcBorders>
            <w:vAlign w:val="center"/>
          </w:tcPr>
          <w:p w14:paraId="7971D47B">
            <w:pPr>
              <w:keepNext w:val="0"/>
              <w:keepLines w:val="0"/>
              <w:widowControl/>
              <w:suppressLineNumbers w:val="0"/>
              <w:spacing w:line="240" w:lineRule="auto"/>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评标基准价=有效投标报价的最低值，有效投标报价等于基准值的得满分，投标报价得分=（评标基准价/投标报价）×价格权重×100。有效投标报价为通过初步审查的供应商报价</w:t>
            </w:r>
            <w:r>
              <w:rPr>
                <w:rFonts w:hint="eastAsia" w:ascii="宋体" w:hAnsi="宋体" w:eastAsia="宋体" w:cs="宋体"/>
                <w:color w:val="auto"/>
                <w:sz w:val="21"/>
                <w:szCs w:val="21"/>
                <w:highlight w:val="none"/>
                <w:lang w:eastAsia="zh-CN"/>
              </w:rPr>
              <w:t>。</w:t>
            </w:r>
          </w:p>
          <w:p w14:paraId="547B9256">
            <w:pPr>
              <w:keepNext w:val="0"/>
              <w:keepLines w:val="0"/>
              <w:widowControl/>
              <w:suppressLineNumbers w:val="0"/>
              <w:spacing w:line="240" w:lineRule="auto"/>
              <w:jc w:val="left"/>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color w:val="auto"/>
                <w:sz w:val="21"/>
                <w:szCs w:val="21"/>
                <w:highlight w:val="none"/>
                <w:lang w:val="en-US" w:eastAsia="zh-CN"/>
              </w:rPr>
              <w:t>备注：价格得分四舍五入保留两位小数，超过了采购预算或最高限价的，按无效标处理。</w:t>
            </w:r>
          </w:p>
        </w:tc>
        <w:tc>
          <w:tcPr>
            <w:tcW w:w="585" w:type="dxa"/>
            <w:tcBorders>
              <w:top w:val="single" w:color="000000" w:sz="4" w:space="0"/>
              <w:left w:val="single" w:color="000000" w:sz="4" w:space="0"/>
              <w:bottom w:val="single" w:color="000000" w:sz="4" w:space="0"/>
              <w:right w:val="single" w:color="000000" w:sz="4" w:space="0"/>
            </w:tcBorders>
            <w:vAlign w:val="center"/>
          </w:tcPr>
          <w:p w14:paraId="0F437C2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10分</w:t>
            </w:r>
          </w:p>
        </w:tc>
      </w:tr>
      <w:tr w14:paraId="2202F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480" w:type="dxa"/>
            <w:vMerge w:val="restart"/>
            <w:tcBorders>
              <w:top w:val="single" w:color="000000" w:sz="4" w:space="0"/>
              <w:left w:val="single" w:color="000000" w:sz="4" w:space="0"/>
              <w:bottom w:val="single" w:color="000000" w:sz="4" w:space="0"/>
              <w:right w:val="single" w:color="000000" w:sz="4" w:space="0"/>
            </w:tcBorders>
            <w:vAlign w:val="center"/>
          </w:tcPr>
          <w:p w14:paraId="65DCA89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14:paraId="56C4B04D">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商务部分（12分）</w:t>
            </w:r>
          </w:p>
        </w:tc>
        <w:tc>
          <w:tcPr>
            <w:tcW w:w="915" w:type="dxa"/>
            <w:tcBorders>
              <w:top w:val="single" w:color="000000" w:sz="4" w:space="0"/>
              <w:left w:val="single" w:color="000000" w:sz="4" w:space="0"/>
              <w:bottom w:val="single" w:color="000000" w:sz="4" w:space="0"/>
              <w:right w:val="single" w:color="000000" w:sz="4" w:space="0"/>
            </w:tcBorders>
            <w:vAlign w:val="center"/>
          </w:tcPr>
          <w:p w14:paraId="61CEA70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企业类似业绩</w:t>
            </w:r>
          </w:p>
        </w:tc>
        <w:tc>
          <w:tcPr>
            <w:tcW w:w="6675" w:type="dxa"/>
            <w:tcBorders>
              <w:top w:val="single" w:color="000000" w:sz="4" w:space="0"/>
              <w:left w:val="single" w:color="000000" w:sz="4" w:space="0"/>
              <w:bottom w:val="single" w:color="000000" w:sz="4" w:space="0"/>
              <w:right w:val="single" w:color="000000" w:sz="4" w:space="0"/>
            </w:tcBorders>
            <w:vAlign w:val="center"/>
          </w:tcPr>
          <w:p w14:paraId="1AA224B7">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供应商近三年</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2023年1月1日</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至今</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完成过类似项目业绩，附中标通知书复印件或合同复印件或验收报告） 满足1项业绩可得1分，满分5分，未提供证明材料或提交资料不合格不得分。</w:t>
            </w:r>
          </w:p>
        </w:tc>
        <w:tc>
          <w:tcPr>
            <w:tcW w:w="585" w:type="dxa"/>
            <w:tcBorders>
              <w:top w:val="single" w:color="000000" w:sz="4" w:space="0"/>
              <w:left w:val="single" w:color="000000" w:sz="4" w:space="0"/>
              <w:bottom w:val="single" w:color="000000" w:sz="4" w:space="0"/>
              <w:right w:val="single" w:color="000000" w:sz="4" w:space="0"/>
            </w:tcBorders>
            <w:vAlign w:val="center"/>
          </w:tcPr>
          <w:p w14:paraId="48CA887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5分</w:t>
            </w:r>
          </w:p>
        </w:tc>
      </w:tr>
      <w:tr w14:paraId="6F521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4" w:hRule="atLeast"/>
          <w:jc w:val="center"/>
        </w:trPr>
        <w:tc>
          <w:tcPr>
            <w:tcW w:w="480" w:type="dxa"/>
            <w:vMerge w:val="continue"/>
            <w:tcBorders>
              <w:top w:val="single" w:color="000000" w:sz="4" w:space="0"/>
              <w:left w:val="single" w:color="000000" w:sz="4" w:space="0"/>
              <w:bottom w:val="single" w:color="000000" w:sz="4" w:space="0"/>
              <w:right w:val="single" w:color="000000" w:sz="4" w:space="0"/>
            </w:tcBorders>
            <w:vAlign w:val="center"/>
          </w:tcPr>
          <w:p w14:paraId="0DE1A219">
            <w:pPr>
              <w:spacing w:line="240" w:lineRule="auto"/>
              <w:jc w:val="center"/>
              <w:rPr>
                <w:rFonts w:hint="eastAsia" w:ascii="宋体" w:hAnsi="宋体" w:eastAsia="宋体" w:cs="宋体"/>
                <w:i w:val="0"/>
                <w:iCs w:val="0"/>
                <w:color w:val="auto"/>
                <w:sz w:val="21"/>
                <w:szCs w:val="21"/>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14:paraId="5D3FC299">
            <w:pPr>
              <w:spacing w:line="240" w:lineRule="auto"/>
              <w:jc w:val="center"/>
              <w:rPr>
                <w:rFonts w:hint="eastAsia" w:ascii="宋体" w:hAnsi="宋体" w:eastAsia="宋体" w:cs="宋体"/>
                <w:i w:val="0"/>
                <w:iCs w:val="0"/>
                <w:color w:val="auto"/>
                <w:sz w:val="21"/>
                <w:szCs w:val="21"/>
                <w:highlight w:val="none"/>
                <w:u w:val="none"/>
              </w:rPr>
            </w:pPr>
          </w:p>
        </w:tc>
        <w:tc>
          <w:tcPr>
            <w:tcW w:w="915" w:type="dxa"/>
            <w:tcBorders>
              <w:top w:val="single" w:color="000000" w:sz="4" w:space="0"/>
              <w:left w:val="single" w:color="000000" w:sz="4" w:space="0"/>
              <w:right w:val="single" w:color="000000" w:sz="4" w:space="0"/>
            </w:tcBorders>
            <w:vAlign w:val="center"/>
          </w:tcPr>
          <w:p w14:paraId="1CAC5413">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项目团队</w:t>
            </w:r>
          </w:p>
        </w:tc>
        <w:tc>
          <w:tcPr>
            <w:tcW w:w="6675" w:type="dxa"/>
            <w:tcBorders>
              <w:top w:val="single" w:color="000000" w:sz="4" w:space="0"/>
              <w:left w:val="single" w:color="000000" w:sz="4" w:space="0"/>
              <w:right w:val="single" w:color="000000" w:sz="4" w:space="0"/>
            </w:tcBorders>
            <w:vAlign w:val="center"/>
          </w:tcPr>
          <w:p w14:paraId="42BE7F7B">
            <w:pPr>
              <w:keepNext w:val="0"/>
              <w:keepLines w:val="0"/>
              <w:widowControl/>
              <w:suppressLineNumbers w:val="0"/>
              <w:spacing w:line="240" w:lineRule="auto"/>
              <w:jc w:val="left"/>
              <w:rPr>
                <w:rStyle w:val="82"/>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满足采购需求的前提下进行以下评审因素打分</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不满足采购需求以下评审因素不得分</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b/>
                <w:bCs/>
                <w:i w:val="0"/>
                <w:iCs w:val="0"/>
                <w:color w:val="auto"/>
                <w:kern w:val="0"/>
                <w:sz w:val="21"/>
                <w:szCs w:val="21"/>
                <w:highlight w:val="none"/>
                <w:u w:val="none"/>
                <w:lang w:val="en-US" w:eastAsia="zh-CN" w:bidi="ar"/>
              </w:rPr>
              <w:t>项目</w:t>
            </w:r>
            <w:r>
              <w:rPr>
                <w:rStyle w:val="82"/>
                <w:rFonts w:hint="eastAsia" w:ascii="宋体" w:hAnsi="宋体" w:eastAsia="宋体" w:cs="宋体"/>
                <w:b/>
                <w:bCs/>
                <w:color w:val="auto"/>
                <w:sz w:val="21"/>
                <w:szCs w:val="21"/>
                <w:highlight w:val="none"/>
                <w:lang w:val="en-US" w:eastAsia="zh-CN" w:bidi="ar"/>
              </w:rPr>
              <w:t>团队成员</w:t>
            </w:r>
            <w:r>
              <w:rPr>
                <w:rStyle w:val="82"/>
                <w:rFonts w:hint="eastAsia" w:ascii="宋体" w:hAnsi="宋体" w:eastAsia="宋体" w:cs="宋体"/>
                <w:b w:val="0"/>
                <w:bCs w:val="0"/>
                <w:color w:val="auto"/>
                <w:sz w:val="21"/>
                <w:szCs w:val="21"/>
                <w:highlight w:val="none"/>
                <w:lang w:val="en-US" w:eastAsia="zh-CN" w:bidi="ar"/>
              </w:rPr>
              <w:t xml:space="preserve"> 线上开发小程序团队成员具备设计、数字媒体技术等专业技能，具备线上活动的开发工作经验</w:t>
            </w:r>
            <w:r>
              <w:rPr>
                <w:rStyle w:val="82"/>
                <w:rFonts w:hint="eastAsia" w:cs="宋体"/>
                <w:b w:val="0"/>
                <w:bCs w:val="0"/>
                <w:color w:val="auto"/>
                <w:sz w:val="21"/>
                <w:szCs w:val="21"/>
                <w:highlight w:val="none"/>
                <w:lang w:val="en-US" w:eastAsia="zh-CN" w:bidi="ar"/>
              </w:rPr>
              <w:t>，</w:t>
            </w:r>
            <w:r>
              <w:rPr>
                <w:rStyle w:val="82"/>
                <w:rFonts w:hint="eastAsia" w:ascii="宋体" w:hAnsi="宋体" w:eastAsia="宋体" w:cs="宋体"/>
                <w:b w:val="0"/>
                <w:bCs w:val="0"/>
                <w:color w:val="auto"/>
                <w:sz w:val="21"/>
                <w:szCs w:val="21"/>
                <w:highlight w:val="none"/>
                <w:lang w:val="en-US" w:eastAsia="zh-CN" w:bidi="ar"/>
              </w:rPr>
              <w:t>需同时提供经验证明材料</w:t>
            </w:r>
            <w:r>
              <w:rPr>
                <w:rStyle w:val="82"/>
                <w:rFonts w:hint="eastAsia" w:cs="宋体"/>
                <w:b w:val="0"/>
                <w:bCs w:val="0"/>
                <w:color w:val="auto"/>
                <w:sz w:val="21"/>
                <w:szCs w:val="21"/>
                <w:highlight w:val="none"/>
                <w:lang w:val="en-US" w:eastAsia="zh-CN" w:bidi="ar"/>
              </w:rPr>
              <w:t>（案例或项目说明材料等）</w:t>
            </w:r>
            <w:r>
              <w:rPr>
                <w:rStyle w:val="82"/>
                <w:rFonts w:hint="eastAsia" w:ascii="宋体" w:hAnsi="宋体" w:eastAsia="宋体" w:cs="宋体"/>
                <w:b w:val="0"/>
                <w:bCs w:val="0"/>
                <w:color w:val="auto"/>
                <w:sz w:val="21"/>
                <w:szCs w:val="21"/>
                <w:highlight w:val="none"/>
                <w:lang w:val="en-US" w:eastAsia="zh-CN" w:bidi="ar"/>
              </w:rPr>
              <w:t>，提供得2分，不提供不得分。其他团队成员需提供相关证书</w:t>
            </w:r>
            <w:r>
              <w:rPr>
                <w:rStyle w:val="82"/>
                <w:rFonts w:hint="eastAsia" w:cs="宋体"/>
                <w:b w:val="0"/>
                <w:bCs w:val="0"/>
                <w:color w:val="auto"/>
                <w:sz w:val="21"/>
                <w:szCs w:val="21"/>
                <w:highlight w:val="none"/>
                <w:lang w:val="en-US" w:eastAsia="zh-CN" w:bidi="ar"/>
              </w:rPr>
              <w:t>（</w:t>
            </w:r>
            <w:r>
              <w:rPr>
                <w:rStyle w:val="82"/>
                <w:rFonts w:hint="eastAsia" w:ascii="宋体" w:hAnsi="宋体" w:eastAsia="宋体" w:cs="宋体"/>
                <w:b w:val="0"/>
                <w:bCs w:val="0"/>
                <w:color w:val="auto"/>
                <w:sz w:val="21"/>
                <w:szCs w:val="21"/>
                <w:highlight w:val="none"/>
                <w:lang w:val="en-US" w:eastAsia="zh-CN" w:bidi="ar"/>
              </w:rPr>
              <w:t>如网络信息与安全、计算机技术与软件专业技术、舞台搭建、影像设备调试使用、电工安全保障等</w:t>
            </w:r>
            <w:r>
              <w:rPr>
                <w:rStyle w:val="82"/>
                <w:rFonts w:hint="eastAsia" w:cs="宋体"/>
                <w:b w:val="0"/>
                <w:bCs w:val="0"/>
                <w:color w:val="auto"/>
                <w:sz w:val="21"/>
                <w:szCs w:val="21"/>
                <w:highlight w:val="none"/>
                <w:lang w:val="en-US" w:eastAsia="zh-CN" w:bidi="ar"/>
              </w:rPr>
              <w:t>）</w:t>
            </w:r>
            <w:r>
              <w:rPr>
                <w:rStyle w:val="82"/>
                <w:rFonts w:hint="eastAsia" w:ascii="宋体" w:hAnsi="宋体" w:eastAsia="宋体" w:cs="宋体"/>
                <w:b w:val="0"/>
                <w:bCs w:val="0"/>
                <w:color w:val="auto"/>
                <w:sz w:val="21"/>
                <w:szCs w:val="21"/>
                <w:highlight w:val="none"/>
                <w:lang w:val="en-US" w:eastAsia="zh-CN" w:bidi="ar"/>
              </w:rPr>
              <w:t>，提供得2分，不提供不得分。</w:t>
            </w:r>
          </w:p>
          <w:p w14:paraId="7854550A">
            <w:pPr>
              <w:keepNext w:val="0"/>
              <w:keepLines w:val="0"/>
              <w:widowControl/>
              <w:suppressLineNumbers w:val="0"/>
              <w:spacing w:line="240" w:lineRule="auto"/>
              <w:jc w:val="left"/>
              <w:rPr>
                <w:rFonts w:hint="eastAsia" w:ascii="宋体" w:hAnsi="宋体" w:eastAsia="宋体" w:cs="宋体"/>
                <w:b/>
                <w:bCs/>
                <w:i w:val="0"/>
                <w:iCs w:val="0"/>
                <w:color w:val="auto"/>
                <w:kern w:val="0"/>
                <w:sz w:val="21"/>
                <w:szCs w:val="21"/>
                <w:highlight w:val="none"/>
                <w:u w:val="none"/>
                <w:lang w:val="en-US" w:eastAsia="zh-CN" w:bidi="ar"/>
              </w:rPr>
            </w:pPr>
            <w:r>
              <w:rPr>
                <w:rStyle w:val="82"/>
                <w:rFonts w:hint="eastAsia" w:ascii="宋体" w:hAnsi="宋体" w:eastAsia="宋体" w:cs="宋体"/>
                <w:color w:val="auto"/>
                <w:sz w:val="21"/>
                <w:szCs w:val="21"/>
                <w:highlight w:val="none"/>
                <w:lang w:val="en-US" w:eastAsia="zh-CN" w:bidi="ar"/>
              </w:rPr>
              <w:t xml:space="preserve">活动主持人 </w:t>
            </w:r>
            <w:r>
              <w:rPr>
                <w:rFonts w:hint="eastAsia" w:ascii="宋体" w:hAnsi="宋体" w:eastAsia="宋体" w:cs="宋体"/>
                <w:i w:val="0"/>
                <w:iCs w:val="0"/>
                <w:color w:val="auto"/>
                <w:kern w:val="0"/>
                <w:sz w:val="21"/>
                <w:szCs w:val="21"/>
                <w:highlight w:val="none"/>
                <w:u w:val="none"/>
                <w:lang w:val="en-US" w:eastAsia="zh-CN" w:bidi="ar"/>
              </w:rPr>
              <w:t>活动主持人主持过类似公益活动/互动类活动，具备线上直播能力，提供主持/直播视频案例，每提供一个得1分，最多得2分，不提供不得分。</w:t>
            </w:r>
            <w:r>
              <w:rPr>
                <w:rFonts w:hint="eastAsia" w:ascii="宋体" w:hAnsi="宋体" w:eastAsia="宋体" w:cs="宋体"/>
                <w:b/>
                <w:bCs/>
                <w:i w:val="0"/>
                <w:iCs w:val="0"/>
                <w:color w:val="auto"/>
                <w:kern w:val="0"/>
                <w:sz w:val="21"/>
                <w:szCs w:val="21"/>
                <w:highlight w:val="none"/>
                <w:u w:val="none"/>
                <w:lang w:val="en-US" w:eastAsia="zh-CN" w:bidi="ar"/>
              </w:rPr>
              <w:t>注</w:t>
            </w:r>
            <w:r>
              <w:rPr>
                <w:rFonts w:hint="eastAsia" w:cs="宋体"/>
                <w:b/>
                <w:bCs/>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案例需进行线上演示，演示节选主要内容，时间不超过15分钟。</w:t>
            </w:r>
            <w:r>
              <w:rPr>
                <w:rFonts w:hint="eastAsia" w:cs="宋体"/>
                <w:b/>
                <w:bCs/>
                <w:i w:val="0"/>
                <w:iCs w:val="0"/>
                <w:color w:val="auto"/>
                <w:kern w:val="0"/>
                <w:sz w:val="21"/>
                <w:szCs w:val="21"/>
                <w:highlight w:val="none"/>
                <w:u w:val="none"/>
                <w:lang w:val="en-US" w:eastAsia="zh-CN" w:bidi="ar"/>
              </w:rPr>
              <w:t>（</w:t>
            </w:r>
            <w:r>
              <w:rPr>
                <w:rFonts w:hint="eastAsia" w:ascii="宋体" w:hAnsi="宋体" w:eastAsia="宋体" w:cs="宋体"/>
                <w:b/>
                <w:bCs/>
                <w:i w:val="0"/>
                <w:iCs w:val="0"/>
                <w:color w:val="auto"/>
                <w:kern w:val="0"/>
                <w:sz w:val="21"/>
                <w:szCs w:val="21"/>
                <w:highlight w:val="none"/>
                <w:u w:val="none"/>
                <w:lang w:val="en-US" w:eastAsia="zh-CN" w:bidi="ar"/>
              </w:rPr>
              <w:t>2 分</w:t>
            </w:r>
            <w:r>
              <w:rPr>
                <w:rFonts w:hint="eastAsia" w:cs="宋体"/>
                <w:b/>
                <w:bCs/>
                <w:i w:val="0"/>
                <w:iCs w:val="0"/>
                <w:color w:val="auto"/>
                <w:kern w:val="0"/>
                <w:sz w:val="21"/>
                <w:szCs w:val="21"/>
                <w:highlight w:val="none"/>
                <w:u w:val="none"/>
                <w:lang w:val="en-US" w:eastAsia="zh-CN" w:bidi="ar"/>
              </w:rPr>
              <w:t>）</w:t>
            </w:r>
          </w:p>
          <w:p w14:paraId="14EB9658">
            <w:pPr>
              <w:keepNext w:val="0"/>
              <w:keepLines w:val="0"/>
              <w:widowControl/>
              <w:suppressLineNumbers w:val="0"/>
              <w:spacing w:line="240" w:lineRule="auto"/>
              <w:jc w:val="left"/>
              <w:rPr>
                <w:rFonts w:hint="eastAsia" w:ascii="宋体" w:hAnsi="宋体" w:eastAsia="宋体" w:cs="宋体"/>
                <w:i w:val="0"/>
                <w:iCs w:val="0"/>
                <w:color w:val="auto"/>
                <w:sz w:val="21"/>
                <w:szCs w:val="21"/>
                <w:highlight w:val="none"/>
                <w:u w:val="none"/>
              </w:rPr>
            </w:pPr>
            <w:r>
              <w:rPr>
                <w:rStyle w:val="82"/>
                <w:rFonts w:hint="eastAsia" w:ascii="宋体" w:hAnsi="宋体" w:eastAsia="宋体" w:cs="宋体"/>
                <w:color w:val="auto"/>
                <w:sz w:val="21"/>
                <w:szCs w:val="21"/>
                <w:highlight w:val="none"/>
                <w:lang w:val="en-US" w:eastAsia="zh-CN" w:bidi="ar"/>
              </w:rPr>
              <w:t xml:space="preserve">团队人员数量 </w:t>
            </w:r>
            <w:r>
              <w:rPr>
                <w:rFonts w:hint="eastAsia" w:ascii="宋体" w:hAnsi="宋体" w:eastAsia="宋体" w:cs="宋体"/>
                <w:i w:val="0"/>
                <w:iCs w:val="0"/>
                <w:color w:val="auto"/>
                <w:kern w:val="0"/>
                <w:sz w:val="21"/>
                <w:szCs w:val="21"/>
                <w:highlight w:val="none"/>
                <w:u w:val="none"/>
                <w:lang w:val="en-US" w:eastAsia="zh-CN" w:bidi="ar"/>
              </w:rPr>
              <w:t>地推活动每场工作人员</w:t>
            </w:r>
            <w:r>
              <w:rPr>
                <w:rFonts w:hint="eastAsia" w:cs="宋体"/>
                <w:i w:val="0"/>
                <w:iCs w:val="0"/>
                <w:color w:val="auto"/>
                <w:kern w:val="0"/>
                <w:sz w:val="21"/>
                <w:szCs w:val="21"/>
                <w:highlight w:val="none"/>
                <w:u w:val="none"/>
                <w:lang w:val="en-US" w:eastAsia="zh-CN" w:bidi="ar"/>
              </w:rPr>
              <w:t>满足采购需求</w:t>
            </w:r>
            <w:r>
              <w:rPr>
                <w:rFonts w:hint="eastAsia" w:ascii="宋体" w:hAnsi="宋体" w:eastAsia="宋体" w:cs="宋体"/>
                <w:i w:val="0"/>
                <w:iCs w:val="0"/>
                <w:color w:val="auto"/>
                <w:kern w:val="0"/>
                <w:sz w:val="21"/>
                <w:szCs w:val="21"/>
                <w:highlight w:val="none"/>
                <w:u w:val="none"/>
                <w:lang w:val="en-US" w:eastAsia="zh-CN" w:bidi="ar"/>
              </w:rPr>
              <w:t>。</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1分</w:t>
            </w:r>
            <w:r>
              <w:rPr>
                <w:rFonts w:hint="eastAsia" w:cs="宋体"/>
                <w:i w:val="0"/>
                <w:iCs w:val="0"/>
                <w:color w:val="auto"/>
                <w:kern w:val="0"/>
                <w:sz w:val="21"/>
                <w:szCs w:val="21"/>
                <w:highlight w:val="none"/>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vAlign w:val="center"/>
          </w:tcPr>
          <w:p w14:paraId="18FC815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7分</w:t>
            </w:r>
          </w:p>
        </w:tc>
      </w:tr>
      <w:tr w14:paraId="58BE9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80" w:type="dxa"/>
            <w:vMerge w:val="restart"/>
            <w:tcBorders>
              <w:top w:val="single" w:color="000000" w:sz="4" w:space="0"/>
              <w:left w:val="single" w:color="000000" w:sz="4" w:space="0"/>
              <w:right w:val="single" w:color="000000" w:sz="4" w:space="0"/>
            </w:tcBorders>
            <w:vAlign w:val="center"/>
          </w:tcPr>
          <w:p w14:paraId="008BD31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20" w:type="dxa"/>
            <w:vMerge w:val="restart"/>
            <w:tcBorders>
              <w:top w:val="single" w:color="000000" w:sz="4" w:space="0"/>
              <w:left w:val="single" w:color="000000" w:sz="4" w:space="0"/>
              <w:right w:val="single" w:color="000000" w:sz="4" w:space="0"/>
            </w:tcBorders>
            <w:vAlign w:val="center"/>
          </w:tcPr>
          <w:p w14:paraId="04E3490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技术部分（56分）</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66A2">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项目实施方案</w:t>
            </w: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4C0E">
            <w:pPr>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供应商根据项目需求，提供本项目实施方案，主要包含</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但不限于</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①项目背景及目标；②活动时间及地点；③活动内容及流程；④人员分工及培训；⑤项目执行时间表；⑥主持人信息；⑦舆情应对预案等内容。提供以上满足采购需求的全部内容得4分，每出现一处内容缺陷</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或瑕疵</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的扣0.5分，扣完为止。</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内容缺陷或</w:t>
            </w:r>
            <w:r>
              <w:rPr>
                <w:rFonts w:hint="eastAsia" w:cs="宋体"/>
                <w:i w:val="0"/>
                <w:iCs w:val="0"/>
                <w:color w:val="auto"/>
                <w:kern w:val="0"/>
                <w:sz w:val="21"/>
                <w:szCs w:val="21"/>
                <w:highlight w:val="none"/>
                <w:u w:val="none"/>
                <w:lang w:val="en-US" w:eastAsia="zh-CN" w:bidi="ar"/>
              </w:rPr>
              <w:t>瑕疵</w:t>
            </w:r>
            <w:r>
              <w:rPr>
                <w:rFonts w:hint="eastAsia" w:ascii="宋体" w:hAnsi="宋体" w:eastAsia="宋体" w:cs="宋体"/>
                <w:i w:val="0"/>
                <w:iCs w:val="0"/>
                <w:color w:val="auto"/>
                <w:kern w:val="0"/>
                <w:sz w:val="21"/>
                <w:szCs w:val="21"/>
                <w:highlight w:val="none"/>
                <w:u w:val="none"/>
                <w:lang w:val="en-US" w:eastAsia="zh-CN" w:bidi="ar"/>
              </w:rPr>
              <w:t>是指:内容缺失、方案项目名称、项目编号与本项目要求不符；仅有框架或标题；涉及的规范及技术标准错误；方案内容与本项目需求无关；前后内容矛盾。</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C56F">
            <w:pPr>
              <w:keepNext w:val="0"/>
              <w:keepLines w:val="0"/>
              <w:widowControl/>
              <w:suppressLineNumbers w:val="0"/>
              <w:spacing w:line="240" w:lineRule="auto"/>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4分</w:t>
            </w:r>
          </w:p>
        </w:tc>
      </w:tr>
      <w:tr w14:paraId="64E59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jc w:val="center"/>
        </w:trPr>
        <w:tc>
          <w:tcPr>
            <w:tcW w:w="480" w:type="dxa"/>
            <w:vMerge w:val="continue"/>
            <w:tcBorders>
              <w:left w:val="single" w:color="000000" w:sz="4" w:space="0"/>
              <w:right w:val="single" w:color="000000" w:sz="4" w:space="0"/>
            </w:tcBorders>
            <w:vAlign w:val="center"/>
          </w:tcPr>
          <w:p w14:paraId="3005E03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720" w:type="dxa"/>
            <w:vMerge w:val="continue"/>
            <w:tcBorders>
              <w:left w:val="single" w:color="000000" w:sz="4" w:space="0"/>
              <w:right w:val="single" w:color="000000" w:sz="4" w:space="0"/>
            </w:tcBorders>
            <w:vAlign w:val="center"/>
          </w:tcPr>
          <w:p w14:paraId="51E2911E">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E24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项目宣传方案</w:t>
            </w:r>
          </w:p>
        </w:tc>
        <w:tc>
          <w:tcPr>
            <w:tcW w:w="6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F191">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提供完整的活动宣传方案，主要包含</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但不限于</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①市场与现状分析</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②宣传策略；③宣传内容；④宣传渠道；⑤宣传时间计划；⑥舆情应对预案等内容。提供以上满足采购需求的全部内容得6分</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每出现一处内容缺陷</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或瑕疵</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的扣1分，扣完为止。</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内容缺陷或瑕疵是指</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内容缺失、方案项目名称、项目编号与本项目要求不符；仅有框架或标题；涉及的规范及技术标准错误；方案内容与本项目需求无关；前后内容矛盾。</w:t>
            </w:r>
            <w:r>
              <w:rPr>
                <w:rFonts w:hint="eastAsia" w:cs="宋体"/>
                <w:i w:val="0"/>
                <w:iCs w:val="0"/>
                <w:color w:val="auto"/>
                <w:kern w:val="0"/>
                <w:sz w:val="21"/>
                <w:szCs w:val="21"/>
                <w:highlight w:val="none"/>
                <w:u w:val="none"/>
                <w:lang w:val="en-US" w:eastAsia="zh-CN" w:bidi="ar"/>
              </w:rPr>
              <w:t>）</w:t>
            </w:r>
          </w:p>
          <w:p w14:paraId="72CD6359">
            <w:pPr>
              <w:keepNext w:val="0"/>
              <w:keepLines w:val="0"/>
              <w:widowControl/>
              <w:suppressLineNumbers w:val="0"/>
              <w:spacing w:line="240" w:lineRule="auto"/>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项目宣传方案</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用于活动宣传推广媒体的不少于4个省级</w:t>
            </w:r>
            <w:r>
              <w:rPr>
                <w:rFonts w:hint="eastAsia" w:cs="宋体"/>
                <w:i w:val="0"/>
                <w:iCs w:val="0"/>
                <w:color w:val="auto"/>
                <w:kern w:val="0"/>
                <w:sz w:val="21"/>
                <w:szCs w:val="21"/>
                <w:highlight w:val="none"/>
                <w:u w:val="none"/>
                <w:lang w:val="en-US" w:eastAsia="zh-CN" w:bidi="ar"/>
              </w:rPr>
              <w:t>或以上</w:t>
            </w:r>
            <w:r>
              <w:rPr>
                <w:rFonts w:hint="eastAsia" w:ascii="宋体" w:hAnsi="宋体" w:eastAsia="宋体" w:cs="宋体"/>
                <w:i w:val="0"/>
                <w:iCs w:val="0"/>
                <w:color w:val="auto"/>
                <w:kern w:val="0"/>
                <w:sz w:val="21"/>
                <w:szCs w:val="21"/>
                <w:highlight w:val="none"/>
                <w:u w:val="none"/>
                <w:lang w:val="en-US" w:eastAsia="zh-CN" w:bidi="ar"/>
              </w:rPr>
              <w:t>媒体</w:t>
            </w:r>
            <w:r>
              <w:rPr>
                <w:rFonts w:hint="eastAsia" w:cs="宋体"/>
                <w:i w:val="0"/>
                <w:iCs w:val="0"/>
                <w:color w:val="auto"/>
                <w:kern w:val="0"/>
                <w:sz w:val="21"/>
                <w:szCs w:val="21"/>
                <w:highlight w:val="none"/>
                <w:u w:val="none"/>
                <w:lang w:val="en-US" w:eastAsia="zh-CN" w:bidi="ar"/>
              </w:rPr>
              <w:t>，在</w:t>
            </w:r>
            <w:r>
              <w:rPr>
                <w:rFonts w:hint="eastAsia" w:ascii="宋体" w:hAnsi="宋体" w:eastAsia="宋体" w:cs="宋体"/>
                <w:i w:val="0"/>
                <w:iCs w:val="0"/>
                <w:color w:val="auto"/>
                <w:kern w:val="0"/>
                <w:sz w:val="21"/>
                <w:szCs w:val="21"/>
                <w:highlight w:val="none"/>
                <w:u w:val="none"/>
                <w:lang w:val="en-US" w:eastAsia="zh-CN" w:bidi="ar"/>
              </w:rPr>
              <w:t>此基础上每增加1个省级</w:t>
            </w:r>
            <w:r>
              <w:rPr>
                <w:rFonts w:hint="eastAsia" w:cs="宋体"/>
                <w:i w:val="0"/>
                <w:iCs w:val="0"/>
                <w:color w:val="auto"/>
                <w:kern w:val="0"/>
                <w:sz w:val="21"/>
                <w:szCs w:val="21"/>
                <w:highlight w:val="none"/>
                <w:u w:val="none"/>
                <w:lang w:val="en-US" w:eastAsia="zh-CN" w:bidi="ar"/>
              </w:rPr>
              <w:t>或以上</w:t>
            </w:r>
            <w:r>
              <w:rPr>
                <w:rFonts w:hint="eastAsia" w:ascii="宋体" w:hAnsi="宋体" w:eastAsia="宋体" w:cs="宋体"/>
                <w:i w:val="0"/>
                <w:iCs w:val="0"/>
                <w:color w:val="auto"/>
                <w:kern w:val="0"/>
                <w:sz w:val="21"/>
                <w:szCs w:val="21"/>
                <w:highlight w:val="none"/>
                <w:u w:val="none"/>
                <w:lang w:val="en-US" w:eastAsia="zh-CN" w:bidi="ar"/>
              </w:rPr>
              <w:t>媒体加1分</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共3分。需提供媒体合作意向函，否则不得分。</w:t>
            </w:r>
            <w:r>
              <w:rPr>
                <w:rFonts w:hint="eastAsia" w:cs="宋体"/>
                <w:i w:val="0"/>
                <w:iCs w:val="0"/>
                <w:color w:val="auto"/>
                <w:kern w:val="0"/>
                <w:sz w:val="21"/>
                <w:szCs w:val="21"/>
                <w:highlight w:val="none"/>
                <w:u w:val="none"/>
                <w:lang w:val="en-US" w:eastAsia="zh-CN" w:bidi="ar"/>
              </w:rPr>
              <w:t>（备注：省级或以上主管部门管辖、同时向省级或以上机关申请相关许可的媒体）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6991">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9分</w:t>
            </w:r>
          </w:p>
        </w:tc>
      </w:tr>
      <w:tr w14:paraId="1B919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jc w:val="center"/>
        </w:trPr>
        <w:tc>
          <w:tcPr>
            <w:tcW w:w="480" w:type="dxa"/>
            <w:vMerge w:val="continue"/>
            <w:tcBorders>
              <w:left w:val="single" w:color="000000" w:sz="4" w:space="0"/>
              <w:right w:val="single" w:color="000000" w:sz="4" w:space="0"/>
            </w:tcBorders>
            <w:vAlign w:val="center"/>
          </w:tcPr>
          <w:p w14:paraId="58334FE6">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720" w:type="dxa"/>
            <w:vMerge w:val="continue"/>
            <w:tcBorders>
              <w:left w:val="single" w:color="000000" w:sz="4" w:space="0"/>
              <w:right w:val="single" w:color="000000" w:sz="4" w:space="0"/>
            </w:tcBorders>
            <w:vAlign w:val="center"/>
          </w:tcPr>
          <w:p w14:paraId="3BA1826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5E19B2C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场地搭建设计方案</w:t>
            </w:r>
          </w:p>
        </w:tc>
        <w:tc>
          <w:tcPr>
            <w:tcW w:w="6675" w:type="dxa"/>
            <w:tcBorders>
              <w:top w:val="single" w:color="000000" w:sz="4" w:space="0"/>
              <w:left w:val="single" w:color="000000" w:sz="4" w:space="0"/>
              <w:bottom w:val="single" w:color="000000" w:sz="4" w:space="0"/>
              <w:right w:val="single" w:color="000000" w:sz="4" w:space="0"/>
            </w:tcBorders>
            <w:vAlign w:val="center"/>
          </w:tcPr>
          <w:p w14:paraId="6B67BC80">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场地搭建设计方案须符合“公益福彩·情暖天山”活动主题（评标时必须提供设计效果图），要求包含新疆元素、福彩公益元素、理性购彩元素、打击非法彩票元素、福彩游戏元素。提供的方案包含全部元素且满足采购需求的得5分，每缺少一项元素内容或每出现一处内容缺陷</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或瑕疵</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的扣1分，扣完为止。</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内容缺陷或</w:t>
            </w:r>
            <w:r>
              <w:rPr>
                <w:rFonts w:hint="eastAsia" w:cs="宋体"/>
                <w:i w:val="0"/>
                <w:iCs w:val="0"/>
                <w:color w:val="auto"/>
                <w:kern w:val="0"/>
                <w:sz w:val="21"/>
                <w:szCs w:val="21"/>
                <w:highlight w:val="none"/>
                <w:u w:val="none"/>
                <w:lang w:val="en-US" w:eastAsia="zh-CN" w:bidi="ar"/>
              </w:rPr>
              <w:t>瑕疵</w:t>
            </w:r>
            <w:r>
              <w:rPr>
                <w:rFonts w:hint="eastAsia" w:ascii="宋体" w:hAnsi="宋体" w:eastAsia="宋体" w:cs="宋体"/>
                <w:i w:val="0"/>
                <w:iCs w:val="0"/>
                <w:color w:val="auto"/>
                <w:kern w:val="0"/>
                <w:sz w:val="21"/>
                <w:szCs w:val="21"/>
                <w:highlight w:val="none"/>
                <w:u w:val="none"/>
                <w:lang w:val="en-US" w:eastAsia="zh-CN" w:bidi="ar"/>
              </w:rPr>
              <w:t>是指</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仅有框架或标题；涉及的规范及技术标准错误；</w:t>
            </w:r>
            <w:r>
              <w:rPr>
                <w:rFonts w:hint="eastAsia" w:cs="宋体"/>
                <w:i w:val="0"/>
                <w:iCs w:val="0"/>
                <w:color w:val="auto"/>
                <w:kern w:val="0"/>
                <w:sz w:val="21"/>
                <w:szCs w:val="21"/>
                <w:highlight w:val="none"/>
                <w:u w:val="none"/>
                <w:lang w:val="en-US" w:eastAsia="zh-CN" w:bidi="ar"/>
              </w:rPr>
              <w:t>方案的名称和</w:t>
            </w:r>
            <w:r>
              <w:rPr>
                <w:rFonts w:hint="eastAsia" w:ascii="宋体" w:hAnsi="宋体" w:eastAsia="宋体" w:cs="宋体"/>
                <w:i w:val="0"/>
                <w:iCs w:val="0"/>
                <w:color w:val="auto"/>
                <w:kern w:val="0"/>
                <w:sz w:val="21"/>
                <w:szCs w:val="21"/>
                <w:highlight w:val="none"/>
                <w:u w:val="none"/>
                <w:lang w:val="en-US" w:eastAsia="zh-CN" w:bidi="ar"/>
              </w:rPr>
              <w:t>方案内容与本项目需求无关；前后内容矛盾。</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 </w:t>
            </w:r>
          </w:p>
        </w:tc>
        <w:tc>
          <w:tcPr>
            <w:tcW w:w="585" w:type="dxa"/>
            <w:tcBorders>
              <w:top w:val="single" w:color="000000" w:sz="4" w:space="0"/>
              <w:left w:val="single" w:color="000000" w:sz="4" w:space="0"/>
              <w:bottom w:val="single" w:color="000000" w:sz="4" w:space="0"/>
              <w:right w:val="single" w:color="000000" w:sz="4" w:space="0"/>
            </w:tcBorders>
            <w:vAlign w:val="center"/>
          </w:tcPr>
          <w:p w14:paraId="6A9D289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5分</w:t>
            </w:r>
          </w:p>
        </w:tc>
      </w:tr>
      <w:tr w14:paraId="43D4D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480" w:type="dxa"/>
            <w:vMerge w:val="continue"/>
            <w:tcBorders>
              <w:left w:val="single" w:color="000000" w:sz="4" w:space="0"/>
              <w:right w:val="single" w:color="000000" w:sz="4" w:space="0"/>
            </w:tcBorders>
            <w:vAlign w:val="center"/>
          </w:tcPr>
          <w:p w14:paraId="68F9A3EC">
            <w:pPr>
              <w:spacing w:line="240" w:lineRule="auto"/>
              <w:jc w:val="center"/>
              <w:rPr>
                <w:rFonts w:hint="eastAsia" w:ascii="宋体" w:hAnsi="宋体" w:eastAsia="宋体" w:cs="宋体"/>
                <w:i w:val="0"/>
                <w:iCs w:val="0"/>
                <w:color w:val="auto"/>
                <w:sz w:val="21"/>
                <w:szCs w:val="21"/>
                <w:highlight w:val="none"/>
                <w:u w:val="none"/>
              </w:rPr>
            </w:pPr>
          </w:p>
        </w:tc>
        <w:tc>
          <w:tcPr>
            <w:tcW w:w="720" w:type="dxa"/>
            <w:vMerge w:val="continue"/>
            <w:tcBorders>
              <w:left w:val="single" w:color="000000" w:sz="4" w:space="0"/>
              <w:right w:val="single" w:color="000000" w:sz="4" w:space="0"/>
            </w:tcBorders>
            <w:vAlign w:val="center"/>
          </w:tcPr>
          <w:p w14:paraId="17957301">
            <w:pPr>
              <w:spacing w:line="240" w:lineRule="auto"/>
              <w:jc w:val="center"/>
              <w:rPr>
                <w:rFonts w:hint="eastAsia" w:ascii="宋体" w:hAnsi="宋体" w:eastAsia="宋体" w:cs="宋体"/>
                <w:i w:val="0"/>
                <w:iCs w:val="0"/>
                <w:color w:val="auto"/>
                <w:sz w:val="21"/>
                <w:szCs w:val="21"/>
                <w:highlight w:val="none"/>
                <w:u w:val="none"/>
              </w:rPr>
            </w:pP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14:paraId="3C98AA0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游戏互动及节目演出</w:t>
            </w:r>
          </w:p>
        </w:tc>
        <w:tc>
          <w:tcPr>
            <w:tcW w:w="6675" w:type="dxa"/>
            <w:tcBorders>
              <w:top w:val="single" w:color="000000" w:sz="4" w:space="0"/>
              <w:left w:val="single" w:color="000000" w:sz="4" w:space="0"/>
              <w:bottom w:val="single" w:color="000000" w:sz="4" w:space="0"/>
              <w:right w:val="single" w:color="000000" w:sz="4" w:space="0"/>
            </w:tcBorders>
            <w:vAlign w:val="center"/>
          </w:tcPr>
          <w:p w14:paraId="458335FB">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地推活动每场安排不少于4个文艺节目，单个节目时长不少于3分钟，参演人数不少于5人，题材为歌舞表演、乐器演奏、传统文化展示等（须在应标时须提供每个节目的具体信息），必须为正规的、有专业资质的演出团队出演，杜绝低俗、暴力等不良信息，评标时必须提供节目演示视频。满足以上需求得4分，不满足不得分。</w:t>
            </w:r>
          </w:p>
          <w:p w14:paraId="53C3D065">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每场地推活动每增加1个节目加2分，增加的节目与以上要求相同，共计6分。</w:t>
            </w:r>
          </w:p>
          <w:p w14:paraId="6EB3868C">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此项合计为10分。</w:t>
            </w:r>
          </w:p>
        </w:tc>
        <w:tc>
          <w:tcPr>
            <w:tcW w:w="585" w:type="dxa"/>
            <w:tcBorders>
              <w:top w:val="single" w:color="000000" w:sz="4" w:space="0"/>
              <w:left w:val="single" w:color="000000" w:sz="4" w:space="0"/>
              <w:bottom w:val="single" w:color="000000" w:sz="4" w:space="0"/>
              <w:right w:val="single" w:color="000000" w:sz="4" w:space="0"/>
            </w:tcBorders>
            <w:vAlign w:val="center"/>
          </w:tcPr>
          <w:p w14:paraId="34AAC86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10分</w:t>
            </w:r>
          </w:p>
        </w:tc>
      </w:tr>
      <w:tr w14:paraId="586E6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480" w:type="dxa"/>
            <w:vMerge w:val="continue"/>
            <w:tcBorders>
              <w:left w:val="single" w:color="000000" w:sz="4" w:space="0"/>
              <w:right w:val="single" w:color="000000" w:sz="4" w:space="0"/>
            </w:tcBorders>
            <w:vAlign w:val="center"/>
          </w:tcPr>
          <w:p w14:paraId="7C6EF266">
            <w:pPr>
              <w:spacing w:line="240" w:lineRule="auto"/>
              <w:jc w:val="center"/>
              <w:rPr>
                <w:rFonts w:hint="eastAsia" w:ascii="宋体" w:hAnsi="宋体" w:eastAsia="宋体" w:cs="宋体"/>
                <w:i w:val="0"/>
                <w:iCs w:val="0"/>
                <w:color w:val="auto"/>
                <w:sz w:val="21"/>
                <w:szCs w:val="21"/>
                <w:highlight w:val="none"/>
                <w:u w:val="none"/>
              </w:rPr>
            </w:pPr>
          </w:p>
        </w:tc>
        <w:tc>
          <w:tcPr>
            <w:tcW w:w="720" w:type="dxa"/>
            <w:vMerge w:val="continue"/>
            <w:tcBorders>
              <w:left w:val="single" w:color="000000" w:sz="4" w:space="0"/>
              <w:right w:val="single" w:color="000000" w:sz="4" w:space="0"/>
            </w:tcBorders>
            <w:vAlign w:val="center"/>
          </w:tcPr>
          <w:p w14:paraId="4B80B3E8">
            <w:pPr>
              <w:spacing w:line="240" w:lineRule="auto"/>
              <w:jc w:val="center"/>
              <w:rPr>
                <w:rFonts w:hint="eastAsia" w:ascii="宋体" w:hAnsi="宋体" w:eastAsia="宋体" w:cs="宋体"/>
                <w:i w:val="0"/>
                <w:iCs w:val="0"/>
                <w:color w:val="auto"/>
                <w:sz w:val="21"/>
                <w:szCs w:val="21"/>
                <w:highlight w:val="none"/>
                <w:u w:val="none"/>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27721F82">
            <w:pPr>
              <w:spacing w:line="240" w:lineRule="auto"/>
              <w:jc w:val="center"/>
              <w:rPr>
                <w:rFonts w:hint="eastAsia" w:ascii="宋体" w:hAnsi="宋体" w:eastAsia="宋体" w:cs="宋体"/>
                <w:i w:val="0"/>
                <w:iCs w:val="0"/>
                <w:color w:val="auto"/>
                <w:sz w:val="21"/>
                <w:szCs w:val="21"/>
                <w:highlight w:val="none"/>
                <w:u w:val="none"/>
              </w:rPr>
            </w:pPr>
          </w:p>
        </w:tc>
        <w:tc>
          <w:tcPr>
            <w:tcW w:w="6675" w:type="dxa"/>
            <w:tcBorders>
              <w:top w:val="single" w:color="000000" w:sz="4" w:space="0"/>
              <w:left w:val="single" w:color="000000" w:sz="4" w:space="0"/>
              <w:bottom w:val="single" w:color="000000" w:sz="4" w:space="0"/>
              <w:right w:val="single" w:color="000000" w:sz="4" w:space="0"/>
            </w:tcBorders>
            <w:vAlign w:val="center"/>
          </w:tcPr>
          <w:p w14:paraId="1E5A0718">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游戏需难度适中、兼具趣味性、安全性、挑战性；每场地推活动需提供不少于4个线上游戏、不少于4个线下游戏，且应标时须提交各游戏的具体信息，评标时必须提供游戏演示视频。满足以上基本需求得4分。</w:t>
            </w:r>
          </w:p>
          <w:p w14:paraId="053291AB">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在基础要求的4个线下游戏之上，每增加1个符合“难度适中+趣味性+安全性+挑战性”要求的线下游戏加2分，共计4分。</w:t>
            </w:r>
          </w:p>
          <w:p w14:paraId="6C3E6A9F">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此项合计为8分。</w:t>
            </w:r>
          </w:p>
        </w:tc>
        <w:tc>
          <w:tcPr>
            <w:tcW w:w="585" w:type="dxa"/>
            <w:tcBorders>
              <w:top w:val="single" w:color="000000" w:sz="4" w:space="0"/>
              <w:left w:val="single" w:color="000000" w:sz="4" w:space="0"/>
              <w:bottom w:val="single" w:color="000000" w:sz="4" w:space="0"/>
              <w:right w:val="single" w:color="000000" w:sz="4" w:space="0"/>
            </w:tcBorders>
            <w:vAlign w:val="center"/>
          </w:tcPr>
          <w:p w14:paraId="5234E6E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8分</w:t>
            </w:r>
          </w:p>
        </w:tc>
      </w:tr>
      <w:tr w14:paraId="329DF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480" w:type="dxa"/>
            <w:vMerge w:val="continue"/>
            <w:tcBorders>
              <w:left w:val="single" w:color="000000" w:sz="4" w:space="0"/>
              <w:right w:val="single" w:color="000000" w:sz="4" w:space="0"/>
            </w:tcBorders>
            <w:vAlign w:val="center"/>
          </w:tcPr>
          <w:p w14:paraId="33497DEF">
            <w:pPr>
              <w:spacing w:line="240" w:lineRule="auto"/>
              <w:jc w:val="center"/>
              <w:rPr>
                <w:rFonts w:hint="eastAsia" w:ascii="宋体" w:hAnsi="宋体" w:eastAsia="宋体" w:cs="宋体"/>
                <w:i w:val="0"/>
                <w:iCs w:val="0"/>
                <w:color w:val="auto"/>
                <w:sz w:val="21"/>
                <w:szCs w:val="21"/>
                <w:highlight w:val="none"/>
                <w:u w:val="none"/>
              </w:rPr>
            </w:pPr>
          </w:p>
        </w:tc>
        <w:tc>
          <w:tcPr>
            <w:tcW w:w="720" w:type="dxa"/>
            <w:vMerge w:val="continue"/>
            <w:tcBorders>
              <w:left w:val="single" w:color="000000" w:sz="4" w:space="0"/>
              <w:right w:val="single" w:color="000000" w:sz="4" w:space="0"/>
            </w:tcBorders>
            <w:vAlign w:val="center"/>
          </w:tcPr>
          <w:p w14:paraId="73353265">
            <w:pPr>
              <w:spacing w:line="240" w:lineRule="auto"/>
              <w:jc w:val="center"/>
              <w:rPr>
                <w:rFonts w:hint="eastAsia" w:ascii="宋体" w:hAnsi="宋体" w:eastAsia="宋体" w:cs="宋体"/>
                <w:i w:val="0"/>
                <w:iCs w:val="0"/>
                <w:color w:val="auto"/>
                <w:sz w:val="21"/>
                <w:szCs w:val="21"/>
                <w:highlight w:val="none"/>
                <w:u w:val="none"/>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7941D6C4">
            <w:pPr>
              <w:spacing w:line="240" w:lineRule="auto"/>
              <w:jc w:val="center"/>
              <w:rPr>
                <w:rFonts w:hint="eastAsia" w:ascii="宋体" w:hAnsi="宋体" w:eastAsia="宋体" w:cs="宋体"/>
                <w:i w:val="0"/>
                <w:iCs w:val="0"/>
                <w:color w:val="auto"/>
                <w:sz w:val="21"/>
                <w:szCs w:val="21"/>
                <w:highlight w:val="none"/>
                <w:u w:val="none"/>
              </w:rPr>
            </w:pPr>
          </w:p>
        </w:tc>
        <w:tc>
          <w:tcPr>
            <w:tcW w:w="6675" w:type="dxa"/>
            <w:tcBorders>
              <w:top w:val="single" w:color="000000" w:sz="4" w:space="0"/>
              <w:left w:val="single" w:color="000000" w:sz="4" w:space="0"/>
              <w:bottom w:val="single" w:color="000000" w:sz="4" w:space="0"/>
              <w:right w:val="single" w:color="000000" w:sz="4" w:space="0"/>
            </w:tcBorders>
            <w:vAlign w:val="center"/>
          </w:tcPr>
          <w:p w14:paraId="73E33918">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供应商提供节目和游戏的详细策划方案，包括节目内容、表演团队资质等。拟投入本项目的节目演出保障内容至少应包含：①灯光及音响②医疗救护物品③安全指引标识④投入物质装备⑤演职人员数量。如完全满足得5分，每缺少一项扣1分，扣完为止。</w:t>
            </w:r>
          </w:p>
        </w:tc>
        <w:tc>
          <w:tcPr>
            <w:tcW w:w="585" w:type="dxa"/>
            <w:tcBorders>
              <w:top w:val="single" w:color="000000" w:sz="4" w:space="0"/>
              <w:left w:val="single" w:color="000000" w:sz="4" w:space="0"/>
              <w:bottom w:val="single" w:color="000000" w:sz="4" w:space="0"/>
              <w:right w:val="single" w:color="000000" w:sz="4" w:space="0"/>
            </w:tcBorders>
            <w:vAlign w:val="center"/>
          </w:tcPr>
          <w:p w14:paraId="1D067B0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r>
              <w:rPr>
                <w:rStyle w:val="83"/>
                <w:rFonts w:hint="eastAsia" w:ascii="宋体" w:hAnsi="宋体" w:eastAsia="宋体" w:cs="宋体"/>
                <w:color w:val="auto"/>
                <w:sz w:val="21"/>
                <w:szCs w:val="21"/>
                <w:highlight w:val="none"/>
                <w:lang w:val="en-US" w:eastAsia="zh-CN" w:bidi="ar"/>
              </w:rPr>
              <w:t>分</w:t>
            </w:r>
          </w:p>
        </w:tc>
      </w:tr>
      <w:tr w14:paraId="1981F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480" w:type="dxa"/>
            <w:vMerge w:val="continue"/>
            <w:tcBorders>
              <w:left w:val="single" w:color="000000" w:sz="4" w:space="0"/>
              <w:right w:val="single" w:color="000000" w:sz="4" w:space="0"/>
            </w:tcBorders>
            <w:vAlign w:val="center"/>
          </w:tcPr>
          <w:p w14:paraId="3274EE1B">
            <w:pPr>
              <w:spacing w:line="240" w:lineRule="auto"/>
              <w:jc w:val="center"/>
              <w:rPr>
                <w:rFonts w:hint="eastAsia" w:ascii="宋体" w:hAnsi="宋体" w:eastAsia="宋体" w:cs="宋体"/>
                <w:i w:val="0"/>
                <w:iCs w:val="0"/>
                <w:color w:val="auto"/>
                <w:sz w:val="21"/>
                <w:szCs w:val="21"/>
                <w:highlight w:val="none"/>
                <w:u w:val="none"/>
              </w:rPr>
            </w:pPr>
          </w:p>
        </w:tc>
        <w:tc>
          <w:tcPr>
            <w:tcW w:w="720" w:type="dxa"/>
            <w:vMerge w:val="continue"/>
            <w:tcBorders>
              <w:left w:val="single" w:color="000000" w:sz="4" w:space="0"/>
              <w:right w:val="single" w:color="000000" w:sz="4" w:space="0"/>
            </w:tcBorders>
            <w:vAlign w:val="center"/>
          </w:tcPr>
          <w:p w14:paraId="50465D32">
            <w:pPr>
              <w:spacing w:line="240" w:lineRule="auto"/>
              <w:jc w:val="center"/>
              <w:rPr>
                <w:rFonts w:hint="eastAsia" w:ascii="宋体" w:hAnsi="宋体" w:eastAsia="宋体" w:cs="宋体"/>
                <w:i w:val="0"/>
                <w:iCs w:val="0"/>
                <w:color w:val="auto"/>
                <w:sz w:val="21"/>
                <w:szCs w:val="21"/>
                <w:highlight w:val="none"/>
                <w:u w:val="none"/>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14:paraId="57D343A7">
            <w:pPr>
              <w:spacing w:line="240" w:lineRule="auto"/>
              <w:jc w:val="center"/>
              <w:rPr>
                <w:rFonts w:hint="eastAsia" w:ascii="宋体" w:hAnsi="宋体" w:eastAsia="宋体" w:cs="宋体"/>
                <w:i w:val="0"/>
                <w:iCs w:val="0"/>
                <w:color w:val="auto"/>
                <w:sz w:val="21"/>
                <w:szCs w:val="21"/>
                <w:highlight w:val="none"/>
                <w:u w:val="none"/>
              </w:rPr>
            </w:pPr>
          </w:p>
        </w:tc>
        <w:tc>
          <w:tcPr>
            <w:tcW w:w="6675" w:type="dxa"/>
            <w:tcBorders>
              <w:top w:val="single" w:color="000000" w:sz="4" w:space="0"/>
              <w:left w:val="single" w:color="000000" w:sz="4" w:space="0"/>
              <w:bottom w:val="single" w:color="000000" w:sz="4" w:space="0"/>
              <w:right w:val="single" w:color="000000" w:sz="4" w:space="0"/>
            </w:tcBorders>
            <w:vAlign w:val="center"/>
          </w:tcPr>
          <w:p w14:paraId="46C968F5">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指定专人负责节目的编排</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保障舞台表演效果</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节目表演过程中需设立场监，监测表演的质量和效果</w:t>
            </w:r>
            <w:r>
              <w:rPr>
                <w:rFonts w:hint="eastAsia"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节目表演过程中应有摄像和录像，便于表演的监管和完善提高。如完全满足得5分，如不能完全满足不得分。</w:t>
            </w:r>
          </w:p>
        </w:tc>
        <w:tc>
          <w:tcPr>
            <w:tcW w:w="585" w:type="dxa"/>
            <w:tcBorders>
              <w:top w:val="single" w:color="000000" w:sz="4" w:space="0"/>
              <w:left w:val="single" w:color="000000" w:sz="4" w:space="0"/>
              <w:bottom w:val="single" w:color="000000" w:sz="4" w:space="0"/>
              <w:right w:val="single" w:color="000000" w:sz="4" w:space="0"/>
            </w:tcBorders>
            <w:vAlign w:val="center"/>
          </w:tcPr>
          <w:p w14:paraId="6203E309">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r>
              <w:rPr>
                <w:rStyle w:val="83"/>
                <w:rFonts w:hint="eastAsia" w:ascii="宋体" w:hAnsi="宋体" w:eastAsia="宋体" w:cs="宋体"/>
                <w:color w:val="auto"/>
                <w:sz w:val="21"/>
                <w:szCs w:val="21"/>
                <w:highlight w:val="none"/>
                <w:lang w:val="en-US" w:eastAsia="zh-CN" w:bidi="ar"/>
              </w:rPr>
              <w:t>分</w:t>
            </w:r>
          </w:p>
        </w:tc>
      </w:tr>
      <w:tr w14:paraId="3C5CC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480" w:type="dxa"/>
            <w:vMerge w:val="continue"/>
            <w:tcBorders>
              <w:left w:val="single" w:color="000000" w:sz="4" w:space="0"/>
              <w:bottom w:val="single" w:color="000000" w:sz="4" w:space="0"/>
              <w:right w:val="single" w:color="000000" w:sz="4" w:space="0"/>
            </w:tcBorders>
            <w:vAlign w:val="center"/>
          </w:tcPr>
          <w:p w14:paraId="6EDB200D">
            <w:pPr>
              <w:spacing w:line="240" w:lineRule="auto"/>
              <w:jc w:val="center"/>
              <w:rPr>
                <w:rFonts w:hint="eastAsia" w:ascii="宋体" w:hAnsi="宋体" w:eastAsia="宋体" w:cs="宋体"/>
                <w:i w:val="0"/>
                <w:iCs w:val="0"/>
                <w:color w:val="auto"/>
                <w:sz w:val="21"/>
                <w:szCs w:val="21"/>
                <w:highlight w:val="none"/>
                <w:u w:val="none"/>
              </w:rPr>
            </w:pPr>
          </w:p>
        </w:tc>
        <w:tc>
          <w:tcPr>
            <w:tcW w:w="720" w:type="dxa"/>
            <w:vMerge w:val="continue"/>
            <w:tcBorders>
              <w:left w:val="single" w:color="000000" w:sz="4" w:space="0"/>
              <w:bottom w:val="single" w:color="000000" w:sz="4" w:space="0"/>
              <w:right w:val="single" w:color="000000" w:sz="4" w:space="0"/>
            </w:tcBorders>
            <w:vAlign w:val="center"/>
          </w:tcPr>
          <w:p w14:paraId="79696F03">
            <w:pPr>
              <w:spacing w:line="240" w:lineRule="auto"/>
              <w:jc w:val="center"/>
              <w:rPr>
                <w:rFonts w:hint="eastAsia" w:ascii="宋体" w:hAnsi="宋体" w:eastAsia="宋体" w:cs="宋体"/>
                <w:i w:val="0"/>
                <w:iCs w:val="0"/>
                <w:color w:val="auto"/>
                <w:sz w:val="21"/>
                <w:szCs w:val="21"/>
                <w:highlight w:val="none"/>
                <w:u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35F4530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活动奖品</w:t>
            </w:r>
          </w:p>
        </w:tc>
        <w:tc>
          <w:tcPr>
            <w:tcW w:w="6675" w:type="dxa"/>
            <w:tcBorders>
              <w:top w:val="single" w:color="000000" w:sz="4" w:space="0"/>
              <w:left w:val="single" w:color="000000" w:sz="4" w:space="0"/>
              <w:bottom w:val="single" w:color="000000" w:sz="4" w:space="0"/>
              <w:right w:val="single" w:color="000000" w:sz="4" w:space="0"/>
            </w:tcBorders>
            <w:vAlign w:val="center"/>
          </w:tcPr>
          <w:p w14:paraId="1503F2DF">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snapToGrid w:val="0"/>
                <w:color w:val="auto"/>
                <w:spacing w:val="0"/>
                <w:kern w:val="0"/>
                <w:sz w:val="21"/>
                <w:szCs w:val="21"/>
                <w:highlight w:val="none"/>
                <w:lang w:val="en-US" w:eastAsia="zh-CN" w:bidi="ar-SA"/>
              </w:rPr>
              <w:t>供应商根据采购需求进行奖品采购，</w:t>
            </w:r>
            <w:r>
              <w:rPr>
                <w:rFonts w:hint="eastAsia" w:ascii="宋体" w:hAnsi="宋体" w:eastAsia="宋体" w:cs="宋体"/>
                <w:color w:val="auto"/>
                <w:spacing w:val="0"/>
                <w:sz w:val="21"/>
                <w:szCs w:val="21"/>
                <w:highlight w:val="none"/>
                <w:lang w:val="en-US" w:eastAsia="zh-CN"/>
              </w:rPr>
              <w:t>用于活动抽奖奖品费用达项目最终成交价的23%，得4分；以23%为基础每增加1%加2分，本项最多10分。活动奖品未达项目最终成交价28%的，则不得分。</w:t>
            </w:r>
          </w:p>
        </w:tc>
        <w:tc>
          <w:tcPr>
            <w:tcW w:w="585" w:type="dxa"/>
            <w:tcBorders>
              <w:top w:val="single" w:color="000000" w:sz="4" w:space="0"/>
              <w:left w:val="single" w:color="000000" w:sz="4" w:space="0"/>
              <w:bottom w:val="single" w:color="000000" w:sz="4" w:space="0"/>
              <w:right w:val="single" w:color="000000" w:sz="4" w:space="0"/>
            </w:tcBorders>
            <w:vAlign w:val="center"/>
          </w:tcPr>
          <w:p w14:paraId="3F62F89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10分</w:t>
            </w:r>
          </w:p>
        </w:tc>
      </w:tr>
      <w:tr w14:paraId="49DA0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80" w:type="dxa"/>
            <w:vMerge w:val="restart"/>
            <w:tcBorders>
              <w:top w:val="single" w:color="000000" w:sz="4" w:space="0"/>
              <w:left w:val="single" w:color="000000" w:sz="4" w:space="0"/>
              <w:right w:val="single" w:color="000000" w:sz="4" w:space="0"/>
            </w:tcBorders>
            <w:vAlign w:val="center"/>
          </w:tcPr>
          <w:p w14:paraId="6BE2155A">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20" w:type="dxa"/>
            <w:vMerge w:val="restart"/>
            <w:tcBorders>
              <w:top w:val="single" w:color="000000" w:sz="4" w:space="0"/>
              <w:left w:val="single" w:color="000000" w:sz="4" w:space="0"/>
              <w:right w:val="single" w:color="000000" w:sz="4" w:space="0"/>
            </w:tcBorders>
            <w:vAlign w:val="center"/>
          </w:tcPr>
          <w:p w14:paraId="6CCE6D4C">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保障措施（18分）</w:t>
            </w:r>
          </w:p>
        </w:tc>
        <w:tc>
          <w:tcPr>
            <w:tcW w:w="915" w:type="dxa"/>
            <w:tcBorders>
              <w:top w:val="single" w:color="000000" w:sz="4" w:space="0"/>
              <w:left w:val="single" w:color="000000" w:sz="4" w:space="0"/>
              <w:bottom w:val="single" w:color="000000" w:sz="4" w:space="0"/>
              <w:right w:val="single" w:color="000000" w:sz="4" w:space="0"/>
            </w:tcBorders>
            <w:vAlign w:val="center"/>
          </w:tcPr>
          <w:p w14:paraId="5C916208">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项目质量保障措施</w:t>
            </w:r>
          </w:p>
        </w:tc>
        <w:tc>
          <w:tcPr>
            <w:tcW w:w="6675" w:type="dxa"/>
            <w:tcBorders>
              <w:top w:val="single" w:color="000000" w:sz="4" w:space="0"/>
              <w:left w:val="single" w:color="000000" w:sz="4" w:space="0"/>
              <w:bottom w:val="single" w:color="000000" w:sz="4" w:space="0"/>
              <w:right w:val="single" w:color="000000" w:sz="4" w:space="0"/>
            </w:tcBorders>
            <w:vAlign w:val="center"/>
          </w:tcPr>
          <w:p w14:paraId="04211ED6">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质量保障措施：供应商提供的服务要保证质量规范合格，各项工作应具有相应的质量保障措施：主要包含（但不限于）①前期策划阶段的质量把控措施；②内容创作与执行的质量控制措施；③项目团队与资源的保障机制；④效果评估与反馈优化机制；⑤风险防控及应对改进措施。提供以上满足采购需求的全部内容得5分，每出现一处内容缺陷（或瑕疵）的扣 1 分，扣完为止。（内容缺陷或瑕疵是指：内容缺失、方案项 目名称、项目编号与本项目要求不符；仅有框架或标题；涉及的规范及技术标 准错误；方案内容与本项目需求无关；前后内容矛盾。）</w:t>
            </w:r>
          </w:p>
        </w:tc>
        <w:tc>
          <w:tcPr>
            <w:tcW w:w="585" w:type="dxa"/>
            <w:tcBorders>
              <w:top w:val="single" w:color="000000" w:sz="4" w:space="0"/>
              <w:left w:val="single" w:color="000000" w:sz="4" w:space="0"/>
              <w:bottom w:val="single" w:color="000000" w:sz="4" w:space="0"/>
              <w:right w:val="single" w:color="000000" w:sz="4" w:space="0"/>
            </w:tcBorders>
            <w:vAlign w:val="center"/>
          </w:tcPr>
          <w:p w14:paraId="26E913A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r>
              <w:rPr>
                <w:rStyle w:val="83"/>
                <w:rFonts w:hint="eastAsia" w:ascii="宋体" w:hAnsi="宋体" w:eastAsia="宋体" w:cs="宋体"/>
                <w:color w:val="auto"/>
                <w:sz w:val="21"/>
                <w:szCs w:val="21"/>
                <w:highlight w:val="none"/>
                <w:lang w:val="en-US" w:eastAsia="zh-CN" w:bidi="ar"/>
              </w:rPr>
              <w:t>分</w:t>
            </w:r>
          </w:p>
        </w:tc>
      </w:tr>
      <w:tr w14:paraId="117BD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480" w:type="dxa"/>
            <w:vMerge w:val="continue"/>
            <w:tcBorders>
              <w:left w:val="single" w:color="000000" w:sz="4" w:space="0"/>
              <w:right w:val="single" w:color="000000" w:sz="4" w:space="0"/>
            </w:tcBorders>
            <w:vAlign w:val="center"/>
          </w:tcPr>
          <w:p w14:paraId="02B86B19">
            <w:pPr>
              <w:spacing w:line="240" w:lineRule="auto"/>
              <w:jc w:val="center"/>
              <w:rPr>
                <w:rFonts w:hint="eastAsia" w:ascii="宋体" w:hAnsi="宋体" w:eastAsia="宋体" w:cs="宋体"/>
                <w:i w:val="0"/>
                <w:iCs w:val="0"/>
                <w:color w:val="auto"/>
                <w:sz w:val="21"/>
                <w:szCs w:val="21"/>
                <w:highlight w:val="none"/>
                <w:u w:val="none"/>
              </w:rPr>
            </w:pPr>
          </w:p>
        </w:tc>
        <w:tc>
          <w:tcPr>
            <w:tcW w:w="720" w:type="dxa"/>
            <w:vMerge w:val="continue"/>
            <w:tcBorders>
              <w:left w:val="single" w:color="000000" w:sz="4" w:space="0"/>
              <w:right w:val="single" w:color="000000" w:sz="4" w:space="0"/>
            </w:tcBorders>
            <w:vAlign w:val="center"/>
          </w:tcPr>
          <w:p w14:paraId="1CE2DC9B">
            <w:pPr>
              <w:spacing w:line="240" w:lineRule="auto"/>
              <w:jc w:val="center"/>
              <w:rPr>
                <w:rFonts w:hint="eastAsia" w:ascii="宋体" w:hAnsi="宋体" w:eastAsia="宋体" w:cs="宋体"/>
                <w:i w:val="0"/>
                <w:iCs w:val="0"/>
                <w:color w:val="auto"/>
                <w:sz w:val="21"/>
                <w:szCs w:val="21"/>
                <w:highlight w:val="none"/>
                <w:u w:val="none"/>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77CCBEFB">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项目进度保障措施</w:t>
            </w:r>
          </w:p>
        </w:tc>
        <w:tc>
          <w:tcPr>
            <w:tcW w:w="6675" w:type="dxa"/>
            <w:tcBorders>
              <w:top w:val="single" w:color="000000" w:sz="4" w:space="0"/>
              <w:left w:val="single" w:color="000000" w:sz="4" w:space="0"/>
              <w:bottom w:val="single" w:color="000000" w:sz="4" w:space="0"/>
              <w:right w:val="single" w:color="000000" w:sz="4" w:space="0"/>
            </w:tcBorders>
            <w:vAlign w:val="center"/>
          </w:tcPr>
          <w:p w14:paraId="4A66F9B2">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项目进度保障措施：根据供应商提供的项目推广进度保障措施，结合本项目实际进行评审，主要包含（但不限于）①项目进度保障管理办法；②进度保障措施；③进度管理人员配备计划；④项目时间节点划分；⑤项目各阶段安排等内容。提供以上满足采购需求的全部内容得 5 分，每出现一处内容缺陷（或瑕疵）的扣 1 分，扣完为止。（内容缺陷或瑕疵是指：内容缺失、方案项目名称、项目编号与本项目要求不符；仅 </w:t>
            </w:r>
          </w:p>
          <w:p w14:paraId="40AA78F8">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有框架或标题；涉及的规范及技术标准错误；方案内容与本项目需求无关；前后内容矛盾。）</w:t>
            </w:r>
          </w:p>
        </w:tc>
        <w:tc>
          <w:tcPr>
            <w:tcW w:w="585" w:type="dxa"/>
            <w:tcBorders>
              <w:top w:val="single" w:color="000000" w:sz="4" w:space="0"/>
              <w:left w:val="single" w:color="000000" w:sz="4" w:space="0"/>
              <w:bottom w:val="single" w:color="000000" w:sz="4" w:space="0"/>
              <w:right w:val="single" w:color="000000" w:sz="4" w:space="0"/>
            </w:tcBorders>
            <w:vAlign w:val="center"/>
          </w:tcPr>
          <w:p w14:paraId="642923FF">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r>
              <w:rPr>
                <w:rStyle w:val="83"/>
                <w:rFonts w:hint="eastAsia" w:ascii="宋体" w:hAnsi="宋体" w:eastAsia="宋体" w:cs="宋体"/>
                <w:color w:val="auto"/>
                <w:sz w:val="21"/>
                <w:szCs w:val="21"/>
                <w:highlight w:val="none"/>
                <w:lang w:val="en-US" w:eastAsia="zh-CN" w:bidi="ar"/>
              </w:rPr>
              <w:t>分</w:t>
            </w:r>
          </w:p>
        </w:tc>
      </w:tr>
      <w:tr w14:paraId="4E170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5" w:hRule="atLeast"/>
          <w:jc w:val="center"/>
        </w:trPr>
        <w:tc>
          <w:tcPr>
            <w:tcW w:w="480" w:type="dxa"/>
            <w:vMerge w:val="continue"/>
            <w:tcBorders>
              <w:left w:val="single" w:color="000000" w:sz="4" w:space="0"/>
              <w:right w:val="single" w:color="000000" w:sz="4" w:space="0"/>
            </w:tcBorders>
            <w:vAlign w:val="center"/>
          </w:tcPr>
          <w:p w14:paraId="2B46CF3D">
            <w:pPr>
              <w:spacing w:line="240" w:lineRule="auto"/>
              <w:jc w:val="center"/>
              <w:rPr>
                <w:rFonts w:hint="eastAsia" w:ascii="宋体" w:hAnsi="宋体" w:eastAsia="宋体" w:cs="宋体"/>
                <w:i w:val="0"/>
                <w:iCs w:val="0"/>
                <w:color w:val="auto"/>
                <w:sz w:val="21"/>
                <w:szCs w:val="21"/>
                <w:highlight w:val="none"/>
                <w:u w:val="none"/>
              </w:rPr>
            </w:pPr>
          </w:p>
        </w:tc>
        <w:tc>
          <w:tcPr>
            <w:tcW w:w="720" w:type="dxa"/>
            <w:vMerge w:val="continue"/>
            <w:tcBorders>
              <w:left w:val="single" w:color="000000" w:sz="4" w:space="0"/>
              <w:right w:val="single" w:color="000000" w:sz="4" w:space="0"/>
            </w:tcBorders>
            <w:vAlign w:val="center"/>
          </w:tcPr>
          <w:p w14:paraId="70E0FC6C">
            <w:pPr>
              <w:spacing w:line="240" w:lineRule="auto"/>
              <w:jc w:val="center"/>
              <w:rPr>
                <w:rFonts w:hint="eastAsia" w:ascii="宋体" w:hAnsi="宋体" w:eastAsia="宋体" w:cs="宋体"/>
                <w:i w:val="0"/>
                <w:iCs w:val="0"/>
                <w:color w:val="auto"/>
                <w:sz w:val="21"/>
                <w:szCs w:val="21"/>
                <w:highlight w:val="none"/>
                <w:u w:val="none"/>
              </w:rPr>
            </w:pPr>
          </w:p>
        </w:tc>
        <w:tc>
          <w:tcPr>
            <w:tcW w:w="915" w:type="dxa"/>
            <w:tcBorders>
              <w:top w:val="single" w:color="000000" w:sz="4" w:space="0"/>
              <w:left w:val="single" w:color="000000" w:sz="4" w:space="0"/>
              <w:bottom w:val="single" w:color="auto" w:sz="4" w:space="0"/>
              <w:right w:val="single" w:color="000000" w:sz="4" w:space="0"/>
            </w:tcBorders>
            <w:vAlign w:val="center"/>
          </w:tcPr>
          <w:p w14:paraId="450B573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项目应急方案</w:t>
            </w:r>
          </w:p>
        </w:tc>
        <w:tc>
          <w:tcPr>
            <w:tcW w:w="6675" w:type="dxa"/>
            <w:tcBorders>
              <w:top w:val="single" w:color="000000" w:sz="4" w:space="0"/>
              <w:left w:val="single" w:color="000000" w:sz="4" w:space="0"/>
              <w:bottom w:val="single" w:color="auto" w:sz="4" w:space="0"/>
              <w:right w:val="single" w:color="000000" w:sz="4" w:space="0"/>
            </w:tcBorders>
            <w:vAlign w:val="center"/>
          </w:tcPr>
          <w:p w14:paraId="2B8A4187">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供应商针对本项目推广宣传需求进行分析后做好安全防护防范，编制各项应急预案，能及时应对突发事件，方案主要包含（但不限于）：①风险识别与分级评估；②应急组 织架构与职责分工；③核心风险应对策略；④项应急资源储备与保障；⑤沟通 机制与信息披露等内容。提供以上满足采购需求的全部内容得 5 分，每出现一处内容缺陷（或瑕疵）的扣 1 分，扣完为止。（内容缺陷或瑕疵是指：内容缺失、方案项目名称、项目编号与本项目要求不符；仅有框架或标题；涉及的规范及技术标准错误；方案内容与本项目需求无关；前后内容矛盾。）</w:t>
            </w:r>
          </w:p>
        </w:tc>
        <w:tc>
          <w:tcPr>
            <w:tcW w:w="585" w:type="dxa"/>
            <w:tcBorders>
              <w:top w:val="single" w:color="000000" w:sz="4" w:space="0"/>
              <w:left w:val="single" w:color="000000" w:sz="4" w:space="0"/>
              <w:bottom w:val="single" w:color="000000" w:sz="4" w:space="0"/>
              <w:right w:val="single" w:color="000000" w:sz="4" w:space="0"/>
            </w:tcBorders>
            <w:vAlign w:val="center"/>
          </w:tcPr>
          <w:p w14:paraId="4C01112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5分</w:t>
            </w:r>
          </w:p>
        </w:tc>
      </w:tr>
      <w:tr w14:paraId="6B563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jc w:val="center"/>
        </w:trPr>
        <w:tc>
          <w:tcPr>
            <w:tcW w:w="480" w:type="dxa"/>
            <w:vMerge w:val="continue"/>
            <w:tcBorders>
              <w:left w:val="single" w:color="000000" w:sz="4" w:space="0"/>
              <w:bottom w:val="single" w:color="000000" w:sz="4" w:space="0"/>
              <w:right w:val="single" w:color="000000" w:sz="4" w:space="0"/>
            </w:tcBorders>
            <w:shd w:val="clear" w:color="auto" w:fill="FFFFFF"/>
            <w:vAlign w:val="center"/>
          </w:tcPr>
          <w:p w14:paraId="79F10E54">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720" w:type="dxa"/>
            <w:vMerge w:val="continue"/>
            <w:tcBorders>
              <w:left w:val="single" w:color="000000" w:sz="4" w:space="0"/>
              <w:bottom w:val="single" w:color="auto" w:sz="4" w:space="0"/>
              <w:right w:val="single" w:color="000000" w:sz="4" w:space="0"/>
            </w:tcBorders>
            <w:shd w:val="clear" w:color="auto" w:fill="FFFFFF"/>
            <w:vAlign w:val="center"/>
          </w:tcPr>
          <w:p w14:paraId="044D3AE1">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rPr>
            </w:pPr>
          </w:p>
        </w:tc>
        <w:tc>
          <w:tcPr>
            <w:tcW w:w="915" w:type="dxa"/>
            <w:tcBorders>
              <w:top w:val="single" w:color="auto" w:sz="4" w:space="0"/>
              <w:left w:val="single" w:color="000000" w:sz="4" w:space="0"/>
              <w:bottom w:val="single" w:color="auto" w:sz="4" w:space="0"/>
              <w:right w:val="single" w:color="auto" w:sz="4" w:space="0"/>
            </w:tcBorders>
            <w:shd w:val="clear" w:color="auto" w:fill="FFFFFF"/>
            <w:vAlign w:val="center"/>
          </w:tcPr>
          <w:p w14:paraId="64E2D0FF">
            <w:pPr>
              <w:keepNext w:val="0"/>
              <w:keepLines w:val="0"/>
              <w:widowControl/>
              <w:suppressLineNumbers w:val="0"/>
              <w:spacing w:line="240" w:lineRule="auto"/>
              <w:jc w:val="left"/>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风险管理方案</w:t>
            </w:r>
          </w:p>
        </w:tc>
        <w:tc>
          <w:tcPr>
            <w:tcW w:w="6675" w:type="dxa"/>
            <w:tcBorders>
              <w:top w:val="single" w:color="auto" w:sz="4" w:space="0"/>
              <w:left w:val="single" w:color="000000" w:sz="4" w:space="0"/>
              <w:bottom w:val="single" w:color="auto" w:sz="4" w:space="0"/>
              <w:right w:val="single" w:color="auto" w:sz="4" w:space="0"/>
            </w:tcBorders>
            <w:shd w:val="clear" w:color="auto" w:fill="FFFFFF"/>
            <w:vAlign w:val="center"/>
          </w:tcPr>
          <w:p w14:paraId="54E7097A">
            <w:pPr>
              <w:keepNext w:val="0"/>
              <w:keepLines w:val="0"/>
              <w:widowControl/>
              <w:suppressLineNumbers w:val="0"/>
              <w:spacing w:line="240" w:lineRule="auto"/>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提供活动风险管理方案，包括知识产权保护、违约责任、意外风险责任。全部包含以上内容得3分，有遗漏不得分。</w:t>
            </w:r>
          </w:p>
        </w:tc>
        <w:tc>
          <w:tcPr>
            <w:tcW w:w="585"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F86B140">
            <w:pPr>
              <w:keepNext w:val="0"/>
              <w:keepLines w:val="0"/>
              <w:widowControl/>
              <w:suppressLineNumbers w:val="0"/>
              <w:spacing w:line="24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3分</w:t>
            </w:r>
          </w:p>
        </w:tc>
      </w:tr>
      <w:tr w14:paraId="4929B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4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E763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72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639CE08">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增值服务（4分）</w:t>
            </w:r>
          </w:p>
        </w:tc>
        <w:tc>
          <w:tcPr>
            <w:tcW w:w="7590"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14:paraId="0D1E4BD8">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供应商在满足本项目的需求外，若还能提供与本项目有相关性的服务内容（需为实质性的宣传资源），每提供一条增值服务得1分，本项最多得4分。供应商提供的增值服务应当满足以下标准：（1）增值内容应直接作用于该项目核心目标（如公益宣传、品牌推广），已在本评分标准中的内容（如节目数量、游戏数量等），不额外加分；（2）增值内容应当可量化，需要明确服务标准、交付形式、验收依据；（3）供应商应当承诺提供的所有增值服务费用均包含在响应报价中。</w:t>
            </w:r>
          </w:p>
        </w:tc>
        <w:tc>
          <w:tcPr>
            <w:tcW w:w="5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C950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4分</w:t>
            </w:r>
          </w:p>
        </w:tc>
      </w:tr>
    </w:tbl>
    <w:p w14:paraId="6D880B6E">
      <w:pPr>
        <w:pStyle w:val="41"/>
        <w:rPr>
          <w:rFonts w:hint="eastAsia"/>
          <w:color w:val="auto"/>
          <w:highlight w:val="none"/>
        </w:rPr>
      </w:pPr>
    </w:p>
    <w:p w14:paraId="27D16BE1">
      <w:pPr>
        <w:rPr>
          <w:color w:val="auto"/>
          <w:highlight w:val="none"/>
          <w:lang w:val="zh-CN"/>
        </w:rPr>
      </w:pPr>
    </w:p>
    <w:p w14:paraId="67934397">
      <w:pPr>
        <w:rPr>
          <w:color w:val="auto"/>
          <w:highlight w:val="none"/>
          <w:lang w:val="zh-CN"/>
        </w:rPr>
        <w:sectPr>
          <w:headerReference r:id="rId7" w:type="default"/>
          <w:footerReference r:id="rId8" w:type="default"/>
          <w:pgSz w:w="11906" w:h="16838"/>
          <w:pgMar w:top="1440" w:right="1800" w:bottom="1440" w:left="1800" w:header="851" w:footer="765" w:gutter="0"/>
          <w:pgBorders>
            <w:top w:val="none" w:sz="0" w:space="0"/>
            <w:left w:val="none" w:sz="0" w:space="0"/>
            <w:bottom w:val="none" w:sz="0" w:space="0"/>
            <w:right w:val="none" w:sz="0" w:space="0"/>
          </w:pgBorders>
          <w:pgNumType w:fmt="numberInDash"/>
          <w:cols w:space="0" w:num="1"/>
          <w:rtlGutter w:val="0"/>
          <w:docGrid w:type="lines" w:linePitch="312" w:charSpace="0"/>
        </w:sectPr>
      </w:pPr>
    </w:p>
    <w:p w14:paraId="5FA7C0FF">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bookmarkStart w:id="415" w:name="_Toc155185918"/>
      <w:bookmarkStart w:id="416" w:name="_Toc17112"/>
      <w:bookmarkStart w:id="417" w:name="_Toc3995"/>
      <w:r>
        <w:rPr>
          <w:rFonts w:hint="eastAsia" w:ascii="宋体" w:hAnsi="宋体" w:eastAsia="宋体" w:cs="宋体"/>
          <w:b/>
          <w:bCs/>
          <w:color w:val="auto"/>
          <w:kern w:val="44"/>
          <w:sz w:val="36"/>
          <w:szCs w:val="36"/>
          <w:highlight w:val="none"/>
          <w:lang w:val="zh-CN" w:eastAsia="zh-CN" w:bidi="ar-SA"/>
        </w:rPr>
        <w:t>第六章 合同</w:t>
      </w:r>
      <w:bookmarkEnd w:id="415"/>
      <w:bookmarkEnd w:id="416"/>
    </w:p>
    <w:p w14:paraId="5DF794FB">
      <w:pPr>
        <w:pStyle w:val="2"/>
        <w:keepNext/>
        <w:keepLines/>
        <w:pageBreakBefore w:val="0"/>
        <w:widowControl w:val="0"/>
        <w:numPr>
          <w:ilvl w:val="0"/>
          <w:numId w:val="0"/>
        </w:numPr>
        <w:kinsoku/>
        <w:wordWrap/>
        <w:overflowPunct/>
        <w:topLinePunct w:val="0"/>
        <w:autoSpaceDE/>
        <w:autoSpaceDN/>
        <w:bidi w:val="0"/>
        <w:adjustRightInd/>
        <w:snapToGrid/>
        <w:spacing w:before="0" w:after="0" w:line="312" w:lineRule="auto"/>
        <w:ind w:left="420" w:leftChars="0" w:hanging="420" w:firstLineChars="0"/>
        <w:textAlignment w:val="auto"/>
        <w:rPr>
          <w:rFonts w:hint="eastAsia" w:ascii="宋体" w:hAnsi="宋体" w:eastAsia="宋体" w:cs="宋体"/>
          <w:b/>
          <w:bCs/>
          <w:color w:val="auto"/>
          <w:kern w:val="44"/>
          <w:sz w:val="24"/>
          <w:szCs w:val="24"/>
          <w:highlight w:val="none"/>
          <w:lang w:val="en-US" w:eastAsia="zh-CN" w:bidi="ar-SA"/>
        </w:rPr>
      </w:pPr>
      <w:r>
        <w:rPr>
          <w:rFonts w:hint="eastAsia" w:ascii="宋体" w:hAnsi="宋体" w:eastAsia="宋体" w:cs="宋体"/>
          <w:b/>
          <w:bCs/>
          <w:color w:val="auto"/>
          <w:kern w:val="44"/>
          <w:sz w:val="24"/>
          <w:szCs w:val="24"/>
          <w:highlight w:val="none"/>
          <w:lang w:val="en-US" w:eastAsia="zh-CN" w:bidi="ar-SA"/>
        </w:rPr>
        <w:t>“公益福彩·情暖天山”2026年公益宣传及品牌推广服务项目合同</w:t>
      </w:r>
    </w:p>
    <w:bookmarkEnd w:id="417"/>
    <w:p w14:paraId="1F76D1CC">
      <w:pPr>
        <w:keepNext w:val="0"/>
        <w:keepLines w:val="0"/>
        <w:pageBreakBefore w:val="0"/>
        <w:widowControl/>
        <w:numPr>
          <w:ilvl w:val="0"/>
          <w:numId w:val="0"/>
        </w:numPr>
        <w:kinsoku/>
        <w:wordWrap/>
        <w:overflowPunct/>
        <w:topLinePunct w:val="0"/>
        <w:autoSpaceDE/>
        <w:autoSpaceDN/>
        <w:bidi w:val="0"/>
        <w:snapToGrid/>
        <w:spacing w:line="560" w:lineRule="exact"/>
        <w:ind w:firstLine="0" w:firstLineChars="0"/>
        <w:jc w:val="both"/>
        <w:textAlignment w:val="auto"/>
        <w:outlineLvl w:val="9"/>
        <w:rPr>
          <w:rFonts w:hint="eastAsia" w:ascii="宋体" w:hAnsi="宋体" w:eastAsia="宋体" w:cs="宋体"/>
          <w:color w:val="auto"/>
          <w:sz w:val="24"/>
          <w:szCs w:val="24"/>
          <w:highlight w:val="none"/>
        </w:rPr>
      </w:pPr>
      <w:bookmarkStart w:id="418" w:name="_Toc155185919"/>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新疆维吾尔自治区福利彩票发行中心</w:t>
      </w:r>
    </w:p>
    <w:p w14:paraId="36F5659D">
      <w:pPr>
        <w:keepNext w:val="0"/>
        <w:keepLines w:val="0"/>
        <w:pageBreakBefore w:val="0"/>
        <w:widowControl/>
        <w:numPr>
          <w:ilvl w:val="0"/>
          <w:numId w:val="0"/>
        </w:numPr>
        <w:kinsoku/>
        <w:wordWrap/>
        <w:overflowPunct/>
        <w:topLinePunct w:val="0"/>
        <w:autoSpaceDE/>
        <w:autoSpaceDN/>
        <w:bidi w:val="0"/>
        <w:snapToGrid/>
        <w:spacing w:line="560" w:lineRule="exact"/>
        <w:ind w:firstLine="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 xml:space="preserve"> </w:t>
      </w:r>
    </w:p>
    <w:p w14:paraId="0F8D13D4">
      <w:pPr>
        <w:keepNext w:val="0"/>
        <w:keepLines w:val="0"/>
        <w:pageBreakBefore w:val="0"/>
        <w:widowControl/>
        <w:numPr>
          <w:ilvl w:val="0"/>
          <w:numId w:val="0"/>
        </w:numPr>
        <w:kinsoku/>
        <w:wordWrap/>
        <w:overflowPunct/>
        <w:topLinePunct w:val="0"/>
        <w:autoSpaceDE/>
        <w:autoSpaceDN/>
        <w:bidi w:val="0"/>
        <w:snapToGrid/>
        <w:spacing w:line="560" w:lineRule="exact"/>
        <w:ind w:firstLine="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 xml:space="preserve"> </w:t>
      </w:r>
    </w:p>
    <w:p w14:paraId="71BAE9C6">
      <w:pPr>
        <w:keepNext w:val="0"/>
        <w:keepLines w:val="0"/>
        <w:pageBreakBefore w:val="0"/>
        <w:widowControl/>
        <w:numPr>
          <w:ilvl w:val="0"/>
          <w:numId w:val="0"/>
        </w:numPr>
        <w:kinsoku/>
        <w:wordWrap/>
        <w:overflowPunct/>
        <w:topLinePunct w:val="0"/>
        <w:autoSpaceDE/>
        <w:autoSpaceDN/>
        <w:bidi w:val="0"/>
        <w:snapToGrid/>
        <w:spacing w:line="560" w:lineRule="exact"/>
        <w:ind w:firstLine="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联系地址：乌鲁木齐市经济技术开发区（头屯河区）阳澄湖路225号</w:t>
      </w:r>
    </w:p>
    <w:p w14:paraId="4B3280C9">
      <w:pPr>
        <w:keepNext w:val="0"/>
        <w:keepLines w:val="0"/>
        <w:pageBreakBefore w:val="0"/>
        <w:widowControl/>
        <w:numPr>
          <w:ilvl w:val="0"/>
          <w:numId w:val="0"/>
        </w:numPr>
        <w:suppressLineNumbers w:val="0"/>
        <w:kinsoku/>
        <w:wordWrap/>
        <w:overflowPunct/>
        <w:topLinePunct w:val="0"/>
        <w:autoSpaceDE/>
        <w:autoSpaceDN/>
        <w:bidi w:val="0"/>
        <w:snapToGrid/>
        <w:spacing w:line="560" w:lineRule="exact"/>
        <w:jc w:val="both"/>
        <w:textAlignment w:val="auto"/>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 xml:space="preserve">指定送达邮箱： </w:t>
      </w:r>
    </w:p>
    <w:p w14:paraId="4E0729F3">
      <w:pPr>
        <w:keepNext w:val="0"/>
        <w:keepLines w:val="0"/>
        <w:pageBreakBefore w:val="0"/>
        <w:widowControl/>
        <w:numPr>
          <w:ilvl w:val="0"/>
          <w:numId w:val="0"/>
        </w:numPr>
        <w:kinsoku/>
        <w:wordWrap/>
        <w:overflowPunct/>
        <w:topLinePunct w:val="0"/>
        <w:autoSpaceDE/>
        <w:autoSpaceDN/>
        <w:bidi w:val="0"/>
        <w:snapToGrid/>
        <w:spacing w:line="560" w:lineRule="exact"/>
        <w:ind w:firstLine="480" w:firstLineChars="200"/>
        <w:jc w:val="both"/>
        <w:textAlignment w:val="auto"/>
        <w:outlineLvl w:val="9"/>
        <w:rPr>
          <w:rFonts w:hint="eastAsia" w:ascii="宋体" w:hAnsi="宋体" w:eastAsia="宋体" w:cs="宋体"/>
          <w:color w:val="auto"/>
          <w:sz w:val="24"/>
          <w:szCs w:val="24"/>
          <w:highlight w:val="none"/>
        </w:rPr>
      </w:pPr>
    </w:p>
    <w:p w14:paraId="7EA9243B">
      <w:pPr>
        <w:keepNext w:val="0"/>
        <w:keepLines w:val="0"/>
        <w:pageBreakBefore w:val="0"/>
        <w:widowControl/>
        <w:numPr>
          <w:ilvl w:val="0"/>
          <w:numId w:val="0"/>
        </w:numPr>
        <w:kinsoku/>
        <w:wordWrap/>
        <w:overflowPunct/>
        <w:topLinePunct w:val="0"/>
        <w:autoSpaceDE/>
        <w:autoSpaceDN/>
        <w:bidi w:val="0"/>
        <w:snapToGrid/>
        <w:spacing w:line="560" w:lineRule="exact"/>
        <w:ind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702B80C3">
      <w:pPr>
        <w:keepNext w:val="0"/>
        <w:keepLines w:val="0"/>
        <w:pageBreakBefore w:val="0"/>
        <w:widowControl/>
        <w:numPr>
          <w:ilvl w:val="0"/>
          <w:numId w:val="0"/>
        </w:numPr>
        <w:kinsoku/>
        <w:wordWrap/>
        <w:overflowPunct/>
        <w:topLinePunct w:val="0"/>
        <w:autoSpaceDE/>
        <w:autoSpaceDN/>
        <w:bidi w:val="0"/>
        <w:snapToGrid/>
        <w:spacing w:line="560" w:lineRule="exact"/>
        <w:ind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675DD8BB">
      <w:pPr>
        <w:keepNext w:val="0"/>
        <w:keepLines w:val="0"/>
        <w:pageBreakBefore w:val="0"/>
        <w:widowControl/>
        <w:numPr>
          <w:ilvl w:val="0"/>
          <w:numId w:val="0"/>
        </w:numPr>
        <w:kinsoku/>
        <w:wordWrap/>
        <w:overflowPunct/>
        <w:topLinePunct w:val="0"/>
        <w:autoSpaceDE/>
        <w:autoSpaceDN/>
        <w:bidi w:val="0"/>
        <w:snapToGrid/>
        <w:spacing w:line="560" w:lineRule="exact"/>
        <w:ind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联系电话： </w:t>
      </w:r>
    </w:p>
    <w:p w14:paraId="50BBE1BB">
      <w:pPr>
        <w:keepNext w:val="0"/>
        <w:keepLines w:val="0"/>
        <w:pageBreakBefore w:val="0"/>
        <w:widowControl/>
        <w:numPr>
          <w:ilvl w:val="0"/>
          <w:numId w:val="0"/>
        </w:numPr>
        <w:kinsoku/>
        <w:wordWrap/>
        <w:overflowPunct/>
        <w:topLinePunct w:val="0"/>
        <w:autoSpaceDE/>
        <w:autoSpaceDN/>
        <w:bidi w:val="0"/>
        <w:snapToGrid/>
        <w:spacing w:line="560" w:lineRule="exact"/>
        <w:ind w:firstLine="0" w:firstLine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lang w:val="en-US" w:eastAsia="zh-CN"/>
        </w:rPr>
        <w:t xml:space="preserve"> </w:t>
      </w:r>
    </w:p>
    <w:p w14:paraId="54E7735B">
      <w:pPr>
        <w:keepNext w:val="0"/>
        <w:keepLines w:val="0"/>
        <w:pageBreakBefore w:val="0"/>
        <w:widowControl/>
        <w:kinsoku/>
        <w:wordWrap/>
        <w:overflowPunct/>
        <w:topLinePunct w:val="0"/>
        <w:autoSpaceDE/>
        <w:autoSpaceDN/>
        <w:bidi w:val="0"/>
        <w:snapToGrid/>
        <w:spacing w:line="5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指定送达邮箱：</w:t>
      </w:r>
    </w:p>
    <w:p w14:paraId="679956BA">
      <w:pPr>
        <w:keepNext w:val="0"/>
        <w:keepLines w:val="0"/>
        <w:pageBreakBefore w:val="0"/>
        <w:numPr>
          <w:ilvl w:val="0"/>
          <w:numId w:val="0"/>
        </w:numPr>
        <w:kinsoku/>
        <w:wordWrap/>
        <w:overflowPunct/>
        <w:topLinePunct w:val="0"/>
        <w:autoSpaceDE/>
        <w:autoSpaceDN/>
        <w:bidi w:val="0"/>
        <w:snapToGrid/>
        <w:spacing w:line="560" w:lineRule="exact"/>
        <w:ind w:left="0" w:leftChars="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一、</w:t>
      </w:r>
      <w:r>
        <w:rPr>
          <w:rFonts w:hint="eastAsia" w:ascii="宋体" w:hAnsi="宋体" w:eastAsia="宋体" w:cs="宋体"/>
          <w:b w:val="0"/>
          <w:bCs w:val="0"/>
          <w:color w:val="auto"/>
          <w:kern w:val="0"/>
          <w:sz w:val="24"/>
          <w:szCs w:val="24"/>
          <w:highlight w:val="none"/>
        </w:rPr>
        <w:t>合作内容</w:t>
      </w:r>
    </w:p>
    <w:p w14:paraId="09720880">
      <w:pPr>
        <w:keepNext w:val="0"/>
        <w:keepLines w:val="0"/>
        <w:pageBreakBefore w:val="0"/>
        <w:widowControl/>
        <w:numPr>
          <w:ilvl w:val="0"/>
          <w:numId w:val="0"/>
        </w:numPr>
        <w:kinsoku/>
        <w:wordWrap/>
        <w:overflowPunct/>
        <w:topLinePunct w:val="0"/>
        <w:autoSpaceDE/>
        <w:autoSpaceDN/>
        <w:bidi w:val="0"/>
        <w:snapToGrid/>
        <w:spacing w:line="560" w:lineRule="exact"/>
        <w:ind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w:t>
      </w:r>
      <w:r>
        <w:rPr>
          <w:rFonts w:hint="eastAsia" w:ascii="宋体" w:hAnsi="宋体" w:eastAsia="宋体" w:cs="宋体"/>
          <w:b w:val="0"/>
          <w:bCs w:val="0"/>
          <w:color w:val="auto"/>
          <w:sz w:val="24"/>
          <w:szCs w:val="24"/>
          <w:highlight w:val="none"/>
          <w:lang w:val="en-US" w:eastAsia="zh-CN"/>
        </w:rPr>
        <w:t>以“公益福彩·情暖天山”为核心主题，策划并执行公益宣传及品牌推广系列活动。活动整合品牌宣传、福彩公益展示、责任彩票展示、节目演出、互动游戏、集章抽奖、拍照打卡及线上线下联动宣传等多元形式，打造集品牌传播与用户体验于一体的公益品牌推广场景，实现品效合一的传播成效，推动品牌从“单向传播”深化为“用户深度认同”，充分彰显福利彩票公益内核与品牌温度。</w:t>
      </w:r>
    </w:p>
    <w:p w14:paraId="08029577">
      <w:pPr>
        <w:keepNext w:val="0"/>
        <w:keepLines w:val="0"/>
        <w:pageBreakBefore w:val="0"/>
        <w:numPr>
          <w:ilvl w:val="0"/>
          <w:numId w:val="0"/>
        </w:numPr>
        <w:kinsoku/>
        <w:wordWrap/>
        <w:overflowPunct/>
        <w:topLinePunct w:val="0"/>
        <w:autoSpaceDE/>
        <w:autoSpaceDN/>
        <w:bidi w:val="0"/>
        <w:snapToGrid/>
        <w:spacing w:line="560" w:lineRule="exact"/>
        <w:ind w:left="0" w:leftChars="0"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0"/>
          <w:sz w:val="24"/>
          <w:szCs w:val="24"/>
          <w:highlight w:val="none"/>
          <w:lang w:val="en-US" w:eastAsia="zh-CN"/>
        </w:rPr>
        <w:t>二、合同</w:t>
      </w:r>
      <w:r>
        <w:rPr>
          <w:rFonts w:hint="eastAsia" w:ascii="宋体" w:hAnsi="宋体" w:eastAsia="宋体" w:cs="宋体"/>
          <w:b w:val="0"/>
          <w:bCs w:val="0"/>
          <w:color w:val="auto"/>
          <w:kern w:val="0"/>
          <w:sz w:val="24"/>
          <w:szCs w:val="24"/>
          <w:highlight w:val="none"/>
        </w:rPr>
        <w:t>期限、费用及付款时间方式</w:t>
      </w:r>
    </w:p>
    <w:p w14:paraId="5409E555">
      <w:pPr>
        <w:keepNext w:val="0"/>
        <w:keepLines w:val="0"/>
        <w:pageBreakBefore w:val="0"/>
        <w:widowControl/>
        <w:suppressLineNumbers w:val="0"/>
        <w:kinsoku/>
        <w:wordWrap/>
        <w:overflowPunct/>
        <w:topLinePunct w:val="0"/>
        <w:autoSpaceDE/>
        <w:autoSpaceDN/>
        <w:bidi w:val="0"/>
        <w:snapToGrid/>
        <w:spacing w:line="56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（一）合作期限</w:t>
      </w:r>
    </w:p>
    <w:p w14:paraId="690B1B5F">
      <w:pPr>
        <w:keepNext w:val="0"/>
        <w:keepLines w:val="0"/>
        <w:pageBreakBefore w:val="0"/>
        <w:widowControl/>
        <w:suppressLineNumbers w:val="0"/>
        <w:kinsoku/>
        <w:wordWrap/>
        <w:overflowPunct/>
        <w:topLinePunct w:val="0"/>
        <w:autoSpaceDE/>
        <w:autoSpaceDN/>
        <w:bidi w:val="0"/>
        <w:snapToGrid/>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本项目合作期限为</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b w:val="0"/>
          <w:bCs w:val="0"/>
          <w:color w:val="auto"/>
          <w:kern w:val="2"/>
          <w:sz w:val="24"/>
          <w:szCs w:val="24"/>
          <w:highlight w:val="none"/>
          <w:u w:val="single"/>
          <w:lang w:val="en-US" w:eastAsia="zh-CN"/>
        </w:rPr>
        <w:t>年  月  日</w:t>
      </w:r>
      <w:r>
        <w:rPr>
          <w:rFonts w:hint="eastAsia" w:ascii="宋体" w:hAnsi="宋体" w:eastAsia="宋体" w:cs="宋体"/>
          <w:color w:val="auto"/>
          <w:kern w:val="2"/>
          <w:sz w:val="24"/>
          <w:szCs w:val="24"/>
          <w:highlight w:val="none"/>
          <w:u w:val="none"/>
        </w:rPr>
        <w:t>至</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年</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月</w:t>
      </w:r>
      <w:r>
        <w:rPr>
          <w:rFonts w:hint="eastAsia" w:ascii="宋体" w:hAnsi="宋体" w:eastAsia="宋体" w:cs="宋体"/>
          <w:color w:val="auto"/>
          <w:kern w:val="2"/>
          <w:sz w:val="24"/>
          <w:szCs w:val="24"/>
          <w:highlight w:val="none"/>
          <w:u w:val="single"/>
          <w:lang w:eastAsia="zh-CN"/>
        </w:rPr>
        <w:t xml:space="preserve">  日</w:t>
      </w:r>
      <w:r>
        <w:rPr>
          <w:rFonts w:hint="eastAsia" w:ascii="宋体" w:hAnsi="宋体" w:eastAsia="宋体" w:cs="宋体"/>
          <w:color w:val="auto"/>
          <w:kern w:val="2"/>
          <w:sz w:val="24"/>
          <w:szCs w:val="24"/>
          <w:highlight w:val="none"/>
        </w:rPr>
        <w:t>。具体</w:t>
      </w:r>
      <w:r>
        <w:rPr>
          <w:rFonts w:hint="eastAsia" w:ascii="宋体" w:hAnsi="宋体" w:eastAsia="宋体" w:cs="宋体"/>
          <w:color w:val="auto"/>
          <w:kern w:val="2"/>
          <w:sz w:val="24"/>
          <w:szCs w:val="24"/>
          <w:highlight w:val="none"/>
          <w:lang w:val="en-US" w:eastAsia="zh-CN"/>
        </w:rPr>
        <w:t>执行</w:t>
      </w:r>
      <w:r>
        <w:rPr>
          <w:rFonts w:hint="eastAsia" w:ascii="宋体" w:hAnsi="宋体" w:eastAsia="宋体" w:cs="宋体"/>
          <w:color w:val="auto"/>
          <w:kern w:val="2"/>
          <w:sz w:val="24"/>
          <w:szCs w:val="24"/>
          <w:highlight w:val="none"/>
        </w:rPr>
        <w:t>时间以实际活动</w:t>
      </w:r>
      <w:r>
        <w:rPr>
          <w:rFonts w:hint="eastAsia" w:ascii="宋体" w:hAnsi="宋体" w:eastAsia="宋体" w:cs="宋体"/>
          <w:color w:val="auto"/>
          <w:kern w:val="2"/>
          <w:sz w:val="24"/>
          <w:szCs w:val="24"/>
          <w:highlight w:val="none"/>
          <w:lang w:val="en-US" w:eastAsia="zh-CN"/>
        </w:rPr>
        <w:t>开展日期</w:t>
      </w:r>
      <w:r>
        <w:rPr>
          <w:rFonts w:hint="eastAsia" w:ascii="宋体" w:hAnsi="宋体" w:eastAsia="宋体" w:cs="宋体"/>
          <w:color w:val="auto"/>
          <w:kern w:val="2"/>
          <w:sz w:val="24"/>
          <w:szCs w:val="24"/>
          <w:highlight w:val="none"/>
        </w:rPr>
        <w:t>为准，遇不可抗力原因出现活动延迟，合同期限将自动顺延</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bidi="ar"/>
        </w:rPr>
        <w:t>顺延期限与不可抗力影响期限一致，双方互不承担违约责任。</w:t>
      </w:r>
    </w:p>
    <w:p w14:paraId="514A7EB3">
      <w:pPr>
        <w:keepNext w:val="0"/>
        <w:keepLines w:val="0"/>
        <w:pageBreakBefore w:val="0"/>
        <w:widowControl/>
        <w:suppressLineNumbers w:val="0"/>
        <w:kinsoku/>
        <w:wordWrap/>
        <w:overflowPunct/>
        <w:topLinePunct w:val="0"/>
        <w:autoSpaceDE/>
        <w:autoSpaceDN/>
        <w:bidi w:val="0"/>
        <w:snapToGrid/>
        <w:spacing w:line="56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（二）合同价款</w:t>
      </w:r>
    </w:p>
    <w:p w14:paraId="2E572040">
      <w:pPr>
        <w:keepNext w:val="0"/>
        <w:keepLines w:val="0"/>
        <w:pageBreakBefore w:val="0"/>
        <w:numPr>
          <w:ilvl w:val="0"/>
          <w:numId w:val="0"/>
        </w:numPr>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合同总价款为：</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人民币（大写）：</w:t>
      </w:r>
      <w:r>
        <w:rPr>
          <w:rFonts w:hint="eastAsia" w:ascii="宋体" w:hAnsi="宋体" w:eastAsia="宋体" w:cs="宋体"/>
          <w:color w:val="auto"/>
          <w:kern w:val="2"/>
          <w:sz w:val="24"/>
          <w:szCs w:val="24"/>
          <w:highlight w:val="none"/>
          <w:u w:val="none"/>
          <w:lang w:val="en-US" w:eastAsia="zh-CN"/>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。该价款为乙方完成本合同项下约定义务后甲方支付给乙方的所有费用，包括但不限于税费、活动策划费用、活动所需全部物料费、人员服务费、增值服务实施</w:t>
      </w:r>
      <w:r>
        <w:rPr>
          <w:rFonts w:hint="eastAsia" w:ascii="宋体" w:hAnsi="宋体" w:eastAsia="宋体" w:cs="宋体"/>
          <w:color w:val="auto"/>
          <w:kern w:val="2"/>
          <w:sz w:val="24"/>
          <w:szCs w:val="24"/>
          <w:highlight w:val="none"/>
          <w:lang w:val="en-US" w:eastAsia="zh-CN"/>
        </w:rPr>
        <w:t>费用</w:t>
      </w:r>
      <w:r>
        <w:rPr>
          <w:rFonts w:hint="eastAsia" w:ascii="宋体" w:hAnsi="宋体" w:eastAsia="宋体" w:cs="宋体"/>
          <w:color w:val="auto"/>
          <w:kern w:val="2"/>
          <w:sz w:val="24"/>
          <w:szCs w:val="24"/>
          <w:highlight w:val="none"/>
        </w:rPr>
        <w:t>等乙方履行本合同的全部费用。</w:t>
      </w:r>
    </w:p>
    <w:p w14:paraId="211ADA40">
      <w:pPr>
        <w:keepNext w:val="0"/>
        <w:keepLines w:val="0"/>
        <w:pageBreakBefore w:val="0"/>
        <w:widowControl/>
        <w:suppressLineNumbers w:val="0"/>
        <w:kinsoku/>
        <w:wordWrap/>
        <w:overflowPunct/>
        <w:topLinePunct w:val="0"/>
        <w:autoSpaceDE/>
        <w:autoSpaceDN/>
        <w:bidi w:val="0"/>
        <w:snapToGrid/>
        <w:spacing w:line="56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（三）履约保证金</w:t>
      </w:r>
    </w:p>
    <w:p w14:paraId="0EAF176B">
      <w:pPr>
        <w:keepNext w:val="0"/>
        <w:keepLines w:val="0"/>
        <w:pageBreakBefore w:val="0"/>
        <w:numPr>
          <w:ilvl w:val="0"/>
          <w:numId w:val="0"/>
        </w:numPr>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乙方应在合同签订之日起</w:t>
      </w:r>
      <w:r>
        <w:rPr>
          <w:rFonts w:hint="eastAsia" w:ascii="宋体" w:hAnsi="宋体" w:eastAsia="宋体" w:cs="宋体"/>
          <w:color w:val="auto"/>
          <w:kern w:val="2"/>
          <w:sz w:val="24"/>
          <w:szCs w:val="24"/>
          <w:highlight w:val="none"/>
          <w:u w:val="none"/>
          <w:lang w:val="en-US" w:eastAsia="zh-CN"/>
        </w:rPr>
        <w:t>7</w:t>
      </w:r>
      <w:r>
        <w:rPr>
          <w:rFonts w:hint="eastAsia" w:ascii="宋体" w:hAnsi="宋体" w:eastAsia="宋体" w:cs="宋体"/>
          <w:color w:val="auto"/>
          <w:kern w:val="2"/>
          <w:sz w:val="24"/>
          <w:szCs w:val="24"/>
          <w:highlight w:val="none"/>
          <w:u w:val="none"/>
        </w:rPr>
        <w:t>个工作日</w:t>
      </w:r>
      <w:r>
        <w:rPr>
          <w:rFonts w:hint="eastAsia" w:ascii="宋体" w:hAnsi="宋体" w:eastAsia="宋体" w:cs="宋体"/>
          <w:color w:val="auto"/>
          <w:kern w:val="2"/>
          <w:sz w:val="24"/>
          <w:szCs w:val="24"/>
          <w:highlight w:val="none"/>
        </w:rPr>
        <w:t>内向甲方</w:t>
      </w:r>
      <w:r>
        <w:rPr>
          <w:rFonts w:hint="eastAsia" w:ascii="宋体" w:hAnsi="宋体" w:eastAsia="宋体" w:cs="宋体"/>
          <w:color w:val="auto"/>
          <w:kern w:val="2"/>
          <w:sz w:val="24"/>
          <w:szCs w:val="24"/>
          <w:highlight w:val="none"/>
          <w:lang w:val="en-US" w:eastAsia="zh-CN"/>
        </w:rPr>
        <w:t>指定账户</w:t>
      </w:r>
      <w:r>
        <w:rPr>
          <w:rFonts w:hint="eastAsia" w:ascii="宋体" w:hAnsi="宋体" w:eastAsia="宋体" w:cs="宋体"/>
          <w:color w:val="auto"/>
          <w:kern w:val="2"/>
          <w:sz w:val="24"/>
          <w:szCs w:val="24"/>
          <w:highlight w:val="none"/>
        </w:rPr>
        <w:t>缴纳履约保证金</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履约保证金为签约合同价的10%，人民币（大写）</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（小</w:t>
      </w:r>
      <w:r>
        <w:rPr>
          <w:rFonts w:hint="eastAsia" w:ascii="宋体" w:hAnsi="宋体" w:eastAsia="宋体" w:cs="宋体"/>
          <w:color w:val="auto"/>
          <w:kern w:val="2"/>
          <w:sz w:val="24"/>
          <w:szCs w:val="24"/>
          <w:highlight w:val="none"/>
          <w:lang w:val="en-US" w:eastAsia="zh-CN"/>
        </w:rPr>
        <w:t>写</w:t>
      </w:r>
      <w:r>
        <w:rPr>
          <w:rFonts w:hint="eastAsia" w:ascii="宋体" w:hAnsi="宋体" w:eastAsia="宋体" w:cs="宋体"/>
          <w:color w:val="auto"/>
          <w:kern w:val="2"/>
          <w:sz w:val="24"/>
          <w:szCs w:val="24"/>
          <w:highlight w:val="none"/>
          <w:u w:val="none"/>
          <w:lang w:val="en-US" w:eastAsia="zh-CN"/>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元整）。</w:t>
      </w:r>
    </w:p>
    <w:p w14:paraId="119E00E7">
      <w:pPr>
        <w:keepNext w:val="0"/>
        <w:keepLines w:val="0"/>
        <w:pageBreakBefore w:val="0"/>
        <w:widowControl/>
        <w:numPr>
          <w:ilvl w:val="0"/>
          <w:numId w:val="0"/>
        </w:numPr>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在合同履行期间，甲方可根据实际情况扣除履约保证金，</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甲方扣除履约保证金，乙方应在甲方扣除之日起</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rPr>
        <w:t>日内将履约保证金补足至合同总金额</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u w:val="none"/>
        </w:rPr>
        <w:t>10%</w:t>
      </w:r>
      <w:r>
        <w:rPr>
          <w:rFonts w:hint="eastAsia" w:ascii="宋体" w:hAnsi="宋体" w:eastAsia="宋体" w:cs="宋体"/>
          <w:color w:val="auto"/>
          <w:sz w:val="24"/>
          <w:szCs w:val="24"/>
          <w:highlight w:val="none"/>
        </w:rPr>
        <w:t>。</w:t>
      </w:r>
    </w:p>
    <w:p w14:paraId="7F40E53B">
      <w:pPr>
        <w:keepNext w:val="0"/>
        <w:keepLines w:val="0"/>
        <w:pageBreakBefore w:val="0"/>
        <w:widowControl/>
        <w:suppressLineNumbers w:val="0"/>
        <w:kinsoku/>
        <w:wordWrap/>
        <w:overflowPunct/>
        <w:topLinePunct w:val="0"/>
        <w:autoSpaceDE/>
        <w:autoSpaceDN/>
        <w:bidi w:val="0"/>
        <w:snapToGrid/>
        <w:spacing w:line="56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（四）付款方式</w:t>
      </w:r>
    </w:p>
    <w:p w14:paraId="3A0D727C">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在确定活动实施方案并签订合同后，本项目费用分为</w:t>
      </w:r>
      <w:r>
        <w:rPr>
          <w:rFonts w:hint="eastAsia" w:cs="宋体"/>
          <w:color w:val="auto"/>
          <w:kern w:val="2"/>
          <w:sz w:val="24"/>
          <w:szCs w:val="24"/>
          <w:highlight w:val="none"/>
          <w:lang w:val="en-US" w:eastAsia="zh-CN"/>
        </w:rPr>
        <w:t>三</w:t>
      </w:r>
      <w:r>
        <w:rPr>
          <w:rFonts w:hint="eastAsia" w:ascii="宋体" w:hAnsi="宋体" w:eastAsia="宋体" w:cs="宋体"/>
          <w:color w:val="auto"/>
          <w:kern w:val="2"/>
          <w:sz w:val="24"/>
          <w:szCs w:val="24"/>
          <w:highlight w:val="none"/>
          <w:lang w:val="en-US" w:eastAsia="zh-CN"/>
        </w:rPr>
        <w:t>次支付，双</w:t>
      </w:r>
      <w:r>
        <w:rPr>
          <w:rFonts w:hint="eastAsia" w:ascii="宋体" w:hAnsi="宋体" w:eastAsia="宋体" w:cs="宋体"/>
          <w:color w:val="auto"/>
          <w:sz w:val="24"/>
          <w:highlight w:val="none"/>
          <w:lang w:val="en-US" w:eastAsia="zh-CN"/>
        </w:rPr>
        <w:t>方签订合同</w:t>
      </w:r>
      <w:r>
        <w:rPr>
          <w:rFonts w:hint="eastAsia" w:ascii="宋体" w:hAnsi="宋体" w:cs="宋体"/>
          <w:color w:val="auto"/>
          <w:sz w:val="24"/>
          <w:highlight w:val="none"/>
          <w:lang w:val="en-US" w:eastAsia="zh-CN"/>
        </w:rPr>
        <w:t>完</w:t>
      </w:r>
      <w:r>
        <w:rPr>
          <w:rFonts w:hint="eastAsia" w:cs="宋体"/>
          <w:color w:val="auto"/>
          <w:sz w:val="24"/>
          <w:highlight w:val="none"/>
          <w:lang w:val="en-US" w:eastAsia="zh-CN"/>
        </w:rPr>
        <w:t>成后</w:t>
      </w:r>
      <w:r>
        <w:rPr>
          <w:rFonts w:hint="eastAsia" w:ascii="宋体" w:hAnsi="宋体" w:eastAsia="宋体" w:cs="宋体"/>
          <w:color w:val="auto"/>
          <w:kern w:val="2"/>
          <w:sz w:val="24"/>
          <w:szCs w:val="24"/>
          <w:highlight w:val="none"/>
          <w:lang w:val="en-US" w:eastAsia="zh-CN"/>
        </w:rPr>
        <w:t>支付费用</w:t>
      </w:r>
      <w:r>
        <w:rPr>
          <w:rFonts w:hint="eastAsia" w:cs="宋体"/>
          <w:color w:val="auto"/>
          <w:kern w:val="2"/>
          <w:sz w:val="24"/>
          <w:szCs w:val="24"/>
          <w:highlight w:val="none"/>
          <w:lang w:val="en-US" w:eastAsia="zh-CN"/>
        </w:rPr>
        <w:t>55</w:t>
      </w:r>
      <w:r>
        <w:rPr>
          <w:rFonts w:hint="eastAsia" w:ascii="宋体" w:hAnsi="宋体" w:eastAsia="宋体" w:cs="宋体"/>
          <w:color w:val="auto"/>
          <w:kern w:val="2"/>
          <w:sz w:val="24"/>
          <w:szCs w:val="24"/>
          <w:highlight w:val="none"/>
          <w:lang w:val="en-US" w:eastAsia="zh-CN"/>
        </w:rPr>
        <w:t>%（具体金额：</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）；2026年8月，若已开展的活动（不少于10个城市）均验收合格后，支付费用</w:t>
      </w:r>
      <w:r>
        <w:rPr>
          <w:rFonts w:hint="eastAsia" w:cs="宋体"/>
          <w:color w:val="auto"/>
          <w:kern w:val="2"/>
          <w:sz w:val="24"/>
          <w:szCs w:val="24"/>
          <w:highlight w:val="none"/>
          <w:lang w:val="en-US" w:eastAsia="zh-CN"/>
        </w:rPr>
        <w:t>35</w:t>
      </w:r>
      <w:r>
        <w:rPr>
          <w:rFonts w:hint="eastAsia" w:ascii="宋体" w:hAnsi="宋体" w:eastAsia="宋体" w:cs="宋体"/>
          <w:color w:val="auto"/>
          <w:kern w:val="2"/>
          <w:sz w:val="24"/>
          <w:szCs w:val="24"/>
          <w:highlight w:val="none"/>
          <w:lang w:val="en-US" w:eastAsia="zh-CN"/>
        </w:rPr>
        <w:t>%（具体金额：</w:t>
      </w:r>
      <w:r>
        <w:rPr>
          <w:rFonts w:hint="eastAsia" w:ascii="宋体" w:hAnsi="宋体" w:eastAsia="宋体" w:cs="宋体"/>
          <w:color w:val="auto"/>
          <w:kern w:val="2"/>
          <w:sz w:val="24"/>
          <w:szCs w:val="24"/>
          <w:highlight w:val="none"/>
          <w:u w:val="single"/>
          <w:lang w:val="en-US" w:eastAsia="zh-CN"/>
        </w:rPr>
        <w:t xml:space="preserve">  </w:t>
      </w:r>
      <w:r>
        <w:rPr>
          <w:rFonts w:hint="eastAsia"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）；在项目结案且履约验收合格后</w:t>
      </w:r>
      <w:r>
        <w:rPr>
          <w:rFonts w:hint="eastAsia" w:cs="宋体"/>
          <w:color w:val="auto"/>
          <w:kern w:val="2"/>
          <w:sz w:val="24"/>
          <w:szCs w:val="24"/>
          <w:highlight w:val="none"/>
          <w:lang w:val="en-US" w:eastAsia="zh-CN"/>
        </w:rPr>
        <w:t>，支付</w:t>
      </w:r>
      <w:r>
        <w:rPr>
          <w:rFonts w:hint="eastAsia" w:ascii="宋体" w:hAnsi="宋体" w:eastAsia="宋体" w:cs="宋体"/>
          <w:color w:val="auto"/>
          <w:kern w:val="2"/>
          <w:sz w:val="24"/>
          <w:szCs w:val="24"/>
          <w:highlight w:val="none"/>
          <w:lang w:val="en-US" w:eastAsia="zh-CN"/>
        </w:rPr>
        <w:t>剩余尾款10%（具体金额：</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w:t>
      </w:r>
      <w:r>
        <w:rPr>
          <w:rFonts w:hint="eastAsia" w:cs="宋体"/>
          <w:color w:val="auto"/>
          <w:kern w:val="2"/>
          <w:sz w:val="24"/>
          <w:szCs w:val="24"/>
          <w:highlight w:val="none"/>
          <w:lang w:val="en-US" w:eastAsia="zh-CN"/>
        </w:rPr>
        <w:t>并</w:t>
      </w:r>
      <w:r>
        <w:rPr>
          <w:rFonts w:hint="eastAsia" w:ascii="宋体" w:hAnsi="宋体" w:eastAsia="宋体" w:cs="宋体"/>
          <w:color w:val="auto"/>
          <w:kern w:val="2"/>
          <w:sz w:val="24"/>
          <w:szCs w:val="24"/>
          <w:highlight w:val="none"/>
          <w:lang w:val="en-US" w:eastAsia="zh-CN"/>
        </w:rPr>
        <w:t>一次性无息退还履约保证金。</w:t>
      </w:r>
    </w:p>
    <w:p w14:paraId="1E5C09B8">
      <w:pPr>
        <w:keepNext w:val="0"/>
        <w:keepLines w:val="0"/>
        <w:pageBreakBefore w:val="0"/>
        <w:widowControl/>
        <w:numPr>
          <w:ilvl w:val="0"/>
          <w:numId w:val="0"/>
        </w:numPr>
        <w:kinsoku/>
        <w:wordWrap/>
        <w:overflowPunct/>
        <w:topLinePunct w:val="0"/>
        <w:autoSpaceDE/>
        <w:autoSpaceDN/>
        <w:bidi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甲方通过财政国库集中支付，如遇财政国库系统原因不能按时付款，应顺延付款时间，且不视为甲方违约，支付方式为电汇。若</w:t>
      </w:r>
      <w:r>
        <w:rPr>
          <w:rFonts w:hint="eastAsia" w:ascii="宋体" w:hAnsi="宋体" w:eastAsia="宋体" w:cs="宋体"/>
          <w:color w:val="auto"/>
          <w:kern w:val="2"/>
          <w:sz w:val="24"/>
          <w:szCs w:val="24"/>
          <w:highlight w:val="none"/>
          <w:lang w:eastAsia="zh-CN"/>
        </w:rPr>
        <w:t>出现甲方</w:t>
      </w:r>
      <w:r>
        <w:rPr>
          <w:rFonts w:hint="eastAsia" w:ascii="宋体" w:hAnsi="宋体" w:eastAsia="宋体" w:cs="宋体"/>
          <w:color w:val="auto"/>
          <w:kern w:val="2"/>
          <w:sz w:val="24"/>
          <w:szCs w:val="24"/>
          <w:highlight w:val="none"/>
        </w:rPr>
        <w:t>扣除乙方履约保证金的情况，乙方必须在甲方扣除之日起5个工作日内，将履约保证金补足。</w:t>
      </w:r>
    </w:p>
    <w:p w14:paraId="277A6FB0">
      <w:pPr>
        <w:keepNext w:val="0"/>
        <w:keepLines w:val="0"/>
        <w:pageBreakBefore w:val="0"/>
        <w:widowControl/>
        <w:suppressLineNumbers w:val="0"/>
        <w:kinsoku/>
        <w:wordWrap/>
        <w:overflowPunct/>
        <w:topLinePunct w:val="0"/>
        <w:autoSpaceDE/>
        <w:autoSpaceDN/>
        <w:bidi w:val="0"/>
        <w:snapToGrid/>
        <w:spacing w:line="56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（五）收款账户信息</w:t>
      </w:r>
    </w:p>
    <w:p w14:paraId="6DFB9E6F">
      <w:pPr>
        <w:keepNext w:val="0"/>
        <w:keepLines w:val="0"/>
        <w:pageBreakBefore w:val="0"/>
        <w:widowControl/>
        <w:numPr>
          <w:ilvl w:val="0"/>
          <w:numId w:val="0"/>
        </w:numPr>
        <w:kinsoku/>
        <w:wordWrap/>
        <w:overflowPunct/>
        <w:topLinePunct w:val="0"/>
        <w:autoSpaceDE/>
        <w:autoSpaceDN/>
        <w:bidi w:val="0"/>
        <w:snapToGrid/>
        <w:spacing w:line="560" w:lineRule="exact"/>
        <w:ind w:firstLine="480" w:firstLineChars="200"/>
        <w:jc w:val="left"/>
        <w:textAlignment w:val="auto"/>
        <w:outlineLvl w:val="9"/>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甲方指定收款账号</w:t>
      </w:r>
    </w:p>
    <w:tbl>
      <w:tblPr>
        <w:tblStyle w:val="32"/>
        <w:tblW w:w="6880" w:type="dxa"/>
        <w:tblInd w:w="4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0"/>
      </w:tblGrid>
      <w:tr w14:paraId="6A4C3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6880" w:type="dxa"/>
            <w:vAlign w:val="top"/>
          </w:tcPr>
          <w:p w14:paraId="03A83292">
            <w:pPr>
              <w:keepNext w:val="0"/>
              <w:keepLines w:val="0"/>
              <w:pageBreakBefore w:val="0"/>
              <w:kinsoku/>
              <w:wordWrap/>
              <w:overflowPunct/>
              <w:topLinePunct w:val="0"/>
              <w:autoSpaceDE/>
              <w:autoSpaceDN/>
              <w:bidi w:val="0"/>
              <w:snapToGrid/>
              <w:spacing w:line="5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户  名： 新疆维吾尔自治区福利彩票发行中心              </w:t>
            </w:r>
          </w:p>
        </w:tc>
      </w:tr>
      <w:tr w14:paraId="3D920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6880" w:type="dxa"/>
            <w:vAlign w:val="top"/>
          </w:tcPr>
          <w:p w14:paraId="37517609">
            <w:pPr>
              <w:pStyle w:val="72"/>
              <w:keepNext w:val="0"/>
              <w:keepLines w:val="0"/>
              <w:pageBreakBefore w:val="0"/>
              <w:kinsoku/>
              <w:wordWrap/>
              <w:overflowPunct/>
              <w:topLinePunct w:val="0"/>
              <w:autoSpaceDE/>
              <w:autoSpaceDN/>
              <w:bidi w:val="0"/>
              <w:snapToGrid/>
              <w:spacing w:line="5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开户行： 工商银行乌鲁木齐南昌路支行</w:t>
            </w:r>
          </w:p>
        </w:tc>
      </w:tr>
      <w:tr w14:paraId="03C92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6880" w:type="dxa"/>
            <w:vAlign w:val="top"/>
          </w:tcPr>
          <w:p w14:paraId="77663387">
            <w:pPr>
              <w:pStyle w:val="72"/>
              <w:keepNext w:val="0"/>
              <w:keepLines w:val="0"/>
              <w:pageBreakBefore w:val="0"/>
              <w:kinsoku/>
              <w:wordWrap/>
              <w:overflowPunct/>
              <w:topLinePunct w:val="0"/>
              <w:autoSpaceDE/>
              <w:autoSpaceDN/>
              <w:bidi w:val="0"/>
              <w:snapToGrid/>
              <w:spacing w:line="5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账  号： 3002013909024912671 </w:t>
            </w:r>
          </w:p>
        </w:tc>
      </w:tr>
    </w:tbl>
    <w:p w14:paraId="1B73AD92">
      <w:pPr>
        <w:pStyle w:val="72"/>
        <w:keepNext w:val="0"/>
        <w:keepLines w:val="0"/>
        <w:pageBreakBefore w:val="0"/>
        <w:tabs>
          <w:tab w:val="left" w:pos="0"/>
        </w:tabs>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rPr>
        <w:t>乙方指定收款账号</w:t>
      </w:r>
    </w:p>
    <w:p w14:paraId="7E5F8A4E">
      <w:pPr>
        <w:keepNext w:val="0"/>
        <w:keepLines w:val="0"/>
        <w:pageBreakBefore w:val="0"/>
        <w:widowControl/>
        <w:numPr>
          <w:ilvl w:val="0"/>
          <w:numId w:val="0"/>
        </w:numPr>
        <w:suppressLineNumbers w:val="0"/>
        <w:kinsoku/>
        <w:wordWrap/>
        <w:overflowPunct/>
        <w:topLinePunct w:val="0"/>
        <w:autoSpaceDE/>
        <w:autoSpaceDN/>
        <w:bidi w:val="0"/>
        <w:snapToGrid/>
        <w:spacing w:line="56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账号：</w:t>
      </w:r>
    </w:p>
    <w:p w14:paraId="782CA9A0">
      <w:pPr>
        <w:keepNext w:val="0"/>
        <w:keepLines w:val="0"/>
        <w:pageBreakBefore w:val="0"/>
        <w:widowControl/>
        <w:numPr>
          <w:ilvl w:val="0"/>
          <w:numId w:val="0"/>
        </w:numPr>
        <w:suppressLineNumbers w:val="0"/>
        <w:kinsoku/>
        <w:wordWrap/>
        <w:overflowPunct/>
        <w:topLinePunct w:val="0"/>
        <w:autoSpaceDE/>
        <w:autoSpaceDN/>
        <w:bidi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 xml:space="preserve">开户行： </w:t>
      </w:r>
    </w:p>
    <w:p w14:paraId="7996A81C">
      <w:pPr>
        <w:keepNext w:val="0"/>
        <w:keepLines w:val="0"/>
        <w:pageBreakBefore w:val="0"/>
        <w:widowControl/>
        <w:numPr>
          <w:ilvl w:val="0"/>
          <w:numId w:val="0"/>
        </w:numPr>
        <w:suppressLineNumbers w:val="0"/>
        <w:kinsoku/>
        <w:wordWrap/>
        <w:overflowPunct/>
        <w:topLinePunct w:val="0"/>
        <w:autoSpaceDE/>
        <w:autoSpaceDN/>
        <w:bidi w:val="0"/>
        <w:snapToGrid/>
        <w:spacing w:line="560" w:lineRule="exact"/>
        <w:ind w:firstLine="480" w:firstLineChars="200"/>
        <w:jc w:val="left"/>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2"/>
          <w:sz w:val="24"/>
          <w:szCs w:val="24"/>
          <w:highlight w:val="none"/>
          <w:lang w:val="en-US" w:eastAsia="zh-CN" w:bidi="ar"/>
        </w:rPr>
        <w:t xml:space="preserve">企业名称： </w:t>
      </w:r>
    </w:p>
    <w:p w14:paraId="3A93A67F">
      <w:pPr>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三、具体合作内容（暂为采购需求内容，正式合同中的内容以成交供应商满足采购需求提供的实施方案为准）</w:t>
      </w:r>
    </w:p>
    <w:p w14:paraId="707474E8">
      <w:pPr>
        <w:keepNext w:val="0"/>
        <w:keepLines w:val="0"/>
        <w:pageBreakBefore w:val="0"/>
        <w:widowControl w:val="0"/>
        <w:numPr>
          <w:ilvl w:val="0"/>
          <w:numId w:val="0"/>
        </w:numPr>
        <w:kinsoku/>
        <w:wordWrap/>
        <w:overflowPunct/>
        <w:topLinePunct w:val="0"/>
        <w:autoSpaceDE/>
        <w:autoSpaceDN/>
        <w:bidi w:val="0"/>
        <w:snapToGrid/>
        <w:spacing w:line="560" w:lineRule="exact"/>
        <w:ind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项目所有内容的具体实施，均由乙方负责，包括但不限于物料设计制作、仓储运输、现场搭建与拆卸、场地租赁及手续办理、与场地方沟通对接、活动场地清理、音响灯光设备调试、工作人员招募培训与管理、奖品纪念品采购与发放、线上小程序开发与现场秩序维护、现场安全保障、相关部门备案等，所产生的费用均由乙方承担，甲方仅提供必要的政策指导及福彩相关宣传材料。</w:t>
      </w:r>
    </w:p>
    <w:p w14:paraId="27EE1FDF">
      <w:pPr>
        <w:keepNext w:val="0"/>
        <w:keepLines w:val="0"/>
        <w:pageBreakBefore w:val="0"/>
        <w:widowControl/>
        <w:suppressLineNumbers w:val="0"/>
        <w:kinsoku/>
        <w:wordWrap/>
        <w:overflowPunct/>
        <w:topLinePunct w:val="0"/>
        <w:autoSpaceDE/>
        <w:autoSpaceDN/>
        <w:bidi w:val="0"/>
        <w:snapToGrid/>
        <w:spacing w:line="56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（一）项目执行标准</w:t>
      </w:r>
    </w:p>
    <w:p w14:paraId="542D993D">
      <w:pPr>
        <w:keepNext w:val="0"/>
        <w:keepLines w:val="0"/>
        <w:pageBreakBefore w:val="0"/>
        <w:widowControl/>
        <w:numPr>
          <w:ilvl w:val="0"/>
          <w:numId w:val="0"/>
        </w:numPr>
        <w:kinsoku/>
        <w:wordWrap/>
        <w:overflowPunct/>
        <w:topLinePunct w:val="0"/>
        <w:autoSpaceDE/>
        <w:autoSpaceDN/>
        <w:bidi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1.活动</w:t>
      </w:r>
      <w:r>
        <w:rPr>
          <w:rFonts w:hint="eastAsia" w:ascii="宋体" w:hAnsi="宋体" w:eastAsia="宋体" w:cs="宋体"/>
          <w:color w:val="auto"/>
          <w:sz w:val="24"/>
          <w:szCs w:val="24"/>
          <w:highlight w:val="none"/>
          <w:lang w:val="en-US" w:eastAsia="zh-CN"/>
        </w:rPr>
        <w:t>时间、地点及场次</w:t>
      </w:r>
    </w:p>
    <w:p w14:paraId="5CE9F6DA">
      <w:pPr>
        <w:keepNext w:val="0"/>
        <w:keepLines w:val="0"/>
        <w:pageBreakBefore w:val="0"/>
        <w:widowControl/>
        <w:kinsoku/>
        <w:wordWrap/>
        <w:overflowPunct/>
        <w:topLinePunct w:val="0"/>
        <w:autoSpaceDE/>
        <w:autoSpaceDN/>
        <w:bidi w:val="0"/>
        <w:snapToGrid/>
        <w:spacing w:line="5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甲方委托乙方</w:t>
      </w:r>
      <w:r>
        <w:rPr>
          <w:rFonts w:hint="eastAsia" w:ascii="宋体" w:hAnsi="宋体" w:eastAsia="宋体" w:cs="宋体"/>
          <w:color w:val="auto"/>
          <w:sz w:val="24"/>
          <w:szCs w:val="24"/>
          <w:highlight w:val="none"/>
          <w:lang w:val="en-US" w:eastAsia="zh-CN"/>
        </w:rPr>
        <w:t>于</w:t>
      </w:r>
      <w:r>
        <w:rPr>
          <w:rFonts w:hint="eastAsia" w:ascii="宋体" w:hAnsi="宋体" w:eastAsia="宋体" w:cs="宋体"/>
          <w:b w:val="0"/>
          <w:bCs w:val="0"/>
          <w:color w:val="auto"/>
          <w:sz w:val="24"/>
          <w:szCs w:val="24"/>
          <w:highlight w:val="none"/>
          <w:lang w:val="en-US" w:eastAsia="zh-CN"/>
        </w:rPr>
        <w:t>2026年</w:t>
      </w:r>
      <w:r>
        <w:rPr>
          <w:rFonts w:hint="eastAsia"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月至9月期间</w:t>
      </w:r>
      <w:r>
        <w:rPr>
          <w:rFonts w:hint="eastAsia" w:ascii="宋体" w:hAnsi="宋体" w:eastAsia="宋体" w:cs="宋体"/>
          <w:b w:val="0"/>
          <w:bCs w:val="0"/>
          <w:color w:val="auto"/>
          <w:sz w:val="24"/>
          <w:szCs w:val="24"/>
          <w:highlight w:val="none"/>
          <w:lang w:val="en-US" w:eastAsia="zh-CN"/>
        </w:rPr>
        <w:t>，利用</w:t>
      </w:r>
      <w:r>
        <w:rPr>
          <w:rFonts w:hint="eastAsia" w:ascii="宋体" w:hAnsi="宋体" w:eastAsia="宋体" w:cs="宋体"/>
          <w:color w:val="auto"/>
          <w:sz w:val="24"/>
          <w:szCs w:val="24"/>
          <w:highlight w:val="none"/>
          <w:lang w:val="en-US" w:eastAsia="zh-CN"/>
        </w:rPr>
        <w:t>周末时间</w:t>
      </w:r>
      <w:r>
        <w:rPr>
          <w:rFonts w:hint="eastAsia" w:ascii="宋体" w:hAnsi="宋体" w:eastAsia="宋体" w:cs="宋体"/>
          <w:b w:val="0"/>
          <w:bCs w:val="0"/>
          <w:color w:val="auto"/>
          <w:sz w:val="24"/>
          <w:szCs w:val="24"/>
          <w:highlight w:val="none"/>
          <w:lang w:val="en-US" w:eastAsia="zh-CN"/>
        </w:rPr>
        <w:t>在乌鲁木齐市、克拉玛依市、哈密市、昌吉市、伊宁市、吐鲁番市、塔城市、阿勒泰市、博乐市、库尔勒市、阿克苏市、喀什市、和田市、阿图什市共14个城市的商场或户外场地开展公益地推活动，每个城市各开展</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场（每日1场），活动总场次为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场，每场活动持续时间不少于</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小时。</w:t>
      </w:r>
      <w:r>
        <w:rPr>
          <w:rFonts w:hint="eastAsia" w:ascii="宋体" w:hAnsi="宋体" w:eastAsia="宋体" w:cs="宋体"/>
          <w:color w:val="auto"/>
          <w:sz w:val="24"/>
          <w:szCs w:val="24"/>
          <w:highlight w:val="none"/>
          <w:lang w:val="en-US" w:eastAsia="zh-CN"/>
        </w:rPr>
        <w:t>场次计划可根据实际调整。</w:t>
      </w:r>
    </w:p>
    <w:p w14:paraId="348D4CAC">
      <w:pPr>
        <w:keepNext w:val="0"/>
        <w:keepLines w:val="0"/>
        <w:pageBreakBefore w:val="0"/>
        <w:widowControl/>
        <w:kinsoku/>
        <w:wordWrap/>
        <w:overflowPunct/>
        <w:topLinePunct w:val="0"/>
        <w:autoSpaceDE/>
        <w:autoSpaceDN/>
        <w:bidi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活动选择在客流量大、</w:t>
      </w:r>
      <w:r>
        <w:rPr>
          <w:rFonts w:hint="eastAsia" w:ascii="宋体" w:hAnsi="宋体" w:eastAsia="宋体" w:cs="宋体"/>
          <w:color w:val="auto"/>
          <w:sz w:val="24"/>
          <w:szCs w:val="24"/>
          <w:highlight w:val="none"/>
          <w:lang w:val="en-US" w:eastAsia="zh-CN"/>
        </w:rPr>
        <w:t>年轻客群占比高的核心商圈商场中庭或户外广场</w:t>
      </w:r>
      <w:r>
        <w:rPr>
          <w:rFonts w:hint="eastAsia" w:ascii="宋体" w:hAnsi="宋体" w:eastAsia="宋体" w:cs="宋体"/>
          <w:b w:val="0"/>
          <w:bCs w:val="0"/>
          <w:color w:val="auto"/>
          <w:sz w:val="24"/>
          <w:szCs w:val="24"/>
          <w:highlight w:val="none"/>
          <w:lang w:val="en-US" w:eastAsia="zh-CN"/>
        </w:rPr>
        <w:t>（2选1）</w:t>
      </w:r>
      <w:r>
        <w:rPr>
          <w:rFonts w:hint="eastAsia" w:ascii="宋体" w:hAnsi="宋体" w:eastAsia="宋体" w:cs="宋体"/>
          <w:color w:val="auto"/>
          <w:sz w:val="24"/>
          <w:szCs w:val="24"/>
          <w:highlight w:val="none"/>
          <w:lang w:val="en-US" w:eastAsia="zh-CN"/>
        </w:rPr>
        <w:t>。具体场地由中标乙方根据此标准选择并报采购人确认。选择的场地（包含但不限于）：乌鲁木齐市会展吾悦广场或新疆大巴扎、喀什市古城万达广场或东城万达、伊宁市万荣购物中心、库尔勒市新汇嘉商场、昌吉市汇嘉时代广场、塔城市卓悦百盛购物中心或千泉湖广场、哈密市汇嘉时代商业综合体、克拉玛依市新汇嘉商场或汇嘉滨河广场、阿克苏市世纪广场或天百商场、和田市金鹰国际商场、阿勒泰市五百里风情街、博州赛里木湖景区、阿图什市幸福小区广场、吐鲁番市西游步行街。</w:t>
      </w:r>
    </w:p>
    <w:p w14:paraId="14A2B226">
      <w:pPr>
        <w:keepNext w:val="0"/>
        <w:keepLines w:val="0"/>
        <w:pageBreakBefore w:val="0"/>
        <w:widowControl/>
        <w:numPr>
          <w:ilvl w:val="0"/>
          <w:numId w:val="0"/>
        </w:numPr>
        <w:kinsoku/>
        <w:wordWrap/>
        <w:overflowPunct/>
        <w:topLinePunct w:val="0"/>
        <w:autoSpaceDE/>
        <w:autoSpaceDN/>
        <w:bidi w:val="0"/>
        <w:snapToGrid/>
        <w:spacing w:line="560" w:lineRule="exact"/>
        <w:ind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2.活动开展方式</w:t>
      </w:r>
    </w:p>
    <w:p w14:paraId="3033DCE5">
      <w:pPr>
        <w:keepNext w:val="0"/>
        <w:keepLines w:val="0"/>
        <w:pageBreakBefore w:val="0"/>
        <w:widowControl/>
        <w:kinsoku/>
        <w:wordWrap/>
        <w:overflowPunct/>
        <w:topLinePunct w:val="0"/>
        <w:autoSpaceDE/>
        <w:autoSpaceDN/>
        <w:bidi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乙方应按照甲方要求的时间节点，制定地推活动实施方案，内容包含但不限于</w:t>
      </w:r>
      <w:r>
        <w:rPr>
          <w:rFonts w:hint="eastAsia" w:ascii="宋体" w:hAnsi="宋体" w:eastAsia="宋体" w:cs="宋体"/>
          <w:color w:val="auto"/>
          <w:sz w:val="24"/>
          <w:szCs w:val="24"/>
          <w:highlight w:val="none"/>
          <w:lang w:val="en-US" w:eastAsia="zh-CN"/>
        </w:rPr>
        <w:t>活动设计、场地搭建、现场宣传、购彩体验、节目演出、游戏互动、抽奖环节、观看开奖、线上+线下营销宣传等方式</w:t>
      </w:r>
      <w:r>
        <w:rPr>
          <w:rFonts w:hint="eastAsia" w:ascii="宋体" w:hAnsi="宋体" w:eastAsia="宋体" w:cs="宋体"/>
          <w:color w:val="auto"/>
          <w:sz w:val="24"/>
          <w:szCs w:val="24"/>
          <w:highlight w:val="none"/>
        </w:rPr>
        <w:t>。</w:t>
      </w:r>
    </w:p>
    <w:p w14:paraId="560C019C">
      <w:pPr>
        <w:keepNext w:val="0"/>
        <w:keepLines w:val="0"/>
        <w:pageBreakBefore w:val="0"/>
        <w:widowControl/>
        <w:numPr>
          <w:ilvl w:val="0"/>
          <w:numId w:val="0"/>
        </w:numPr>
        <w:kinsoku/>
        <w:wordWrap/>
        <w:overflowPunct/>
        <w:topLinePunct w:val="0"/>
        <w:autoSpaceDE/>
        <w:autoSpaceDN/>
        <w:bidi w:val="0"/>
        <w:snapToGrid/>
        <w:spacing w:line="560" w:lineRule="exact"/>
        <w:ind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3.合作目标</w:t>
      </w:r>
    </w:p>
    <w:p w14:paraId="4F05AF6C">
      <w:pPr>
        <w:keepNext w:val="0"/>
        <w:keepLines w:val="0"/>
        <w:pageBreakBefore w:val="0"/>
        <w:widowControl/>
        <w:kinsoku/>
        <w:wordWrap/>
        <w:overflowPunct/>
        <w:topLinePunct w:val="0"/>
        <w:autoSpaceDE/>
        <w:autoSpaceDN/>
        <w:bidi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（1）进一步弘扬福利彩票“扶老、助残、救孤、济困”的发行宗旨；</w:t>
      </w:r>
    </w:p>
    <w:p w14:paraId="488B3FB0">
      <w:pPr>
        <w:keepNext w:val="0"/>
        <w:keepLines w:val="0"/>
        <w:pageBreakBefore w:val="0"/>
        <w:widowControl/>
        <w:kinsoku/>
        <w:wordWrap/>
        <w:overflowPunct/>
        <w:topLinePunct w:val="0"/>
        <w:autoSpaceDE/>
        <w:autoSpaceDN/>
        <w:bidi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（2）彰显福彩“公益、责任、阳光”的品牌价值；</w:t>
      </w:r>
    </w:p>
    <w:p w14:paraId="0598A4B0">
      <w:pPr>
        <w:keepNext w:val="0"/>
        <w:keepLines w:val="0"/>
        <w:pageBreakBefore w:val="0"/>
        <w:widowControl/>
        <w:kinsoku/>
        <w:wordWrap/>
        <w:overflowPunct/>
        <w:topLinePunct w:val="0"/>
        <w:autoSpaceDE/>
        <w:autoSpaceDN/>
        <w:bidi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（3）扩大福彩品牌传播力、引导力、影响力；</w:t>
      </w:r>
    </w:p>
    <w:p w14:paraId="508124D9">
      <w:pPr>
        <w:keepNext w:val="0"/>
        <w:keepLines w:val="0"/>
        <w:pageBreakBefore w:val="0"/>
        <w:widowControl/>
        <w:kinsoku/>
        <w:wordWrap/>
        <w:overflowPunct/>
        <w:topLinePunct w:val="0"/>
        <w:autoSpaceDE/>
        <w:autoSpaceDN/>
        <w:bidi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（4）提高社会对福利彩票的认知度、美誉度；</w:t>
      </w:r>
    </w:p>
    <w:p w14:paraId="5B91712B">
      <w:pPr>
        <w:keepNext w:val="0"/>
        <w:keepLines w:val="0"/>
        <w:pageBreakBefore w:val="0"/>
        <w:widowControl/>
        <w:kinsoku/>
        <w:wordWrap/>
        <w:overflowPunct/>
        <w:topLinePunct w:val="0"/>
        <w:autoSpaceDE/>
        <w:autoSpaceDN/>
        <w:bidi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（5）促进福利彩票市场和谐健康高质量发展。</w:t>
      </w:r>
    </w:p>
    <w:p w14:paraId="5590C607">
      <w:pPr>
        <w:keepNext w:val="0"/>
        <w:keepLines w:val="0"/>
        <w:pageBreakBefore w:val="0"/>
        <w:widowControl/>
        <w:numPr>
          <w:ilvl w:val="0"/>
          <w:numId w:val="0"/>
        </w:numPr>
        <w:kinsoku/>
        <w:wordWrap/>
        <w:overflowPunct/>
        <w:topLinePunct w:val="0"/>
        <w:autoSpaceDE/>
        <w:autoSpaceDN/>
        <w:bidi w:val="0"/>
        <w:snapToGrid/>
        <w:spacing w:line="560" w:lineRule="exact"/>
        <w:ind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4.场地及搭建要求</w:t>
      </w:r>
    </w:p>
    <w:p w14:paraId="31DB7C87">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（1）选址标准：优先选择客流量大、年轻客群占比高的核心商圈商场中庭或户外广场，单个活动场地的总面积</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平方米，场地周边500米范围内无福彩竞品销售点位。</w:t>
      </w:r>
    </w:p>
    <w:p w14:paraId="46628773">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（2）搭建标准：主舞台搭建面积</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平方米，整体物料需采用色彩鲜艳、色彩还原精度高、稳固安全、耐磨耐用、环保无毒的材质</w:t>
      </w:r>
      <w:r>
        <w:rPr>
          <w:rFonts w:hint="eastAsia" w:ascii="宋体" w:hAnsi="宋体" w:eastAsia="宋体" w:cs="宋体"/>
          <w:color w:val="auto"/>
          <w:sz w:val="24"/>
          <w:szCs w:val="24"/>
          <w:highlight w:val="none"/>
        </w:rPr>
        <w:t>（符合国家相关环保、安全检测判定标准）</w:t>
      </w:r>
      <w:r>
        <w:rPr>
          <w:rFonts w:hint="eastAsia" w:ascii="宋体" w:hAnsi="宋体" w:eastAsia="宋体" w:cs="宋体"/>
          <w:b w:val="0"/>
          <w:bCs w:val="0"/>
          <w:color w:val="auto"/>
          <w:sz w:val="24"/>
          <w:szCs w:val="24"/>
          <w:highlight w:val="none"/>
          <w:lang w:val="en-US" w:eastAsia="zh-CN"/>
        </w:rPr>
        <w:t>，不得出现尖锐外角，外形美观大方，贴合“公益福彩·情暖天山”主题风格，融入福彩游戏元素、福彩公益元素、责任彩票元素及新疆民族特色元素。</w:t>
      </w:r>
    </w:p>
    <w:p w14:paraId="60FE2797">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（3）内容要求：现场展板、展架等物料内容需经甲方审核确认，突出公益成果、发行宗旨、责任彩票及理性购彩理念，达到推广造势与用户共情的效果。</w:t>
      </w:r>
    </w:p>
    <w:p w14:paraId="68BFDD18">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（4）现场设备质量及灯光效果：现场设备必须质量可靠、运行稳定无故障，灯光效果需柔和适中、亮度均匀，既能清</w:t>
      </w:r>
      <w:r>
        <w:rPr>
          <w:rFonts w:hint="eastAsia" w:cs="宋体"/>
          <w:b w:val="0"/>
          <w:bCs w:val="0"/>
          <w:color w:val="auto"/>
          <w:sz w:val="24"/>
          <w:szCs w:val="24"/>
          <w:highlight w:val="none"/>
          <w:lang w:val="en-US" w:eastAsia="zh-CN"/>
        </w:rPr>
        <w:t>晰地</w:t>
      </w:r>
      <w:r>
        <w:rPr>
          <w:rFonts w:hint="eastAsia" w:ascii="宋体" w:hAnsi="宋体" w:eastAsia="宋体" w:cs="宋体"/>
          <w:b w:val="0"/>
          <w:bCs w:val="0"/>
          <w:color w:val="auto"/>
          <w:sz w:val="24"/>
          <w:szCs w:val="24"/>
          <w:highlight w:val="none"/>
          <w:lang w:val="en-US" w:eastAsia="zh-CN"/>
        </w:rPr>
        <w:t>呈现现场公益展示内容、保障活动顺利开展，又能营造温馨且欢快的公益氛围，贴合活动现场主题。</w:t>
      </w:r>
    </w:p>
    <w:p w14:paraId="39056282">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（5）现场必须设置福利彩票文化展示区，供参与者体验彩票公益文化。</w:t>
      </w:r>
    </w:p>
    <w:p w14:paraId="564D00E3">
      <w:pPr>
        <w:keepNext w:val="0"/>
        <w:keepLines w:val="0"/>
        <w:pageBreakBefore w:val="0"/>
        <w:widowControl/>
        <w:numPr>
          <w:ilvl w:val="0"/>
          <w:numId w:val="0"/>
        </w:numPr>
        <w:kinsoku/>
        <w:wordWrap/>
        <w:overflowPunct/>
        <w:topLinePunct w:val="0"/>
        <w:autoSpaceDE/>
        <w:autoSpaceDN/>
        <w:bidi w:val="0"/>
        <w:snapToGrid/>
        <w:spacing w:line="560" w:lineRule="exact"/>
        <w:ind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5.奖品要求</w:t>
      </w:r>
    </w:p>
    <w:p w14:paraId="4D1A716D">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（1）奖品费用：奖品费用占项目最终成交价的比例为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%；其中，纪念品费用占项目最终成交价的比例为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%，且单个纪念品价值为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元；抽奖奖品总费用占项目最终成交价的比例为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%，且单场抽奖奖品费用占项目最终成交价的比例为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w:t>
      </w:r>
    </w:p>
    <w:p w14:paraId="4F0F1565">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（2）价格依据：所有实物奖品、纪念品价格以活动当期京东、天猫等正规电商平台公开售价为基准，乙方需提供采购凭证及价格截图。</w:t>
      </w:r>
    </w:p>
    <w:p w14:paraId="3279B2FF">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（3）奖项配置：单场活动抽奖设置三级及以上奖项，一等奖为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单场活动</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个（每个抽奖环节</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个），单个价值</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元；二等奖为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单场活动</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个（每个抽奖环节</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个），单个价值</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元；三等奖为</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单场活动</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个（每个抽奖环节</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个），单个价值</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元。</w:t>
      </w:r>
    </w:p>
    <w:p w14:paraId="08443C7E">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（4）定制要求：所有奖品、纪念品须印有符合甲方官方规范的福彩标志LOGO，样式经甲方审核确认。</w:t>
      </w:r>
    </w:p>
    <w:p w14:paraId="3D0DC50B">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（5）展示要求：活动现场需设置专门奖品展示区，或在主题海报、宣传大屏上清晰印制奖品图案及价值。 </w:t>
      </w:r>
    </w:p>
    <w:p w14:paraId="19BD9CBF">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6.活动物品归属</w:t>
      </w:r>
    </w:p>
    <w:p w14:paraId="3104E3B4">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现场宣传物料（除数字大屏外）和未使用完的</w:t>
      </w:r>
      <w:r>
        <w:rPr>
          <w:rFonts w:hint="eastAsia" w:ascii="宋体" w:hAnsi="宋体" w:eastAsia="宋体" w:cs="宋体"/>
          <w:b w:val="0"/>
          <w:bCs w:val="0"/>
          <w:color w:val="auto"/>
          <w:sz w:val="24"/>
          <w:szCs w:val="24"/>
          <w:highlight w:val="none"/>
          <w:lang w:val="en-US" w:eastAsia="zh-CN"/>
        </w:rPr>
        <w:t>活动奖品，</w:t>
      </w:r>
      <w:r>
        <w:rPr>
          <w:rFonts w:hint="eastAsia" w:ascii="宋体" w:hAnsi="宋体" w:eastAsia="宋体" w:cs="宋体"/>
          <w:color w:val="auto"/>
          <w:sz w:val="24"/>
          <w:szCs w:val="24"/>
          <w:highlight w:val="none"/>
          <w:lang w:val="en-US" w:eastAsia="zh-CN"/>
        </w:rPr>
        <w:t>交由活动开展的地（州、市）福彩中心根据需要选择保留使用，乙方须协助运往地（州、市）福彩中心指定地点。</w:t>
      </w:r>
    </w:p>
    <w:p w14:paraId="782279C7">
      <w:pPr>
        <w:keepNext w:val="0"/>
        <w:keepLines w:val="0"/>
        <w:pageBreakBefore w:val="0"/>
        <w:widowControl/>
        <w:numPr>
          <w:ilvl w:val="0"/>
          <w:numId w:val="0"/>
        </w:numPr>
        <w:kinsoku/>
        <w:wordWrap/>
        <w:overflowPunct/>
        <w:topLinePunct w:val="0"/>
        <w:autoSpaceDE/>
        <w:autoSpaceDN/>
        <w:bidi w:val="0"/>
        <w:snapToGrid/>
        <w:spacing w:line="56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7.节目演出要求</w:t>
      </w:r>
    </w:p>
    <w:p w14:paraId="0B14DABA">
      <w:pPr>
        <w:keepNext w:val="0"/>
        <w:keepLines w:val="0"/>
        <w:pageBreakBefore w:val="0"/>
        <w:widowControl/>
        <w:suppressLineNumbers w:val="0"/>
        <w:kinsoku/>
        <w:wordWrap/>
        <w:overflowPunct/>
        <w:topLinePunct w:val="0"/>
        <w:autoSpaceDE/>
        <w:autoSpaceDN/>
        <w:bidi w:val="0"/>
        <w:snapToGrid/>
        <w:spacing w:line="56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（1）基础要求：单场活动安排</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个文艺节目，单个节目时长</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分钟，参与人数不少于</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人，必须为正规的、有专业资质的演出团队表演，杜绝低俗、暴力等不良内容。</w:t>
      </w:r>
    </w:p>
    <w:p w14:paraId="378505E4">
      <w:pPr>
        <w:keepNext w:val="0"/>
        <w:keepLines w:val="0"/>
        <w:pageBreakBefore w:val="0"/>
        <w:widowControl/>
        <w:suppressLineNumbers w:val="0"/>
        <w:kinsoku/>
        <w:wordWrap/>
        <w:overflowPunct/>
        <w:topLinePunct w:val="0"/>
        <w:autoSpaceDE/>
        <w:autoSpaceDN/>
        <w:bidi w:val="0"/>
        <w:snapToGrid/>
        <w:spacing w:line="56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内容要求：节目题材包括歌舞表演、民族乐器演奏、传统文化展示等，需贴合活动主题，融入福彩公益理念、责任彩票宣传、打击非法彩票及新疆多民族文化元素，助力“文化润疆”工程，内容新颖、积极向上。</w:t>
      </w:r>
    </w:p>
    <w:p w14:paraId="5A5DE222">
      <w:pPr>
        <w:keepNext w:val="0"/>
        <w:keepLines w:val="0"/>
        <w:pageBreakBefore w:val="0"/>
        <w:widowControl/>
        <w:kinsoku/>
        <w:wordWrap/>
        <w:overflowPunct/>
        <w:topLinePunct w:val="0"/>
        <w:autoSpaceDE/>
        <w:autoSpaceDN/>
        <w:bidi w:val="0"/>
        <w:snapToGrid/>
        <w:spacing w:line="560" w:lineRule="exact"/>
        <w:ind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8.游戏互动要求</w:t>
      </w:r>
    </w:p>
    <w:p w14:paraId="417C6F9C">
      <w:pPr>
        <w:keepNext w:val="0"/>
        <w:keepLines w:val="0"/>
        <w:pageBreakBefore w:val="0"/>
        <w:widowControl/>
        <w:suppressLineNumbers w:val="0"/>
        <w:kinsoku/>
        <w:wordWrap/>
        <w:overflowPunct/>
        <w:topLinePunct w:val="0"/>
        <w:autoSpaceDE/>
        <w:autoSpaceDN/>
        <w:bidi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（1）线上互动：具备主屏幕与手机端联动的线上互动能力，单场设置</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个多人参与的有奖互动游戏（如摇一摇、答题竞赛等），分时段开展以聚集现场人气。</w:t>
      </w:r>
    </w:p>
    <w:p w14:paraId="53C5BD24">
      <w:pPr>
        <w:keepNext w:val="0"/>
        <w:keepLines w:val="0"/>
        <w:pageBreakBefore w:val="0"/>
        <w:widowControl/>
        <w:suppressLineNumbers w:val="0"/>
        <w:kinsoku/>
        <w:wordWrap/>
        <w:overflowPunct/>
        <w:topLinePunct w:val="0"/>
        <w:autoSpaceDE/>
        <w:autoSpaceDN/>
        <w:bidi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（2）线下游戏：现场设置</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个趣味小游戏，难度适中，兼具趣味性、安全性和挑战性，既要让现场参与者踊跃参加，又不能让参与者失去积极性，使活动现场保持参与者粘性和人气热度。参与者完成游戏可获得奖品及“游戏徽章”，集齐所有徽章可参与抽奖环节。</w:t>
      </w:r>
    </w:p>
    <w:p w14:paraId="7C28F26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9.抽奖互动要求</w:t>
      </w:r>
    </w:p>
    <w:p w14:paraId="4F84432A">
      <w:pPr>
        <w:keepNext w:val="0"/>
        <w:keepLines w:val="0"/>
        <w:pageBreakBefore w:val="0"/>
        <w:widowControl/>
        <w:kinsoku/>
        <w:wordWrap/>
        <w:overflowPunct/>
        <w:topLinePunct w:val="0"/>
        <w:autoSpaceDE/>
        <w:autoSpaceDN/>
        <w:bidi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抽奖环节仅面向完成线下小游戏并集齐“游戏徽章”的参与者开放，通过现场摇号、随机抽取等公开透明方式进行，中奖结果现场公示，确保公平公正，中奖者需凭有效凭证及徽章领取奖品并签字确认。</w:t>
      </w:r>
    </w:p>
    <w:p w14:paraId="0E2AE3E2">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10.观看开奖</w:t>
      </w:r>
    </w:p>
    <w:p w14:paraId="1375ED4A">
      <w:pPr>
        <w:keepNext w:val="0"/>
        <w:keepLines w:val="0"/>
        <w:pageBreakBefore w:val="0"/>
        <w:widowControl/>
        <w:kinsoku/>
        <w:wordWrap/>
        <w:overflowPunct/>
        <w:topLinePunct w:val="0"/>
        <w:autoSpaceDE/>
        <w:autoSpaceDN/>
        <w:bidi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通过现场大屏播放福彩开奖直播节目，方便参与者现场核对彩票，观看福彩新闻资讯。</w:t>
      </w:r>
    </w:p>
    <w:p w14:paraId="3BF37F3F">
      <w:pPr>
        <w:keepNext w:val="0"/>
        <w:keepLines w:val="0"/>
        <w:pageBreakBefore w:val="0"/>
        <w:widowControl/>
        <w:suppressLineNumbers w:val="0"/>
        <w:kinsoku/>
        <w:wordWrap/>
        <w:overflowPunct/>
        <w:topLinePunct w:val="0"/>
        <w:autoSpaceDE/>
        <w:autoSpaceDN/>
        <w:bidi w:val="0"/>
        <w:snapToGrid/>
        <w:spacing w:line="56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（二）宣传推广要求</w:t>
      </w:r>
    </w:p>
    <w:p w14:paraId="3F2743D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本次活动宣传推广以“前期预热—中期宣传—后期持续”的全周期线上线下联动宣传为抓手，在活动实施全过程中，有效达成福彩公益价值的深度传递与品牌知名度的显著提升的项目成效。</w:t>
      </w:r>
    </w:p>
    <w:p w14:paraId="17CA2941">
      <w:pPr>
        <w:keepNext w:val="0"/>
        <w:keepLines w:val="0"/>
        <w:pageBreakBefore w:val="0"/>
        <w:widowControl/>
        <w:numPr>
          <w:ilvl w:val="0"/>
          <w:numId w:val="0"/>
        </w:numPr>
        <w:kinsoku/>
        <w:wordWrap/>
        <w:overflowPunct/>
        <w:topLinePunct w:val="0"/>
        <w:autoSpaceDE/>
        <w:autoSpaceDN/>
        <w:bidi w:val="0"/>
        <w:adjustRightInd/>
        <w:snapToGrid/>
        <w:spacing w:line="560" w:lineRule="exact"/>
        <w:ind w:left="480" w:leftChars="200" w:right="0" w:rightChars="0" w:firstLine="240" w:firstLineChars="10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1.线下宣传推广</w:t>
      </w:r>
    </w:p>
    <w:p w14:paraId="6AAC46AB">
      <w:pPr>
        <w:keepNext w:val="0"/>
        <w:keepLines w:val="0"/>
        <w:pageBreakBefore w:val="0"/>
        <w:widowControl/>
        <w:kinsoku/>
        <w:wordWrap/>
        <w:overflowPunct/>
        <w:topLinePunct w:val="0"/>
        <w:autoSpaceDE/>
        <w:autoSpaceDN/>
        <w:bidi w:val="0"/>
        <w:snapToGrid/>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场活动现场通过音频、视频、海报、互动等多种方式进行福利彩票发行宗旨、责任彩票建设、理性购彩、打击非法彩票、福彩公益属性、福彩游戏介绍等内容的综合展示宣传，其中摆放的宣传物料包括但不限于海报、展架、DM单、地贴等。</w:t>
      </w:r>
    </w:p>
    <w:p w14:paraId="2329E533">
      <w:pPr>
        <w:keepNext w:val="0"/>
        <w:keepLines w:val="0"/>
        <w:pageBreakBefore w:val="0"/>
        <w:widowControl/>
        <w:kinsoku/>
        <w:wordWrap/>
        <w:overflowPunct/>
        <w:topLinePunct w:val="0"/>
        <w:autoSpaceDE/>
        <w:autoSpaceDN/>
        <w:bidi w:val="0"/>
        <w:snapToGrid/>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（2）参与者以活动现场为背景拍照、拍视频，发布活动图文@甲方抖音、快手，带话题#公益福彩·情暖天山# ，并关注甲方公众号、抖音号、快手号。</w:t>
      </w:r>
    </w:p>
    <w:p w14:paraId="168062D3">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2.线上宣传推广</w:t>
      </w:r>
    </w:p>
    <w:p w14:paraId="697006DB">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（1）乙方使用甲方微信公众号作为核心预热阵地，配合甲方抖音号，在各城市活动开展前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个工作日启动线上预热，创新运用线上直播、积分积累、每日签到、知识答题、游戏互动、趣味投票等方式，将福彩公益理念向用户传播。通过预热，实现单场活动公众号预热内容累计浏览量不低于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次、互动参与人数不低于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人次，高效提升“公益福彩·情暖天山”活动观众粘性，增加甲方微信公众号粉丝量，为线下活动引流造势。若预热活动未达到预期效果，乙方应在下一个城市活动开展前提前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个工作日启动线上预热。</w:t>
      </w:r>
    </w:p>
    <w:p w14:paraId="161546E4">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（2）乙方负责设计制作活动预告、倒计时海报（单场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张）、倒计时视频（单场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个）、H5推广页面（单场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个），所有物料需融入主题元素及地域特色，经甲方审核后发布。</w:t>
      </w:r>
    </w:p>
    <w:p w14:paraId="50E6D2F5">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（3）乙方负责活动回顾，单场活动结束后24小时内，完成活动回顾短视频制作（单场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条，总</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条），内容涵盖活动亮点、公益展示、用户反响等。根据甲方需求明确视频时长，适配各平台传播需求。</w:t>
      </w:r>
    </w:p>
    <w:p w14:paraId="1FF4F739">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（4）乙方负责活动文稿宣传，单场活动撰写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篇图文稿件，分别为活动预告篇、首日纪实篇、结束总结篇。重点突出活动主题、时间地点、核心亮点及公益价值，字数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字/篇，配图</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张。</w:t>
      </w:r>
    </w:p>
    <w:p w14:paraId="1BB0A2ED">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（5）乙方负责媒体资源整合，合作媒体为正规媒体（不含甲方自有媒体），包括但不限于省级党报、广播电视台、重点新闻网站及主流新媒体平台。</w:t>
      </w:r>
    </w:p>
    <w:p w14:paraId="3C573A41">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（6）乙方负责新媒体传播，结合抖音、小红书、快手等平台特性，设置#公益福彩·情暖天山# #福彩公益在身边#等多个主题话题，单场活动新媒体主话题曝光量不少于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万次，整体活动累计话题曝光量不少于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万次，乙方需实时监控传播数据并定期提交报告。</w:t>
      </w:r>
    </w:p>
    <w:p w14:paraId="26CFC7AB">
      <w:pPr>
        <w:keepNext w:val="0"/>
        <w:keepLines w:val="0"/>
        <w:pageBreakBefore w:val="0"/>
        <w:widowControl/>
        <w:suppressLineNumbers w:val="0"/>
        <w:kinsoku/>
        <w:wordWrap/>
        <w:overflowPunct/>
        <w:topLinePunct w:val="0"/>
        <w:autoSpaceDE/>
        <w:autoSpaceDN/>
        <w:bidi w:val="0"/>
        <w:snapToGrid/>
        <w:spacing w:line="56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（三）其他执行要求</w:t>
      </w:r>
    </w:p>
    <w:p w14:paraId="28E4C5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1.团队要求</w:t>
      </w:r>
    </w:p>
    <w:p w14:paraId="4156330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（1）执行团队：①人员配置：单场活动现场工作人员为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人，包括主持人、引导员、游戏管理员、宣传专员、安全保障员等，人员分工明确；②核心人员：项目核心负责人及执行骨干须具备近三年（自投标截止日起向前推算）</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个及以上类似公益活动执行经验，熟悉彩票相关政策法规，投标时需提供劳动合同、项目业绩证明等材料；③培训管理：乙方需对所有工作人员进行岗前培训，内容包括福彩知识、活动流程、服务规范、应急处理等，确保工作人员服务态度良好、业务熟练；④统一形象：工作人员需统一穿着印有“公益福彩·情暖天山”LOGO的服装，款式、配色经甲方审核确认。</w:t>
      </w:r>
    </w:p>
    <w:p w14:paraId="67E439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（2）技术团队：</w:t>
      </w:r>
      <w:r>
        <w:rPr>
          <w:rFonts w:hint="eastAsia" w:ascii="宋体" w:hAnsi="宋体" w:eastAsia="宋体" w:cs="宋体"/>
          <w:color w:val="auto"/>
          <w:sz w:val="24"/>
          <w:highlight w:val="none"/>
          <w:lang w:val="en-US" w:eastAsia="zh-CN"/>
        </w:rPr>
        <w:t>负责线上小程序开发的团队</w:t>
      </w:r>
      <w:r>
        <w:rPr>
          <w:rFonts w:hint="eastAsia" w:cs="宋体"/>
          <w:color w:val="auto"/>
          <w:sz w:val="24"/>
          <w:highlight w:val="none"/>
          <w:lang w:val="en-US" w:eastAsia="zh-CN"/>
        </w:rPr>
        <w:t>须具备</w:t>
      </w:r>
      <w:r>
        <w:rPr>
          <w:rFonts w:hint="eastAsia" w:ascii="宋体" w:hAnsi="宋体" w:eastAsia="宋体" w:cs="宋体"/>
          <w:color w:val="auto"/>
          <w:sz w:val="24"/>
          <w:highlight w:val="none"/>
          <w:lang w:val="en-US" w:eastAsia="zh-CN"/>
        </w:rPr>
        <w:t>设计、数字媒体技术等专业</w:t>
      </w:r>
      <w:r>
        <w:rPr>
          <w:rFonts w:hint="eastAsia" w:ascii="宋体" w:hAnsi="宋体" w:cs="宋体"/>
          <w:color w:val="auto"/>
          <w:sz w:val="24"/>
          <w:highlight w:val="none"/>
          <w:lang w:val="en-US" w:eastAsia="zh-CN"/>
        </w:rPr>
        <w:t>技术能力</w:t>
      </w:r>
      <w:r>
        <w:rPr>
          <w:rFonts w:hint="eastAsia" w:ascii="宋体" w:hAnsi="宋体" w:eastAsia="宋体" w:cs="宋体"/>
          <w:color w:val="auto"/>
          <w:sz w:val="24"/>
          <w:highlight w:val="none"/>
          <w:lang w:val="en-US" w:eastAsia="zh-CN"/>
        </w:rPr>
        <w:t>，拥有同类线上活动开发经验，保障小程序适配性、兼容性及数据安全；其他专业岗位人员（如电工、影像调试员等）需提供相应资格证书（如电工证、特种设备操作证等）。</w:t>
      </w:r>
    </w:p>
    <w:p w14:paraId="1DCE0F97">
      <w:pPr>
        <w:keepNext w:val="0"/>
        <w:keepLines w:val="0"/>
        <w:pageBreakBefore w:val="0"/>
        <w:widowControl/>
        <w:suppressLineNumbers w:val="0"/>
        <w:kinsoku/>
        <w:wordWrap/>
        <w:overflowPunct/>
        <w:topLinePunct w:val="0"/>
        <w:autoSpaceDE/>
        <w:autoSpaceDN/>
        <w:bidi w:val="0"/>
        <w:snapToGrid/>
        <w:spacing w:line="5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2.活动保障</w:t>
      </w:r>
    </w:p>
    <w:p w14:paraId="31AB80C5">
      <w:pPr>
        <w:keepNext w:val="0"/>
        <w:keepLines w:val="0"/>
        <w:pageBreakBefore w:val="0"/>
        <w:widowControl/>
        <w:suppressLineNumbers w:val="0"/>
        <w:kinsoku/>
        <w:wordWrap/>
        <w:overflowPunct/>
        <w:topLinePunct w:val="0"/>
        <w:autoSpaceDE/>
        <w:autoSpaceDN/>
        <w:bidi w:val="0"/>
        <w:snapToGrid/>
        <w:spacing w:line="5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安全保障：乙方须制定完善的现场突发情况应急处置预案（含人员疏散、消防安全、医疗急救、纠纷处理等内容），提前与场地方、公安、消防等部门报备对接，明确乙方和场地方的安全责任分工，活动现场配备急救箱、灭火器等安全设施，确保无拥挤、踩踏等安全事故发生。</w:t>
      </w:r>
    </w:p>
    <w:p w14:paraId="43657E60">
      <w:pPr>
        <w:keepNext w:val="0"/>
        <w:keepLines w:val="0"/>
        <w:pageBreakBefore w:val="0"/>
        <w:widowControl/>
        <w:kinsoku/>
        <w:wordWrap/>
        <w:overflowPunct/>
        <w:topLinePunct w:val="0"/>
        <w:autoSpaceDE/>
        <w:autoSpaceDN/>
        <w:bidi w:val="0"/>
        <w:snapToGrid/>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（2）彩票体验：现场彩票文化体验区等彩票专业工作由当地福彩中心负责。</w:t>
      </w:r>
    </w:p>
    <w:p w14:paraId="766E8109">
      <w:pPr>
        <w:keepNext w:val="0"/>
        <w:keepLines w:val="0"/>
        <w:pageBreakBefore w:val="0"/>
        <w:widowControl/>
        <w:suppressLineNumbers w:val="0"/>
        <w:kinsoku/>
        <w:wordWrap/>
        <w:overflowPunct/>
        <w:topLinePunct w:val="0"/>
        <w:autoSpaceDE/>
        <w:autoSpaceDN/>
        <w:bidi w:val="0"/>
        <w:snapToGrid/>
        <w:spacing w:line="5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（3）人员保障：乙方工作人员的饮食、交通、住宿、休息等后勤需求由乙方负责，保障工作人员服务状态良好。</w:t>
      </w:r>
    </w:p>
    <w:p w14:paraId="0FF126FF">
      <w:pPr>
        <w:keepNext w:val="0"/>
        <w:keepLines w:val="0"/>
        <w:pageBreakBefore w:val="0"/>
        <w:widowControl/>
        <w:suppressLineNumbers w:val="0"/>
        <w:kinsoku/>
        <w:wordWrap/>
        <w:overflowPunct/>
        <w:topLinePunct w:val="0"/>
        <w:autoSpaceDE/>
        <w:autoSpaceDN/>
        <w:bidi w:val="0"/>
        <w:snapToGrid/>
        <w:spacing w:line="5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（4）资料提供：甲方向乙方提供福彩公益相关基础资料（如公益项目案例、品牌LOGO规范等），乙方需妥善保管并仅用于本项目。</w:t>
      </w:r>
    </w:p>
    <w:p w14:paraId="1FD5F9DC">
      <w:pPr>
        <w:keepNext w:val="0"/>
        <w:keepLines w:val="0"/>
        <w:pageBreakBefore w:val="0"/>
        <w:widowControl/>
        <w:suppressLineNumbers w:val="0"/>
        <w:kinsoku/>
        <w:wordWrap/>
        <w:overflowPunct/>
        <w:topLinePunct w:val="0"/>
        <w:autoSpaceDE/>
        <w:autoSpaceDN/>
        <w:bidi w:val="0"/>
        <w:snapToGrid/>
        <w:spacing w:line="5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（5）方案调整：乙方须严格按照经甲方审核的活动方案执行，如需调整须提前3个工作日提交书面申请，经甲方书面同意后方可实施。</w:t>
      </w:r>
    </w:p>
    <w:p w14:paraId="05663B85">
      <w:pPr>
        <w:keepNext w:val="0"/>
        <w:keepLines w:val="0"/>
        <w:pageBreakBefore w:val="0"/>
        <w:widowControl/>
        <w:suppressLineNumbers w:val="0"/>
        <w:kinsoku/>
        <w:wordWrap/>
        <w:overflowPunct/>
        <w:topLinePunct w:val="0"/>
        <w:autoSpaceDE/>
        <w:autoSpaceDN/>
        <w:bidi w:val="0"/>
        <w:snapToGrid/>
        <w:spacing w:line="5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（6）服务验收：现场工作人员的服务质量（包括态度、专业度、仪容仪表等）纳入单场活动验收指标，甲方可现场提出整改要求，乙方须当场整改。</w:t>
      </w:r>
    </w:p>
    <w:p w14:paraId="727AD9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3.专人联络与书面通知约定</w:t>
      </w:r>
    </w:p>
    <w:p w14:paraId="292C51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指定专人作为本项目专属联络人，负责与甲方对接处理本项目全部事宜；若乙方需变更联络人，应提前以书面形式通知甲方，并附新任联络人完整信息。若该联络人无法履行本项目约定职责，乙方应在收到甲方书面通知之日起3日内完成联络人撤换及新任人员交接工作。</w:t>
      </w:r>
    </w:p>
    <w:p w14:paraId="54DF30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before="0" w:beforeAutospacing="0" w:after="0" w:afterAutospacing="0" w:line="560" w:lineRule="exact"/>
        <w:ind w:left="0" w:right="0" w:firstLine="480" w:firstLineChars="200"/>
        <w:jc w:val="both"/>
        <w:textAlignment w:val="auto"/>
        <w:rPr>
          <w:rFonts w:hint="eastAsia" w:ascii="宋体" w:hAnsi="宋体" w:eastAsia="宋体" w:cs="宋体"/>
          <w:color w:val="auto"/>
          <w:sz w:val="24"/>
          <w:szCs w:val="24"/>
          <w:highlight w:val="none"/>
        </w:rPr>
      </w:pPr>
      <w:r>
        <w:rPr>
          <w:rStyle w:val="35"/>
          <w:rFonts w:hint="eastAsia" w:ascii="宋体" w:hAnsi="宋体" w:eastAsia="宋体" w:cs="宋体"/>
          <w:b w:val="0"/>
          <w:bCs w:val="0"/>
          <w:color w:val="auto"/>
          <w:kern w:val="2"/>
          <w:sz w:val="24"/>
          <w:szCs w:val="24"/>
          <w:highlight w:val="none"/>
          <w:lang w:val="en-US" w:eastAsia="zh-CN" w:bidi="ar-SA"/>
        </w:rPr>
        <w:t>双方书面通知相关约定</w:t>
      </w:r>
      <w:r>
        <w:rPr>
          <w:rFonts w:hint="eastAsia" w:ascii="宋体" w:hAnsi="宋体" w:eastAsia="宋体" w:cs="宋体"/>
          <w:color w:val="auto"/>
          <w:kern w:val="2"/>
          <w:sz w:val="24"/>
          <w:szCs w:val="24"/>
          <w:highlight w:val="none"/>
          <w:lang w:val="en-US" w:eastAsia="zh-CN" w:bidi="ar-SA"/>
        </w:rPr>
        <w:t>：本合同履行过程中，双方的书面通知可通过</w:t>
      </w:r>
      <w:r>
        <w:rPr>
          <w:rStyle w:val="35"/>
          <w:rFonts w:hint="eastAsia" w:ascii="宋体" w:hAnsi="宋体" w:eastAsia="宋体" w:cs="宋体"/>
          <w:b w:val="0"/>
          <w:bCs w:val="0"/>
          <w:color w:val="auto"/>
          <w:kern w:val="2"/>
          <w:sz w:val="24"/>
          <w:szCs w:val="24"/>
          <w:highlight w:val="none"/>
          <w:lang w:val="en-US" w:eastAsia="zh-CN" w:bidi="ar-SA"/>
        </w:rPr>
        <w:t>专人送达、中国</w:t>
      </w:r>
      <w:r>
        <w:rPr>
          <w:rFonts w:hint="eastAsia" w:ascii="宋体" w:hAnsi="宋体" w:eastAsia="宋体" w:cs="宋体"/>
          <w:b w:val="0"/>
          <w:bCs w:val="0"/>
          <w:color w:val="auto"/>
          <w:kern w:val="2"/>
          <w:sz w:val="24"/>
          <w:szCs w:val="24"/>
          <w:highlight w:val="none"/>
          <w:lang w:val="en-US" w:eastAsia="zh-CN" w:bidi="ar-SA"/>
        </w:rPr>
        <w:t>邮政</w:t>
      </w:r>
      <w:r>
        <w:rPr>
          <w:rStyle w:val="35"/>
          <w:rFonts w:hint="eastAsia" w:ascii="宋体" w:hAnsi="宋体" w:eastAsia="宋体" w:cs="宋体"/>
          <w:b w:val="0"/>
          <w:bCs w:val="0"/>
          <w:color w:val="auto"/>
          <w:kern w:val="2"/>
          <w:sz w:val="24"/>
          <w:szCs w:val="24"/>
          <w:highlight w:val="none"/>
          <w:lang w:val="en-US" w:eastAsia="zh-CN" w:bidi="ar-SA"/>
        </w:rPr>
        <w:t>EMS邮寄、指定邮箱</w:t>
      </w:r>
      <w:r>
        <w:rPr>
          <w:rFonts w:hint="eastAsia" w:ascii="宋体" w:hAnsi="宋体" w:eastAsia="宋体" w:cs="宋体"/>
          <w:b w:val="0"/>
          <w:bCs w:val="0"/>
          <w:color w:val="auto"/>
          <w:kern w:val="2"/>
          <w:sz w:val="24"/>
          <w:szCs w:val="24"/>
          <w:highlight w:val="none"/>
          <w:lang w:val="en-US" w:eastAsia="zh-CN" w:bidi="ar-SA"/>
        </w:rPr>
        <w:t>送达</w:t>
      </w:r>
      <w:r>
        <w:rPr>
          <w:rFonts w:hint="eastAsia" w:ascii="宋体" w:hAnsi="宋体" w:eastAsia="宋体" w:cs="宋体"/>
          <w:color w:val="auto"/>
          <w:kern w:val="2"/>
          <w:sz w:val="24"/>
          <w:szCs w:val="24"/>
          <w:highlight w:val="none"/>
          <w:lang w:val="en-US" w:eastAsia="zh-CN" w:bidi="ar-SA"/>
        </w:rPr>
        <w:t>三种方式进行，送达生效时间及甲方指定接收信息如下：</w:t>
      </w:r>
    </w:p>
    <w:p w14:paraId="0FC473A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kinsoku/>
        <w:wordWrap/>
        <w:overflowPunct/>
        <w:topLinePunct w:val="0"/>
        <w:autoSpaceDE/>
        <w:autoSpaceDN/>
        <w:bidi w:val="0"/>
        <w:snapToGrid/>
        <w:spacing w:before="0" w:beforeAutospacing="0" w:after="0" w:afterAutospacing="0" w:line="560" w:lineRule="exact"/>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专人送达：自被通知方指定收件人签收之日起视为送达生效；</w:t>
      </w:r>
    </w:p>
    <w:p w14:paraId="18CC56C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kinsoku/>
        <w:wordWrap/>
        <w:overflowPunct/>
        <w:topLinePunct w:val="0"/>
        <w:autoSpaceDE/>
        <w:autoSpaceDN/>
        <w:bidi w:val="0"/>
        <w:snapToGrid/>
        <w:spacing w:before="0" w:beforeAutospacing="0" w:after="0" w:afterAutospacing="0" w:line="560" w:lineRule="exact"/>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中国邮政 EMS 邮寄：以邮件签收记录载明的签收日期为送达生效时间，若无人签收则以邮件退回之日视为送达生效；</w:t>
      </w:r>
    </w:p>
    <w:p w14:paraId="7D0A31F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kinsoku/>
        <w:wordWrap/>
        <w:overflowPunct/>
        <w:topLinePunct w:val="0"/>
        <w:autoSpaceDE/>
        <w:autoSpaceDN/>
        <w:bidi w:val="0"/>
        <w:snapToGrid/>
        <w:spacing w:before="0" w:beforeAutospacing="0" w:after="0" w:afterAutospacing="0" w:line="560" w:lineRule="exact"/>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指定官方邮箱送达：自通知内容成功发送至对方指定邮箱之时视为送达生效。</w:t>
      </w:r>
    </w:p>
    <w:p w14:paraId="76E6ED6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kinsoku/>
        <w:wordWrap/>
        <w:overflowPunct/>
        <w:topLinePunct w:val="0"/>
        <w:autoSpaceDE/>
        <w:autoSpaceDN/>
        <w:bidi w:val="0"/>
        <w:snapToGrid/>
        <w:spacing w:before="0" w:beforeAutospacing="0" w:after="0" w:afterAutospacing="0" w:line="560" w:lineRule="exact"/>
        <w:ind w:left="0" w:leftChars="0" w:right="0" w:firstLine="480" w:firstLineChars="200"/>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甲方指定接收信息：收件人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邮箱</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lang w:val="en-US" w:eastAsia="zh-CN"/>
        </w:rPr>
        <w:t xml:space="preserve">          </w:t>
      </w:r>
    </w:p>
    <w:p w14:paraId="0622EA8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kinsoku/>
        <w:wordWrap/>
        <w:overflowPunct/>
        <w:topLinePunct w:val="0"/>
        <w:autoSpaceDE/>
        <w:autoSpaceDN/>
        <w:bidi w:val="0"/>
        <w:snapToGrid/>
        <w:spacing w:before="0" w:beforeAutospacing="0" w:after="0" w:afterAutospacing="0" w:line="560" w:lineRule="exact"/>
        <w:ind w:left="0" w:leftChars="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乙方应按上述甲方指定信息发送书面通知，若甲方需变更接收信息，将提前3日以书面形式通知乙方；乙方指定接收信息以其在本合同中载明的为准，若乙方变更接收信息，应提前 3日以书面形式通知甲方，未按约定通知导致通知无法送达的，由变更方承担全部责任。</w:t>
      </w:r>
    </w:p>
    <w:p w14:paraId="094FE9E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4.不可抗力补偿约定</w:t>
      </w:r>
    </w:p>
    <w:p w14:paraId="6F2BCD4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line="5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因重大自然灾害、政府征用、疫情管控、政策调整等不能预见、不能避免且不能克服的不可抗力因素，导致活动无法正常开展的，乙方应在24小时内书面通知甲方，双方友好协商确定活动延期补办方案，直至本合同约定内容全部履行完毕，</w:t>
      </w:r>
      <w:r>
        <w:rPr>
          <w:rFonts w:hint="eastAsia" w:cs="宋体"/>
          <w:color w:val="auto"/>
          <w:kern w:val="2"/>
          <w:sz w:val="24"/>
          <w:szCs w:val="24"/>
          <w:highlight w:val="none"/>
          <w:lang w:val="en-US" w:eastAsia="zh-CN" w:bidi="ar"/>
        </w:rPr>
        <w:t>其间</w:t>
      </w:r>
      <w:r>
        <w:rPr>
          <w:rFonts w:hint="eastAsia" w:ascii="宋体" w:hAnsi="宋体" w:eastAsia="宋体" w:cs="宋体"/>
          <w:color w:val="auto"/>
          <w:kern w:val="2"/>
          <w:sz w:val="24"/>
          <w:szCs w:val="24"/>
          <w:highlight w:val="none"/>
          <w:lang w:val="en-US" w:eastAsia="zh-CN" w:bidi="ar"/>
        </w:rPr>
        <w:t>双方互不承担违约责任。</w:t>
      </w:r>
    </w:p>
    <w:p w14:paraId="65ED0E0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5.增值服务</w:t>
      </w:r>
    </w:p>
    <w:p w14:paraId="58FFE2C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kinsoku/>
        <w:wordWrap/>
        <w:overflowPunct/>
        <w:topLinePunct w:val="0"/>
        <w:autoSpaceDE/>
        <w:autoSpaceDN/>
        <w:bidi w:val="0"/>
        <w:snapToGrid/>
        <w:spacing w:before="0" w:beforeAutospacing="0" w:after="0" w:afterAutospacing="0" w:line="560" w:lineRule="exact"/>
        <w:ind w:left="0" w:leftChars="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（在正式合同中确定）</w:t>
      </w:r>
    </w:p>
    <w:p w14:paraId="2600C26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kinsoku/>
        <w:wordWrap/>
        <w:overflowPunct/>
        <w:topLinePunct w:val="0"/>
        <w:autoSpaceDE/>
        <w:autoSpaceDN/>
        <w:bidi w:val="0"/>
        <w:snapToGrid/>
        <w:spacing w:before="0" w:beforeAutospacing="0" w:after="0" w:afterAutospacing="0" w:line="560" w:lineRule="exact"/>
        <w:ind w:left="0" w:leftChars="0" w:right="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四、活动验收标准</w:t>
      </w:r>
    </w:p>
    <w:p w14:paraId="1CBD6A9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kinsoku/>
        <w:wordWrap/>
        <w:overflowPunct/>
        <w:topLinePunct w:val="0"/>
        <w:autoSpaceDE/>
        <w:autoSpaceDN/>
        <w:bidi w:val="0"/>
        <w:snapToGrid/>
        <w:spacing w:before="0" w:beforeAutospacing="0" w:after="0" w:afterAutospacing="0" w:line="560" w:lineRule="exact"/>
        <w:ind w:left="0" w:leftChars="0" w:right="0" w:firstLine="480" w:firstLineChars="200"/>
        <w:jc w:val="both"/>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本项目验收分为方案验收、活动验收及结案验收三个环节，所有验收均需出具书面验收报告，由双方签字确认后生效。</w:t>
      </w:r>
    </w:p>
    <w:p w14:paraId="2A6C590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kinsoku/>
        <w:wordWrap/>
        <w:overflowPunct/>
        <w:topLinePunct w:val="0"/>
        <w:autoSpaceDE/>
        <w:autoSpaceDN/>
        <w:bidi w:val="0"/>
        <w:snapToGrid/>
        <w:spacing w:before="0" w:beforeAutospacing="0" w:after="0" w:afterAutospacing="0" w:line="560" w:lineRule="exact"/>
        <w:ind w:left="0" w:leftChars="0" w:right="0" w:firstLine="480" w:firstLineChars="200"/>
        <w:jc w:val="both"/>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（一）方案验收</w:t>
      </w:r>
    </w:p>
    <w:p w14:paraId="0D20061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kinsoku/>
        <w:wordWrap/>
        <w:overflowPunct/>
        <w:topLinePunct w:val="0"/>
        <w:autoSpaceDE/>
        <w:autoSpaceDN/>
        <w:bidi w:val="0"/>
        <w:snapToGrid/>
        <w:spacing w:before="0" w:beforeAutospacing="0" w:after="0" w:afterAutospacing="0" w:line="56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须在中标后5个工作日内，根据甲方意见提供最终活动实施方案。乙方在与甲方沟通后，依据采购需求和合同内容提供最终活动实施方案。最终活动实施方案通过甲方审核后，视为验收合格。签订合同后，甲方支付第一笔费用。</w:t>
      </w:r>
    </w:p>
    <w:p w14:paraId="7606507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kinsoku/>
        <w:wordWrap/>
        <w:overflowPunct/>
        <w:topLinePunct w:val="0"/>
        <w:autoSpaceDE/>
        <w:autoSpaceDN/>
        <w:bidi w:val="0"/>
        <w:snapToGrid/>
        <w:spacing w:before="0" w:beforeAutospacing="0" w:after="0" w:afterAutospacing="0" w:line="56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（二）活动验收</w:t>
      </w:r>
    </w:p>
    <w:p w14:paraId="1E3AD7F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kinsoku/>
        <w:wordWrap/>
        <w:overflowPunct/>
        <w:topLinePunct w:val="0"/>
        <w:autoSpaceDE/>
        <w:autoSpaceDN/>
        <w:bidi w:val="0"/>
        <w:snapToGrid/>
        <w:spacing w:before="0" w:beforeAutospacing="0" w:after="0" w:afterAutospacing="0" w:line="56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甲方使用《活动现场执行情况验收单》对每场活动的活动前、活动中、活动后执行情况进行监督验收，采用纸质版现场双方签字确认的方式。验收单内容包括：验收主体、验收节点、验收内容及签字权责，确保每场活动各个阶段的内容可追溯、权责清晰。若在验收时发现乙方未按照实施方案执行、擅自修改实施方案或违反合同内容，则验收不合格，乙方必须按照实施方案进行整改，整改后经甲方重新验收且合格后方可继续开展活动。若乙方拒不整改或者整改后仍未符合合同约定，则视为违约。  </w:t>
      </w:r>
    </w:p>
    <w:p w14:paraId="7BF55C3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kinsoku/>
        <w:wordWrap/>
        <w:overflowPunct/>
        <w:topLinePunct w:val="0"/>
        <w:autoSpaceDE/>
        <w:autoSpaceDN/>
        <w:bidi w:val="0"/>
        <w:snapToGrid/>
        <w:spacing w:before="0" w:beforeAutospacing="0" w:after="0" w:afterAutospacing="0" w:line="56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乙方在每个</w:t>
      </w:r>
      <w:r>
        <w:rPr>
          <w:rFonts w:hint="eastAsia" w:cs="宋体"/>
          <w:color w:val="auto"/>
          <w:kern w:val="2"/>
          <w:sz w:val="24"/>
          <w:szCs w:val="24"/>
          <w:highlight w:val="none"/>
          <w:lang w:val="en-US" w:eastAsia="zh-CN" w:bidi="ar-SA"/>
        </w:rPr>
        <w:t>城市</w:t>
      </w:r>
      <w:r>
        <w:rPr>
          <w:rFonts w:hint="eastAsia" w:ascii="宋体" w:hAnsi="宋体" w:eastAsia="宋体" w:cs="宋体"/>
          <w:color w:val="auto"/>
          <w:kern w:val="2"/>
          <w:sz w:val="24"/>
          <w:szCs w:val="24"/>
          <w:highlight w:val="none"/>
          <w:lang w:val="en-US" w:eastAsia="zh-CN" w:bidi="ar-SA"/>
        </w:rPr>
        <w:t>活动执行完毕后向甲方提供活动执行报告。报告内容包括但不限于：现场的图片、文字、视频、奖品发放数据、活动现场执行情况验收单等资料，经甲方验收无误后，视为合格。</w:t>
      </w:r>
      <w:r>
        <w:rPr>
          <w:rFonts w:hint="eastAsia" w:ascii="宋体" w:hAnsi="宋体" w:eastAsia="宋体" w:cs="宋体"/>
          <w:color w:val="auto"/>
          <w:kern w:val="2"/>
          <w:sz w:val="24"/>
          <w:szCs w:val="24"/>
          <w:highlight w:val="none"/>
          <w:lang w:val="en-US" w:eastAsia="zh-CN" w:bidi="ar-SA"/>
        </w:rPr>
        <w:t>2026年8月，若已开展的活动（不少于10个地州）均验收合格，支付第二笔费用</w:t>
      </w:r>
      <w:r>
        <w:rPr>
          <w:rFonts w:hint="eastAsia" w:ascii="宋体" w:hAnsi="宋体" w:eastAsia="宋体" w:cs="宋体"/>
          <w:color w:val="auto"/>
          <w:kern w:val="2"/>
          <w:sz w:val="24"/>
          <w:szCs w:val="24"/>
          <w:highlight w:val="none"/>
          <w:lang w:val="en-US" w:eastAsia="zh-CN" w:bidi="ar-SA"/>
        </w:rPr>
        <w:t>。</w:t>
      </w:r>
    </w:p>
    <w:p w14:paraId="634B3BD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kinsoku/>
        <w:wordWrap/>
        <w:overflowPunct/>
        <w:topLinePunct w:val="0"/>
        <w:autoSpaceDE/>
        <w:autoSpaceDN/>
        <w:bidi w:val="0"/>
        <w:snapToGrid/>
        <w:spacing w:before="0" w:beforeAutospacing="0" w:after="0" w:afterAutospacing="0" w:line="56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（三）结案验收 </w:t>
      </w:r>
    </w:p>
    <w:p w14:paraId="58B2F2D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kinsoku/>
        <w:wordWrap/>
        <w:overflowPunct/>
        <w:topLinePunct w:val="0"/>
        <w:autoSpaceDE/>
        <w:autoSpaceDN/>
        <w:bidi w:val="0"/>
        <w:snapToGrid/>
        <w:spacing w:before="0" w:beforeAutospacing="0" w:after="0" w:afterAutospacing="0" w:line="56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活动全部执行完毕后，乙方须向甲方提交书面结案报告（含项目整体执行情况、所有场次验收单、各</w:t>
      </w:r>
      <w:r>
        <w:rPr>
          <w:rFonts w:hint="eastAsia" w:cs="宋体"/>
          <w:color w:val="auto"/>
          <w:kern w:val="2"/>
          <w:sz w:val="24"/>
          <w:szCs w:val="24"/>
          <w:highlight w:val="none"/>
          <w:lang w:val="en-US" w:eastAsia="zh-CN" w:bidi="ar-SA"/>
        </w:rPr>
        <w:t>城市</w:t>
      </w:r>
      <w:r>
        <w:rPr>
          <w:rFonts w:hint="eastAsia" w:ascii="宋体" w:hAnsi="宋体" w:eastAsia="宋体" w:cs="宋体"/>
          <w:color w:val="auto"/>
          <w:kern w:val="2"/>
          <w:sz w:val="24"/>
          <w:szCs w:val="24"/>
          <w:highlight w:val="none"/>
          <w:lang w:val="en-US" w:eastAsia="zh-CN" w:bidi="ar-SA"/>
        </w:rPr>
        <w:t>执行报告、宣传传播数据、供应商财务明细、奖品发放总台账、活动效果分析等）及佐证材料。甲方将结合以下内容进行结案验收：①实施方案及合同；②活动现场图文、视频资料；③各举办</w:t>
      </w:r>
      <w:r>
        <w:rPr>
          <w:rFonts w:hint="eastAsia" w:cs="宋体"/>
          <w:color w:val="auto"/>
          <w:kern w:val="2"/>
          <w:sz w:val="24"/>
          <w:szCs w:val="24"/>
          <w:highlight w:val="none"/>
          <w:lang w:val="en-US" w:eastAsia="zh-CN" w:bidi="ar-SA"/>
        </w:rPr>
        <w:t>城市所在</w:t>
      </w:r>
      <w:r>
        <w:rPr>
          <w:rFonts w:hint="eastAsia" w:ascii="宋体" w:hAnsi="宋体" w:eastAsia="宋体" w:cs="宋体"/>
          <w:color w:val="auto"/>
          <w:kern w:val="2"/>
          <w:sz w:val="24"/>
          <w:szCs w:val="24"/>
          <w:highlight w:val="none"/>
          <w:lang w:val="en-US" w:eastAsia="zh-CN" w:bidi="ar-SA"/>
        </w:rPr>
        <w:t>地州福彩中心满意度反馈表；④宣传推广及传播目标达成情况。验收合格，则支付尾款；若不合格，则甲方有权要求乙方按合同总金额的30%支付违约金，违约金来源为项目尾款或履约保证金。</w:t>
      </w:r>
    </w:p>
    <w:p w14:paraId="7C8241E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kinsoku/>
        <w:wordWrap/>
        <w:overflowPunct/>
        <w:topLinePunct w:val="0"/>
        <w:autoSpaceDE/>
        <w:autoSpaceDN/>
        <w:bidi w:val="0"/>
        <w:snapToGrid/>
        <w:spacing w:before="0" w:beforeAutospacing="0" w:after="0" w:afterAutospacing="0" w:line="56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五、双方权利和义务</w:t>
      </w:r>
    </w:p>
    <w:p w14:paraId="19495C04">
      <w:pPr>
        <w:keepNext w:val="0"/>
        <w:keepLines w:val="0"/>
        <w:pageBreakBefore w:val="0"/>
        <w:widowControl/>
        <w:kinsoku/>
        <w:wordWrap/>
        <w:overflowPunct/>
        <w:topLinePunct w:val="0"/>
        <w:autoSpaceDE/>
        <w:autoSpaceDN/>
        <w:bidi w:val="0"/>
        <w:snapToGrid/>
        <w:spacing w:line="56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（一）甲方权利</w:t>
      </w:r>
    </w:p>
    <w:p w14:paraId="6D4E86A6">
      <w:pPr>
        <w:pStyle w:val="14"/>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1.甲方有权要求乙方</w:t>
      </w:r>
      <w:r>
        <w:rPr>
          <w:rFonts w:hint="eastAsia" w:ascii="宋体" w:hAnsi="宋体" w:eastAsia="宋体" w:cs="宋体"/>
          <w:color w:val="auto"/>
          <w:kern w:val="2"/>
          <w:sz w:val="24"/>
          <w:szCs w:val="24"/>
          <w:highlight w:val="none"/>
          <w:lang w:eastAsia="zh-CN"/>
        </w:rPr>
        <w:t>按照</w:t>
      </w:r>
      <w:r>
        <w:rPr>
          <w:rFonts w:hint="eastAsia" w:ascii="宋体" w:hAnsi="宋体" w:eastAsia="宋体" w:cs="宋体"/>
          <w:color w:val="auto"/>
          <w:kern w:val="2"/>
          <w:sz w:val="24"/>
          <w:szCs w:val="24"/>
          <w:highlight w:val="none"/>
        </w:rPr>
        <w:t>合同约定的时间、地点、内容及其他约定内容执行本项目。</w:t>
      </w:r>
    </w:p>
    <w:p w14:paraId="02813B02">
      <w:pPr>
        <w:pStyle w:val="14"/>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2.甲方</w:t>
      </w:r>
      <w:r>
        <w:rPr>
          <w:rFonts w:hint="eastAsia" w:ascii="宋体" w:hAnsi="宋体" w:eastAsia="宋体" w:cs="宋体"/>
          <w:color w:val="auto"/>
          <w:kern w:val="2"/>
          <w:sz w:val="24"/>
          <w:szCs w:val="24"/>
          <w:highlight w:val="none"/>
          <w:lang w:val="en-US" w:eastAsia="zh-CN"/>
        </w:rPr>
        <w:t>及活动开展地福彩中心</w:t>
      </w:r>
      <w:r>
        <w:rPr>
          <w:rFonts w:hint="eastAsia" w:ascii="宋体" w:hAnsi="宋体" w:eastAsia="宋体" w:cs="宋体"/>
          <w:color w:val="auto"/>
          <w:kern w:val="2"/>
          <w:sz w:val="24"/>
          <w:szCs w:val="24"/>
          <w:highlight w:val="none"/>
        </w:rPr>
        <w:t>有权对乙方合同执行的全过程、各环节进行</w:t>
      </w:r>
      <w:r>
        <w:rPr>
          <w:rFonts w:hint="eastAsia" w:ascii="宋体" w:hAnsi="宋体" w:eastAsia="宋体" w:cs="宋体"/>
          <w:color w:val="auto"/>
          <w:kern w:val="2"/>
          <w:sz w:val="24"/>
          <w:szCs w:val="24"/>
          <w:highlight w:val="none"/>
          <w:lang w:val="en-US" w:eastAsia="zh-CN"/>
        </w:rPr>
        <w:t>指导、</w:t>
      </w:r>
      <w:r>
        <w:rPr>
          <w:rFonts w:hint="eastAsia" w:ascii="宋体" w:hAnsi="宋体" w:eastAsia="宋体" w:cs="宋体"/>
          <w:color w:val="auto"/>
          <w:kern w:val="2"/>
          <w:sz w:val="24"/>
          <w:szCs w:val="24"/>
          <w:highlight w:val="none"/>
        </w:rPr>
        <w:t>监督检查，乙方须予以配合。</w:t>
      </w:r>
    </w:p>
    <w:p w14:paraId="6A1DA72A">
      <w:pPr>
        <w:pStyle w:val="14"/>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3.合同结束后，甲方有权要求乙方出具结案报告，并按照规定对合同履约情况进行验收。</w:t>
      </w:r>
    </w:p>
    <w:p w14:paraId="4C76F5D4">
      <w:pPr>
        <w:pStyle w:val="14"/>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4.如出现违约情况，乙方拒不支付违约金的，甲方有权从履约保证金中扣除。</w:t>
      </w:r>
    </w:p>
    <w:p w14:paraId="426A4DC4">
      <w:pPr>
        <w:pStyle w:val="14"/>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5.活动方案由乙方提供，甲方审核通过后执行，未经甲方同意，乙方不得擅自改动。</w:t>
      </w:r>
    </w:p>
    <w:p w14:paraId="527BF3F0">
      <w:pPr>
        <w:keepNext w:val="0"/>
        <w:keepLines w:val="0"/>
        <w:pageBreakBefore w:val="0"/>
        <w:widowControl/>
        <w:kinsoku/>
        <w:wordWrap/>
        <w:overflowPunct/>
        <w:topLinePunct w:val="0"/>
        <w:autoSpaceDE/>
        <w:autoSpaceDN/>
        <w:bidi w:val="0"/>
        <w:snapToGrid/>
        <w:spacing w:line="56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（二）甲方义务</w:t>
      </w:r>
    </w:p>
    <w:p w14:paraId="4CA42310">
      <w:pPr>
        <w:pStyle w:val="14"/>
        <w:keepNext w:val="0"/>
        <w:keepLines w:val="0"/>
        <w:pageBreakBefore w:val="0"/>
        <w:kinsoku/>
        <w:wordWrap/>
        <w:overflowPunct/>
        <w:topLinePunct w:val="0"/>
        <w:autoSpaceDE/>
        <w:autoSpaceDN/>
        <w:bidi w:val="0"/>
        <w:snapToGrid/>
        <w:spacing w:line="560" w:lineRule="exact"/>
        <w:ind w:firstLine="64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1.按照合同约定的金额、时间支付合同费用。</w:t>
      </w:r>
    </w:p>
    <w:p w14:paraId="5C6DF6BF">
      <w:pPr>
        <w:pStyle w:val="14"/>
        <w:keepNext w:val="0"/>
        <w:keepLines w:val="0"/>
        <w:pageBreakBefore w:val="0"/>
        <w:kinsoku/>
        <w:wordWrap/>
        <w:overflowPunct/>
        <w:topLinePunct w:val="0"/>
        <w:autoSpaceDE/>
        <w:autoSpaceDN/>
        <w:bidi w:val="0"/>
        <w:snapToGrid/>
        <w:spacing w:line="560" w:lineRule="exact"/>
        <w:ind w:firstLine="64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2.及时向乙方提供相关素材内容。</w:t>
      </w:r>
    </w:p>
    <w:p w14:paraId="39DCB61E">
      <w:pPr>
        <w:keepNext w:val="0"/>
        <w:keepLines w:val="0"/>
        <w:pageBreakBefore w:val="0"/>
        <w:widowControl/>
        <w:kinsoku/>
        <w:wordWrap/>
        <w:overflowPunct/>
        <w:topLinePunct w:val="0"/>
        <w:autoSpaceDE/>
        <w:autoSpaceDN/>
        <w:bidi w:val="0"/>
        <w:snapToGrid/>
        <w:spacing w:line="56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（三）乙方权利</w:t>
      </w:r>
    </w:p>
    <w:p w14:paraId="1CD44343">
      <w:pPr>
        <w:pStyle w:val="14"/>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乙方有权要求甲方提供的素材内容合法合规</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若出现违规违法内容，乙方有权拒绝执行。</w:t>
      </w:r>
    </w:p>
    <w:p w14:paraId="6333E40C">
      <w:pPr>
        <w:keepNext w:val="0"/>
        <w:keepLines w:val="0"/>
        <w:pageBreakBefore w:val="0"/>
        <w:widowControl/>
        <w:kinsoku/>
        <w:wordWrap/>
        <w:overflowPunct/>
        <w:topLinePunct w:val="0"/>
        <w:autoSpaceDE/>
        <w:autoSpaceDN/>
        <w:bidi w:val="0"/>
        <w:snapToGrid/>
        <w:spacing w:line="56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（四）乙方义务</w:t>
      </w:r>
    </w:p>
    <w:p w14:paraId="264A0D63">
      <w:pPr>
        <w:pStyle w:val="14"/>
        <w:keepNext w:val="0"/>
        <w:keepLines w:val="0"/>
        <w:pageBreakBefore w:val="0"/>
        <w:kinsoku/>
        <w:wordWrap/>
        <w:overflowPunct/>
        <w:topLinePunct w:val="0"/>
        <w:autoSpaceDE/>
        <w:autoSpaceDN/>
        <w:bidi w:val="0"/>
        <w:snapToGrid/>
        <w:spacing w:line="560" w:lineRule="exact"/>
        <w:ind w:firstLine="64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1.乙方向甲方提供活动</w:t>
      </w:r>
      <w:r>
        <w:rPr>
          <w:rFonts w:hint="eastAsia" w:ascii="宋体" w:hAnsi="宋体" w:eastAsia="宋体" w:cs="宋体"/>
          <w:color w:val="auto"/>
          <w:kern w:val="2"/>
          <w:sz w:val="24"/>
          <w:szCs w:val="24"/>
          <w:highlight w:val="none"/>
          <w:lang w:val="en-US" w:eastAsia="zh-CN"/>
        </w:rPr>
        <w:t>实施</w:t>
      </w:r>
      <w:r>
        <w:rPr>
          <w:rFonts w:hint="eastAsia" w:ascii="宋体" w:hAnsi="宋体" w:eastAsia="宋体" w:cs="宋体"/>
          <w:color w:val="auto"/>
          <w:kern w:val="2"/>
          <w:sz w:val="24"/>
          <w:szCs w:val="24"/>
          <w:highlight w:val="none"/>
        </w:rPr>
        <w:t>方案</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活动实施方案应包括但不限于如下内容：活动背景及目标、活动时间及地点、活动内容与设计流程、人员分工与培训、物资筹备清单、执行流程与时间表、奖品清单、主持人信息、节目介绍、游戏类型、风险预案、效果评估、用户粘性增强方案、后续跟进计划等，</w:t>
      </w:r>
      <w:r>
        <w:rPr>
          <w:rFonts w:hint="eastAsia" w:ascii="宋体" w:hAnsi="宋体" w:eastAsia="宋体" w:cs="宋体"/>
          <w:color w:val="auto"/>
          <w:kern w:val="2"/>
          <w:sz w:val="24"/>
          <w:szCs w:val="24"/>
          <w:highlight w:val="none"/>
        </w:rPr>
        <w:t>甲方审核通过后落地执行。</w:t>
      </w:r>
    </w:p>
    <w:p w14:paraId="3BBBC3F8">
      <w:pPr>
        <w:pStyle w:val="14"/>
        <w:keepNext w:val="0"/>
        <w:keepLines w:val="0"/>
        <w:pageBreakBefore w:val="0"/>
        <w:kinsoku/>
        <w:wordWrap/>
        <w:overflowPunct/>
        <w:topLinePunct w:val="0"/>
        <w:autoSpaceDE/>
        <w:autoSpaceDN/>
        <w:bidi w:val="0"/>
        <w:snapToGrid/>
        <w:spacing w:line="560" w:lineRule="exact"/>
        <w:ind w:firstLine="64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2.乙方负责采购相关物料、奖品</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确保项目执行顺利，乙方全程服务并</w:t>
      </w:r>
      <w:r>
        <w:rPr>
          <w:rFonts w:hint="eastAsia" w:ascii="宋体" w:hAnsi="宋体" w:eastAsia="宋体" w:cs="宋体"/>
          <w:color w:val="auto"/>
          <w:kern w:val="2"/>
          <w:sz w:val="24"/>
          <w:szCs w:val="24"/>
          <w:highlight w:val="none"/>
          <w:lang w:val="en-US" w:eastAsia="zh-CN"/>
        </w:rPr>
        <w:t>确保</w:t>
      </w:r>
      <w:r>
        <w:rPr>
          <w:rFonts w:hint="eastAsia" w:ascii="宋体" w:hAnsi="宋体" w:eastAsia="宋体" w:cs="宋体"/>
          <w:color w:val="auto"/>
          <w:kern w:val="2"/>
          <w:sz w:val="24"/>
          <w:szCs w:val="24"/>
          <w:highlight w:val="none"/>
        </w:rPr>
        <w:t>所有</w:t>
      </w:r>
      <w:r>
        <w:rPr>
          <w:rFonts w:hint="eastAsia" w:ascii="宋体" w:hAnsi="宋体" w:eastAsia="宋体" w:cs="宋体"/>
          <w:color w:val="auto"/>
          <w:kern w:val="2"/>
          <w:sz w:val="24"/>
          <w:szCs w:val="24"/>
          <w:highlight w:val="none"/>
          <w:lang w:eastAsia="zh-CN"/>
        </w:rPr>
        <w:t>流程</w:t>
      </w:r>
      <w:r>
        <w:rPr>
          <w:rFonts w:hint="eastAsia" w:ascii="宋体" w:hAnsi="宋体" w:eastAsia="宋体" w:cs="宋体"/>
          <w:color w:val="auto"/>
          <w:kern w:val="2"/>
          <w:sz w:val="24"/>
          <w:szCs w:val="24"/>
          <w:highlight w:val="none"/>
        </w:rPr>
        <w:t>合法</w:t>
      </w:r>
      <w:r>
        <w:rPr>
          <w:rFonts w:hint="eastAsia" w:ascii="宋体" w:hAnsi="宋体" w:eastAsia="宋体" w:cs="宋体"/>
          <w:color w:val="auto"/>
          <w:kern w:val="2"/>
          <w:sz w:val="24"/>
          <w:szCs w:val="24"/>
          <w:highlight w:val="none"/>
          <w:lang w:eastAsia="zh-CN"/>
        </w:rPr>
        <w:t>合规</w:t>
      </w:r>
      <w:r>
        <w:rPr>
          <w:rFonts w:hint="eastAsia" w:ascii="宋体" w:hAnsi="宋体" w:eastAsia="宋体" w:cs="宋体"/>
          <w:color w:val="auto"/>
          <w:kern w:val="2"/>
          <w:sz w:val="24"/>
          <w:szCs w:val="24"/>
          <w:highlight w:val="none"/>
        </w:rPr>
        <w:t xml:space="preserve">。所有奖品须经过甲方确认同意后采购，奖品价格以可查询的市场价格为准。                            </w:t>
      </w:r>
    </w:p>
    <w:p w14:paraId="2646BAD7">
      <w:pPr>
        <w:pStyle w:val="14"/>
        <w:keepNext w:val="0"/>
        <w:keepLines w:val="0"/>
        <w:pageBreakBefore w:val="0"/>
        <w:kinsoku/>
        <w:wordWrap/>
        <w:overflowPunct/>
        <w:topLinePunct w:val="0"/>
        <w:autoSpaceDE/>
        <w:autoSpaceDN/>
        <w:bidi w:val="0"/>
        <w:snapToGrid/>
        <w:spacing w:line="560" w:lineRule="exact"/>
        <w:ind w:firstLine="64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3.乙方指定专人负责处理本项目相关服务事宜，乙方服务人员变动前3日内须书面通知甲方，若服务人员不能履行其应尽职责的，乙方在收到甲方书面通知之日起3日内撤换该成员。</w:t>
      </w:r>
    </w:p>
    <w:p w14:paraId="0F6B5A6A">
      <w:pPr>
        <w:pStyle w:val="14"/>
        <w:keepNext w:val="0"/>
        <w:keepLines w:val="0"/>
        <w:pageBreakBefore w:val="0"/>
        <w:kinsoku/>
        <w:wordWrap/>
        <w:overflowPunct/>
        <w:topLinePunct w:val="0"/>
        <w:autoSpaceDE/>
        <w:autoSpaceDN/>
        <w:bidi w:val="0"/>
        <w:snapToGrid/>
        <w:spacing w:line="560" w:lineRule="exact"/>
        <w:ind w:firstLine="64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4.因不可抗力原因造成活动无法如期进行，乙方需在24小时内通知甲方协商</w:t>
      </w:r>
      <w:r>
        <w:rPr>
          <w:rFonts w:hint="eastAsia" w:ascii="宋体" w:hAnsi="宋体" w:eastAsia="宋体" w:cs="宋体"/>
          <w:color w:val="auto"/>
          <w:kern w:val="2"/>
          <w:sz w:val="24"/>
          <w:szCs w:val="24"/>
          <w:highlight w:val="none"/>
          <w:lang w:eastAsia="zh-CN"/>
        </w:rPr>
        <w:t>相关事宜，</w:t>
      </w:r>
      <w:r>
        <w:rPr>
          <w:rFonts w:hint="eastAsia" w:ascii="宋体" w:hAnsi="宋体" w:eastAsia="宋体" w:cs="宋体"/>
          <w:color w:val="auto"/>
          <w:kern w:val="2"/>
          <w:sz w:val="24"/>
          <w:szCs w:val="24"/>
          <w:highlight w:val="none"/>
        </w:rPr>
        <w:t>根据协商一致</w:t>
      </w:r>
      <w:r>
        <w:rPr>
          <w:rFonts w:hint="eastAsia" w:ascii="宋体" w:hAnsi="宋体" w:eastAsia="宋体" w:cs="宋体"/>
          <w:color w:val="auto"/>
          <w:kern w:val="2"/>
          <w:sz w:val="24"/>
          <w:szCs w:val="24"/>
          <w:highlight w:val="none"/>
          <w:lang w:eastAsia="zh-CN"/>
        </w:rPr>
        <w:t>的结果进行后续操作，</w:t>
      </w:r>
      <w:r>
        <w:rPr>
          <w:rFonts w:hint="eastAsia" w:ascii="宋体" w:hAnsi="宋体" w:eastAsia="宋体" w:cs="宋体"/>
          <w:color w:val="auto"/>
          <w:kern w:val="2"/>
          <w:sz w:val="24"/>
          <w:szCs w:val="24"/>
          <w:highlight w:val="none"/>
        </w:rPr>
        <w:t>择期</w:t>
      </w:r>
      <w:r>
        <w:rPr>
          <w:rFonts w:hint="eastAsia" w:ascii="宋体" w:hAnsi="宋体" w:eastAsia="宋体" w:cs="宋体"/>
          <w:color w:val="auto"/>
          <w:kern w:val="2"/>
          <w:sz w:val="24"/>
          <w:szCs w:val="24"/>
          <w:highlight w:val="none"/>
          <w:lang w:val="en-US" w:eastAsia="zh-CN"/>
        </w:rPr>
        <w:t>开展</w:t>
      </w:r>
      <w:r>
        <w:rPr>
          <w:rFonts w:hint="eastAsia" w:ascii="宋体" w:hAnsi="宋体" w:eastAsia="宋体" w:cs="宋体"/>
          <w:color w:val="auto"/>
          <w:kern w:val="2"/>
          <w:sz w:val="24"/>
          <w:szCs w:val="24"/>
          <w:highlight w:val="none"/>
        </w:rPr>
        <w:t>活动。</w:t>
      </w:r>
    </w:p>
    <w:p w14:paraId="512A0C43">
      <w:pPr>
        <w:pStyle w:val="14"/>
        <w:keepNext w:val="0"/>
        <w:keepLines w:val="0"/>
        <w:pageBreakBefore w:val="0"/>
        <w:kinsoku/>
        <w:wordWrap/>
        <w:overflowPunct/>
        <w:topLinePunct w:val="0"/>
        <w:autoSpaceDE/>
        <w:autoSpaceDN/>
        <w:bidi w:val="0"/>
        <w:snapToGrid/>
        <w:spacing w:line="560" w:lineRule="exact"/>
        <w:ind w:firstLine="64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5.乙方为甲方提供验收支持，</w:t>
      </w:r>
      <w:r>
        <w:rPr>
          <w:rFonts w:hint="eastAsia" w:ascii="宋体" w:hAnsi="宋体" w:eastAsia="宋体" w:cs="宋体"/>
          <w:color w:val="auto"/>
          <w:kern w:val="2"/>
          <w:sz w:val="24"/>
          <w:szCs w:val="24"/>
          <w:highlight w:val="none"/>
          <w:lang w:val="en-US" w:eastAsia="zh-CN"/>
        </w:rPr>
        <w:t>并向甲方提交验收报告</w:t>
      </w:r>
      <w:r>
        <w:rPr>
          <w:rFonts w:hint="eastAsia" w:ascii="宋体" w:hAnsi="宋体" w:eastAsia="宋体" w:cs="宋体"/>
          <w:color w:val="auto"/>
          <w:kern w:val="2"/>
          <w:sz w:val="24"/>
          <w:szCs w:val="24"/>
          <w:highlight w:val="none"/>
        </w:rPr>
        <w:t>，报告</w:t>
      </w:r>
      <w:r>
        <w:rPr>
          <w:rFonts w:hint="eastAsia" w:ascii="宋体" w:hAnsi="宋体" w:eastAsia="宋体" w:cs="宋体"/>
          <w:color w:val="auto"/>
          <w:kern w:val="2"/>
          <w:sz w:val="24"/>
          <w:szCs w:val="24"/>
          <w:highlight w:val="none"/>
          <w:lang w:val="en-US" w:eastAsia="zh-CN"/>
        </w:rPr>
        <w:t>内容应包括但不限于如下内容</w:t>
      </w:r>
      <w:r>
        <w:rPr>
          <w:rFonts w:hint="eastAsia" w:ascii="宋体" w:hAnsi="宋体" w:eastAsia="宋体" w:cs="宋体"/>
          <w:color w:val="auto"/>
          <w:kern w:val="2"/>
          <w:sz w:val="24"/>
          <w:szCs w:val="24"/>
          <w:highlight w:val="none"/>
        </w:rPr>
        <w:t>：活动执行情况</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活动图片</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视频资料</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奖品采购数量</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发放数量、签收数量，</w:t>
      </w:r>
      <w:r>
        <w:rPr>
          <w:rFonts w:hint="eastAsia" w:ascii="宋体" w:hAnsi="宋体" w:eastAsia="宋体" w:cs="宋体"/>
          <w:color w:val="auto"/>
          <w:kern w:val="2"/>
          <w:sz w:val="24"/>
          <w:szCs w:val="24"/>
          <w:highlight w:val="none"/>
          <w:lang w:eastAsia="zh-CN"/>
        </w:rPr>
        <w:t>以及证明</w:t>
      </w:r>
      <w:r>
        <w:rPr>
          <w:rFonts w:hint="eastAsia" w:ascii="宋体" w:hAnsi="宋体" w:eastAsia="宋体" w:cs="宋体"/>
          <w:color w:val="auto"/>
          <w:kern w:val="2"/>
          <w:sz w:val="24"/>
          <w:szCs w:val="24"/>
          <w:highlight w:val="none"/>
        </w:rPr>
        <w:t>该项目按</w:t>
      </w:r>
      <w:r>
        <w:rPr>
          <w:rFonts w:hint="eastAsia" w:ascii="宋体" w:hAnsi="宋体" w:eastAsia="宋体" w:cs="宋体"/>
          <w:color w:val="auto"/>
          <w:kern w:val="2"/>
          <w:sz w:val="24"/>
          <w:szCs w:val="24"/>
          <w:highlight w:val="none"/>
          <w:lang w:val="en-US" w:eastAsia="zh-CN"/>
        </w:rPr>
        <w:t>合同</w:t>
      </w:r>
      <w:r>
        <w:rPr>
          <w:rFonts w:hint="eastAsia" w:ascii="宋体" w:hAnsi="宋体" w:eastAsia="宋体" w:cs="宋体"/>
          <w:color w:val="auto"/>
          <w:kern w:val="2"/>
          <w:sz w:val="24"/>
          <w:szCs w:val="24"/>
          <w:highlight w:val="none"/>
        </w:rPr>
        <w:t>要求执行的相关证明材料。</w:t>
      </w:r>
    </w:p>
    <w:p w14:paraId="27725F2E">
      <w:pPr>
        <w:pStyle w:val="14"/>
        <w:keepNext w:val="0"/>
        <w:keepLines w:val="0"/>
        <w:pageBreakBefore w:val="0"/>
        <w:kinsoku/>
        <w:wordWrap/>
        <w:overflowPunct/>
        <w:topLinePunct w:val="0"/>
        <w:autoSpaceDE/>
        <w:autoSpaceDN/>
        <w:bidi w:val="0"/>
        <w:snapToGrid/>
        <w:spacing w:line="560" w:lineRule="exact"/>
        <w:ind w:firstLine="64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.乙方为甲方设计</w:t>
      </w:r>
      <w:r>
        <w:rPr>
          <w:rFonts w:hint="eastAsia" w:ascii="宋体" w:hAnsi="宋体" w:eastAsia="宋体" w:cs="宋体"/>
          <w:color w:val="auto"/>
          <w:kern w:val="2"/>
          <w:sz w:val="24"/>
          <w:szCs w:val="24"/>
          <w:highlight w:val="none"/>
          <w:lang w:eastAsia="zh-CN"/>
        </w:rPr>
        <w:t>的内容</w:t>
      </w:r>
      <w:r>
        <w:rPr>
          <w:rFonts w:hint="eastAsia" w:ascii="宋体" w:hAnsi="宋体" w:eastAsia="宋体" w:cs="宋体"/>
          <w:color w:val="auto"/>
          <w:kern w:val="2"/>
          <w:sz w:val="24"/>
          <w:szCs w:val="24"/>
          <w:highlight w:val="none"/>
          <w:lang w:val="en-US" w:eastAsia="zh-CN"/>
        </w:rPr>
        <w:t>及交付成果中</w:t>
      </w:r>
      <w:r>
        <w:rPr>
          <w:rFonts w:hint="eastAsia" w:ascii="宋体" w:hAnsi="宋体" w:eastAsia="宋体" w:cs="宋体"/>
          <w:color w:val="auto"/>
          <w:kern w:val="2"/>
          <w:sz w:val="24"/>
          <w:szCs w:val="24"/>
          <w:highlight w:val="none"/>
        </w:rPr>
        <w:t>涉及的图片、文字等元素，不得</w:t>
      </w:r>
      <w:r>
        <w:rPr>
          <w:rFonts w:hint="eastAsia" w:ascii="宋体" w:hAnsi="宋体" w:eastAsia="宋体" w:cs="宋体"/>
          <w:color w:val="auto"/>
          <w:kern w:val="2"/>
          <w:sz w:val="24"/>
          <w:szCs w:val="24"/>
          <w:highlight w:val="none"/>
          <w:lang w:val="en-US" w:eastAsia="zh-CN"/>
        </w:rPr>
        <w:t>存在侵犯</w:t>
      </w:r>
      <w:r>
        <w:rPr>
          <w:rFonts w:hint="eastAsia" w:ascii="宋体" w:hAnsi="宋体" w:eastAsia="宋体" w:cs="宋体"/>
          <w:color w:val="auto"/>
          <w:kern w:val="2"/>
          <w:sz w:val="24"/>
          <w:szCs w:val="24"/>
          <w:highlight w:val="none"/>
        </w:rPr>
        <w:t>任何第三方知识产权</w:t>
      </w:r>
      <w:r>
        <w:rPr>
          <w:rFonts w:hint="eastAsia" w:ascii="宋体" w:hAnsi="宋体" w:eastAsia="宋体" w:cs="宋体"/>
          <w:color w:val="auto"/>
          <w:kern w:val="2"/>
          <w:sz w:val="24"/>
          <w:szCs w:val="24"/>
          <w:highlight w:val="none"/>
          <w:lang w:val="en-US" w:eastAsia="zh-CN"/>
        </w:rPr>
        <w:t>的情况</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如因乙方交付的工作成果引起任何知识产权争议，均由乙方负责解决并承担相应法律责任。</w:t>
      </w:r>
    </w:p>
    <w:p w14:paraId="54C93A13">
      <w:pPr>
        <w:pStyle w:val="14"/>
        <w:keepNext w:val="0"/>
        <w:keepLines w:val="0"/>
        <w:pageBreakBefore w:val="0"/>
        <w:kinsoku/>
        <w:wordWrap/>
        <w:overflowPunct/>
        <w:topLinePunct w:val="0"/>
        <w:autoSpaceDE/>
        <w:autoSpaceDN/>
        <w:bidi w:val="0"/>
        <w:snapToGrid/>
        <w:spacing w:line="560" w:lineRule="exact"/>
        <w:ind w:firstLine="64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rPr>
        <w:t>.乙方</w:t>
      </w:r>
      <w:r>
        <w:rPr>
          <w:rFonts w:hint="eastAsia" w:ascii="宋体" w:hAnsi="宋体" w:eastAsia="宋体" w:cs="宋体"/>
          <w:color w:val="auto"/>
          <w:kern w:val="2"/>
          <w:sz w:val="24"/>
          <w:szCs w:val="24"/>
          <w:highlight w:val="none"/>
          <w:lang w:eastAsia="zh-CN"/>
        </w:rPr>
        <w:t>应</w:t>
      </w:r>
      <w:r>
        <w:rPr>
          <w:rFonts w:hint="eastAsia" w:ascii="宋体" w:hAnsi="宋体" w:eastAsia="宋体" w:cs="宋体"/>
          <w:color w:val="auto"/>
          <w:kern w:val="2"/>
          <w:sz w:val="24"/>
          <w:szCs w:val="24"/>
          <w:highlight w:val="none"/>
        </w:rPr>
        <w:t>遵守《中华人民共和国广告法》的相关规定，包括但不限于活动所涉广告内容的真实性、合法性，不得含有虚假或误导性的信息。</w:t>
      </w:r>
    </w:p>
    <w:p w14:paraId="7AEF7BA1">
      <w:pPr>
        <w:pStyle w:val="14"/>
        <w:keepNext w:val="0"/>
        <w:keepLines w:val="0"/>
        <w:pageBreakBefore w:val="0"/>
        <w:kinsoku/>
        <w:wordWrap/>
        <w:overflowPunct/>
        <w:topLinePunct w:val="0"/>
        <w:autoSpaceDE/>
        <w:autoSpaceDN/>
        <w:bidi w:val="0"/>
        <w:snapToGrid/>
        <w:spacing w:line="560" w:lineRule="exact"/>
        <w:ind w:firstLine="64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.乙方应严格遵守《中华人民共和国反不正当竞争法》，不得采用虚假宣传、贬低竞争对手、商业贿赂等不正当手段进行推广。</w:t>
      </w:r>
    </w:p>
    <w:p w14:paraId="3FDF59FB">
      <w:pPr>
        <w:pStyle w:val="14"/>
        <w:keepNext w:val="0"/>
        <w:keepLines w:val="0"/>
        <w:pageBreakBefore w:val="0"/>
        <w:kinsoku/>
        <w:wordWrap/>
        <w:overflowPunct/>
        <w:topLinePunct w:val="0"/>
        <w:autoSpaceDE/>
        <w:autoSpaceDN/>
        <w:bidi w:val="0"/>
        <w:snapToGrid/>
        <w:spacing w:line="560" w:lineRule="exact"/>
        <w:ind w:firstLine="64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9</w:t>
      </w:r>
      <w:r>
        <w:rPr>
          <w:rFonts w:hint="eastAsia" w:ascii="宋体" w:hAnsi="宋体" w:eastAsia="宋体" w:cs="宋体"/>
          <w:color w:val="auto"/>
          <w:kern w:val="2"/>
          <w:sz w:val="24"/>
          <w:szCs w:val="24"/>
          <w:highlight w:val="none"/>
        </w:rPr>
        <w:t>.乙方还需遵循</w:t>
      </w:r>
      <w:r>
        <w:rPr>
          <w:rFonts w:hint="eastAsia" w:ascii="宋体" w:hAnsi="宋体" w:eastAsia="宋体" w:cs="宋体"/>
          <w:color w:val="auto"/>
          <w:kern w:val="2"/>
          <w:sz w:val="24"/>
          <w:szCs w:val="24"/>
          <w:highlight w:val="none"/>
          <w:lang w:eastAsia="zh-CN"/>
        </w:rPr>
        <w:t>《中华人民共和国民法典》（知识产权相关条款）的相关规定，</w:t>
      </w:r>
      <w:r>
        <w:rPr>
          <w:rFonts w:hint="eastAsia" w:ascii="宋体" w:hAnsi="宋体" w:eastAsia="宋体" w:cs="宋体"/>
          <w:color w:val="auto"/>
          <w:kern w:val="2"/>
          <w:sz w:val="24"/>
          <w:szCs w:val="24"/>
          <w:highlight w:val="none"/>
        </w:rPr>
        <w:t>确保活动中使用的所有知识产权（如商标、专利、著作权等）均合法授权，不侵犯他人的知识产权。</w:t>
      </w:r>
    </w:p>
    <w:p w14:paraId="19DA6734">
      <w:pPr>
        <w:pStyle w:val="14"/>
        <w:keepNext w:val="0"/>
        <w:keepLines w:val="0"/>
        <w:pageBreakBefore w:val="0"/>
        <w:kinsoku/>
        <w:wordWrap/>
        <w:overflowPunct/>
        <w:topLinePunct w:val="0"/>
        <w:autoSpaceDE/>
        <w:autoSpaceDN/>
        <w:bidi w:val="0"/>
        <w:snapToGrid/>
        <w:spacing w:line="560" w:lineRule="exact"/>
        <w:ind w:firstLine="64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rPr>
        <w:t>乙方</w:t>
      </w:r>
      <w:r>
        <w:rPr>
          <w:rFonts w:hint="eastAsia" w:ascii="宋体" w:hAnsi="宋体" w:eastAsia="宋体" w:cs="宋体"/>
          <w:color w:val="auto"/>
          <w:kern w:val="2"/>
          <w:sz w:val="24"/>
          <w:szCs w:val="24"/>
          <w:highlight w:val="none"/>
          <w:lang w:eastAsia="zh-CN"/>
        </w:rPr>
        <w:t>应按照</w:t>
      </w:r>
      <w:r>
        <w:rPr>
          <w:rFonts w:hint="eastAsia" w:ascii="宋体" w:hAnsi="宋体" w:eastAsia="宋体" w:cs="宋体"/>
          <w:color w:val="auto"/>
          <w:kern w:val="2"/>
          <w:sz w:val="24"/>
          <w:szCs w:val="24"/>
          <w:highlight w:val="none"/>
        </w:rPr>
        <w:t>投标文件</w:t>
      </w:r>
      <w:r>
        <w:rPr>
          <w:rFonts w:hint="eastAsia" w:ascii="宋体" w:hAnsi="宋体" w:eastAsia="宋体" w:cs="宋体"/>
          <w:color w:val="auto"/>
          <w:kern w:val="2"/>
          <w:sz w:val="24"/>
          <w:szCs w:val="24"/>
          <w:highlight w:val="none"/>
          <w:lang w:eastAsia="zh-CN"/>
        </w:rPr>
        <w:t>的要求配备</w:t>
      </w:r>
      <w:r>
        <w:rPr>
          <w:rFonts w:hint="eastAsia" w:ascii="宋体" w:hAnsi="宋体" w:eastAsia="宋体" w:cs="宋体"/>
          <w:color w:val="auto"/>
          <w:kern w:val="2"/>
          <w:sz w:val="24"/>
          <w:szCs w:val="24"/>
          <w:highlight w:val="none"/>
        </w:rPr>
        <w:t>执行团队，</w:t>
      </w:r>
      <w:r>
        <w:rPr>
          <w:rFonts w:hint="eastAsia" w:ascii="宋体" w:hAnsi="宋体" w:eastAsia="宋体" w:cs="宋体"/>
          <w:color w:val="auto"/>
          <w:kern w:val="2"/>
          <w:sz w:val="24"/>
          <w:szCs w:val="24"/>
          <w:highlight w:val="none"/>
          <w:lang w:eastAsia="zh-CN"/>
        </w:rPr>
        <w:t>并负责</w:t>
      </w:r>
      <w:r>
        <w:rPr>
          <w:rFonts w:hint="eastAsia" w:ascii="宋体" w:hAnsi="宋体" w:eastAsia="宋体" w:cs="宋体"/>
          <w:color w:val="auto"/>
          <w:kern w:val="2"/>
          <w:sz w:val="24"/>
          <w:szCs w:val="24"/>
          <w:highlight w:val="none"/>
        </w:rPr>
        <w:t>执行团队人员的管理。</w:t>
      </w:r>
    </w:p>
    <w:p w14:paraId="72040671">
      <w:pPr>
        <w:pStyle w:val="14"/>
        <w:keepNext w:val="0"/>
        <w:keepLines w:val="0"/>
        <w:pageBreakBefore w:val="0"/>
        <w:kinsoku/>
        <w:wordWrap/>
        <w:overflowPunct/>
        <w:topLinePunct w:val="0"/>
        <w:autoSpaceDE/>
        <w:autoSpaceDN/>
        <w:bidi w:val="0"/>
        <w:snapToGrid/>
        <w:spacing w:line="560" w:lineRule="exact"/>
        <w:ind w:firstLine="64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11.</w:t>
      </w:r>
      <w:r>
        <w:rPr>
          <w:rFonts w:hint="eastAsia" w:ascii="宋体" w:hAnsi="宋体" w:eastAsia="宋体" w:cs="宋体"/>
          <w:color w:val="auto"/>
          <w:kern w:val="2"/>
          <w:sz w:val="24"/>
          <w:szCs w:val="24"/>
          <w:highlight w:val="none"/>
        </w:rPr>
        <w:t>乙方必须严格遵照《中华人民共和国突发事件应对法</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新疆维吾尔自治区社会治安综合治理条例</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大型群众性活动安全管理条例》等法律法规中的相关内容，确保活动的合法性和安全性。</w:t>
      </w:r>
    </w:p>
    <w:p w14:paraId="0A5391E9">
      <w:pPr>
        <w:pStyle w:val="14"/>
        <w:keepNext w:val="0"/>
        <w:keepLines w:val="0"/>
        <w:pageBreakBefore w:val="0"/>
        <w:kinsoku/>
        <w:wordWrap/>
        <w:overflowPunct/>
        <w:topLinePunct w:val="0"/>
        <w:autoSpaceDE/>
        <w:autoSpaceDN/>
        <w:bidi w:val="0"/>
        <w:snapToGrid/>
        <w:spacing w:line="560" w:lineRule="exact"/>
        <w:ind w:firstLine="64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.乙方应负责做好活动所需的报备、审批等</w:t>
      </w:r>
      <w:r>
        <w:rPr>
          <w:rFonts w:hint="eastAsia" w:ascii="宋体" w:hAnsi="宋体" w:eastAsia="宋体" w:cs="宋体"/>
          <w:color w:val="auto"/>
          <w:kern w:val="2"/>
          <w:sz w:val="24"/>
          <w:szCs w:val="24"/>
          <w:highlight w:val="none"/>
          <w:lang w:eastAsia="zh-CN"/>
        </w:rPr>
        <w:t>各项工作</w:t>
      </w:r>
      <w:r>
        <w:rPr>
          <w:rFonts w:hint="eastAsia" w:ascii="宋体" w:hAnsi="宋体" w:eastAsia="宋体" w:cs="宋体"/>
          <w:color w:val="auto"/>
          <w:kern w:val="2"/>
          <w:sz w:val="24"/>
          <w:szCs w:val="24"/>
          <w:highlight w:val="none"/>
        </w:rPr>
        <w:t>，确保活动符合相关法律法规的要求，避免因手续不全导致的法律风险。</w:t>
      </w:r>
    </w:p>
    <w:p w14:paraId="23BA5003">
      <w:pPr>
        <w:pStyle w:val="14"/>
        <w:keepNext w:val="0"/>
        <w:keepLines w:val="0"/>
        <w:pageBreakBefore w:val="0"/>
        <w:kinsoku/>
        <w:wordWrap/>
        <w:overflowPunct/>
        <w:topLinePunct w:val="0"/>
        <w:autoSpaceDE/>
        <w:autoSpaceDN/>
        <w:bidi w:val="0"/>
        <w:snapToGrid/>
        <w:spacing w:line="560" w:lineRule="exact"/>
        <w:ind w:firstLine="64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.乙方应与</w:t>
      </w:r>
      <w:r>
        <w:rPr>
          <w:rFonts w:hint="eastAsia" w:ascii="宋体" w:hAnsi="宋体" w:eastAsia="宋体" w:cs="宋体"/>
          <w:color w:val="auto"/>
          <w:kern w:val="2"/>
          <w:sz w:val="24"/>
          <w:szCs w:val="24"/>
          <w:highlight w:val="none"/>
          <w:lang w:eastAsia="zh-CN"/>
        </w:rPr>
        <w:t>活动场地的管理方</w:t>
      </w:r>
      <w:r>
        <w:rPr>
          <w:rFonts w:hint="eastAsia" w:ascii="宋体" w:hAnsi="宋体" w:eastAsia="宋体" w:cs="宋体"/>
          <w:color w:val="auto"/>
          <w:kern w:val="2"/>
          <w:sz w:val="24"/>
          <w:szCs w:val="24"/>
          <w:highlight w:val="none"/>
        </w:rPr>
        <w:t>进行充分的沟通对接，明确安全通道、消防器材等设施的位置和使用情况，确保活动现场的安全设施完备且有效。</w:t>
      </w:r>
    </w:p>
    <w:p w14:paraId="4DD3F02E">
      <w:pPr>
        <w:pStyle w:val="14"/>
        <w:keepNext w:val="0"/>
        <w:keepLines w:val="0"/>
        <w:pageBreakBefore w:val="0"/>
        <w:kinsoku/>
        <w:wordWrap/>
        <w:overflowPunct/>
        <w:topLinePunct w:val="0"/>
        <w:autoSpaceDE/>
        <w:autoSpaceDN/>
        <w:bidi w:val="0"/>
        <w:snapToGrid/>
        <w:spacing w:line="560" w:lineRule="exact"/>
        <w:ind w:firstLine="64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.乙方应制定详细的活动现场安全管理措施</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包括但不限于人员疏散方案、消防安全预案等，确保活动过程中不出现安全隐患。</w:t>
      </w:r>
    </w:p>
    <w:p w14:paraId="326DC549">
      <w:pPr>
        <w:pStyle w:val="14"/>
        <w:keepNext w:val="0"/>
        <w:keepLines w:val="0"/>
        <w:pageBreakBefore w:val="0"/>
        <w:kinsoku/>
        <w:wordWrap/>
        <w:overflowPunct/>
        <w:topLinePunct w:val="0"/>
        <w:autoSpaceDE/>
        <w:autoSpaceDN/>
        <w:bidi w:val="0"/>
        <w:snapToGrid/>
        <w:spacing w:line="560" w:lineRule="exact"/>
        <w:ind w:firstLine="64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.乙方应制定完善的活动现场突发情况应急处理预案，明确工作人员的分工和职责，确保在突发情况下能够迅速、有效地应对。</w:t>
      </w:r>
    </w:p>
    <w:p w14:paraId="6FEFA39D">
      <w:pPr>
        <w:pStyle w:val="14"/>
        <w:keepNext w:val="0"/>
        <w:keepLines w:val="0"/>
        <w:pageBreakBefore w:val="0"/>
        <w:kinsoku/>
        <w:wordWrap/>
        <w:overflowPunct/>
        <w:topLinePunct w:val="0"/>
        <w:autoSpaceDE/>
        <w:autoSpaceDN/>
        <w:bidi w:val="0"/>
        <w:snapToGrid/>
        <w:spacing w:line="560" w:lineRule="exact"/>
        <w:ind w:firstLine="64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.乙方应采取有效措施，防止参与者拥挤、踩踏、争执等安全隐患的发生，确保活动现场秩序井然。</w:t>
      </w:r>
    </w:p>
    <w:p w14:paraId="08134BCC">
      <w:pPr>
        <w:pStyle w:val="14"/>
        <w:keepNext w:val="0"/>
        <w:keepLines w:val="0"/>
        <w:pageBreakBefore w:val="0"/>
        <w:kinsoku/>
        <w:wordWrap/>
        <w:overflowPunct/>
        <w:topLinePunct w:val="0"/>
        <w:autoSpaceDE/>
        <w:autoSpaceDN/>
        <w:bidi w:val="0"/>
        <w:snapToGrid/>
        <w:spacing w:line="560" w:lineRule="exact"/>
        <w:ind w:firstLine="64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乙</w:t>
      </w:r>
      <w:r>
        <w:rPr>
          <w:rFonts w:hint="eastAsia" w:ascii="宋体" w:hAnsi="宋体" w:eastAsia="宋体" w:cs="宋体"/>
          <w:color w:val="auto"/>
          <w:kern w:val="2"/>
          <w:sz w:val="24"/>
          <w:szCs w:val="24"/>
          <w:highlight w:val="none"/>
        </w:rPr>
        <w:t>方应</w:t>
      </w:r>
      <w:r>
        <w:rPr>
          <w:rFonts w:hint="eastAsia" w:ascii="宋体" w:hAnsi="宋体" w:eastAsia="宋体" w:cs="宋体"/>
          <w:color w:val="auto"/>
          <w:kern w:val="2"/>
          <w:sz w:val="24"/>
          <w:szCs w:val="24"/>
          <w:highlight w:val="none"/>
          <w:lang w:val="en-US" w:eastAsia="zh-CN"/>
        </w:rPr>
        <w:t>确保</w:t>
      </w:r>
      <w:r>
        <w:rPr>
          <w:rFonts w:hint="eastAsia" w:ascii="宋体" w:hAnsi="宋体" w:eastAsia="宋体" w:cs="宋体"/>
          <w:color w:val="auto"/>
          <w:kern w:val="2"/>
          <w:sz w:val="24"/>
          <w:szCs w:val="24"/>
          <w:highlight w:val="none"/>
        </w:rPr>
        <w:t>单场活动在岗工作人员不少于</w:t>
      </w:r>
      <w:r>
        <w:rPr>
          <w:rFonts w:hint="eastAsia" w:ascii="宋体" w:hAnsi="宋体" w:eastAsia="宋体" w:cs="宋体"/>
          <w:color w:val="auto"/>
          <w:kern w:val="2"/>
          <w:sz w:val="24"/>
          <w:szCs w:val="24"/>
          <w:highlight w:val="none"/>
          <w:lang w:eastAsia="zh-CN"/>
        </w:rPr>
        <w:t>1</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人</w:t>
      </w:r>
      <w:r>
        <w:rPr>
          <w:rFonts w:hint="eastAsia" w:ascii="宋体" w:hAnsi="宋体" w:eastAsia="宋体" w:cs="宋体"/>
          <w:color w:val="auto"/>
          <w:kern w:val="2"/>
          <w:sz w:val="24"/>
          <w:szCs w:val="24"/>
          <w:highlight w:val="none"/>
          <w:lang w:eastAsia="zh-CN"/>
        </w:rPr>
        <w:t>（至少配备活动负责人1人、主持人1人、游戏引导员6人、奖品管理员2人、技术保</w:t>
      </w:r>
      <w:r>
        <w:rPr>
          <w:rFonts w:hint="eastAsia" w:eastAsia="宋体" w:cs="宋体"/>
          <w:color w:val="auto"/>
          <w:kern w:val="2"/>
          <w:sz w:val="24"/>
          <w:szCs w:val="24"/>
          <w:highlight w:val="none"/>
          <w:lang w:eastAsia="zh-CN"/>
        </w:rPr>
        <w:t>障员</w:t>
      </w:r>
      <w:r>
        <w:rPr>
          <w:rFonts w:hint="eastAsia" w:ascii="宋体" w:hAnsi="宋体" w:eastAsia="宋体" w:cs="宋体"/>
          <w:color w:val="auto"/>
          <w:kern w:val="2"/>
          <w:sz w:val="24"/>
          <w:szCs w:val="24"/>
          <w:highlight w:val="none"/>
          <w:lang w:eastAsia="zh-CN"/>
        </w:rPr>
        <w:t>1人、摄影摄像2人、安全保障员2人等）</w:t>
      </w:r>
      <w:r>
        <w:rPr>
          <w:rFonts w:hint="eastAsia" w:ascii="宋体" w:hAnsi="宋体" w:eastAsia="宋体" w:cs="宋体"/>
          <w:color w:val="auto"/>
          <w:kern w:val="2"/>
          <w:sz w:val="24"/>
          <w:szCs w:val="24"/>
          <w:highlight w:val="none"/>
        </w:rPr>
        <w:t>，工作人员</w:t>
      </w:r>
      <w:r>
        <w:rPr>
          <w:rFonts w:hint="eastAsia" w:ascii="宋体" w:hAnsi="宋体" w:eastAsia="宋体" w:cs="宋体"/>
          <w:color w:val="auto"/>
          <w:kern w:val="2"/>
          <w:sz w:val="24"/>
          <w:szCs w:val="24"/>
          <w:highlight w:val="none"/>
          <w:lang w:eastAsia="zh-CN"/>
        </w:rPr>
        <w:t>的饮食</w:t>
      </w:r>
      <w:r>
        <w:rPr>
          <w:rFonts w:hint="eastAsia" w:ascii="宋体" w:hAnsi="宋体" w:eastAsia="宋体" w:cs="宋体"/>
          <w:color w:val="auto"/>
          <w:kern w:val="2"/>
          <w:sz w:val="24"/>
          <w:szCs w:val="24"/>
          <w:highlight w:val="none"/>
        </w:rPr>
        <w:t>、交通、休息等需求由</w:t>
      </w:r>
      <w:r>
        <w:rPr>
          <w:rFonts w:hint="eastAsia" w:ascii="宋体" w:hAnsi="宋体" w:eastAsia="宋体" w:cs="宋体"/>
          <w:color w:val="auto"/>
          <w:kern w:val="2"/>
          <w:sz w:val="24"/>
          <w:szCs w:val="24"/>
          <w:highlight w:val="none"/>
          <w:lang w:val="en-US" w:eastAsia="zh-CN"/>
        </w:rPr>
        <w:t>乙</w:t>
      </w:r>
      <w:r>
        <w:rPr>
          <w:rFonts w:hint="eastAsia" w:ascii="宋体" w:hAnsi="宋体" w:eastAsia="宋体" w:cs="宋体"/>
          <w:color w:val="auto"/>
          <w:kern w:val="2"/>
          <w:sz w:val="24"/>
          <w:szCs w:val="24"/>
          <w:highlight w:val="none"/>
        </w:rPr>
        <w:t>方负责落实。乙方应确保活动现场的安全措施得到有效执行，</w:t>
      </w:r>
      <w:r>
        <w:rPr>
          <w:rFonts w:hint="eastAsia" w:ascii="宋体" w:hAnsi="宋体" w:eastAsia="宋体" w:cs="宋体"/>
          <w:color w:val="auto"/>
          <w:kern w:val="2"/>
          <w:sz w:val="24"/>
          <w:szCs w:val="24"/>
          <w:highlight w:val="none"/>
          <w:lang w:eastAsia="zh-CN"/>
        </w:rPr>
        <w:t>在活动</w:t>
      </w:r>
      <w:r>
        <w:rPr>
          <w:rFonts w:hint="eastAsia" w:ascii="宋体" w:hAnsi="宋体" w:eastAsia="宋体" w:cs="宋体"/>
          <w:color w:val="auto"/>
          <w:kern w:val="2"/>
          <w:sz w:val="24"/>
          <w:szCs w:val="24"/>
          <w:highlight w:val="none"/>
        </w:rPr>
        <w:t>执行过程中（从活动现场搭建直至活动现场完全拆除），活动现场所有人员（包括甲方人员、乙方人员</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活动参与者）的人身</w:t>
      </w:r>
      <w:r>
        <w:rPr>
          <w:rFonts w:hint="eastAsia" w:ascii="宋体" w:hAnsi="宋体" w:eastAsia="宋体" w:cs="宋体"/>
          <w:color w:val="auto"/>
          <w:kern w:val="2"/>
          <w:sz w:val="24"/>
          <w:szCs w:val="24"/>
          <w:highlight w:val="none"/>
          <w:lang w:val="en-US" w:eastAsia="zh-CN"/>
        </w:rPr>
        <w:t>及</w:t>
      </w:r>
      <w:r>
        <w:rPr>
          <w:rFonts w:hint="eastAsia" w:ascii="宋体" w:hAnsi="宋体" w:eastAsia="宋体" w:cs="宋体"/>
          <w:color w:val="auto"/>
          <w:kern w:val="2"/>
          <w:sz w:val="24"/>
          <w:szCs w:val="24"/>
          <w:highlight w:val="none"/>
        </w:rPr>
        <w:t>财产安全责任均由乙方承担。</w:t>
      </w:r>
    </w:p>
    <w:p w14:paraId="6BCDCF12">
      <w:pPr>
        <w:pStyle w:val="14"/>
        <w:keepNext w:val="0"/>
        <w:keepLines w:val="0"/>
        <w:pageBreakBefore w:val="0"/>
        <w:kinsoku/>
        <w:wordWrap/>
        <w:overflowPunct/>
        <w:topLinePunct w:val="0"/>
        <w:autoSpaceDE/>
        <w:autoSpaceDN/>
        <w:bidi w:val="0"/>
        <w:snapToGrid/>
        <w:spacing w:line="560" w:lineRule="exact"/>
        <w:ind w:firstLine="64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18.乙方应当严格按照本合同的约定全面履行自身义务，不得擅自解除合同。若乙方无正当理由解除合同，导致甲方遭受损失的，乙方应承担损害赔偿责任，赔偿范围包括甲方因此遭受的实际损失以及为解决纠纷而支出的合理费用（如律师费、诉讼费、鉴定费等），同时，乙方还应向甲方支付相当于本合同总金额30%的违约金。</w:t>
      </w:r>
    </w:p>
    <w:p w14:paraId="2CF3DF62">
      <w:pPr>
        <w:pStyle w:val="14"/>
        <w:keepNext w:val="0"/>
        <w:keepLines w:val="0"/>
        <w:pageBreakBefore w:val="0"/>
        <w:kinsoku/>
        <w:wordWrap/>
        <w:overflowPunct/>
        <w:topLinePunct w:val="0"/>
        <w:autoSpaceDE/>
        <w:autoSpaceDN/>
        <w:bidi w:val="0"/>
        <w:snapToGrid/>
        <w:spacing w:line="560" w:lineRule="exact"/>
        <w:ind w:firstLine="64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19</w:t>
      </w:r>
      <w:r>
        <w:rPr>
          <w:rFonts w:hint="eastAsia" w:ascii="宋体" w:hAnsi="宋体" w:eastAsia="宋体" w:cs="宋体"/>
          <w:color w:val="auto"/>
          <w:kern w:val="2"/>
          <w:sz w:val="24"/>
          <w:szCs w:val="24"/>
          <w:highlight w:val="none"/>
        </w:rPr>
        <w:t>.在活动过程中，乙方应积极配合相关监管部门的监管和调查工作，提供必要的协助和支持。</w:t>
      </w:r>
    </w:p>
    <w:p w14:paraId="152D9840">
      <w:pPr>
        <w:pStyle w:val="14"/>
        <w:keepNext w:val="0"/>
        <w:keepLines w:val="0"/>
        <w:pageBreakBefore w:val="0"/>
        <w:kinsoku/>
        <w:wordWrap/>
        <w:overflowPunct/>
        <w:topLinePunct w:val="0"/>
        <w:autoSpaceDE/>
        <w:autoSpaceDN/>
        <w:bidi w:val="0"/>
        <w:snapToGrid/>
        <w:spacing w:line="560" w:lineRule="exact"/>
        <w:ind w:firstLine="64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20.乙</w:t>
      </w:r>
      <w:r>
        <w:rPr>
          <w:rFonts w:hint="eastAsia" w:ascii="宋体" w:hAnsi="宋体" w:eastAsia="宋体" w:cs="宋体"/>
          <w:color w:val="auto"/>
          <w:kern w:val="2"/>
          <w:sz w:val="24"/>
          <w:szCs w:val="24"/>
          <w:highlight w:val="none"/>
        </w:rPr>
        <w:t>方应保证</w:t>
      </w:r>
      <w:r>
        <w:rPr>
          <w:rFonts w:hint="eastAsia" w:ascii="宋体" w:hAnsi="宋体" w:eastAsia="宋体" w:cs="宋体"/>
          <w:color w:val="auto"/>
          <w:sz w:val="24"/>
          <w:szCs w:val="24"/>
          <w:highlight w:val="none"/>
          <w:lang w:val="en-US" w:eastAsia="zh-CN"/>
        </w:rPr>
        <w:t>所有节目的演出人员为正规演艺公司或正规演出团队的人员，保证节目的时长、人数符合甲方需求，保证节目内容健康、积极向上。</w:t>
      </w:r>
    </w:p>
    <w:p w14:paraId="4788EF6D">
      <w:pPr>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六、</w:t>
      </w:r>
      <w:r>
        <w:rPr>
          <w:rFonts w:hint="eastAsia" w:ascii="宋体" w:hAnsi="宋体" w:eastAsia="宋体" w:cs="宋体"/>
          <w:b w:val="0"/>
          <w:bCs w:val="0"/>
          <w:color w:val="auto"/>
          <w:kern w:val="0"/>
          <w:sz w:val="24"/>
          <w:szCs w:val="24"/>
          <w:highlight w:val="none"/>
        </w:rPr>
        <w:t>违约责任</w:t>
      </w:r>
    </w:p>
    <w:p w14:paraId="1D9D03F9">
      <w:pPr>
        <w:pStyle w:val="14"/>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b w:val="0"/>
          <w:bCs w:val="0"/>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rPr>
        <w:t>双方应按照本项目</w:t>
      </w:r>
      <w:r>
        <w:rPr>
          <w:rFonts w:hint="eastAsia" w:ascii="宋体" w:hAnsi="宋体" w:eastAsia="宋体" w:cs="宋体"/>
          <w:color w:val="auto"/>
          <w:kern w:val="2"/>
          <w:sz w:val="24"/>
          <w:szCs w:val="24"/>
          <w:highlight w:val="none"/>
          <w:lang w:val="en-US" w:eastAsia="zh-CN"/>
        </w:rPr>
        <w:t>合同</w:t>
      </w:r>
      <w:r>
        <w:rPr>
          <w:rFonts w:hint="eastAsia" w:ascii="宋体" w:hAnsi="宋体" w:eastAsia="宋体" w:cs="宋体"/>
          <w:color w:val="auto"/>
          <w:kern w:val="2"/>
          <w:sz w:val="24"/>
          <w:szCs w:val="24"/>
          <w:highlight w:val="none"/>
        </w:rPr>
        <w:t>约定内容严格履行义务，不得无故解除合同。任何一方违约，都应承担违约责任，给对方造成损失的，应赔偿对方损失</w:t>
      </w:r>
      <w:r>
        <w:rPr>
          <w:rFonts w:hint="eastAsia" w:ascii="宋体" w:hAnsi="宋体" w:eastAsia="宋体" w:cs="宋体"/>
          <w:color w:val="auto"/>
          <w:kern w:val="2"/>
          <w:sz w:val="24"/>
          <w:szCs w:val="24"/>
          <w:highlight w:val="none"/>
          <w:lang w:val="en-US" w:eastAsia="zh-CN"/>
        </w:rPr>
        <w:t>以</w:t>
      </w:r>
      <w:r>
        <w:rPr>
          <w:rFonts w:hint="eastAsia" w:ascii="宋体" w:hAnsi="宋体" w:eastAsia="宋体" w:cs="宋体"/>
          <w:color w:val="auto"/>
          <w:kern w:val="2"/>
          <w:sz w:val="24"/>
          <w:szCs w:val="24"/>
          <w:highlight w:val="none"/>
        </w:rPr>
        <w:t>及</w:t>
      </w:r>
      <w:r>
        <w:rPr>
          <w:rFonts w:hint="eastAsia" w:ascii="宋体" w:hAnsi="宋体" w:eastAsia="宋体" w:cs="宋体"/>
          <w:color w:val="auto"/>
          <w:kern w:val="2"/>
          <w:sz w:val="24"/>
          <w:szCs w:val="24"/>
          <w:highlight w:val="none"/>
          <w:lang w:eastAsia="zh-CN"/>
        </w:rPr>
        <w:t>为解决</w:t>
      </w:r>
      <w:r>
        <w:rPr>
          <w:rFonts w:hint="eastAsia" w:ascii="宋体" w:hAnsi="宋体" w:eastAsia="宋体" w:cs="宋体"/>
          <w:color w:val="auto"/>
          <w:kern w:val="2"/>
          <w:sz w:val="24"/>
          <w:szCs w:val="24"/>
          <w:highlight w:val="none"/>
        </w:rPr>
        <w:t>纠纷而发生的费用</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bidi="ar-SA"/>
        </w:rPr>
        <w:t>并向对方支付相当于本合同总金额30%的违约金。</w:t>
      </w:r>
    </w:p>
    <w:p w14:paraId="5B807BA3">
      <w:pPr>
        <w:pStyle w:val="14"/>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b w:val="0"/>
          <w:bCs w:val="0"/>
          <w:color w:val="auto"/>
          <w:kern w:val="2"/>
          <w:sz w:val="24"/>
          <w:szCs w:val="24"/>
          <w:highlight w:val="none"/>
          <w:lang w:val="en-US" w:eastAsia="zh-CN" w:bidi="ar-SA"/>
        </w:rPr>
        <w:t>（二）</w:t>
      </w:r>
      <w:r>
        <w:rPr>
          <w:rFonts w:hint="eastAsia" w:ascii="宋体" w:hAnsi="宋体" w:eastAsia="宋体" w:cs="宋体"/>
          <w:color w:val="auto"/>
          <w:kern w:val="2"/>
          <w:sz w:val="24"/>
          <w:szCs w:val="24"/>
          <w:highlight w:val="none"/>
        </w:rPr>
        <w:t>未经甲方书面同意，乙方不得将本合同项下的任何权利或义务转让给任何第三方。否则甲方有权随时提前终止本合同并要求乙方承担总合同价款</w:t>
      </w:r>
      <w:r>
        <w:rPr>
          <w:rFonts w:hint="eastAsia" w:ascii="宋体" w:hAnsi="宋体" w:eastAsia="宋体" w:cs="宋体"/>
          <w:color w:val="auto"/>
          <w:kern w:val="2"/>
          <w:sz w:val="24"/>
          <w:szCs w:val="24"/>
          <w:highlight w:val="none"/>
          <w:lang w:val="en-US" w:eastAsia="zh-CN"/>
        </w:rPr>
        <w:t>30</w:t>
      </w:r>
      <w:r>
        <w:rPr>
          <w:rFonts w:hint="eastAsia" w:ascii="宋体" w:hAnsi="宋体" w:eastAsia="宋体" w:cs="宋体"/>
          <w:color w:val="auto"/>
          <w:kern w:val="2"/>
          <w:sz w:val="24"/>
          <w:szCs w:val="24"/>
          <w:highlight w:val="none"/>
        </w:rPr>
        <w:t>%的违约责任</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但乙方为履行本合同义务与第三方合作要求提供物料搭建、演艺等服务不在此限。</w:t>
      </w:r>
    </w:p>
    <w:p w14:paraId="5607072B">
      <w:pPr>
        <w:pStyle w:val="14"/>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（三）</w:t>
      </w:r>
      <w:r>
        <w:rPr>
          <w:rFonts w:hint="eastAsia" w:ascii="宋体" w:hAnsi="宋体" w:eastAsia="宋体" w:cs="宋体"/>
          <w:color w:val="auto"/>
          <w:kern w:val="2"/>
          <w:sz w:val="24"/>
          <w:szCs w:val="24"/>
          <w:highlight w:val="none"/>
        </w:rPr>
        <w:t>乙方应按甲方需求、投标文件、承诺以及本合同约定在中标后</w:t>
      </w:r>
      <w:r>
        <w:rPr>
          <w:rFonts w:hint="eastAsia" w:ascii="宋体" w:hAnsi="宋体" w:eastAsia="宋体" w:cs="宋体"/>
          <w:color w:val="auto"/>
          <w:kern w:val="2"/>
          <w:sz w:val="24"/>
          <w:szCs w:val="24"/>
          <w:highlight w:val="none"/>
          <w:lang w:eastAsia="zh-CN"/>
        </w:rPr>
        <w:t>5</w:t>
      </w:r>
      <w:r>
        <w:rPr>
          <w:rFonts w:hint="eastAsia" w:ascii="宋体" w:hAnsi="宋体" w:eastAsia="宋体" w:cs="宋体"/>
          <w:color w:val="auto"/>
          <w:kern w:val="2"/>
          <w:sz w:val="24"/>
          <w:szCs w:val="24"/>
          <w:highlight w:val="none"/>
          <w:lang w:val="en-US" w:eastAsia="zh-CN"/>
        </w:rPr>
        <w:t>个工作日</w:t>
      </w:r>
      <w:r>
        <w:rPr>
          <w:rFonts w:hint="eastAsia" w:ascii="宋体" w:hAnsi="宋体" w:eastAsia="宋体" w:cs="宋体"/>
          <w:color w:val="auto"/>
          <w:kern w:val="2"/>
          <w:sz w:val="24"/>
          <w:szCs w:val="24"/>
          <w:highlight w:val="none"/>
        </w:rPr>
        <w:t>内向甲方提供活动实施方案，如方案未经甲方审核通过，乙方须根据甲方意见整改，否则，甲方有权解除合同，乙方向甲方支付合同总金额</w:t>
      </w:r>
      <w:r>
        <w:rPr>
          <w:rFonts w:hint="eastAsia" w:ascii="宋体" w:hAnsi="宋体" w:eastAsia="宋体" w:cs="宋体"/>
          <w:color w:val="auto"/>
          <w:kern w:val="2"/>
          <w:sz w:val="24"/>
          <w:szCs w:val="24"/>
          <w:highlight w:val="none"/>
          <w:lang w:val="en-US" w:eastAsia="zh-CN"/>
        </w:rPr>
        <w:t>30</w:t>
      </w:r>
      <w:r>
        <w:rPr>
          <w:rFonts w:hint="eastAsia" w:ascii="宋体" w:hAnsi="宋体" w:eastAsia="宋体" w:cs="宋体"/>
          <w:color w:val="auto"/>
          <w:kern w:val="2"/>
          <w:sz w:val="24"/>
          <w:szCs w:val="24"/>
          <w:highlight w:val="none"/>
        </w:rPr>
        <w:t>%的违约金，不足以赔偿甲方损失的，乙方继续赔偿。</w:t>
      </w:r>
    </w:p>
    <w:p w14:paraId="7ADF0E02">
      <w:pPr>
        <w:pStyle w:val="14"/>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（四）</w:t>
      </w:r>
      <w:r>
        <w:rPr>
          <w:rFonts w:hint="eastAsia" w:ascii="宋体" w:hAnsi="宋体" w:eastAsia="宋体" w:cs="宋体"/>
          <w:color w:val="auto"/>
          <w:kern w:val="2"/>
          <w:sz w:val="24"/>
          <w:szCs w:val="24"/>
          <w:highlight w:val="none"/>
        </w:rPr>
        <w:t>乙方应当按合同约定的时间、地点、要求完成活动，若乙方出现未按时间、未按地点、未按甲方审核的活动方案内容开展活动，</w:t>
      </w:r>
      <w:r>
        <w:rPr>
          <w:rFonts w:hint="eastAsia" w:ascii="宋体" w:hAnsi="宋体" w:eastAsia="宋体" w:cs="宋体"/>
          <w:color w:val="auto"/>
          <w:kern w:val="2"/>
          <w:sz w:val="24"/>
          <w:szCs w:val="24"/>
          <w:highlight w:val="none"/>
          <w:lang w:eastAsia="zh-CN"/>
        </w:rPr>
        <w:t>且奖品</w:t>
      </w:r>
      <w:r>
        <w:rPr>
          <w:rFonts w:hint="eastAsia" w:ascii="宋体" w:hAnsi="宋体" w:eastAsia="宋体" w:cs="宋体"/>
          <w:color w:val="auto"/>
          <w:kern w:val="2"/>
          <w:sz w:val="24"/>
          <w:szCs w:val="24"/>
          <w:highlight w:val="none"/>
        </w:rPr>
        <w:t>质量、数量不达标</w:t>
      </w:r>
      <w:r>
        <w:rPr>
          <w:rFonts w:hint="eastAsia" w:ascii="宋体" w:hAnsi="宋体" w:eastAsia="宋体" w:cs="宋体"/>
          <w:color w:val="auto"/>
          <w:kern w:val="2"/>
          <w:sz w:val="24"/>
          <w:szCs w:val="24"/>
          <w:highlight w:val="none"/>
          <w:lang w:eastAsia="zh-CN"/>
        </w:rPr>
        <w:t>的情况，</w:t>
      </w:r>
      <w:r>
        <w:rPr>
          <w:rFonts w:hint="eastAsia" w:ascii="宋体" w:hAnsi="宋体" w:eastAsia="宋体" w:cs="宋体"/>
          <w:color w:val="auto"/>
          <w:kern w:val="2"/>
          <w:sz w:val="24"/>
          <w:szCs w:val="24"/>
          <w:highlight w:val="none"/>
        </w:rPr>
        <w:t>须主动与甲方沟通协商并明确补足补偿事宜，</w:t>
      </w:r>
      <w:r>
        <w:rPr>
          <w:rFonts w:hint="eastAsia" w:ascii="宋体" w:hAnsi="宋体" w:eastAsia="宋体" w:cs="宋体"/>
          <w:color w:val="auto"/>
          <w:kern w:val="2"/>
          <w:sz w:val="24"/>
          <w:szCs w:val="24"/>
          <w:highlight w:val="none"/>
          <w:lang w:eastAsia="zh-CN"/>
        </w:rPr>
        <w:t>直至</w:t>
      </w:r>
      <w:r>
        <w:rPr>
          <w:rFonts w:hint="eastAsia" w:ascii="宋体" w:hAnsi="宋体" w:eastAsia="宋体" w:cs="宋体"/>
          <w:color w:val="auto"/>
          <w:kern w:val="2"/>
          <w:sz w:val="24"/>
          <w:szCs w:val="24"/>
          <w:highlight w:val="none"/>
        </w:rPr>
        <w:t>原合同规定的内容全部履行</w:t>
      </w:r>
      <w:r>
        <w:rPr>
          <w:rFonts w:hint="eastAsia" w:ascii="宋体" w:hAnsi="宋体" w:eastAsia="宋体" w:cs="宋体"/>
          <w:color w:val="auto"/>
          <w:kern w:val="2"/>
          <w:sz w:val="24"/>
          <w:szCs w:val="24"/>
          <w:highlight w:val="none"/>
          <w:lang w:eastAsia="zh-CN"/>
        </w:rPr>
        <w:t>完毕</w:t>
      </w:r>
      <w:r>
        <w:rPr>
          <w:rFonts w:hint="eastAsia" w:ascii="宋体" w:hAnsi="宋体" w:eastAsia="宋体" w:cs="宋体"/>
          <w:color w:val="auto"/>
          <w:kern w:val="2"/>
          <w:sz w:val="24"/>
          <w:szCs w:val="24"/>
          <w:highlight w:val="none"/>
        </w:rPr>
        <w:t>。若拒绝补足补偿，或无法补足补偿，甲方有权单方面解除本合同，要求乙方返还已支付的合同价款并承担合同总价款</w:t>
      </w:r>
      <w:r>
        <w:rPr>
          <w:rFonts w:hint="eastAsia" w:ascii="宋体" w:hAnsi="宋体" w:eastAsia="宋体" w:cs="宋体"/>
          <w:color w:val="auto"/>
          <w:kern w:val="2"/>
          <w:sz w:val="24"/>
          <w:szCs w:val="24"/>
          <w:highlight w:val="none"/>
          <w:lang w:val="en-US" w:eastAsia="zh-CN"/>
        </w:rPr>
        <w:t>30</w:t>
      </w:r>
      <w:r>
        <w:rPr>
          <w:rFonts w:hint="eastAsia" w:ascii="宋体" w:hAnsi="宋体" w:eastAsia="宋体" w:cs="宋体"/>
          <w:color w:val="auto"/>
          <w:kern w:val="2"/>
          <w:sz w:val="24"/>
          <w:szCs w:val="24"/>
          <w:highlight w:val="none"/>
        </w:rPr>
        <w:t>%的违约金。</w:t>
      </w:r>
    </w:p>
    <w:p w14:paraId="78543CE6">
      <w:pPr>
        <w:pStyle w:val="14"/>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（五）</w:t>
      </w:r>
      <w:r>
        <w:rPr>
          <w:rFonts w:hint="eastAsia" w:ascii="宋体" w:hAnsi="宋体" w:eastAsia="宋体" w:cs="宋体"/>
          <w:color w:val="auto"/>
          <w:kern w:val="2"/>
          <w:sz w:val="24"/>
          <w:szCs w:val="24"/>
          <w:highlight w:val="none"/>
        </w:rPr>
        <w:t>活动未经甲方审核导致物料出现严重错误，导致社会不良影响</w:t>
      </w:r>
      <w:r>
        <w:rPr>
          <w:rFonts w:hint="eastAsia" w:ascii="宋体" w:hAnsi="宋体" w:eastAsia="宋体" w:cs="宋体"/>
          <w:color w:val="auto"/>
          <w:kern w:val="2"/>
          <w:sz w:val="24"/>
          <w:szCs w:val="24"/>
          <w:highlight w:val="none"/>
          <w:lang w:eastAsia="zh-CN"/>
        </w:rPr>
        <w:t>的情况，</w:t>
      </w:r>
      <w:r>
        <w:rPr>
          <w:rFonts w:hint="eastAsia" w:ascii="宋体" w:hAnsi="宋体" w:eastAsia="宋体" w:cs="宋体"/>
          <w:color w:val="auto"/>
          <w:kern w:val="2"/>
          <w:sz w:val="24"/>
          <w:szCs w:val="24"/>
          <w:highlight w:val="none"/>
        </w:rPr>
        <w:t>甲方有权单方解除合同，并要求乙方退还已支付的首付款并支付合同总金额的</w:t>
      </w:r>
      <w:r>
        <w:rPr>
          <w:rFonts w:hint="eastAsia" w:ascii="宋体" w:hAnsi="宋体" w:eastAsia="宋体" w:cs="宋体"/>
          <w:color w:val="auto"/>
          <w:kern w:val="2"/>
          <w:sz w:val="24"/>
          <w:szCs w:val="24"/>
          <w:highlight w:val="none"/>
          <w:lang w:val="en-US" w:eastAsia="zh-CN"/>
        </w:rPr>
        <w:t>30</w:t>
      </w:r>
      <w:r>
        <w:rPr>
          <w:rFonts w:hint="eastAsia" w:ascii="宋体" w:hAnsi="宋体" w:eastAsia="宋体" w:cs="宋体"/>
          <w:color w:val="auto"/>
          <w:kern w:val="2"/>
          <w:sz w:val="24"/>
          <w:szCs w:val="24"/>
          <w:highlight w:val="none"/>
        </w:rPr>
        <w:t>%作为违约金。</w:t>
      </w:r>
    </w:p>
    <w:p w14:paraId="342473B0">
      <w:pPr>
        <w:pStyle w:val="14"/>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b w:val="0"/>
          <w:bCs w:val="0"/>
          <w:color w:val="auto"/>
          <w:kern w:val="2"/>
          <w:sz w:val="24"/>
          <w:szCs w:val="24"/>
          <w:highlight w:val="none"/>
          <w:lang w:val="en-US" w:eastAsia="zh-CN" w:bidi="ar-SA"/>
        </w:rPr>
        <w:t>（六）</w:t>
      </w:r>
      <w:r>
        <w:rPr>
          <w:rFonts w:hint="eastAsia" w:ascii="宋体" w:hAnsi="宋体" w:eastAsia="宋体" w:cs="宋体"/>
          <w:color w:val="auto"/>
          <w:kern w:val="2"/>
          <w:sz w:val="24"/>
          <w:szCs w:val="24"/>
          <w:highlight w:val="none"/>
        </w:rPr>
        <w:t>乙方必须确保活动的合法性，严格遵守《中华人民共和国广告法</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中华人民共和国反不正当竞争法</w:t>
      </w:r>
      <w:r>
        <w:rPr>
          <w:rFonts w:hint="eastAsia" w:ascii="宋体" w:hAnsi="宋体" w:eastAsia="宋体" w:cs="宋体"/>
          <w:color w:val="auto"/>
          <w:kern w:val="2"/>
          <w:sz w:val="24"/>
          <w:szCs w:val="24"/>
          <w:highlight w:val="none"/>
          <w:lang w:eastAsia="zh-CN"/>
        </w:rPr>
        <w:t>》《中华人民共和国民法典》（知识产权相关条款）</w:t>
      </w:r>
      <w:r>
        <w:rPr>
          <w:rFonts w:hint="eastAsia" w:ascii="宋体" w:hAnsi="宋体" w:eastAsia="宋体" w:cs="宋体"/>
          <w:color w:val="auto"/>
          <w:kern w:val="2"/>
          <w:sz w:val="24"/>
          <w:szCs w:val="24"/>
          <w:highlight w:val="none"/>
        </w:rPr>
        <w:t>等法律法规，确保活动不侵犯他人权益</w:t>
      </w:r>
      <w:r>
        <w:rPr>
          <w:rFonts w:hint="eastAsia" w:ascii="宋体" w:hAnsi="宋体" w:eastAsia="宋体" w:cs="宋体"/>
          <w:bCs w:val="0"/>
          <w:color w:val="auto"/>
          <w:sz w:val="24"/>
          <w:szCs w:val="24"/>
          <w:highlight w:val="none"/>
        </w:rPr>
        <w:t>。</w:t>
      </w:r>
      <w:r>
        <w:rPr>
          <w:rFonts w:hint="eastAsia" w:ascii="宋体" w:hAnsi="宋体" w:eastAsia="宋体" w:cs="宋体"/>
          <w:color w:val="auto"/>
          <w:kern w:val="2"/>
          <w:sz w:val="24"/>
          <w:szCs w:val="24"/>
          <w:highlight w:val="none"/>
        </w:rPr>
        <w:t>如因乙方原因产生任何法律争议，均由乙方负责解决并承担相应法律责任。若因此产生严重影响，导致活动无法顺利开展，造成甲方损失，甲方有权单方面解除本合同，要求乙方返还已支付的合同价款并承担合同总价款</w:t>
      </w:r>
      <w:r>
        <w:rPr>
          <w:rFonts w:hint="eastAsia" w:ascii="宋体" w:hAnsi="宋体" w:eastAsia="宋体" w:cs="宋体"/>
          <w:color w:val="auto"/>
          <w:kern w:val="2"/>
          <w:sz w:val="24"/>
          <w:szCs w:val="24"/>
          <w:highlight w:val="none"/>
          <w:lang w:val="en-US" w:eastAsia="zh-CN"/>
        </w:rPr>
        <w:t>30</w:t>
      </w:r>
      <w:r>
        <w:rPr>
          <w:rFonts w:hint="eastAsia" w:ascii="宋体" w:hAnsi="宋体" w:eastAsia="宋体" w:cs="宋体"/>
          <w:color w:val="auto"/>
          <w:kern w:val="2"/>
          <w:sz w:val="24"/>
          <w:szCs w:val="24"/>
          <w:highlight w:val="none"/>
        </w:rPr>
        <w:t>%的违约金，如违约金不足以弥补甲方所受损失，</w:t>
      </w:r>
      <w:bookmarkStart w:id="419" w:name="OLE_LINK1"/>
      <w:r>
        <w:rPr>
          <w:rFonts w:hint="eastAsia" w:ascii="宋体" w:hAnsi="宋体" w:eastAsia="宋体" w:cs="宋体"/>
          <w:color w:val="auto"/>
          <w:kern w:val="2"/>
          <w:sz w:val="24"/>
          <w:szCs w:val="24"/>
          <w:highlight w:val="none"/>
        </w:rPr>
        <w:t>乙方继续赔偿甲方损失</w:t>
      </w:r>
      <w:bookmarkEnd w:id="419"/>
      <w:r>
        <w:rPr>
          <w:rFonts w:hint="eastAsia" w:ascii="宋体" w:hAnsi="宋体" w:eastAsia="宋体" w:cs="宋体"/>
          <w:color w:val="auto"/>
          <w:kern w:val="2"/>
          <w:sz w:val="24"/>
          <w:szCs w:val="24"/>
          <w:highlight w:val="none"/>
        </w:rPr>
        <w:t>。</w:t>
      </w:r>
    </w:p>
    <w:p w14:paraId="3BE791A7">
      <w:pPr>
        <w:pStyle w:val="14"/>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bidi="ar-SA"/>
        </w:rPr>
        <w:t>（七）</w:t>
      </w:r>
      <w:r>
        <w:rPr>
          <w:rFonts w:hint="eastAsia" w:ascii="宋体" w:hAnsi="宋体" w:eastAsia="宋体" w:cs="宋体"/>
          <w:color w:val="auto"/>
          <w:sz w:val="24"/>
          <w:szCs w:val="24"/>
          <w:highlight w:val="none"/>
        </w:rPr>
        <w:t>若因乙方原因，导致活动未能遵守相关法律法规或活动侵犯他人</w:t>
      </w:r>
      <w:r>
        <w:rPr>
          <w:rFonts w:hint="eastAsia" w:ascii="宋体" w:hAnsi="宋体" w:eastAsia="宋体" w:cs="宋体"/>
          <w:color w:val="auto"/>
          <w:sz w:val="24"/>
          <w:szCs w:val="24"/>
          <w:highlight w:val="none"/>
          <w:lang w:eastAsia="zh-CN"/>
        </w:rPr>
        <w:t>权益的情况发生，</w:t>
      </w:r>
      <w:r>
        <w:rPr>
          <w:rFonts w:hint="eastAsia" w:ascii="宋体" w:hAnsi="宋体" w:eastAsia="宋体" w:cs="宋体"/>
          <w:color w:val="auto"/>
          <w:sz w:val="24"/>
          <w:szCs w:val="24"/>
          <w:highlight w:val="none"/>
        </w:rPr>
        <w:t>乙方应立即停止违法违规行为，并采取有效措施消除影响，同时向甲方支付合同总价款</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的违约金</w:t>
      </w:r>
      <w:r>
        <w:rPr>
          <w:rFonts w:hint="eastAsia" w:ascii="宋体" w:hAnsi="宋体" w:eastAsia="宋体" w:cs="宋体"/>
          <w:color w:val="auto"/>
          <w:sz w:val="24"/>
          <w:szCs w:val="24"/>
          <w:highlight w:val="none"/>
        </w:rPr>
        <w:t>，若违约金低于甲方因此遭受</w:t>
      </w:r>
      <w:r>
        <w:rPr>
          <w:rFonts w:hint="eastAsia" w:ascii="宋体" w:hAnsi="宋体" w:eastAsia="宋体" w:cs="宋体"/>
          <w:color w:val="auto"/>
          <w:sz w:val="24"/>
          <w:szCs w:val="24"/>
          <w:highlight w:val="none"/>
          <w:lang w:eastAsia="zh-CN"/>
        </w:rPr>
        <w:t>的损失</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rPr>
        <w:t>乙方继续赔偿甲方损失</w:t>
      </w:r>
      <w:r>
        <w:rPr>
          <w:rFonts w:hint="eastAsia" w:ascii="宋体" w:hAnsi="宋体" w:eastAsia="宋体" w:cs="宋体"/>
          <w:color w:val="auto"/>
          <w:sz w:val="24"/>
          <w:szCs w:val="24"/>
          <w:highlight w:val="none"/>
        </w:rPr>
        <w:t>。</w:t>
      </w:r>
    </w:p>
    <w:p w14:paraId="1AAD2406">
      <w:pPr>
        <w:pStyle w:val="14"/>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（八）</w:t>
      </w:r>
      <w:r>
        <w:rPr>
          <w:rFonts w:hint="eastAsia" w:ascii="宋体" w:hAnsi="宋体" w:eastAsia="宋体" w:cs="宋体"/>
          <w:color w:val="auto"/>
          <w:kern w:val="2"/>
          <w:sz w:val="24"/>
          <w:szCs w:val="24"/>
          <w:highlight w:val="none"/>
        </w:rPr>
        <w:t>乙方必须严格遵照</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中华人民共和国安全生产法</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《中华人民共和国突发事件应对法</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新疆维吾尔自治区社会治安综合治理条例</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大型群众性活动安全管理条例</w:t>
      </w:r>
      <w:r>
        <w:rPr>
          <w:rFonts w:hint="eastAsia" w:ascii="宋体" w:hAnsi="宋体" w:eastAsia="宋体" w:cs="宋体"/>
          <w:bCs w:val="0"/>
          <w:color w:val="auto"/>
          <w:kern w:val="2"/>
          <w:sz w:val="24"/>
          <w:szCs w:val="24"/>
          <w:highlight w:val="none"/>
        </w:rPr>
        <w:t>》等法律法规及本合同约定，全面落实安全生产主体责任，保障活动期间</w:t>
      </w:r>
      <w:r>
        <w:rPr>
          <w:rFonts w:hint="eastAsia" w:ascii="宋体" w:hAnsi="宋体" w:eastAsia="宋体" w:cs="宋体"/>
          <w:bCs w:val="0"/>
          <w:color w:val="auto"/>
          <w:kern w:val="2"/>
          <w:sz w:val="24"/>
          <w:szCs w:val="24"/>
          <w:highlight w:val="none"/>
          <w:lang w:eastAsia="zh-CN"/>
        </w:rPr>
        <w:t>的</w:t>
      </w:r>
      <w:r>
        <w:rPr>
          <w:rFonts w:hint="eastAsia" w:ascii="宋体" w:hAnsi="宋体" w:eastAsia="宋体" w:cs="宋体"/>
          <w:bCs w:val="0"/>
          <w:color w:val="auto"/>
          <w:kern w:val="2"/>
          <w:sz w:val="24"/>
          <w:szCs w:val="24"/>
          <w:highlight w:val="none"/>
        </w:rPr>
        <w:t>公共安全、</w:t>
      </w:r>
      <w:r>
        <w:rPr>
          <w:rFonts w:hint="eastAsia" w:ascii="宋体" w:hAnsi="宋体" w:eastAsia="宋体" w:cs="宋体"/>
          <w:bCs w:val="0"/>
          <w:color w:val="auto"/>
          <w:kern w:val="2"/>
          <w:sz w:val="24"/>
          <w:szCs w:val="24"/>
          <w:highlight w:val="none"/>
          <w:lang w:val="en-US" w:eastAsia="zh-CN"/>
        </w:rPr>
        <w:t>现场秩序</w:t>
      </w:r>
      <w:r>
        <w:rPr>
          <w:rFonts w:hint="eastAsia" w:ascii="宋体" w:hAnsi="宋体" w:eastAsia="宋体" w:cs="宋体"/>
          <w:bCs w:val="0"/>
          <w:color w:val="auto"/>
          <w:kern w:val="2"/>
          <w:sz w:val="24"/>
          <w:szCs w:val="24"/>
          <w:highlight w:val="none"/>
        </w:rPr>
        <w:t>稳定及人员生命财产安全，对活动策划、执行、宣传全流程的安全合规性及舆情风险承担全部责任。</w:t>
      </w:r>
    </w:p>
    <w:p w14:paraId="68461CBA">
      <w:pPr>
        <w:pStyle w:val="14"/>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bCs w:val="0"/>
          <w:color w:val="auto"/>
          <w:kern w:val="2"/>
          <w:sz w:val="24"/>
          <w:szCs w:val="24"/>
          <w:highlight w:val="none"/>
          <w:lang w:val="en-US" w:eastAsia="zh-CN"/>
        </w:rPr>
        <w:t>1.</w:t>
      </w:r>
      <w:r>
        <w:rPr>
          <w:rFonts w:hint="eastAsia" w:ascii="宋体" w:hAnsi="宋体" w:eastAsia="宋体" w:cs="宋体"/>
          <w:bCs w:val="0"/>
          <w:color w:val="auto"/>
          <w:kern w:val="2"/>
          <w:sz w:val="24"/>
          <w:szCs w:val="24"/>
          <w:highlight w:val="none"/>
        </w:rPr>
        <w:t>若</w:t>
      </w:r>
      <w:r>
        <w:rPr>
          <w:rFonts w:hint="eastAsia" w:ascii="宋体" w:hAnsi="宋体" w:eastAsia="宋体" w:cs="宋体"/>
          <w:bCs w:val="0"/>
          <w:color w:val="auto"/>
          <w:kern w:val="2"/>
          <w:sz w:val="24"/>
          <w:szCs w:val="24"/>
          <w:highlight w:val="none"/>
          <w:lang w:val="en-US" w:eastAsia="zh-CN"/>
        </w:rPr>
        <w:t>每场</w:t>
      </w:r>
      <w:r>
        <w:rPr>
          <w:rFonts w:hint="eastAsia" w:ascii="宋体" w:hAnsi="宋体" w:eastAsia="宋体" w:cs="宋体"/>
          <w:bCs w:val="0"/>
          <w:color w:val="auto"/>
          <w:kern w:val="2"/>
          <w:sz w:val="24"/>
          <w:szCs w:val="24"/>
          <w:highlight w:val="none"/>
        </w:rPr>
        <w:t>活动开始前</w:t>
      </w:r>
      <w:r>
        <w:rPr>
          <w:rFonts w:hint="eastAsia" w:ascii="宋体" w:hAnsi="宋体" w:eastAsia="宋体" w:cs="宋体"/>
          <w:bCs w:val="0"/>
          <w:color w:val="auto"/>
          <w:kern w:val="2"/>
          <w:sz w:val="24"/>
          <w:szCs w:val="24"/>
          <w:highlight w:val="none"/>
          <w:lang w:val="en-US" w:eastAsia="zh-CN"/>
        </w:rPr>
        <w:t>24小时</w:t>
      </w:r>
      <w:r>
        <w:rPr>
          <w:rFonts w:hint="eastAsia" w:ascii="宋体" w:hAnsi="宋体" w:eastAsia="宋体" w:cs="宋体"/>
          <w:bCs w:val="0"/>
          <w:color w:val="auto"/>
          <w:kern w:val="2"/>
          <w:sz w:val="24"/>
          <w:szCs w:val="24"/>
          <w:highlight w:val="none"/>
        </w:rPr>
        <w:t>，乙方</w:t>
      </w:r>
      <w:r>
        <w:rPr>
          <w:rFonts w:hint="eastAsia" w:ascii="宋体" w:hAnsi="宋体" w:eastAsia="宋体" w:cs="宋体"/>
          <w:bCs w:val="0"/>
          <w:color w:val="auto"/>
          <w:kern w:val="2"/>
          <w:sz w:val="24"/>
          <w:szCs w:val="24"/>
          <w:highlight w:val="none"/>
          <w:lang w:val="en-US" w:eastAsia="zh-CN"/>
        </w:rPr>
        <w:t>仍</w:t>
      </w:r>
      <w:r>
        <w:rPr>
          <w:rFonts w:hint="eastAsia" w:ascii="宋体" w:hAnsi="宋体" w:eastAsia="宋体" w:cs="宋体"/>
          <w:bCs w:val="0"/>
          <w:color w:val="auto"/>
          <w:kern w:val="2"/>
          <w:sz w:val="24"/>
          <w:szCs w:val="24"/>
          <w:highlight w:val="none"/>
        </w:rPr>
        <w:t>未完成活动安全报备、安全生产方案制定、应急预案编制及备案等安全准备工作，或宣传内容存在违法违规、引发舆情风险等</w:t>
      </w:r>
      <w:r>
        <w:rPr>
          <w:rFonts w:hint="eastAsia" w:ascii="宋体" w:hAnsi="宋体" w:eastAsia="宋体" w:cs="宋体"/>
          <w:bCs w:val="0"/>
          <w:color w:val="auto"/>
          <w:kern w:val="2"/>
          <w:sz w:val="24"/>
          <w:szCs w:val="24"/>
          <w:highlight w:val="none"/>
          <w:lang w:val="en-US" w:eastAsia="zh-CN"/>
        </w:rPr>
        <w:t>问题</w:t>
      </w:r>
      <w:r>
        <w:rPr>
          <w:rFonts w:hint="eastAsia" w:ascii="宋体" w:hAnsi="宋体" w:eastAsia="宋体" w:cs="宋体"/>
          <w:bCs w:val="0"/>
          <w:color w:val="auto"/>
          <w:kern w:val="2"/>
          <w:sz w:val="24"/>
          <w:szCs w:val="24"/>
          <w:highlight w:val="none"/>
        </w:rPr>
        <w:t>的，甲方有权要求乙方立即整改</w:t>
      </w:r>
      <w:r>
        <w:rPr>
          <w:rFonts w:hint="eastAsia" w:ascii="宋体" w:hAnsi="宋体" w:eastAsia="宋体" w:cs="宋体"/>
          <w:bCs w:val="0"/>
          <w:color w:val="auto"/>
          <w:kern w:val="2"/>
          <w:sz w:val="24"/>
          <w:szCs w:val="24"/>
          <w:highlight w:val="none"/>
          <w:lang w:eastAsia="zh-CN"/>
        </w:rPr>
        <w:t>；</w:t>
      </w:r>
      <w:r>
        <w:rPr>
          <w:rFonts w:hint="eastAsia" w:ascii="宋体" w:hAnsi="宋体" w:eastAsia="宋体" w:cs="宋体"/>
          <w:bCs w:val="0"/>
          <w:color w:val="auto"/>
          <w:kern w:val="2"/>
          <w:sz w:val="24"/>
          <w:szCs w:val="24"/>
          <w:highlight w:val="none"/>
          <w:lang w:val="en-US" w:eastAsia="zh-CN"/>
        </w:rPr>
        <w:t>若每场</w:t>
      </w:r>
      <w:r>
        <w:rPr>
          <w:rFonts w:hint="eastAsia" w:ascii="宋体" w:hAnsi="宋体" w:eastAsia="宋体" w:cs="宋体"/>
          <w:bCs w:val="0"/>
          <w:color w:val="auto"/>
          <w:kern w:val="2"/>
          <w:sz w:val="24"/>
          <w:szCs w:val="24"/>
          <w:highlight w:val="none"/>
        </w:rPr>
        <w:t>活动开始前</w:t>
      </w:r>
      <w:r>
        <w:rPr>
          <w:rFonts w:hint="eastAsia" w:ascii="宋体" w:hAnsi="宋体" w:eastAsia="宋体" w:cs="宋体"/>
          <w:bCs w:val="0"/>
          <w:color w:val="auto"/>
          <w:kern w:val="2"/>
          <w:sz w:val="24"/>
          <w:szCs w:val="24"/>
          <w:highlight w:val="none"/>
          <w:lang w:val="en-US" w:eastAsia="zh-CN"/>
        </w:rPr>
        <w:t>12个小时乙方</w:t>
      </w:r>
      <w:r>
        <w:rPr>
          <w:rFonts w:hint="eastAsia" w:ascii="宋体" w:hAnsi="宋体" w:eastAsia="宋体" w:cs="宋体"/>
          <w:bCs w:val="0"/>
          <w:color w:val="auto"/>
          <w:kern w:val="2"/>
          <w:sz w:val="24"/>
          <w:szCs w:val="24"/>
          <w:highlight w:val="none"/>
        </w:rPr>
        <w:t>仍未整改达标、不符合</w:t>
      </w:r>
      <w:r>
        <w:rPr>
          <w:rFonts w:hint="eastAsia" w:ascii="宋体" w:hAnsi="宋体" w:eastAsia="宋体" w:cs="宋体"/>
          <w:bCs w:val="0"/>
          <w:color w:val="auto"/>
          <w:kern w:val="2"/>
          <w:sz w:val="24"/>
          <w:szCs w:val="24"/>
          <w:highlight w:val="none"/>
          <w:lang w:val="en-US" w:eastAsia="zh-CN"/>
        </w:rPr>
        <w:t>活动</w:t>
      </w:r>
      <w:r>
        <w:rPr>
          <w:rFonts w:hint="eastAsia" w:ascii="宋体" w:hAnsi="宋体" w:eastAsia="宋体" w:cs="宋体"/>
          <w:bCs w:val="0"/>
          <w:color w:val="auto"/>
          <w:kern w:val="2"/>
          <w:sz w:val="24"/>
          <w:szCs w:val="24"/>
          <w:highlight w:val="none"/>
        </w:rPr>
        <w:t>安全开展条件的，甲方有权</w:t>
      </w:r>
      <w:r>
        <w:rPr>
          <w:rFonts w:hint="eastAsia" w:ascii="宋体" w:hAnsi="宋体" w:eastAsia="宋体" w:cs="宋体"/>
          <w:bCs w:val="0"/>
          <w:color w:val="auto"/>
          <w:kern w:val="2"/>
          <w:sz w:val="24"/>
          <w:szCs w:val="24"/>
          <w:highlight w:val="none"/>
          <w:lang w:val="en-US" w:eastAsia="zh-CN"/>
        </w:rPr>
        <w:t>要求乙方择日延期开展活动（必须为周末），并按</w:t>
      </w:r>
      <w:r>
        <w:rPr>
          <w:rFonts w:hint="eastAsia" w:ascii="宋体" w:hAnsi="宋体" w:eastAsia="宋体" w:cs="宋体"/>
          <w:bCs w:val="0"/>
          <w:color w:val="auto"/>
          <w:kern w:val="2"/>
          <w:sz w:val="24"/>
          <w:szCs w:val="24"/>
          <w:highlight w:val="none"/>
        </w:rPr>
        <w:t>合同总价款的30%</w:t>
      </w:r>
      <w:r>
        <w:rPr>
          <w:rFonts w:hint="eastAsia" w:ascii="宋体" w:hAnsi="宋体" w:eastAsia="宋体" w:cs="宋体"/>
          <w:bCs w:val="0"/>
          <w:color w:val="auto"/>
          <w:kern w:val="2"/>
          <w:sz w:val="24"/>
          <w:szCs w:val="24"/>
          <w:highlight w:val="none"/>
          <w:lang w:val="en-US" w:eastAsia="zh-CN"/>
        </w:rPr>
        <w:t>向甲方</w:t>
      </w:r>
      <w:r>
        <w:rPr>
          <w:rFonts w:hint="eastAsia" w:ascii="宋体" w:hAnsi="宋体" w:eastAsia="宋体" w:cs="宋体"/>
          <w:bCs w:val="0"/>
          <w:color w:val="auto"/>
          <w:kern w:val="2"/>
          <w:sz w:val="24"/>
          <w:szCs w:val="24"/>
          <w:highlight w:val="none"/>
        </w:rPr>
        <w:t>支付违约金</w:t>
      </w:r>
      <w:r>
        <w:rPr>
          <w:rFonts w:hint="eastAsia" w:ascii="宋体" w:hAnsi="宋体" w:eastAsia="宋体" w:cs="宋体"/>
          <w:bCs w:val="0"/>
          <w:color w:val="auto"/>
          <w:kern w:val="2"/>
          <w:sz w:val="24"/>
          <w:szCs w:val="24"/>
          <w:highlight w:val="none"/>
          <w:lang w:eastAsia="zh-CN"/>
        </w:rPr>
        <w:t>，</w:t>
      </w:r>
      <w:r>
        <w:rPr>
          <w:rFonts w:hint="eastAsia" w:ascii="宋体" w:hAnsi="宋体" w:eastAsia="宋体" w:cs="宋体"/>
          <w:bCs w:val="0"/>
          <w:color w:val="auto"/>
          <w:kern w:val="2"/>
          <w:sz w:val="24"/>
          <w:szCs w:val="24"/>
          <w:highlight w:val="none"/>
        </w:rPr>
        <w:t>若违约金不足以弥补甲方实际损失的，乙方应继续赔偿差额部分。</w:t>
      </w:r>
      <w:r>
        <w:rPr>
          <w:rFonts w:hint="eastAsia" w:ascii="宋体" w:hAnsi="宋体" w:eastAsia="宋体" w:cs="宋体"/>
          <w:bCs w:val="0"/>
          <w:color w:val="auto"/>
          <w:kern w:val="2"/>
          <w:sz w:val="24"/>
          <w:szCs w:val="24"/>
          <w:highlight w:val="none"/>
          <w:lang w:val="en-US" w:eastAsia="zh-CN"/>
        </w:rPr>
        <w:t>由于活动延期开展所产生的一切费用，由乙方完全承担。</w:t>
      </w:r>
    </w:p>
    <w:p w14:paraId="6A6FDF85">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480" w:firstLineChars="200"/>
        <w:jc w:val="both"/>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2.自活动现场物料搭建启动，直至现场全部物料拆除完毕、场地恢复原状的全流程期间，以及活动宣传策划、物料制作、内容发布、传播推广的全周期内，若发生任何安全事故、安全隐患或宣传相关问题（包括但不限于人身伤亡、财产损失、第三方侵权索赔、宣传内容违法违规、引发负面舆情、被监管部门追责、损害甲方品牌声誉等），均由乙方承担全部法律责任及赔偿责任，须全额赔偿甲方及第三方因此遭受的全部直接、间接损失。</w:t>
      </w:r>
    </w:p>
    <w:p w14:paraId="06C5F74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480" w:firstLineChars="200"/>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（1）部分场次</w:t>
      </w:r>
      <w:r>
        <w:rPr>
          <w:rFonts w:hint="eastAsia" w:ascii="宋体" w:hAnsi="宋体" w:eastAsia="宋体" w:cs="宋体"/>
          <w:b w:val="0"/>
          <w:bCs/>
          <w:color w:val="auto"/>
          <w:kern w:val="2"/>
          <w:sz w:val="24"/>
          <w:szCs w:val="24"/>
          <w:highlight w:val="none"/>
          <w:lang w:val="en-US" w:eastAsia="zh-CN" w:bidi="ar-SA"/>
        </w:rPr>
        <w:t>活动违约情形（仅单场活动发生安全事故，不影响后续其余场次正常履约）</w:t>
      </w:r>
    </w:p>
    <w:p w14:paraId="2870463B">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480" w:firstLineChars="200"/>
        <w:jc w:val="both"/>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若部分场次（不高于3场）在执行及宣传全流程中发生上述安全事故或宣传问题，且未造成恶劣社会影响、未导致项目整体声誉受损、不影响后续未开展场次正常筹备与执行的，甲方有权对相应场次活动追究乙方违约责任：乙方须全额赔偿甲方相应场次活动的全部损失。每发生一场，乙方须向甲方支付单场对应合同价款的30%作为违约金；若违约金不足以弥补甲方实际损失的，乙方应继续补足差额。</w:t>
      </w:r>
    </w:p>
    <w:p w14:paraId="6CC0D79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480" w:firstLineChars="200"/>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（2）重大违约情形（事故影响全局，符合整体合同解除条件）</w:t>
      </w:r>
    </w:p>
    <w:p w14:paraId="6BE99CE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480" w:firstLineChars="200"/>
        <w:jc w:val="both"/>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若在活动执行及宣传全流程过程中发生安全事故或宣传问题，造成严重不良社会影响（包括但不限于引发重大舆情风险、被监管部门查处追责、导致项目整体无法正常推进、严重损害甲方品牌形象及项目整体声誉、影响社会稳定等），导致活动无法顺利开展，严重影响本项目整体履约的，无论后续场次是否可正常开展，甲方均有权单方面解除本合同，并有权要求乙方：①全额返还甲方已支付的全部合同价款；②按合同总价款的30%向甲方支付违约金；③若前述违约金仍不足以弥补甲方因本次事件及合同解除遭受的损失（包括但不限于直接损失、预期利益损失、维权费用、第三方索赔费用、品牌声誉修复费用等），乙方应继续承担差额赔偿责任。</w:t>
      </w:r>
    </w:p>
    <w:p w14:paraId="4840A728">
      <w:pPr>
        <w:pStyle w:val="14"/>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（九）</w:t>
      </w:r>
      <w:r>
        <w:rPr>
          <w:rFonts w:hint="eastAsia" w:ascii="宋体" w:hAnsi="宋体" w:eastAsia="宋体" w:cs="宋体"/>
          <w:color w:val="auto"/>
          <w:kern w:val="2"/>
          <w:sz w:val="24"/>
          <w:szCs w:val="24"/>
          <w:highlight w:val="none"/>
        </w:rPr>
        <w:t>合同签订后，甲方按照合同约定的金额、时间、方式支付合同价款</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除因财政国库系统原因不能按时付款之外，按全国银行间同业拆借中心公布的贷款市场报价利率（LPR）向乙方支付逾期付款违约金。</w:t>
      </w:r>
    </w:p>
    <w:p w14:paraId="1FFB33A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十）乙方完成对应服务内容后，经甲方履约验收认定为不合格的，乙方必须严格按照甲方出具的书面履约验收整改意见，在甲方指定的合理期限内完成全面整改，整改产生的全部费用由乙方自行承担，且整改工期不计入合同约定的履约工期，乙方不得以此为由主张顺延履约或减免责任。</w:t>
      </w:r>
    </w:p>
    <w:p w14:paraId="3C584EA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1.整改次数限定</w:t>
      </w:r>
    </w:p>
    <w:p w14:paraId="5583EFD2">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针对同一验收不合格事项，乙方整改次数上限为2次，乙方不得无期限反复整改、拖延履约。乙方完成首次整改后需重新提请甲方验收，验收仍不合格的，乙方须按整改意见开展第二次整改；第二次整改后提请验收依旧不合格的，视为乙方整改不到位且无法达标履约，直接适用本条款对应的违约责任。</w:t>
      </w:r>
    </w:p>
    <w:p w14:paraId="07E2273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2.分情形违约责任及合同解除约定</w:t>
      </w:r>
    </w:p>
    <w:p w14:paraId="4FF9EF4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整改不到位情形（2次整改后仍验收不合格，且该问题仅涉及已履约部分，不影响本项目后续尚未开展活动正常推进的）：甲方有权要求乙方按照合同总金额的30%支付违约金，违约金不足以弥补甲方实际损失的，乙方应继续赔偿差额部分；甲方有权根据项目实际推进需求，选择要求乙方继续采取补救措施，或就该不合格部分扣除对应履约款项、不予支付该部分服务费用，本合同项下后续未开展活动继续履行，乙方不得拒绝。</w:t>
      </w:r>
    </w:p>
    <w:p w14:paraId="056813D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拒不整改情形（乙方收到甲方书面整改通知后，无正当理由拒绝开展整改，或超出整改期限未启动整改工作的）：无论该违约行为是否影响后续尚未开展的活动履约，均视为乙方根本性违约。甲方有权单方面解除本合同全部内容（含已履约部分、未开展所有场次活动），同时有权要求乙方全额返还甲方已支付的全部合同款项，且乙方须按照合同总金额的30%向甲方支付违约金；若因乙方拒不整改导致甲方产生额外损失、项目延误损失、声誉损失或第三方索赔费用的，违约金不足以弥补全部损失的，乙方应另行足额赔偿。</w:t>
      </w:r>
    </w:p>
    <w:p w14:paraId="328E212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备注：</w:t>
      </w:r>
      <w:r>
        <w:rPr>
          <w:rFonts w:hint="eastAsia" w:ascii="宋体" w:hAnsi="宋体" w:eastAsia="宋体" w:cs="宋体"/>
          <w:color w:val="auto"/>
          <w:kern w:val="2"/>
          <w:sz w:val="24"/>
          <w:szCs w:val="24"/>
          <w:highlight w:val="none"/>
          <w:lang w:val="en-US" w:eastAsia="zh-CN" w:bidi="ar-SA"/>
        </w:rPr>
        <w:t>本条款所指履约验收，涵盖本合同项下14个城市28场系列活动的单场活动验收及项目阶段性验收；验收不合格事项包括但不限于服务质量不达标、内容不符合合同约定、流程不合规、成果未达到甲方要求等情形。）</w:t>
      </w:r>
    </w:p>
    <w:p w14:paraId="0F8B6073">
      <w:pPr>
        <w:pStyle w:val="14"/>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（十一）</w:t>
      </w:r>
      <w:r>
        <w:rPr>
          <w:rFonts w:hint="eastAsia" w:ascii="宋体" w:hAnsi="宋体" w:eastAsia="宋体" w:cs="宋体"/>
          <w:color w:val="auto"/>
          <w:kern w:val="2"/>
          <w:sz w:val="24"/>
          <w:szCs w:val="24"/>
          <w:highlight w:val="none"/>
        </w:rPr>
        <w:t>乙方在履行合同</w:t>
      </w:r>
      <w:r>
        <w:rPr>
          <w:rFonts w:hint="eastAsia" w:ascii="宋体" w:hAnsi="宋体" w:eastAsia="宋体" w:cs="宋体"/>
          <w:color w:val="auto"/>
          <w:kern w:val="2"/>
          <w:sz w:val="24"/>
          <w:szCs w:val="24"/>
          <w:highlight w:val="none"/>
          <w:lang w:eastAsia="zh-CN"/>
        </w:rPr>
        <w:t>过程中</w:t>
      </w:r>
      <w:r>
        <w:rPr>
          <w:rFonts w:hint="eastAsia" w:ascii="宋体" w:hAnsi="宋体" w:eastAsia="宋体" w:cs="宋体"/>
          <w:color w:val="auto"/>
          <w:kern w:val="2"/>
          <w:sz w:val="24"/>
          <w:szCs w:val="24"/>
          <w:highlight w:val="none"/>
        </w:rPr>
        <w:t>，出现损害国家利益和社会公共利益情形的，乙方必须承担由此造成的一切损失，甲方有权</w:t>
      </w:r>
      <w:r>
        <w:rPr>
          <w:rFonts w:hint="eastAsia" w:ascii="宋体" w:hAnsi="宋体" w:eastAsia="宋体" w:cs="宋体"/>
          <w:color w:val="auto"/>
          <w:kern w:val="2"/>
          <w:sz w:val="24"/>
          <w:szCs w:val="24"/>
          <w:highlight w:val="none"/>
          <w:lang w:eastAsia="zh-CN"/>
        </w:rPr>
        <w:t>追究</w:t>
      </w:r>
      <w:r>
        <w:rPr>
          <w:rFonts w:hint="eastAsia" w:ascii="宋体" w:hAnsi="宋体" w:eastAsia="宋体" w:cs="宋体"/>
          <w:color w:val="auto"/>
          <w:kern w:val="2"/>
          <w:sz w:val="24"/>
          <w:szCs w:val="24"/>
          <w:highlight w:val="none"/>
        </w:rPr>
        <w:t>乙方一切法律责任。涉及违法犯罪的，依法移交司法机关处置。</w:t>
      </w:r>
    </w:p>
    <w:p w14:paraId="42CE89CC">
      <w:pPr>
        <w:pStyle w:val="14"/>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（十二）</w:t>
      </w:r>
      <w:r>
        <w:rPr>
          <w:rFonts w:hint="eastAsia" w:ascii="宋体" w:hAnsi="宋体" w:eastAsia="宋体" w:cs="宋体"/>
          <w:color w:val="auto"/>
          <w:kern w:val="2"/>
          <w:sz w:val="24"/>
          <w:szCs w:val="24"/>
          <w:highlight w:val="none"/>
        </w:rPr>
        <w:t>违约方除承担违约责任外，守约方因维护合法权益所支出的维权费用</w:t>
      </w:r>
      <w:r>
        <w:rPr>
          <w:rFonts w:hint="eastAsia" w:ascii="宋体" w:hAnsi="宋体" w:eastAsia="宋体" w:cs="宋体"/>
          <w:color w:val="auto"/>
          <w:kern w:val="2"/>
          <w:sz w:val="24"/>
          <w:szCs w:val="24"/>
          <w:highlight w:val="none"/>
          <w:lang w:eastAsia="zh-CN"/>
        </w:rPr>
        <w:t>，包括</w:t>
      </w:r>
      <w:r>
        <w:rPr>
          <w:rFonts w:hint="eastAsia" w:ascii="宋体" w:hAnsi="宋体" w:eastAsia="宋体" w:cs="宋体"/>
          <w:color w:val="auto"/>
          <w:kern w:val="2"/>
          <w:sz w:val="24"/>
          <w:szCs w:val="24"/>
          <w:highlight w:val="none"/>
        </w:rPr>
        <w:t>但不限于律师费、诉讼费、交通费等一切</w:t>
      </w:r>
      <w:r>
        <w:rPr>
          <w:rFonts w:hint="eastAsia" w:ascii="宋体" w:hAnsi="宋体" w:eastAsia="宋体" w:cs="宋体"/>
          <w:color w:val="auto"/>
          <w:kern w:val="2"/>
          <w:sz w:val="24"/>
          <w:szCs w:val="24"/>
          <w:highlight w:val="none"/>
          <w:lang w:eastAsia="zh-CN"/>
        </w:rPr>
        <w:t>合理维权</w:t>
      </w:r>
      <w:r>
        <w:rPr>
          <w:rFonts w:hint="eastAsia" w:ascii="宋体" w:hAnsi="宋体" w:eastAsia="宋体" w:cs="宋体"/>
          <w:color w:val="auto"/>
          <w:kern w:val="2"/>
          <w:sz w:val="24"/>
          <w:szCs w:val="24"/>
          <w:highlight w:val="none"/>
        </w:rPr>
        <w:t>支出均由违约方承担。</w:t>
      </w:r>
    </w:p>
    <w:p w14:paraId="483AE37C">
      <w:pPr>
        <w:pStyle w:val="14"/>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（十三）</w:t>
      </w:r>
      <w:r>
        <w:rPr>
          <w:rFonts w:hint="eastAsia" w:ascii="宋体" w:hAnsi="宋体" w:eastAsia="宋体" w:cs="宋体"/>
          <w:color w:val="auto"/>
          <w:kern w:val="2"/>
          <w:sz w:val="24"/>
          <w:szCs w:val="24"/>
          <w:highlight w:val="none"/>
        </w:rPr>
        <w:t>除本项目协议条款所规定的内容之外，任何一方若因</w:t>
      </w:r>
      <w:r>
        <w:rPr>
          <w:rFonts w:hint="eastAsia" w:ascii="宋体" w:hAnsi="宋体" w:eastAsia="宋体" w:cs="宋体"/>
          <w:color w:val="auto"/>
          <w:kern w:val="2"/>
          <w:sz w:val="24"/>
          <w:szCs w:val="24"/>
          <w:highlight w:val="none"/>
          <w:lang w:eastAsia="zh-CN"/>
        </w:rPr>
        <w:t>其他</w:t>
      </w:r>
      <w:r>
        <w:rPr>
          <w:rFonts w:hint="eastAsia" w:ascii="宋体" w:hAnsi="宋体" w:eastAsia="宋体" w:cs="宋体"/>
          <w:color w:val="auto"/>
          <w:kern w:val="2"/>
          <w:sz w:val="24"/>
          <w:szCs w:val="24"/>
          <w:highlight w:val="none"/>
        </w:rPr>
        <w:t>原因中途退出合作，需提前一个月书面通知对方，经双方协商一致后，根据协商结果执行。因此给对方造成经济损失的，应赔偿对方相应的损失并退还已支付的合同费用。</w:t>
      </w:r>
    </w:p>
    <w:p w14:paraId="065E10C1">
      <w:pPr>
        <w:pStyle w:val="14"/>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bCs w:val="0"/>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（十四）</w:t>
      </w:r>
      <w:r>
        <w:rPr>
          <w:rFonts w:hint="eastAsia" w:ascii="宋体" w:hAnsi="宋体" w:eastAsia="宋体" w:cs="宋体"/>
          <w:bCs w:val="0"/>
          <w:color w:val="auto"/>
          <w:kern w:val="2"/>
          <w:sz w:val="24"/>
          <w:szCs w:val="24"/>
          <w:highlight w:val="none"/>
        </w:rPr>
        <w:t>因国家政策变化、实施环境变化、预算项目调整等</w:t>
      </w:r>
      <w:r>
        <w:rPr>
          <w:rFonts w:hint="eastAsia" w:ascii="宋体" w:hAnsi="宋体" w:eastAsia="宋体" w:cs="宋体"/>
          <w:bCs w:val="0"/>
          <w:color w:val="auto"/>
          <w:kern w:val="2"/>
          <w:sz w:val="24"/>
          <w:szCs w:val="24"/>
          <w:highlight w:val="none"/>
          <w:lang w:eastAsia="zh-CN"/>
        </w:rPr>
        <w:t>情形</w:t>
      </w:r>
      <w:r>
        <w:rPr>
          <w:rFonts w:hint="eastAsia" w:ascii="宋体" w:hAnsi="宋体" w:eastAsia="宋体" w:cs="宋体"/>
          <w:bCs w:val="0"/>
          <w:color w:val="auto"/>
          <w:kern w:val="2"/>
          <w:sz w:val="24"/>
          <w:szCs w:val="24"/>
          <w:highlight w:val="none"/>
        </w:rPr>
        <w:t>，双方应及时以书面形式通知对方，并根据具体的变化情况，协商解决办法。</w:t>
      </w:r>
    </w:p>
    <w:p w14:paraId="3095C89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（十五）</w:t>
      </w:r>
      <w:r>
        <w:rPr>
          <w:rFonts w:hint="eastAsia" w:ascii="宋体" w:hAnsi="宋体" w:eastAsia="宋体" w:cs="宋体"/>
          <w:bCs w:val="0"/>
          <w:color w:val="auto"/>
          <w:kern w:val="2"/>
          <w:sz w:val="24"/>
          <w:szCs w:val="24"/>
          <w:highlight w:val="none"/>
          <w:lang w:val="en-US" w:eastAsia="zh-CN" w:bidi="ar-SA"/>
        </w:rPr>
        <w:t>乙方须严格把控本合同项下所有活动场次的节目内容、表演形式及相关宣传物料，确保全部内容积极健康、合规合法，严禁出现低俗、庸俗、媚俗、色情、暴力、违背公序良俗、违反法律法规及监管要求等不健康、违规内容。</w:t>
      </w:r>
    </w:p>
    <w:p w14:paraId="0EBC6C8A">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1.即时处置要求</w:t>
      </w:r>
    </w:p>
    <w:p w14:paraId="4660B6D6">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若经甲方检查、现场监督或第三方反馈，发现单场或多场活动节目存在上述低俗、不健康及违规问题，甲方有权立即暂停涉事场次的节目演出及相关活动流程，乙方须无条件配合甲方完成现场处置、舆情管控及合规核查工作，由此产生的所有现场处置费用、临时管控成本均由乙方自行承担，且乙方不得因此延误涉事场次的后续合规推进工作。</w:t>
      </w:r>
    </w:p>
    <w:p w14:paraId="1BDFDBA5">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2.整改及次数限定</w:t>
      </w:r>
    </w:p>
    <w:p w14:paraId="723CFD8E">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乙方须在甲方下达书面整改通知后，在指定合理期限内完成节目内容全面整改，更换违规节目、优化表演内容，确保符合合规及甲方要求，整改费用由乙方自行承担。针对同一节目内容违规事项，乙方整改次数上限为1次；首次整改后仍未达标、依旧存在低俗或违规问题的，视为乙方拒不整改或整改不到位，直接适用本条违约责任约定。</w:t>
      </w:r>
    </w:p>
    <w:p w14:paraId="3C47796B">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3.分情形违约责任约定</w:t>
      </w:r>
    </w:p>
    <w:p w14:paraId="3CF8F18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1）一般违规情形（节目存在轻微低俗、不健康问题，经即时暂停处置及整改后可合规复演，且该问题未造成不良舆情、未损害甲方品牌声誉、不影响本合同项下后续未开展场次活动正常筹备及履约的）：乙方须按照合同总金额的30%向甲方支付违约金，若违约金不足以弥补甲方实际损失的，乙方应另行补足差额；本合同项下后续未开展的所有活动场次，不受本次节目违规问题影响，乙方仍需按原合同约定保质保量完成全部履约义务，不得拒绝、拖延或变更履约内容。</w:t>
      </w:r>
    </w:p>
    <w:p w14:paraId="6F852AE8">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2）严重违规情形（节目存在严重低俗、违规内容，引发不良社会舆情、被相关部门约谈追责，或整改后仍不合格、乙方拒不整改的），视为乙方根本性违约：甲方有权单方面解除涉事场次对应的履约约定，同时有权视违规严重程度，决定是否解除本合同全部内容；无论合同是否整体解除，乙方均须向甲方支付合同总金额30%的违约金，全额返还甲方就涉事场次已支付的对应款项，若造成甲方额外损失、声誉损失及第三方索赔的，乙方需另行全额赔偿。</w:t>
      </w:r>
    </w:p>
    <w:p w14:paraId="4699522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4.后续场次保障约定</w:t>
      </w:r>
    </w:p>
    <w:p w14:paraId="40EFCAF9">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除本条第三款第2项约定的甲方依法解除合同整体的情形外，乙方因单场或多场节目内容违规承担违约责任、完成整改后，不得以此为由影响、延误或拒绝履行本合同项下所有后续未开展场次的活动履约义务，后续场次履约标准仍按原合同约定执行，若乙方擅自影响后续场次开展，需另行承担额外违约责任。</w:t>
      </w:r>
    </w:p>
    <w:p w14:paraId="4482E547">
      <w:pPr>
        <w:keepNext w:val="0"/>
        <w:keepLines w:val="0"/>
        <w:pageBreakBefore w:val="0"/>
        <w:kinsoku/>
        <w:wordWrap/>
        <w:overflowPunct/>
        <w:topLinePunct w:val="0"/>
        <w:autoSpaceDE/>
        <w:autoSpaceDN/>
        <w:bidi w:val="0"/>
        <w:snapToGrid/>
        <w:spacing w:line="560" w:lineRule="exact"/>
        <w:ind w:left="0" w:leftChars="0"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七、</w:t>
      </w:r>
      <w:r>
        <w:rPr>
          <w:rFonts w:hint="eastAsia" w:ascii="宋体" w:hAnsi="宋体" w:eastAsia="宋体" w:cs="宋体"/>
          <w:b w:val="0"/>
          <w:bCs w:val="0"/>
          <w:color w:val="auto"/>
          <w:kern w:val="0"/>
          <w:sz w:val="24"/>
          <w:szCs w:val="24"/>
          <w:highlight w:val="none"/>
        </w:rPr>
        <w:t>不可抗力事件处理</w:t>
      </w:r>
    </w:p>
    <w:p w14:paraId="37568FDF">
      <w:pPr>
        <w:keepNext w:val="0"/>
        <w:keepLines w:val="0"/>
        <w:pageBreakBefore w:val="0"/>
        <w:numPr>
          <w:ilvl w:val="0"/>
          <w:numId w:val="0"/>
        </w:numPr>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（一）</w:t>
      </w:r>
      <w:r>
        <w:rPr>
          <w:rFonts w:hint="eastAsia" w:ascii="宋体" w:hAnsi="宋体" w:eastAsia="宋体" w:cs="宋体"/>
          <w:color w:val="auto"/>
          <w:sz w:val="24"/>
          <w:szCs w:val="24"/>
          <w:highlight w:val="none"/>
          <w:lang w:val="en-US" w:eastAsia="zh-CN"/>
        </w:rPr>
        <w:t>本合同所称不可抗力，是指甲乙双方不能合理控制、不可预见，或即使预见亦无法避免、无法防止且不可克服，妨碍、影响或延误任何一方履行本合同全部或部分义务的客观事件，包括但不限于地震、台风、水灾、火灾、战争、疫情、政府行为及其他类似突发性客观情况。</w:t>
      </w:r>
    </w:p>
    <w:p w14:paraId="6440FB6A">
      <w:pPr>
        <w:keepNext w:val="0"/>
        <w:keepLines w:val="0"/>
        <w:pageBreakBefore w:val="0"/>
        <w:numPr>
          <w:ilvl w:val="0"/>
          <w:numId w:val="0"/>
        </w:numPr>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（二）</w:t>
      </w:r>
      <w:r>
        <w:rPr>
          <w:rFonts w:hint="eastAsia" w:ascii="宋体" w:hAnsi="宋体" w:eastAsia="宋体" w:cs="宋体"/>
          <w:color w:val="auto"/>
          <w:sz w:val="24"/>
          <w:szCs w:val="24"/>
          <w:highlight w:val="none"/>
        </w:rPr>
        <w:t>遭受不可抗力事件的一方可暂行中止履行本合同项下的义务直至不可抗力事件的影响消除为止，并且无需为此而承担违约责任；但应尽最大努力克服该事件，减轻其负面影响。</w:t>
      </w:r>
    </w:p>
    <w:p w14:paraId="63B3CB61">
      <w:pPr>
        <w:keepNext w:val="0"/>
        <w:keepLines w:val="0"/>
        <w:pageBreakBefore w:val="0"/>
        <w:numPr>
          <w:ilvl w:val="0"/>
          <w:numId w:val="0"/>
        </w:numPr>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（三）</w:t>
      </w:r>
      <w:r>
        <w:rPr>
          <w:rFonts w:hint="eastAsia" w:ascii="宋体" w:hAnsi="宋体" w:eastAsia="宋体" w:cs="宋体"/>
          <w:color w:val="auto"/>
          <w:kern w:val="2"/>
          <w:sz w:val="24"/>
          <w:szCs w:val="24"/>
          <w:highlight w:val="none"/>
          <w:lang w:val="en-US" w:eastAsia="zh-CN"/>
        </w:rPr>
        <w:t>受不可抗力影响不能履约的一方，应在</w:t>
      </w:r>
      <w:r>
        <w:rPr>
          <w:rFonts w:hint="eastAsia" w:ascii="宋体" w:hAnsi="宋体" w:eastAsia="宋体" w:cs="宋体"/>
          <w:color w:val="auto"/>
          <w:kern w:val="2"/>
          <w:sz w:val="24"/>
          <w:szCs w:val="24"/>
          <w:highlight w:val="none"/>
        </w:rPr>
        <w:t>5日内</w:t>
      </w:r>
      <w:r>
        <w:rPr>
          <w:rFonts w:hint="eastAsia" w:ascii="宋体" w:hAnsi="宋体" w:eastAsia="宋体" w:cs="宋体"/>
          <w:color w:val="auto"/>
          <w:kern w:val="2"/>
          <w:sz w:val="24"/>
          <w:szCs w:val="24"/>
          <w:highlight w:val="none"/>
          <w:lang w:val="en-US" w:eastAsia="zh-CN"/>
        </w:rPr>
        <w:t>书面通知对方，</w:t>
      </w:r>
      <w:r>
        <w:rPr>
          <w:rFonts w:hint="eastAsia" w:ascii="宋体" w:hAnsi="宋体" w:eastAsia="宋体" w:cs="宋体"/>
          <w:color w:val="auto"/>
          <w:kern w:val="2"/>
          <w:sz w:val="24"/>
          <w:szCs w:val="24"/>
          <w:highlight w:val="none"/>
        </w:rPr>
        <w:t>并</w:t>
      </w:r>
      <w:r>
        <w:rPr>
          <w:rFonts w:hint="eastAsia" w:ascii="宋体" w:hAnsi="宋体" w:eastAsia="宋体" w:cs="宋体"/>
          <w:color w:val="auto"/>
          <w:kern w:val="2"/>
          <w:sz w:val="24"/>
          <w:szCs w:val="24"/>
          <w:highlight w:val="none"/>
          <w:lang w:val="en-US" w:eastAsia="zh-CN"/>
        </w:rPr>
        <w:t>向对方</w:t>
      </w:r>
      <w:r>
        <w:rPr>
          <w:rFonts w:hint="eastAsia" w:ascii="宋体" w:hAnsi="宋体" w:eastAsia="宋体" w:cs="宋体"/>
          <w:color w:val="auto"/>
          <w:kern w:val="2"/>
          <w:sz w:val="24"/>
          <w:szCs w:val="24"/>
          <w:highlight w:val="none"/>
        </w:rPr>
        <w:t>寄送权威机构出具的</w:t>
      </w:r>
      <w:r>
        <w:rPr>
          <w:rFonts w:hint="eastAsia" w:ascii="宋体" w:hAnsi="宋体" w:eastAsia="宋体" w:cs="宋体"/>
          <w:color w:val="auto"/>
          <w:kern w:val="2"/>
          <w:sz w:val="24"/>
          <w:szCs w:val="24"/>
          <w:highlight w:val="none"/>
          <w:lang w:val="en-US" w:eastAsia="zh-CN"/>
        </w:rPr>
        <w:t>相关证明文件。</w:t>
      </w:r>
    </w:p>
    <w:p w14:paraId="4D8CBB6B">
      <w:pPr>
        <w:keepNext w:val="0"/>
        <w:keepLines w:val="0"/>
        <w:pageBreakBefore w:val="0"/>
        <w:widowControl/>
        <w:numPr>
          <w:ilvl w:val="0"/>
          <w:numId w:val="0"/>
        </w:numPr>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（四）</w:t>
      </w:r>
      <w:r>
        <w:rPr>
          <w:rFonts w:hint="eastAsia" w:ascii="宋体" w:hAnsi="宋体" w:eastAsia="宋体" w:cs="宋体"/>
          <w:color w:val="auto"/>
          <w:kern w:val="2"/>
          <w:sz w:val="24"/>
          <w:szCs w:val="24"/>
          <w:highlight w:val="none"/>
        </w:rPr>
        <w:t>如因突发重大自然灾害、政府征用等不可抗力情况，造成商场停止运营，活动不能正常开展，乙方将第一时间与甲方沟通，并提供可行的、让甲方满意的延期或其他</w:t>
      </w:r>
      <w:r>
        <w:rPr>
          <w:rFonts w:hint="eastAsia" w:ascii="宋体" w:hAnsi="宋体" w:eastAsia="宋体" w:cs="宋体"/>
          <w:color w:val="auto"/>
          <w:kern w:val="2"/>
          <w:sz w:val="24"/>
          <w:szCs w:val="24"/>
          <w:highlight w:val="none"/>
          <w:lang w:val="en-US" w:eastAsia="zh-CN"/>
        </w:rPr>
        <w:t>补偿</w:t>
      </w:r>
      <w:r>
        <w:rPr>
          <w:rFonts w:hint="eastAsia" w:ascii="宋体" w:hAnsi="宋体" w:eastAsia="宋体" w:cs="宋体"/>
          <w:color w:val="auto"/>
          <w:kern w:val="2"/>
          <w:sz w:val="24"/>
          <w:szCs w:val="24"/>
          <w:highlight w:val="none"/>
        </w:rPr>
        <w:t>方案。</w:t>
      </w:r>
    </w:p>
    <w:p w14:paraId="60AF1F80">
      <w:pPr>
        <w:keepNext w:val="0"/>
        <w:keepLines w:val="0"/>
        <w:pageBreakBefore w:val="0"/>
        <w:numPr>
          <w:ilvl w:val="0"/>
          <w:numId w:val="0"/>
        </w:numPr>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（五）</w:t>
      </w:r>
      <w:r>
        <w:rPr>
          <w:rFonts w:hint="eastAsia" w:ascii="宋体" w:hAnsi="宋体" w:eastAsia="宋体" w:cs="宋体"/>
          <w:color w:val="auto"/>
          <w:kern w:val="2"/>
          <w:sz w:val="24"/>
          <w:szCs w:val="24"/>
          <w:highlight w:val="none"/>
        </w:rPr>
        <w:t>不可抗力事件延续120天以上，双方应通过友好协商，确定是否继续履行合同。</w:t>
      </w:r>
    </w:p>
    <w:p w14:paraId="4F88C32B">
      <w:pPr>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八、</w:t>
      </w:r>
      <w:r>
        <w:rPr>
          <w:rFonts w:hint="eastAsia" w:ascii="宋体" w:hAnsi="宋体" w:eastAsia="宋体" w:cs="宋体"/>
          <w:b w:val="0"/>
          <w:bCs w:val="0"/>
          <w:color w:val="auto"/>
          <w:kern w:val="0"/>
          <w:sz w:val="24"/>
          <w:szCs w:val="24"/>
          <w:highlight w:val="none"/>
        </w:rPr>
        <w:t>争议解决</w:t>
      </w:r>
    </w:p>
    <w:p w14:paraId="5E6E660E">
      <w:pPr>
        <w:keepNext w:val="0"/>
        <w:keepLines w:val="0"/>
        <w:pageBreakBefore w:val="0"/>
        <w:kinsoku/>
        <w:wordWrap/>
        <w:overflowPunct/>
        <w:topLinePunct w:val="0"/>
        <w:autoSpaceDE/>
        <w:autoSpaceDN/>
        <w:bidi w:val="0"/>
        <w:snapToGrid/>
        <w:spacing w:line="56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sz w:val="24"/>
          <w:szCs w:val="24"/>
          <w:highlight w:val="none"/>
        </w:rPr>
        <w:t>甲乙双方在履行本合同过程中发生争议的，可先行友好协商解决；协商不成的，提交甲方所在地人民法院通过诉讼方式解决</w:t>
      </w:r>
      <w:r>
        <w:rPr>
          <w:rFonts w:hint="eastAsia" w:ascii="宋体" w:hAnsi="宋体" w:eastAsia="宋体" w:cs="宋体"/>
          <w:color w:val="auto"/>
          <w:kern w:val="2"/>
          <w:sz w:val="24"/>
          <w:szCs w:val="24"/>
          <w:highlight w:val="none"/>
        </w:rPr>
        <w:t>。</w:t>
      </w:r>
    </w:p>
    <w:p w14:paraId="5C01A8B9">
      <w:pPr>
        <w:keepNext w:val="0"/>
        <w:keepLines w:val="0"/>
        <w:pageBreakBefore w:val="0"/>
        <w:kinsoku/>
        <w:wordWrap/>
        <w:overflowPunct/>
        <w:topLinePunct w:val="0"/>
        <w:autoSpaceDE/>
        <w:autoSpaceDN/>
        <w:bidi w:val="0"/>
        <w:snapToGrid/>
        <w:spacing w:line="560" w:lineRule="exact"/>
        <w:ind w:left="480" w:left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 xml:space="preserve"> 九、</w:t>
      </w:r>
      <w:r>
        <w:rPr>
          <w:rFonts w:hint="eastAsia" w:ascii="宋体" w:hAnsi="宋体" w:eastAsia="宋体" w:cs="宋体"/>
          <w:b w:val="0"/>
          <w:bCs w:val="0"/>
          <w:color w:val="auto"/>
          <w:kern w:val="0"/>
          <w:sz w:val="24"/>
          <w:szCs w:val="24"/>
          <w:highlight w:val="none"/>
        </w:rPr>
        <w:t>其他规定</w:t>
      </w:r>
    </w:p>
    <w:p w14:paraId="4EC1BD34">
      <w:pPr>
        <w:keepNext w:val="0"/>
        <w:keepLines w:val="0"/>
        <w:pageBreakBefore w:val="0"/>
        <w:numPr>
          <w:ilvl w:val="0"/>
          <w:numId w:val="0"/>
        </w:numPr>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（一）</w:t>
      </w:r>
      <w:r>
        <w:rPr>
          <w:rFonts w:hint="eastAsia" w:ascii="宋体" w:hAnsi="宋体" w:eastAsia="宋体" w:cs="宋体"/>
          <w:color w:val="auto"/>
          <w:kern w:val="2"/>
          <w:sz w:val="24"/>
          <w:szCs w:val="24"/>
          <w:highlight w:val="none"/>
        </w:rPr>
        <w:t>如果本合同中的任何条款因违反法律或政府规定或因其他原因而完全或部分无效或不具有执行力，则该条款被视为删除。但该条款的删除不影响本合同其他条款的法律效力。</w:t>
      </w:r>
    </w:p>
    <w:p w14:paraId="32397EBB">
      <w:pPr>
        <w:keepNext w:val="0"/>
        <w:keepLines w:val="0"/>
        <w:pageBreakBefore w:val="0"/>
        <w:numPr>
          <w:ilvl w:val="0"/>
          <w:numId w:val="0"/>
        </w:numPr>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（二）</w:t>
      </w:r>
      <w:r>
        <w:rPr>
          <w:rFonts w:hint="eastAsia" w:ascii="宋体" w:hAnsi="宋体" w:eastAsia="宋体" w:cs="宋体"/>
          <w:color w:val="auto"/>
          <w:kern w:val="2"/>
          <w:sz w:val="24"/>
          <w:szCs w:val="24"/>
          <w:highlight w:val="none"/>
        </w:rPr>
        <w:t>双方可以书面协议方式对本合同作出修改和补充。经双方签署的修改和补充协议是本合同的组成部分，具有与本合同同等的法律效力。</w:t>
      </w:r>
    </w:p>
    <w:p w14:paraId="5074683F">
      <w:pPr>
        <w:keepNext w:val="0"/>
        <w:keepLines w:val="0"/>
        <w:pageBreakBefore w:val="0"/>
        <w:numPr>
          <w:ilvl w:val="0"/>
          <w:numId w:val="0"/>
        </w:numPr>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（三）</w:t>
      </w:r>
      <w:r>
        <w:rPr>
          <w:rFonts w:hint="eastAsia" w:ascii="宋体" w:hAnsi="宋体" w:eastAsia="宋体" w:cs="宋体"/>
          <w:color w:val="auto"/>
          <w:kern w:val="2"/>
          <w:sz w:val="24"/>
          <w:szCs w:val="24"/>
          <w:highlight w:val="none"/>
        </w:rPr>
        <w:t>乙方如因特殊</w:t>
      </w:r>
      <w:r>
        <w:rPr>
          <w:rFonts w:hint="eastAsia" w:ascii="宋体" w:hAnsi="宋体" w:eastAsia="宋体" w:cs="宋体"/>
          <w:color w:val="auto"/>
          <w:kern w:val="2"/>
          <w:sz w:val="24"/>
          <w:szCs w:val="24"/>
          <w:highlight w:val="none"/>
          <w:lang w:eastAsia="zh-CN"/>
        </w:rPr>
        <w:t>原因</w:t>
      </w:r>
      <w:r>
        <w:rPr>
          <w:rFonts w:hint="eastAsia" w:ascii="宋体" w:hAnsi="宋体" w:eastAsia="宋体" w:cs="宋体"/>
          <w:color w:val="auto"/>
          <w:kern w:val="2"/>
          <w:sz w:val="24"/>
          <w:szCs w:val="24"/>
          <w:highlight w:val="none"/>
        </w:rPr>
        <w:t>不能正常开展活动、内容变更等</w:t>
      </w:r>
      <w:r>
        <w:rPr>
          <w:rFonts w:hint="eastAsia" w:ascii="宋体" w:hAnsi="宋体" w:eastAsia="宋体" w:cs="宋体"/>
          <w:color w:val="auto"/>
          <w:kern w:val="2"/>
          <w:sz w:val="24"/>
          <w:szCs w:val="24"/>
          <w:highlight w:val="none"/>
          <w:lang w:eastAsia="zh-CN"/>
        </w:rPr>
        <w:t>情况，</w:t>
      </w:r>
      <w:r>
        <w:rPr>
          <w:rFonts w:hint="eastAsia" w:ascii="宋体" w:hAnsi="宋体" w:eastAsia="宋体" w:cs="宋体"/>
          <w:color w:val="auto"/>
          <w:kern w:val="2"/>
          <w:sz w:val="24"/>
          <w:szCs w:val="24"/>
          <w:highlight w:val="none"/>
        </w:rPr>
        <w:t>应提前3日与甲方协商，并确定相关后续补救事宜。</w:t>
      </w:r>
    </w:p>
    <w:p w14:paraId="025EAA30">
      <w:pPr>
        <w:keepNext w:val="0"/>
        <w:keepLines w:val="0"/>
        <w:pageBreakBefore w:val="0"/>
        <w:numPr>
          <w:ilvl w:val="0"/>
          <w:numId w:val="0"/>
        </w:numPr>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（四）</w:t>
      </w:r>
      <w:r>
        <w:rPr>
          <w:rFonts w:hint="eastAsia" w:ascii="宋体" w:hAnsi="宋体" w:eastAsia="宋体" w:cs="宋体"/>
          <w:color w:val="auto"/>
          <w:kern w:val="2"/>
          <w:sz w:val="24"/>
          <w:szCs w:val="24"/>
          <w:highlight w:val="none"/>
        </w:rPr>
        <w:t>下述文件为本合同不可分割的组成部分，并与本合同具有同等法律效力</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本合同没有约定的，按下列文件的相关规定执行：招标文件及修改</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补充、澄清；中标通知书和本合同所有附件；乙方的投标文件及询标过程中的书面答疑记录；谈判中的承诺函、报价。</w:t>
      </w:r>
    </w:p>
    <w:p w14:paraId="331BF766">
      <w:pPr>
        <w:keepNext w:val="0"/>
        <w:keepLines w:val="0"/>
        <w:pageBreakBefore w:val="0"/>
        <w:numPr>
          <w:ilvl w:val="0"/>
          <w:numId w:val="0"/>
        </w:numPr>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（五）</w:t>
      </w:r>
      <w:r>
        <w:rPr>
          <w:rFonts w:hint="eastAsia" w:ascii="宋体" w:hAnsi="宋体" w:eastAsia="宋体" w:cs="宋体"/>
          <w:b w:val="0"/>
          <w:bCs w:val="0"/>
          <w:color w:val="auto"/>
          <w:kern w:val="2"/>
          <w:sz w:val="24"/>
          <w:szCs w:val="24"/>
          <w:highlight w:val="none"/>
        </w:rPr>
        <w:t>在履行合同</w:t>
      </w:r>
      <w:r>
        <w:rPr>
          <w:rFonts w:hint="eastAsia" w:ascii="宋体" w:hAnsi="宋体" w:eastAsia="宋体" w:cs="宋体"/>
          <w:b w:val="0"/>
          <w:bCs w:val="0"/>
          <w:color w:val="auto"/>
          <w:kern w:val="2"/>
          <w:sz w:val="24"/>
          <w:szCs w:val="24"/>
          <w:highlight w:val="none"/>
          <w:lang w:eastAsia="zh-CN"/>
        </w:rPr>
        <w:t>过程中</w:t>
      </w:r>
      <w:r>
        <w:rPr>
          <w:rFonts w:hint="eastAsia" w:ascii="宋体" w:hAnsi="宋体" w:eastAsia="宋体" w:cs="宋体"/>
          <w:b w:val="0"/>
          <w:bCs w:val="0"/>
          <w:color w:val="auto"/>
          <w:kern w:val="2"/>
          <w:sz w:val="24"/>
          <w:szCs w:val="24"/>
          <w:highlight w:val="none"/>
        </w:rPr>
        <w:t>，乙方需根据甲方的需求提供相应资料。招标文件</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乙方投标文件、答疑、承诺及本合同中如有表述不一致</w:t>
      </w:r>
      <w:r>
        <w:rPr>
          <w:rFonts w:hint="eastAsia" w:ascii="宋体" w:hAnsi="宋体" w:eastAsia="宋体" w:cs="宋体"/>
          <w:b w:val="0"/>
          <w:bCs w:val="0"/>
          <w:color w:val="auto"/>
          <w:kern w:val="2"/>
          <w:sz w:val="24"/>
          <w:szCs w:val="24"/>
          <w:highlight w:val="none"/>
          <w:lang w:eastAsia="zh-CN"/>
        </w:rPr>
        <w:t>之处</w:t>
      </w:r>
      <w:r>
        <w:rPr>
          <w:rFonts w:hint="eastAsia" w:ascii="宋体" w:hAnsi="宋体" w:eastAsia="宋体" w:cs="宋体"/>
          <w:b w:val="0"/>
          <w:bCs w:val="0"/>
          <w:color w:val="auto"/>
          <w:kern w:val="2"/>
          <w:sz w:val="24"/>
          <w:szCs w:val="24"/>
          <w:highlight w:val="none"/>
        </w:rPr>
        <w:t>，以有利于甲方的条款</w:t>
      </w:r>
      <w:r>
        <w:rPr>
          <w:rFonts w:hint="eastAsia" w:ascii="宋体" w:hAnsi="宋体" w:eastAsia="宋体" w:cs="宋体"/>
          <w:b w:val="0"/>
          <w:bCs w:val="0"/>
          <w:color w:val="auto"/>
          <w:kern w:val="2"/>
          <w:sz w:val="24"/>
          <w:szCs w:val="24"/>
          <w:highlight w:val="none"/>
          <w:lang w:eastAsia="zh-CN"/>
        </w:rPr>
        <w:t>为准</w:t>
      </w:r>
      <w:r>
        <w:rPr>
          <w:rFonts w:hint="eastAsia" w:ascii="宋体" w:hAnsi="宋体" w:eastAsia="宋体" w:cs="宋体"/>
          <w:b w:val="0"/>
          <w:bCs w:val="0"/>
          <w:color w:val="auto"/>
          <w:kern w:val="2"/>
          <w:sz w:val="24"/>
          <w:szCs w:val="24"/>
          <w:highlight w:val="none"/>
        </w:rPr>
        <w:t>。</w:t>
      </w:r>
    </w:p>
    <w:p w14:paraId="2127506D">
      <w:pPr>
        <w:keepNext w:val="0"/>
        <w:keepLines w:val="0"/>
        <w:pageBreakBefore w:val="0"/>
        <w:numPr>
          <w:ilvl w:val="0"/>
          <w:numId w:val="0"/>
        </w:numPr>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（六）</w:t>
      </w:r>
      <w:r>
        <w:rPr>
          <w:rFonts w:hint="eastAsia" w:ascii="宋体" w:hAnsi="宋体" w:eastAsia="宋体" w:cs="宋体"/>
          <w:b w:val="0"/>
          <w:bCs w:val="0"/>
          <w:color w:val="auto"/>
          <w:kern w:val="2"/>
          <w:sz w:val="24"/>
          <w:szCs w:val="24"/>
          <w:highlight w:val="none"/>
        </w:rPr>
        <w:t>本合同首页当事人联系方式和联系信息适用于双方往来联系、书面文件送达及争议解决时法律文书送达。因首页联系方式和联系信息错误而无法直接送达的</w:t>
      </w:r>
      <w:r>
        <w:rPr>
          <w:rFonts w:hint="eastAsia" w:ascii="宋体" w:hAnsi="宋体" w:eastAsia="宋体" w:cs="宋体"/>
          <w:b w:val="0"/>
          <w:bCs w:val="0"/>
          <w:color w:val="auto"/>
          <w:kern w:val="2"/>
          <w:sz w:val="24"/>
          <w:szCs w:val="24"/>
          <w:highlight w:val="none"/>
          <w:lang w:eastAsia="zh-CN"/>
        </w:rPr>
        <w:t>，自</w:t>
      </w:r>
      <w:r>
        <w:rPr>
          <w:rFonts w:hint="eastAsia" w:ascii="宋体" w:hAnsi="宋体" w:eastAsia="宋体" w:cs="宋体"/>
          <w:b w:val="0"/>
          <w:bCs w:val="0"/>
          <w:color w:val="auto"/>
          <w:kern w:val="2"/>
          <w:sz w:val="24"/>
          <w:szCs w:val="24"/>
          <w:highlight w:val="none"/>
        </w:rPr>
        <w:t>交邮</w:t>
      </w:r>
      <w:r>
        <w:rPr>
          <w:rFonts w:hint="eastAsia" w:ascii="宋体" w:hAnsi="宋体" w:eastAsia="宋体" w:cs="宋体"/>
          <w:b w:val="0"/>
          <w:bCs w:val="0"/>
          <w:color w:val="auto"/>
          <w:kern w:val="2"/>
          <w:sz w:val="24"/>
          <w:szCs w:val="24"/>
          <w:highlight w:val="none"/>
          <w:lang w:eastAsia="zh-CN"/>
        </w:rPr>
        <w:t>之日起</w:t>
      </w:r>
      <w:r>
        <w:rPr>
          <w:rFonts w:hint="eastAsia" w:ascii="宋体" w:hAnsi="宋体" w:eastAsia="宋体" w:cs="宋体"/>
          <w:b w:val="0"/>
          <w:bCs w:val="0"/>
          <w:color w:val="auto"/>
          <w:kern w:val="2"/>
          <w:sz w:val="24"/>
          <w:szCs w:val="24"/>
          <w:highlight w:val="none"/>
        </w:rPr>
        <w:t>第7日视为送达。任何一方的联系方式发生变更的，应在变更当日通知相对方。</w:t>
      </w:r>
    </w:p>
    <w:p w14:paraId="1FC6CD09">
      <w:pPr>
        <w:keepNext w:val="0"/>
        <w:keepLines w:val="0"/>
        <w:pageBreakBefore w:val="0"/>
        <w:numPr>
          <w:ilvl w:val="0"/>
          <w:numId w:val="0"/>
        </w:numPr>
        <w:kinsoku/>
        <w:wordWrap/>
        <w:overflowPunct/>
        <w:topLinePunct w:val="0"/>
        <w:autoSpaceDE/>
        <w:autoSpaceDN/>
        <w:bidi w:val="0"/>
        <w:snapToGrid/>
        <w:spacing w:line="560" w:lineRule="exact"/>
        <w:ind w:firstLine="480" w:firstLineChars="200"/>
        <w:textAlignment w:val="auto"/>
        <w:rPr>
          <w:rFonts w:hint="eastAsia" w:ascii="宋体" w:hAnsi="宋体" w:eastAsia="宋体" w:cs="宋体"/>
          <w:b w:val="0"/>
          <w:bCs w:val="0"/>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（七）</w:t>
      </w:r>
      <w:r>
        <w:rPr>
          <w:rFonts w:hint="eastAsia" w:ascii="宋体" w:hAnsi="宋体" w:eastAsia="宋体" w:cs="宋体"/>
          <w:color w:val="auto"/>
          <w:sz w:val="24"/>
          <w:szCs w:val="24"/>
          <w:highlight w:val="none"/>
          <w:u w:val="none"/>
          <w:lang w:val="en-US" w:eastAsia="zh-CN"/>
        </w:rPr>
        <w:t>本</w:t>
      </w:r>
      <w:r>
        <w:rPr>
          <w:rFonts w:hint="eastAsia" w:ascii="宋体" w:hAnsi="宋体" w:eastAsia="宋体" w:cs="宋体"/>
          <w:color w:val="auto"/>
          <w:sz w:val="24"/>
          <w:szCs w:val="24"/>
          <w:highlight w:val="none"/>
          <w:u w:val="none"/>
        </w:rPr>
        <w:t>合同壹式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份</w:t>
      </w:r>
      <w:r>
        <w:rPr>
          <w:rFonts w:hint="eastAsia" w:ascii="宋体" w:hAnsi="宋体" w:eastAsia="宋体" w:cs="宋体"/>
          <w:color w:val="auto"/>
          <w:sz w:val="24"/>
          <w:szCs w:val="24"/>
          <w:highlight w:val="none"/>
          <w:u w:val="none"/>
          <w:lang w:eastAsia="zh-CN"/>
        </w:rPr>
        <w:t>，</w:t>
      </w:r>
      <w:r>
        <w:rPr>
          <w:rFonts w:hint="eastAsia" w:ascii="宋体" w:hAnsi="宋体" w:eastAsia="宋体" w:cs="宋体"/>
          <w:b w:val="0"/>
          <w:bCs w:val="0"/>
          <w:color w:val="auto"/>
          <w:kern w:val="2"/>
          <w:sz w:val="24"/>
          <w:szCs w:val="24"/>
          <w:highlight w:val="none"/>
          <w:lang w:val="en-US" w:eastAsia="zh-CN"/>
        </w:rPr>
        <w:t>自</w:t>
      </w:r>
      <w:r>
        <w:rPr>
          <w:rFonts w:hint="eastAsia" w:ascii="宋体" w:hAnsi="宋体" w:eastAsia="宋体" w:cs="宋体"/>
          <w:b w:val="0"/>
          <w:bCs w:val="0"/>
          <w:color w:val="auto"/>
          <w:kern w:val="2"/>
          <w:sz w:val="24"/>
          <w:szCs w:val="24"/>
          <w:highlight w:val="none"/>
        </w:rPr>
        <w:t>双方法定代表人或授权代表签字并加盖公章</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或合同专用章</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后即时生效，甲方执</w:t>
      </w:r>
      <w:r>
        <w:rPr>
          <w:rFonts w:hint="eastAsia" w:ascii="宋体" w:hAnsi="宋体" w:eastAsia="宋体" w:cs="宋体"/>
          <w:b w:val="0"/>
          <w:bCs w:val="0"/>
          <w:color w:val="auto"/>
          <w:kern w:val="2"/>
          <w:sz w:val="24"/>
          <w:szCs w:val="24"/>
          <w:highlight w:val="none"/>
          <w:u w:val="single"/>
          <w:lang w:val="en-US" w:eastAsia="zh-CN"/>
        </w:rPr>
        <w:t xml:space="preserve">    </w:t>
      </w:r>
      <w:r>
        <w:rPr>
          <w:rFonts w:hint="eastAsia" w:ascii="宋体" w:hAnsi="宋体" w:eastAsia="宋体" w:cs="宋体"/>
          <w:b w:val="0"/>
          <w:bCs w:val="0"/>
          <w:color w:val="auto"/>
          <w:kern w:val="2"/>
          <w:sz w:val="24"/>
          <w:szCs w:val="24"/>
          <w:highlight w:val="none"/>
        </w:rPr>
        <w:t>份、乙方执</w:t>
      </w:r>
      <w:r>
        <w:rPr>
          <w:rFonts w:hint="eastAsia" w:ascii="宋体" w:hAnsi="宋体" w:eastAsia="宋体" w:cs="宋体"/>
          <w:b w:val="0"/>
          <w:bCs w:val="0"/>
          <w:color w:val="auto"/>
          <w:kern w:val="2"/>
          <w:sz w:val="24"/>
          <w:szCs w:val="24"/>
          <w:highlight w:val="none"/>
          <w:u w:val="single"/>
          <w:lang w:val="en-US" w:eastAsia="zh-CN"/>
        </w:rPr>
        <w:t xml:space="preserve">    </w:t>
      </w:r>
      <w:r>
        <w:rPr>
          <w:rFonts w:hint="eastAsia" w:ascii="宋体" w:hAnsi="宋体" w:eastAsia="宋体" w:cs="宋体"/>
          <w:b w:val="0"/>
          <w:bCs w:val="0"/>
          <w:color w:val="auto"/>
          <w:kern w:val="2"/>
          <w:sz w:val="24"/>
          <w:szCs w:val="24"/>
          <w:highlight w:val="none"/>
        </w:rPr>
        <w:t>份，均具有同等法律效力。</w:t>
      </w:r>
    </w:p>
    <w:p w14:paraId="4BD83145">
      <w:pPr>
        <w:keepNext w:val="0"/>
        <w:keepLines w:val="0"/>
        <w:pageBreakBefore w:val="0"/>
        <w:kinsoku/>
        <w:wordWrap/>
        <w:overflowPunct/>
        <w:topLinePunct w:val="0"/>
        <w:autoSpaceDE/>
        <w:autoSpaceDN/>
        <w:bidi w:val="0"/>
        <w:snapToGrid/>
        <w:spacing w:line="560" w:lineRule="exact"/>
        <w:textAlignment w:val="auto"/>
        <w:rPr>
          <w:rFonts w:hint="eastAsia" w:ascii="宋体" w:hAnsi="宋体" w:eastAsia="宋体" w:cs="宋体"/>
          <w:b w:val="0"/>
          <w:bCs w:val="0"/>
          <w:color w:val="auto"/>
          <w:kern w:val="2"/>
          <w:sz w:val="24"/>
          <w:szCs w:val="24"/>
          <w:highlight w:val="none"/>
        </w:rPr>
      </w:pPr>
    </w:p>
    <w:p w14:paraId="4AA899B5">
      <w:pPr>
        <w:keepNext w:val="0"/>
        <w:keepLines w:val="0"/>
        <w:pageBreakBefore w:val="0"/>
        <w:kinsoku/>
        <w:wordWrap/>
        <w:overflowPunct/>
        <w:topLinePunct w:val="0"/>
        <w:autoSpaceDE/>
        <w:autoSpaceDN/>
        <w:bidi w:val="0"/>
        <w:snapToGrid/>
        <w:spacing w:line="56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甲方（盖章）：</w:t>
      </w:r>
      <w:r>
        <w:rPr>
          <w:rFonts w:hint="eastAsia" w:ascii="宋体" w:hAnsi="宋体" w:eastAsia="宋体" w:cs="宋体"/>
          <w:color w:val="auto"/>
          <w:sz w:val="24"/>
          <w:szCs w:val="24"/>
          <w:highlight w:val="none"/>
        </w:rPr>
        <w:t>新疆维吾尔自治区福利彩票发行中心</w:t>
      </w:r>
    </w:p>
    <w:p w14:paraId="386BD7FB">
      <w:pPr>
        <w:keepNext w:val="0"/>
        <w:keepLines w:val="0"/>
        <w:pageBreakBefore w:val="0"/>
        <w:kinsoku/>
        <w:wordWrap/>
        <w:overflowPunct/>
        <w:topLinePunct w:val="0"/>
        <w:autoSpaceDE/>
        <w:autoSpaceDN/>
        <w:bidi w:val="0"/>
        <w:snapToGrid/>
        <w:spacing w:line="56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授权代表或</w:t>
      </w:r>
      <w:r>
        <w:rPr>
          <w:rFonts w:hint="eastAsia" w:ascii="宋体" w:hAnsi="宋体" w:eastAsia="宋体" w:cs="宋体"/>
          <w:color w:val="auto"/>
          <w:kern w:val="2"/>
          <w:sz w:val="24"/>
          <w:szCs w:val="24"/>
          <w:highlight w:val="none"/>
          <w:lang w:val="en-US" w:eastAsia="zh-CN"/>
        </w:rPr>
        <w:t>法定</w:t>
      </w:r>
      <w:r>
        <w:rPr>
          <w:rFonts w:hint="eastAsia" w:ascii="宋体" w:hAnsi="宋体" w:eastAsia="宋体" w:cs="宋体"/>
          <w:color w:val="auto"/>
          <w:kern w:val="2"/>
          <w:sz w:val="24"/>
          <w:szCs w:val="24"/>
          <w:highlight w:val="none"/>
        </w:rPr>
        <w:t>代表</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（签字）：</w:t>
      </w:r>
    </w:p>
    <w:p w14:paraId="59E57B83">
      <w:pPr>
        <w:keepNext w:val="0"/>
        <w:keepLines w:val="0"/>
        <w:pageBreakBefore w:val="0"/>
        <w:kinsoku/>
        <w:wordWrap/>
        <w:overflowPunct/>
        <w:topLinePunct w:val="0"/>
        <w:autoSpaceDE/>
        <w:autoSpaceDN/>
        <w:bidi w:val="0"/>
        <w:snapToGrid/>
        <w:spacing w:line="56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签订日期：</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年  月   日</w:t>
      </w:r>
    </w:p>
    <w:p w14:paraId="0274704C">
      <w:pPr>
        <w:keepNext w:val="0"/>
        <w:keepLines w:val="0"/>
        <w:pageBreakBefore w:val="0"/>
        <w:kinsoku/>
        <w:wordWrap/>
        <w:overflowPunct/>
        <w:topLinePunct w:val="0"/>
        <w:autoSpaceDE/>
        <w:autoSpaceDN/>
        <w:bidi w:val="0"/>
        <w:snapToGrid/>
        <w:spacing w:line="560" w:lineRule="exact"/>
        <w:textAlignment w:val="auto"/>
        <w:rPr>
          <w:rFonts w:hint="eastAsia" w:ascii="宋体" w:hAnsi="宋体" w:eastAsia="宋体" w:cs="宋体"/>
          <w:color w:val="auto"/>
          <w:kern w:val="2"/>
          <w:sz w:val="24"/>
          <w:szCs w:val="24"/>
          <w:highlight w:val="none"/>
        </w:rPr>
      </w:pPr>
    </w:p>
    <w:p w14:paraId="0263A250">
      <w:pPr>
        <w:keepNext w:val="0"/>
        <w:keepLines w:val="0"/>
        <w:pageBreakBefore w:val="0"/>
        <w:kinsoku/>
        <w:wordWrap/>
        <w:overflowPunct/>
        <w:topLinePunct w:val="0"/>
        <w:autoSpaceDE/>
        <w:autoSpaceDN/>
        <w:bidi w:val="0"/>
        <w:snapToGrid/>
        <w:spacing w:line="56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乙方（盖章）：</w:t>
      </w:r>
    </w:p>
    <w:p w14:paraId="2D7DF058">
      <w:pPr>
        <w:keepNext w:val="0"/>
        <w:keepLines w:val="0"/>
        <w:pageBreakBefore w:val="0"/>
        <w:kinsoku/>
        <w:wordWrap/>
        <w:overflowPunct/>
        <w:topLinePunct w:val="0"/>
        <w:autoSpaceDE/>
        <w:autoSpaceDN/>
        <w:bidi w:val="0"/>
        <w:snapToGrid/>
        <w:spacing w:line="56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授权代表或</w:t>
      </w:r>
      <w:r>
        <w:rPr>
          <w:rFonts w:hint="eastAsia" w:ascii="宋体" w:hAnsi="宋体" w:eastAsia="宋体" w:cs="宋体"/>
          <w:color w:val="auto"/>
          <w:kern w:val="2"/>
          <w:sz w:val="24"/>
          <w:szCs w:val="24"/>
          <w:highlight w:val="none"/>
          <w:lang w:val="en-US" w:eastAsia="zh-CN"/>
        </w:rPr>
        <w:t>法定</w:t>
      </w:r>
      <w:r>
        <w:rPr>
          <w:rFonts w:hint="eastAsia" w:ascii="宋体" w:hAnsi="宋体" w:eastAsia="宋体" w:cs="宋体"/>
          <w:color w:val="auto"/>
          <w:kern w:val="2"/>
          <w:sz w:val="24"/>
          <w:szCs w:val="24"/>
          <w:highlight w:val="none"/>
        </w:rPr>
        <w:t>代表</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（签字）：</w:t>
      </w:r>
    </w:p>
    <w:p w14:paraId="341C4CAB">
      <w:pPr>
        <w:keepNext w:val="0"/>
        <w:keepLines w:val="0"/>
        <w:pageBreakBefore w:val="0"/>
        <w:kinsoku/>
        <w:wordWrap/>
        <w:overflowPunct/>
        <w:topLinePunct w:val="0"/>
        <w:autoSpaceDE/>
        <w:autoSpaceDN/>
        <w:bidi w:val="0"/>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签订日期：</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年  月   日</w:t>
      </w:r>
    </w:p>
    <w:p w14:paraId="669E9D7C">
      <w:pPr>
        <w:bidi w:val="0"/>
        <w:rPr>
          <w:rFonts w:hint="eastAsia"/>
          <w:color w:val="auto"/>
          <w:highlight w:val="none"/>
          <w:lang w:val="en-US" w:eastAsia="zh-CN"/>
        </w:rPr>
      </w:pPr>
    </w:p>
    <w:p w14:paraId="614A3701">
      <w:pPr>
        <w:rPr>
          <w:rFonts w:hint="eastAsia" w:ascii="宋体" w:hAnsi="宋体" w:eastAsia="宋体" w:cs="宋体"/>
          <w:b/>
          <w:bCs/>
          <w:color w:val="auto"/>
          <w:kern w:val="44"/>
          <w:sz w:val="36"/>
          <w:szCs w:val="36"/>
          <w:highlight w:val="none"/>
          <w:lang w:val="en-US" w:eastAsia="zh-CN" w:bidi="ar-SA"/>
        </w:rPr>
      </w:pPr>
      <w:bookmarkStart w:id="420" w:name="_Toc4770"/>
      <w:r>
        <w:rPr>
          <w:rFonts w:hint="eastAsia" w:ascii="宋体" w:hAnsi="宋体" w:eastAsia="宋体" w:cs="宋体"/>
          <w:b/>
          <w:bCs/>
          <w:color w:val="auto"/>
          <w:kern w:val="44"/>
          <w:sz w:val="36"/>
          <w:szCs w:val="36"/>
          <w:highlight w:val="none"/>
          <w:lang w:val="en-US" w:eastAsia="zh-CN" w:bidi="ar-SA"/>
        </w:rPr>
        <w:br w:type="page"/>
      </w:r>
    </w:p>
    <w:p w14:paraId="0B44E05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第七章 投标文件格式</w:t>
      </w:r>
      <w:bookmarkEnd w:id="418"/>
      <w:bookmarkEnd w:id="420"/>
    </w:p>
    <w:p w14:paraId="233B5DA4">
      <w:pPr>
        <w:ind w:left="240" w:leftChars="100" w:firstLine="480" w:firstLineChars="200"/>
        <w:rPr>
          <w:rFonts w:cs="仿宋_GB2312"/>
          <w:color w:val="auto"/>
          <w:szCs w:val="24"/>
          <w:highlight w:val="none"/>
        </w:rPr>
      </w:pPr>
    </w:p>
    <w:p w14:paraId="59CE907D">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A37E347">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A73D5C1">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713768F">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C67CC7D">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22ACBE0">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BEA2426">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52C6A97">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3658C80">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80F2074">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CD5B74D">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7F90ED8">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637007B">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AF1CD06">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E51CE74">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D8EB856">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CD4D2A3">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18AA28B">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514B6931">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F1786B2">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05AF88E1">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77BE685">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4D36592">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3B1A18D7">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E43F4F7">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28DC832B">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A7703DA">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7B2D897A">
      <w:pPr>
        <w:ind w:firstLine="480" w:firstLineChars="200"/>
        <w:rPr>
          <w:rFonts w:hint="eastAsia" w:cs="仿宋_GB2312"/>
          <w:color w:val="auto"/>
          <w:szCs w:val="24"/>
          <w:highlight w:val="none"/>
          <w:lang w:val="zh-CN"/>
        </w:rPr>
      </w:pPr>
    </w:p>
    <w:p w14:paraId="5148C8CD">
      <w:pPr>
        <w:ind w:firstLine="480" w:firstLineChars="200"/>
        <w:rPr>
          <w:rFonts w:hint="eastAsia" w:cs="仿宋_GB2312"/>
          <w:color w:val="auto"/>
          <w:szCs w:val="24"/>
          <w:highlight w:val="none"/>
          <w:lang w:val="zh-CN"/>
        </w:rPr>
      </w:pPr>
    </w:p>
    <w:p w14:paraId="606357CD">
      <w:pPr>
        <w:rPr>
          <w:rFonts w:hint="eastAsia" w:cs="仿宋_GB2312"/>
          <w:color w:val="auto"/>
          <w:szCs w:val="24"/>
          <w:highlight w:val="none"/>
          <w:lang w:val="zh-CN"/>
        </w:rPr>
      </w:pPr>
      <w:r>
        <w:rPr>
          <w:rFonts w:hint="eastAsia" w:cs="仿宋_GB2312"/>
          <w:color w:val="auto"/>
          <w:szCs w:val="24"/>
          <w:highlight w:val="none"/>
          <w:lang w:val="zh-CN"/>
        </w:rPr>
        <w:br w:type="page"/>
      </w:r>
    </w:p>
    <w:p w14:paraId="3EFBBDB0">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7DD88E1">
      <w:pPr>
        <w:autoSpaceDE w:val="0"/>
        <w:autoSpaceDN w:val="0"/>
        <w:adjustRightInd w:val="0"/>
        <w:rPr>
          <w:color w:val="auto"/>
          <w:sz w:val="21"/>
          <w:szCs w:val="24"/>
          <w:highlight w:val="none"/>
        </w:rPr>
      </w:pPr>
    </w:p>
    <w:p w14:paraId="5C0302CD">
      <w:pPr>
        <w:autoSpaceDE w:val="0"/>
        <w:autoSpaceDN w:val="0"/>
        <w:adjustRightInd w:val="0"/>
        <w:rPr>
          <w:color w:val="auto"/>
          <w:sz w:val="21"/>
          <w:szCs w:val="24"/>
          <w:highlight w:val="none"/>
        </w:rPr>
      </w:pPr>
    </w:p>
    <w:p w14:paraId="37CBBA90">
      <w:pPr>
        <w:autoSpaceDE w:val="0"/>
        <w:autoSpaceDN w:val="0"/>
        <w:adjustRightInd w:val="0"/>
        <w:jc w:val="center"/>
        <w:rPr>
          <w:color w:val="auto"/>
          <w:sz w:val="21"/>
          <w:szCs w:val="24"/>
          <w:highlight w:val="none"/>
        </w:rPr>
      </w:pPr>
    </w:p>
    <w:p w14:paraId="794CE375">
      <w:pPr>
        <w:pStyle w:val="3"/>
        <w:bidi w:val="0"/>
        <w:jc w:val="center"/>
        <w:rPr>
          <w:color w:val="auto"/>
          <w:sz w:val="84"/>
          <w:szCs w:val="84"/>
          <w:highlight w:val="none"/>
        </w:rPr>
      </w:pPr>
      <w:bookmarkStart w:id="421" w:name="_Toc29969"/>
      <w:r>
        <w:rPr>
          <w:rFonts w:hint="eastAsia"/>
          <w:color w:val="auto"/>
          <w:sz w:val="84"/>
          <w:szCs w:val="84"/>
          <w:highlight w:val="none"/>
        </w:rPr>
        <w:t>投 标 文 件</w:t>
      </w:r>
      <w:bookmarkEnd w:id="421"/>
    </w:p>
    <w:p w14:paraId="3A0B197E">
      <w:pPr>
        <w:pStyle w:val="3"/>
        <w:bidi w:val="0"/>
        <w:spacing w:before="0" w:after="0" w:line="240" w:lineRule="auto"/>
        <w:jc w:val="center"/>
        <w:rPr>
          <w:color w:val="auto"/>
          <w:sz w:val="56"/>
          <w:szCs w:val="56"/>
          <w:highlight w:val="none"/>
        </w:rPr>
      </w:pPr>
      <w:bookmarkStart w:id="422" w:name="_Toc26966"/>
      <w:r>
        <w:rPr>
          <w:rFonts w:hint="eastAsia"/>
          <w:color w:val="auto"/>
          <w:sz w:val="56"/>
          <w:szCs w:val="56"/>
          <w:highlight w:val="none"/>
        </w:rPr>
        <w:t>资格证明文件</w:t>
      </w:r>
      <w:bookmarkEnd w:id="422"/>
    </w:p>
    <w:p w14:paraId="5A85277E">
      <w:pPr>
        <w:autoSpaceDE w:val="0"/>
        <w:autoSpaceDN w:val="0"/>
        <w:adjustRightInd w:val="0"/>
        <w:rPr>
          <w:b/>
          <w:bCs/>
          <w:color w:val="auto"/>
          <w:sz w:val="22"/>
          <w:highlight w:val="none"/>
        </w:rPr>
      </w:pPr>
    </w:p>
    <w:p w14:paraId="1AED7C7E">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7A805B07">
      <w:pPr>
        <w:autoSpaceDE w:val="0"/>
        <w:autoSpaceDN w:val="0"/>
        <w:adjustRightInd w:val="0"/>
        <w:rPr>
          <w:color w:val="auto"/>
          <w:sz w:val="21"/>
          <w:szCs w:val="21"/>
          <w:highlight w:val="none"/>
        </w:rPr>
      </w:pPr>
    </w:p>
    <w:p w14:paraId="05733BE8">
      <w:pPr>
        <w:bidi w:val="0"/>
        <w:rPr>
          <w:color w:val="auto"/>
          <w:highlight w:val="none"/>
        </w:rPr>
      </w:pPr>
    </w:p>
    <w:p w14:paraId="0B19762E">
      <w:pPr>
        <w:autoSpaceDE w:val="0"/>
        <w:autoSpaceDN w:val="0"/>
        <w:adjustRightInd w:val="0"/>
        <w:rPr>
          <w:color w:val="auto"/>
          <w:sz w:val="21"/>
          <w:szCs w:val="21"/>
          <w:highlight w:val="none"/>
        </w:rPr>
      </w:pPr>
    </w:p>
    <w:p w14:paraId="1A3DBEB6">
      <w:pPr>
        <w:autoSpaceDE w:val="0"/>
        <w:autoSpaceDN w:val="0"/>
        <w:adjustRightInd w:val="0"/>
        <w:rPr>
          <w:color w:val="auto"/>
          <w:sz w:val="21"/>
          <w:szCs w:val="21"/>
          <w:highlight w:val="none"/>
        </w:rPr>
      </w:pPr>
    </w:p>
    <w:p w14:paraId="6915541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8C7579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61DBF00">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555C146">
      <w:pPr>
        <w:ind w:left="840" w:firstLine="420"/>
        <w:rPr>
          <w:b/>
          <w:bCs/>
          <w:color w:val="auto"/>
          <w:sz w:val="28"/>
          <w:szCs w:val="28"/>
          <w:highlight w:val="none"/>
        </w:rPr>
      </w:pPr>
    </w:p>
    <w:p w14:paraId="14162D0B">
      <w:pPr>
        <w:ind w:left="840" w:firstLine="420"/>
        <w:rPr>
          <w:b/>
          <w:bCs/>
          <w:color w:val="auto"/>
          <w:sz w:val="28"/>
          <w:szCs w:val="28"/>
          <w:highlight w:val="none"/>
        </w:rPr>
      </w:pPr>
    </w:p>
    <w:p w14:paraId="0B203048">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1D3BEC81">
      <w:pPr>
        <w:rPr>
          <w:color w:val="auto"/>
          <w:highlight w:val="none"/>
          <w:lang w:val="zh-CN"/>
        </w:rPr>
      </w:pPr>
      <w:r>
        <w:rPr>
          <w:color w:val="auto"/>
          <w:highlight w:val="none"/>
          <w:lang w:val="zh-CN"/>
        </w:rPr>
        <w:br w:type="page"/>
      </w:r>
    </w:p>
    <w:p w14:paraId="3AA1D2F3">
      <w:pPr>
        <w:rPr>
          <w:color w:val="auto"/>
          <w:highlight w:val="none"/>
          <w:lang w:val="zh-CN"/>
        </w:rPr>
      </w:pPr>
    </w:p>
    <w:p w14:paraId="63D2D705">
      <w:pPr>
        <w:pStyle w:val="3"/>
        <w:bidi w:val="0"/>
        <w:rPr>
          <w:rFonts w:hint="eastAsia"/>
          <w:color w:val="auto"/>
          <w:sz w:val="28"/>
          <w:szCs w:val="28"/>
          <w:highlight w:val="none"/>
          <w:lang w:val="en-US" w:eastAsia="zh-CN"/>
        </w:rPr>
      </w:pPr>
      <w:bookmarkStart w:id="423" w:name="_Toc25215"/>
      <w:bookmarkStart w:id="424" w:name="_Toc155185927"/>
      <w:r>
        <w:rPr>
          <w:rFonts w:hint="eastAsia"/>
          <w:color w:val="auto"/>
          <w:sz w:val="28"/>
          <w:szCs w:val="28"/>
          <w:highlight w:val="none"/>
          <w:lang w:val="en-US" w:eastAsia="zh-CN"/>
        </w:rPr>
        <w:t>一、满足《中华人民共和国政府采购法》第二十二条规定</w:t>
      </w:r>
      <w:bookmarkEnd w:id="423"/>
    </w:p>
    <w:bookmarkEnd w:id="424"/>
    <w:p w14:paraId="224B28B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212D0A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77D106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7F4728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76B1F6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17795B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r>
        <w:rPr>
          <w:rFonts w:hint="eastAsia" w:cs="宋体"/>
          <w:b w:val="0"/>
          <w:bCs w:val="0"/>
          <w:color w:val="auto"/>
          <w:kern w:val="0"/>
          <w:sz w:val="24"/>
          <w:szCs w:val="24"/>
          <w:highlight w:val="none"/>
          <w:lang w:val="en-US" w:eastAsia="zh-CN"/>
        </w:rPr>
        <w:t>。</w:t>
      </w:r>
    </w:p>
    <w:p w14:paraId="105351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396086CF">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p w14:paraId="6FF7466A">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heme="majorBidi"/>
          <w:b/>
          <w:bCs/>
          <w:color w:val="auto"/>
          <w:kern w:val="2"/>
          <w:sz w:val="24"/>
          <w:szCs w:val="24"/>
          <w:highlight w:val="none"/>
          <w:lang w:val="en-US" w:eastAsia="zh-CN" w:bidi="ar-SA"/>
        </w:rPr>
      </w:pPr>
      <w:bookmarkStart w:id="425" w:name="_Toc15114"/>
      <w:bookmarkStart w:id="426" w:name="_Toc23771"/>
      <w:r>
        <w:rPr>
          <w:rFonts w:hint="eastAsia" w:eastAsia="宋体" w:cstheme="majorBidi"/>
          <w:b/>
          <w:bCs/>
          <w:color w:val="auto"/>
          <w:kern w:val="2"/>
          <w:sz w:val="24"/>
          <w:szCs w:val="24"/>
          <w:highlight w:val="none"/>
          <w:lang w:val="en-US" w:eastAsia="zh-CN" w:bidi="ar-SA"/>
        </w:rPr>
        <w:t>（二）政府采购供应商</w:t>
      </w:r>
      <w:r>
        <w:rPr>
          <w:rFonts w:hint="eastAsia" w:cstheme="majorBidi"/>
          <w:b/>
          <w:bCs/>
          <w:color w:val="auto"/>
          <w:kern w:val="2"/>
          <w:sz w:val="24"/>
          <w:szCs w:val="24"/>
          <w:highlight w:val="none"/>
          <w:lang w:val="en-US" w:eastAsia="zh-CN" w:bidi="ar-SA"/>
        </w:rPr>
        <w:t>信用</w:t>
      </w:r>
      <w:r>
        <w:rPr>
          <w:rFonts w:hint="eastAsia" w:eastAsia="宋体" w:cstheme="majorBidi"/>
          <w:b/>
          <w:bCs/>
          <w:color w:val="auto"/>
          <w:kern w:val="2"/>
          <w:sz w:val="24"/>
          <w:szCs w:val="24"/>
          <w:highlight w:val="none"/>
          <w:lang w:val="en-US" w:eastAsia="zh-CN" w:bidi="ar-SA"/>
        </w:rPr>
        <w:t>承诺函</w:t>
      </w:r>
      <w:bookmarkEnd w:id="425"/>
      <w:bookmarkEnd w:id="426"/>
    </w:p>
    <w:p w14:paraId="4378FEB6">
      <w:pPr>
        <w:spacing w:line="56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单位名称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自然人姓名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585B2C68">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统一社会信用代码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身份证号码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666839DF">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负责人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37B8F713">
      <w:pPr>
        <w:spacing w:line="560" w:lineRule="exact"/>
        <w:ind w:firstLine="480" w:firstLineChars="200"/>
        <w:rPr>
          <w:rFonts w:hint="eastAsia" w:ascii="宋体" w:hAnsi="宋体" w:eastAsia="宋体" w:cs="宋体"/>
          <w:color w:val="auto"/>
          <w:kern w:val="0"/>
          <w:sz w:val="24"/>
          <w:szCs w:val="24"/>
          <w:highlight w:val="none"/>
        </w:rPr>
      </w:pPr>
    </w:p>
    <w:p w14:paraId="128433CD">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27F53179">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符合《中华人民共和国政府采购法》第二十二条规定：</w:t>
      </w:r>
    </w:p>
    <w:p w14:paraId="6F4ADBC6">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一</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具有独立承担民事责任的能力</w:t>
      </w:r>
      <w:r>
        <w:rPr>
          <w:rFonts w:hint="eastAsia" w:cs="宋体"/>
          <w:color w:val="auto"/>
          <w:kern w:val="0"/>
          <w:sz w:val="24"/>
          <w:szCs w:val="24"/>
          <w:highlight w:val="none"/>
          <w:lang w:eastAsia="zh-CN"/>
        </w:rPr>
        <w:t>；</w:t>
      </w:r>
    </w:p>
    <w:p w14:paraId="3DD43C9C">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具有良好的商业信誉和健全的财务会计制度</w:t>
      </w:r>
      <w:r>
        <w:rPr>
          <w:rFonts w:hint="eastAsia" w:cs="宋体"/>
          <w:color w:val="auto"/>
          <w:kern w:val="0"/>
          <w:sz w:val="24"/>
          <w:szCs w:val="24"/>
          <w:highlight w:val="none"/>
          <w:lang w:eastAsia="zh-CN"/>
        </w:rPr>
        <w:t>；</w:t>
      </w:r>
    </w:p>
    <w:p w14:paraId="5713179C">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（三）</w:t>
      </w:r>
      <w:r>
        <w:rPr>
          <w:rFonts w:hint="eastAsia" w:ascii="宋体" w:hAnsi="宋体" w:eastAsia="宋体" w:cs="宋体"/>
          <w:color w:val="auto"/>
          <w:kern w:val="0"/>
          <w:sz w:val="24"/>
          <w:szCs w:val="24"/>
          <w:highlight w:val="none"/>
        </w:rPr>
        <w:t>具有履行合同所必需的设备和专业技术能力</w:t>
      </w:r>
      <w:r>
        <w:rPr>
          <w:rFonts w:hint="eastAsia" w:cs="宋体"/>
          <w:color w:val="auto"/>
          <w:kern w:val="0"/>
          <w:sz w:val="24"/>
          <w:szCs w:val="24"/>
          <w:highlight w:val="none"/>
          <w:lang w:eastAsia="zh-CN"/>
        </w:rPr>
        <w:t>；</w:t>
      </w:r>
    </w:p>
    <w:p w14:paraId="744F3B75">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（四）</w:t>
      </w:r>
      <w:r>
        <w:rPr>
          <w:rFonts w:hint="eastAsia" w:ascii="宋体" w:hAnsi="宋体" w:eastAsia="宋体" w:cs="宋体"/>
          <w:color w:val="auto"/>
          <w:kern w:val="0"/>
          <w:sz w:val="24"/>
          <w:szCs w:val="24"/>
          <w:highlight w:val="none"/>
        </w:rPr>
        <w:t>有依法缴纳税收和社会保障资金的良好记录</w:t>
      </w:r>
      <w:r>
        <w:rPr>
          <w:rFonts w:hint="eastAsia" w:cs="宋体"/>
          <w:color w:val="auto"/>
          <w:kern w:val="0"/>
          <w:sz w:val="24"/>
          <w:szCs w:val="24"/>
          <w:highlight w:val="none"/>
          <w:lang w:eastAsia="zh-CN"/>
        </w:rPr>
        <w:t>；</w:t>
      </w:r>
    </w:p>
    <w:p w14:paraId="6C4E3DF4">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（五）</w:t>
      </w:r>
      <w:r>
        <w:rPr>
          <w:rFonts w:hint="eastAsia" w:ascii="宋体" w:hAnsi="宋体" w:eastAsia="宋体" w:cs="宋体"/>
          <w:color w:val="auto"/>
          <w:kern w:val="0"/>
          <w:sz w:val="24"/>
          <w:szCs w:val="24"/>
          <w:highlight w:val="none"/>
        </w:rPr>
        <w:t>参加政府采购活动前三年内，在经营活动中没有重大违法记录</w:t>
      </w:r>
      <w:r>
        <w:rPr>
          <w:rFonts w:hint="eastAsia" w:cs="宋体"/>
          <w:color w:val="auto"/>
          <w:kern w:val="0"/>
          <w:sz w:val="24"/>
          <w:szCs w:val="24"/>
          <w:highlight w:val="none"/>
          <w:lang w:eastAsia="zh-CN"/>
        </w:rPr>
        <w:t>；</w:t>
      </w:r>
    </w:p>
    <w:p w14:paraId="25C48883">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（六）</w:t>
      </w:r>
      <w:r>
        <w:rPr>
          <w:rFonts w:hint="eastAsia" w:ascii="宋体" w:hAnsi="宋体" w:eastAsia="宋体" w:cs="宋体"/>
          <w:color w:val="auto"/>
          <w:kern w:val="0"/>
          <w:sz w:val="24"/>
          <w:szCs w:val="24"/>
          <w:highlight w:val="none"/>
        </w:rPr>
        <w:t>符合法律、行政法规规定的其他条件。</w:t>
      </w:r>
    </w:p>
    <w:p w14:paraId="49A96DD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二、我单位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未被列入严重违法失信名单、失信被执行人</w:t>
      </w:r>
      <w:r>
        <w:rPr>
          <w:rFonts w:hint="eastAsia" w:ascii="宋体" w:hAnsi="宋体" w:eastAsia="宋体" w:cs="宋体"/>
          <w:color w:val="auto"/>
          <w:kern w:val="0"/>
          <w:sz w:val="24"/>
          <w:szCs w:val="24"/>
          <w:highlight w:val="none"/>
          <w:lang w:eastAsia="zh-CN"/>
        </w:rPr>
        <w:t>名单</w:t>
      </w:r>
      <w:r>
        <w:rPr>
          <w:rFonts w:hint="eastAsia" w:ascii="宋体" w:hAnsi="宋体" w:eastAsia="宋体" w:cs="宋体"/>
          <w:color w:val="auto"/>
          <w:kern w:val="0"/>
          <w:sz w:val="24"/>
          <w:szCs w:val="24"/>
          <w:highlight w:val="none"/>
        </w:rPr>
        <w:t>、重大税收违法失信主体、政府采购严重违法失信行为记录名</w:t>
      </w:r>
      <w:r>
        <w:rPr>
          <w:rFonts w:hint="eastAsia" w:ascii="宋体" w:hAnsi="宋体" w:eastAsia="宋体" w:cs="宋体"/>
          <w:color w:val="auto"/>
          <w:kern w:val="0"/>
          <w:sz w:val="24"/>
          <w:szCs w:val="24"/>
          <w:highlight w:val="none"/>
          <w:lang w:eastAsia="zh-CN"/>
        </w:rPr>
        <w:t>单</w:t>
      </w:r>
      <w:r>
        <w:rPr>
          <w:rFonts w:hint="eastAsia" w:ascii="宋体" w:hAnsi="宋体" w:eastAsia="宋体" w:cs="宋体"/>
          <w:color w:val="auto"/>
          <w:kern w:val="0"/>
          <w:sz w:val="24"/>
          <w:szCs w:val="24"/>
          <w:highlight w:val="none"/>
        </w:rPr>
        <w:t>。</w:t>
      </w:r>
    </w:p>
    <w:p w14:paraId="324B3E92">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三、如果本公司（本人）有幸中标（成交），在合同签订之前，采购单位有权要求本公司（本人）提供资格证明材料原件进行核验。</w:t>
      </w:r>
    </w:p>
    <w:p w14:paraId="0648154F">
      <w:pPr>
        <w:spacing w:line="56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四、我单位</w:t>
      </w:r>
      <w:r>
        <w:rPr>
          <w:rFonts w:hint="eastAsia" w:ascii="宋体" w:hAnsi="宋体" w:eastAsia="宋体" w:cs="宋体"/>
          <w:color w:val="auto"/>
          <w:kern w:val="0"/>
          <w:sz w:val="24"/>
          <w:szCs w:val="24"/>
          <w:highlight w:val="none"/>
          <w:lang w:eastAsia="zh-CN"/>
        </w:rPr>
        <w:t>（本人）</w:t>
      </w:r>
      <w:r>
        <w:rPr>
          <w:rFonts w:hint="eastAsia" w:ascii="宋体" w:hAnsi="宋体" w:eastAsia="宋体" w:cs="宋体"/>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ascii="宋体" w:hAnsi="宋体" w:eastAsia="宋体" w:cs="宋体"/>
          <w:color w:val="auto"/>
          <w:kern w:val="0"/>
          <w:sz w:val="24"/>
          <w:szCs w:val="24"/>
          <w:highlight w:val="none"/>
        </w:rPr>
        <w:t>第七十</w:t>
      </w:r>
      <w:r>
        <w:rPr>
          <w:rFonts w:hint="eastAsia" w:cs="宋体"/>
          <w:color w:val="auto"/>
          <w:kern w:val="0"/>
          <w:sz w:val="24"/>
          <w:szCs w:val="24"/>
          <w:highlight w:val="none"/>
          <w:lang w:eastAsia="zh-CN"/>
        </w:rPr>
        <w:t>七条</w:t>
      </w:r>
      <w:r>
        <w:rPr>
          <w:rFonts w:hint="eastAsia" w:ascii="宋体" w:hAnsi="宋体" w:eastAsia="宋体" w:cs="宋体"/>
          <w:color w:val="auto"/>
          <w:kern w:val="0"/>
          <w:sz w:val="24"/>
          <w:szCs w:val="24"/>
          <w:highlight w:val="none"/>
        </w:rPr>
        <w:t>、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5E189993">
      <w:pPr>
        <w:spacing w:line="560" w:lineRule="exact"/>
        <w:rPr>
          <w:rFonts w:hint="eastAsia" w:ascii="宋体" w:hAnsi="宋体" w:eastAsia="宋体" w:cs="宋体"/>
          <w:color w:val="auto"/>
          <w:kern w:val="0"/>
          <w:sz w:val="24"/>
          <w:szCs w:val="24"/>
          <w:highlight w:val="none"/>
        </w:rPr>
      </w:pPr>
    </w:p>
    <w:p w14:paraId="0CDC8537">
      <w:pPr>
        <w:spacing w:line="560" w:lineRule="exact"/>
        <w:rPr>
          <w:rFonts w:hint="eastAsia" w:ascii="宋体" w:hAnsi="宋体" w:eastAsia="宋体" w:cs="宋体"/>
          <w:color w:val="auto"/>
          <w:kern w:val="0"/>
          <w:sz w:val="24"/>
          <w:szCs w:val="24"/>
          <w:highlight w:val="none"/>
        </w:rPr>
      </w:pPr>
    </w:p>
    <w:p w14:paraId="6E816328">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w:t>
      </w:r>
      <w:r>
        <w:rPr>
          <w:rFonts w:hint="eastAsia" w:cs="宋体"/>
          <w:color w:val="auto"/>
          <w:kern w:val="0"/>
          <w:sz w:val="24"/>
          <w:szCs w:val="24"/>
          <w:highlight w:val="none"/>
          <w:lang w:val="en-US" w:eastAsia="zh-CN"/>
        </w:rPr>
        <w:t>名称</w:t>
      </w:r>
      <w:r>
        <w:rPr>
          <w:rFonts w:hint="eastAsia" w:ascii="宋体" w:hAnsi="宋体" w:eastAsia="宋体" w:cs="宋体"/>
          <w:color w:val="auto"/>
          <w:kern w:val="0"/>
          <w:sz w:val="24"/>
          <w:szCs w:val="24"/>
          <w:highlight w:val="none"/>
          <w:lang w:eastAsia="zh-CN"/>
        </w:rPr>
        <w:t>（</w:t>
      </w:r>
      <w:r>
        <w:rPr>
          <w:rFonts w:hint="eastAsia" w:cs="宋体"/>
          <w:color w:val="auto"/>
          <w:kern w:val="0"/>
          <w:sz w:val="24"/>
          <w:szCs w:val="24"/>
          <w:highlight w:val="none"/>
          <w:lang w:eastAsia="zh-CN"/>
        </w:rPr>
        <w:t>公章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705C0B00">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w:t>
      </w:r>
      <w:r>
        <w:rPr>
          <w:rFonts w:hint="eastAsia" w:cs="宋体"/>
          <w:color w:val="auto"/>
          <w:kern w:val="0"/>
          <w:sz w:val="24"/>
          <w:szCs w:val="24"/>
          <w:highlight w:val="none"/>
          <w:lang w:eastAsia="zh-CN"/>
        </w:rPr>
        <w:t>（</w:t>
      </w:r>
      <w:r>
        <w:rPr>
          <w:rFonts w:hint="eastAsia"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rPr>
        <w:t>负责人</w:t>
      </w:r>
      <w:r>
        <w:rPr>
          <w:rFonts w:hint="eastAsia" w:cs="宋体"/>
          <w:color w:val="auto"/>
          <w:kern w:val="0"/>
          <w:sz w:val="24"/>
          <w:szCs w:val="24"/>
          <w:highlight w:val="none"/>
          <w:lang w:eastAsia="zh-CN"/>
        </w:rPr>
        <w:t>或</w:t>
      </w:r>
      <w:r>
        <w:rPr>
          <w:rFonts w:hint="eastAsia" w:ascii="宋体" w:hAnsi="宋体" w:eastAsia="宋体" w:cs="宋体"/>
          <w:color w:val="auto"/>
          <w:kern w:val="0"/>
          <w:sz w:val="24"/>
          <w:szCs w:val="24"/>
          <w:highlight w:val="none"/>
        </w:rPr>
        <w:t>本人</w:t>
      </w:r>
      <w:r>
        <w:rPr>
          <w:rFonts w:hint="eastAsia" w:cs="宋体"/>
          <w:color w:val="auto"/>
          <w:kern w:val="0"/>
          <w:sz w:val="24"/>
          <w:szCs w:val="24"/>
          <w:highlight w:val="none"/>
          <w:lang w:eastAsia="zh-CN"/>
        </w:rPr>
        <w:t>或</w:t>
      </w:r>
      <w:r>
        <w:rPr>
          <w:rFonts w:hint="eastAsia" w:ascii="宋体" w:hAnsi="宋体" w:eastAsia="宋体" w:cs="宋体"/>
          <w:color w:val="auto"/>
          <w:kern w:val="0"/>
          <w:sz w:val="24"/>
          <w:szCs w:val="24"/>
          <w:highlight w:val="none"/>
        </w:rPr>
        <w:t>授权代表</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771DB04B">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71236054">
      <w:pPr>
        <w:widowControl/>
        <w:spacing w:line="560" w:lineRule="exact"/>
        <w:ind w:firstLine="630"/>
        <w:jc w:val="left"/>
        <w:rPr>
          <w:rFonts w:hint="eastAsia" w:ascii="宋体" w:hAnsi="宋体" w:eastAsia="宋体" w:cs="宋体"/>
          <w:color w:val="auto"/>
          <w:kern w:val="0"/>
          <w:sz w:val="24"/>
          <w:szCs w:val="24"/>
          <w:highlight w:val="none"/>
        </w:rPr>
      </w:pPr>
    </w:p>
    <w:p w14:paraId="7A4495B2">
      <w:pPr>
        <w:rPr>
          <w:rFonts w:ascii="Arial" w:hAnsi="Arial" w:cs="Arial"/>
          <w:color w:val="auto"/>
          <w:szCs w:val="21"/>
          <w:highlight w:val="none"/>
        </w:rPr>
      </w:pPr>
      <w:r>
        <w:rPr>
          <w:rFonts w:ascii="Arial" w:hAnsi="Arial" w:cs="Arial"/>
          <w:color w:val="auto"/>
          <w:szCs w:val="21"/>
          <w:highlight w:val="none"/>
        </w:rPr>
        <w:br w:type="page"/>
      </w:r>
    </w:p>
    <w:p w14:paraId="38347367">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imes New Roman"/>
          <w:b/>
          <w:bCs/>
          <w:color w:val="auto"/>
          <w:kern w:val="2"/>
          <w:sz w:val="24"/>
          <w:szCs w:val="24"/>
          <w:highlight w:val="none"/>
          <w:lang w:val="en-US" w:eastAsia="zh-CN" w:bidi="ar-SA"/>
        </w:rPr>
      </w:pPr>
      <w:r>
        <w:rPr>
          <w:rFonts w:hint="eastAsia" w:eastAsia="宋体" w:cs="Times New Roman"/>
          <w:b/>
          <w:bCs/>
          <w:color w:val="auto"/>
          <w:kern w:val="2"/>
          <w:sz w:val="24"/>
          <w:szCs w:val="24"/>
          <w:highlight w:val="none"/>
          <w:lang w:val="en-US" w:eastAsia="zh-CN" w:bidi="ar-SA"/>
        </w:rPr>
        <w:t>（</w:t>
      </w:r>
      <w:r>
        <w:rPr>
          <w:rFonts w:hint="eastAsia" w:cs="Times New Roman"/>
          <w:b/>
          <w:bCs/>
          <w:color w:val="auto"/>
          <w:kern w:val="2"/>
          <w:sz w:val="24"/>
          <w:szCs w:val="24"/>
          <w:highlight w:val="none"/>
          <w:lang w:val="en-US" w:eastAsia="zh-CN" w:bidi="ar-SA"/>
        </w:rPr>
        <w:t>三</w:t>
      </w:r>
      <w:r>
        <w:rPr>
          <w:rFonts w:hint="eastAsia" w:eastAsia="宋体" w:cs="Times New Roman"/>
          <w:b/>
          <w:bCs/>
          <w:color w:val="auto"/>
          <w:kern w:val="2"/>
          <w:sz w:val="24"/>
          <w:szCs w:val="24"/>
          <w:highlight w:val="none"/>
          <w:lang w:val="en-US" w:eastAsia="zh-CN" w:bidi="ar-SA"/>
        </w:rPr>
        <w:t xml:space="preserve">）无限制情形的承诺函 </w:t>
      </w:r>
    </w:p>
    <w:p w14:paraId="64890DE4">
      <w:pPr>
        <w:snapToGrid w:val="0"/>
        <w:spacing w:line="360" w:lineRule="auto"/>
        <w:jc w:val="center"/>
        <w:outlineLvl w:val="0"/>
        <w:rPr>
          <w:rFonts w:hint="eastAsia" w:ascii="宋体" w:hAnsi="宋体" w:eastAsia="宋体" w:cs="宋体"/>
          <w:b/>
          <w:bCs/>
          <w:color w:val="auto"/>
          <w:kern w:val="0"/>
          <w:sz w:val="28"/>
          <w:szCs w:val="28"/>
          <w:highlight w:val="none"/>
          <w:lang w:val="en-US" w:eastAsia="zh-CN" w:bidi="ar"/>
        </w:rPr>
      </w:pPr>
    </w:p>
    <w:p w14:paraId="135FF7ED">
      <w:pPr>
        <w:snapToGrid w:val="0"/>
        <w:spacing w:line="360" w:lineRule="auto"/>
        <w:jc w:val="center"/>
        <w:outlineLvl w:val="0"/>
        <w:rPr>
          <w:color w:val="auto"/>
          <w:highlight w:val="none"/>
        </w:rPr>
      </w:pPr>
      <w:r>
        <w:rPr>
          <w:rFonts w:hint="eastAsia" w:ascii="宋体" w:hAnsi="宋体" w:eastAsia="宋体" w:cs="宋体"/>
          <w:b/>
          <w:bCs/>
          <w:color w:val="auto"/>
          <w:kern w:val="0"/>
          <w:sz w:val="28"/>
          <w:szCs w:val="28"/>
          <w:highlight w:val="none"/>
          <w:lang w:val="en-US" w:eastAsia="zh-CN" w:bidi="ar"/>
        </w:rPr>
        <w:t xml:space="preserve">无限制情形的承诺函 </w:t>
      </w:r>
    </w:p>
    <w:p w14:paraId="708A58CF">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 xml:space="preserve">供应商限制情形：法定代表人或者负责人为同一人或者存在控股、管理关系的两个以上供应商，不得参加同一项目的投标；除单一来源采购项目外，为采购项目提供整体设计、规范编制或者项目管理、监理、检测等服务的供应商，不得再参加该采购项目的其他采购活动。 </w:t>
      </w:r>
    </w:p>
    <w:p w14:paraId="6F8BBA48">
      <w:pPr>
        <w:snapToGrid w:val="0"/>
        <w:spacing w:line="360" w:lineRule="auto"/>
        <w:ind w:firstLine="576"/>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 xml:space="preserve">我公司承诺，无上述限制情形。如有虚假，将依法承担相应责任。 </w:t>
      </w:r>
    </w:p>
    <w:p w14:paraId="076DCF3D">
      <w:pPr>
        <w:pStyle w:val="10"/>
        <w:rPr>
          <w:rFonts w:hint="eastAsia" w:ascii="宋体" w:hAnsi="宋体" w:eastAsia="宋体" w:cs="宋体"/>
          <w:color w:val="auto"/>
          <w:kern w:val="0"/>
          <w:sz w:val="24"/>
          <w:highlight w:val="none"/>
          <w:lang w:val="en-US" w:eastAsia="zh-CN"/>
        </w:rPr>
      </w:pPr>
    </w:p>
    <w:p w14:paraId="00941351">
      <w:pPr>
        <w:pStyle w:val="10"/>
        <w:rPr>
          <w:rFonts w:hint="eastAsia" w:ascii="宋体" w:hAnsi="宋体" w:eastAsia="宋体" w:cs="宋体"/>
          <w:color w:val="auto"/>
          <w:kern w:val="0"/>
          <w:sz w:val="24"/>
          <w:highlight w:val="none"/>
          <w:lang w:val="zh-CN" w:eastAsia="zh-CN"/>
        </w:rPr>
      </w:pPr>
    </w:p>
    <w:p w14:paraId="7120FBDC">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供应商名称：（加盖公章） </w:t>
      </w:r>
    </w:p>
    <w:p w14:paraId="4071439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法定代表人或其授权委托人（签字或盖章）： </w:t>
      </w:r>
    </w:p>
    <w:p w14:paraId="41DE447E">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   期：</w:t>
      </w:r>
    </w:p>
    <w:p w14:paraId="1DD84A8F">
      <w:pPr>
        <w:rPr>
          <w:rFonts w:ascii="Arial" w:hAnsi="Arial" w:cs="Arial"/>
          <w:color w:val="auto"/>
          <w:szCs w:val="21"/>
          <w:highlight w:val="none"/>
        </w:rPr>
      </w:pPr>
      <w:r>
        <w:rPr>
          <w:rFonts w:ascii="Arial" w:hAnsi="Arial" w:cs="Arial"/>
          <w:color w:val="auto"/>
          <w:szCs w:val="21"/>
          <w:highlight w:val="none"/>
        </w:rPr>
        <w:br w:type="page"/>
      </w:r>
    </w:p>
    <w:p w14:paraId="6A8F80D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427" w:name="_Toc109899498"/>
      <w:bookmarkStart w:id="428" w:name="_Toc155185930"/>
      <w:bookmarkStart w:id="429" w:name="_Toc109900336"/>
      <w:bookmarkStart w:id="430" w:name="_Toc163492923"/>
      <w:bookmarkStart w:id="431" w:name="_Toc140132840"/>
      <w:bookmarkStart w:id="432" w:name="_Toc109899917"/>
      <w:bookmarkStart w:id="433" w:name="_Toc21383"/>
      <w:r>
        <w:rPr>
          <w:rFonts w:hint="eastAsia" w:cstheme="majorBidi"/>
          <w:b/>
          <w:bCs/>
          <w:color w:val="auto"/>
          <w:kern w:val="2"/>
          <w:sz w:val="28"/>
          <w:szCs w:val="28"/>
          <w:highlight w:val="none"/>
          <w:lang w:val="en-US" w:eastAsia="zh-CN" w:bidi="ar-SA"/>
        </w:rPr>
        <w:t>二</w:t>
      </w:r>
      <w:r>
        <w:rPr>
          <w:rFonts w:hint="eastAsia" w:eastAsia="宋体" w:asciiTheme="majorHAnsi" w:hAnsiTheme="majorHAnsi" w:cstheme="majorBidi"/>
          <w:b/>
          <w:bCs/>
          <w:color w:val="auto"/>
          <w:kern w:val="2"/>
          <w:sz w:val="28"/>
          <w:szCs w:val="28"/>
          <w:highlight w:val="none"/>
          <w:lang w:val="en-US" w:eastAsia="zh-CN" w:bidi="ar-SA"/>
        </w:rPr>
        <w:t>、</w:t>
      </w:r>
      <w:bookmarkEnd w:id="427"/>
      <w:bookmarkEnd w:id="428"/>
      <w:bookmarkEnd w:id="429"/>
      <w:bookmarkEnd w:id="430"/>
      <w:bookmarkEnd w:id="431"/>
      <w:bookmarkEnd w:id="432"/>
      <w:bookmarkStart w:id="434" w:name="_Toc155185931"/>
      <w:r>
        <w:rPr>
          <w:rFonts w:hint="eastAsia" w:eastAsia="宋体" w:asciiTheme="majorHAnsi" w:hAnsiTheme="majorHAnsi" w:cstheme="majorBidi"/>
          <w:b/>
          <w:bCs/>
          <w:color w:val="auto"/>
          <w:kern w:val="2"/>
          <w:sz w:val="28"/>
          <w:szCs w:val="28"/>
          <w:highlight w:val="none"/>
          <w:lang w:val="zh-CN" w:eastAsia="zh-CN" w:bidi="ar-SA"/>
        </w:rPr>
        <w:t>联合体协议书</w:t>
      </w:r>
      <w:bookmarkEnd w:id="434"/>
      <w:r>
        <w:rPr>
          <w:rFonts w:hint="eastAsia" w:ascii="宋体" w:hAnsi="宋体" w:eastAsia="宋体" w:cstheme="minorBidi"/>
          <w:b w:val="0"/>
          <w:bCs w:val="0"/>
          <w:color w:val="auto"/>
          <w:kern w:val="2"/>
          <w:sz w:val="28"/>
          <w:szCs w:val="28"/>
          <w:highlight w:val="none"/>
          <w:lang w:val="zh-CN" w:eastAsia="zh-CN" w:bidi="ar-SA"/>
        </w:rPr>
        <w:t>【如适用】</w:t>
      </w:r>
      <w:bookmarkEnd w:id="433"/>
    </w:p>
    <w:p w14:paraId="6B366F46">
      <w:pPr>
        <w:bidi w:val="0"/>
        <w:rPr>
          <w:rFonts w:hint="eastAsia"/>
          <w:color w:val="auto"/>
          <w:highlight w:val="none"/>
        </w:rPr>
      </w:pPr>
    </w:p>
    <w:p w14:paraId="5BF08DE9">
      <w:pPr>
        <w:snapToGrid w:val="0"/>
        <w:spacing w:line="360" w:lineRule="auto"/>
        <w:jc w:val="center"/>
        <w:outlineLvl w:val="0"/>
        <w:rPr>
          <w:rFonts w:hint="eastAsia" w:ascii="宋体" w:hAnsi="宋体" w:cs="宋体"/>
          <w:b/>
          <w:color w:val="auto"/>
          <w:kern w:val="0"/>
          <w:sz w:val="32"/>
          <w:szCs w:val="32"/>
          <w:highlight w:val="none"/>
        </w:rPr>
      </w:pPr>
      <w:bookmarkStart w:id="435" w:name="_Toc6437"/>
      <w:bookmarkStart w:id="436" w:name="_Toc631"/>
      <w:r>
        <w:rPr>
          <w:rFonts w:hint="eastAsia" w:ascii="宋体" w:hAnsi="宋体" w:cs="宋体"/>
          <w:b/>
          <w:color w:val="auto"/>
          <w:kern w:val="0"/>
          <w:sz w:val="32"/>
          <w:szCs w:val="32"/>
          <w:highlight w:val="none"/>
        </w:rPr>
        <w:t>联合体协议书</w:t>
      </w:r>
      <w:bookmarkEnd w:id="435"/>
      <w:bookmarkEnd w:id="436"/>
    </w:p>
    <w:p w14:paraId="70A61332">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4FC1804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16053C0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39E115C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w:t>
      </w:r>
      <w:r>
        <w:rPr>
          <w:rFonts w:hint="eastAsia" w:cs="宋体"/>
          <w:color w:val="auto"/>
          <w:kern w:val="0"/>
          <w:sz w:val="24"/>
          <w:highlight w:val="none"/>
          <w:lang w:val="zh-CN"/>
        </w:rPr>
        <w:t>响应</w:t>
      </w:r>
      <w:r>
        <w:rPr>
          <w:rFonts w:hint="eastAsia" w:ascii="宋体" w:hAnsi="宋体" w:cs="宋体"/>
          <w:color w:val="auto"/>
          <w:kern w:val="0"/>
          <w:sz w:val="24"/>
          <w:highlight w:val="none"/>
          <w:lang w:val="zh-CN"/>
        </w:rPr>
        <w:t>等均对联合投标各方产生约束力。</w:t>
      </w:r>
    </w:p>
    <w:p w14:paraId="17C526E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096B4561">
      <w:pPr>
        <w:snapToGrid w:val="0"/>
        <w:spacing w:line="360" w:lineRule="auto"/>
        <w:ind w:firstLine="576"/>
        <w:rPr>
          <w:rFonts w:ascii="宋体" w:hAnsi="宋体" w:cs="宋体"/>
          <w:color w:val="auto"/>
          <w:kern w:val="0"/>
          <w:sz w:val="24"/>
          <w:highlight w:val="none"/>
          <w:lang w:val="zh-CN"/>
        </w:rPr>
      </w:pPr>
      <w:bookmarkStart w:id="437"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79F2726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3AB5A9A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437"/>
    <w:p w14:paraId="7626C7D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253586F5">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w:t>
      </w:r>
      <w:r>
        <w:rPr>
          <w:rFonts w:hint="eastAsia" w:cs="宋体"/>
          <w:color w:val="auto"/>
          <w:kern w:val="0"/>
          <w:sz w:val="24"/>
          <w:highlight w:val="none"/>
          <w:lang w:val="en-US" w:eastAsia="zh-CN"/>
        </w:rPr>
        <w:t>服务及</w:t>
      </w:r>
      <w:r>
        <w:rPr>
          <w:rFonts w:hint="eastAsia" w:ascii="宋体" w:hAnsi="宋体" w:cs="宋体"/>
          <w:color w:val="auto"/>
          <w:kern w:val="0"/>
          <w:sz w:val="24"/>
          <w:highlight w:val="none"/>
        </w:rPr>
        <w:t>货物由小微企业</w:t>
      </w:r>
      <w:r>
        <w:rPr>
          <w:rFonts w:hint="eastAsia" w:cs="宋体"/>
          <w:color w:val="auto"/>
          <w:kern w:val="0"/>
          <w:sz w:val="24"/>
          <w:highlight w:val="none"/>
          <w:lang w:val="en-US" w:eastAsia="zh-CN"/>
        </w:rPr>
        <w:t>提供和</w:t>
      </w:r>
      <w:r>
        <w:rPr>
          <w:rFonts w:hint="eastAsia" w:ascii="宋体" w:hAnsi="宋体" w:cs="宋体"/>
          <w:color w:val="auto"/>
          <w:kern w:val="0"/>
          <w:sz w:val="24"/>
          <w:highlight w:val="none"/>
        </w:rPr>
        <w:t>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7ACA423A">
      <w:pPr>
        <w:snapToGrid w:val="0"/>
        <w:spacing w:line="360" w:lineRule="auto"/>
        <w:ind w:firstLine="576"/>
        <w:rPr>
          <w:rFonts w:ascii="宋体" w:hAnsi="宋体" w:cs="宋体"/>
          <w:color w:val="auto"/>
          <w:kern w:val="0"/>
          <w:sz w:val="24"/>
          <w:highlight w:val="none"/>
          <w:lang w:val="zh-CN"/>
        </w:rPr>
      </w:pPr>
      <w:r>
        <w:rPr>
          <w:rFonts w:hint="eastAsia" w:cs="宋体"/>
          <w:color w:val="auto"/>
          <w:sz w:val="24"/>
          <w:highlight w:val="none"/>
          <w:lang w:eastAsia="zh-CN"/>
        </w:rPr>
        <w:t>2.</w:t>
      </w: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2D7CE2F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7309342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45F41F32">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1.</w:t>
      </w:r>
      <w:r>
        <w:rPr>
          <w:rFonts w:hint="eastAsia" w:ascii="宋体" w:hAnsi="宋体" w:cs="宋体"/>
          <w:color w:val="auto"/>
          <w:kern w:val="0"/>
          <w:sz w:val="24"/>
          <w:highlight w:val="none"/>
          <w:lang w:val="zh-CN"/>
        </w:rPr>
        <w:t>联合体各方不再单独参加或者与其他供应商另外组成联合体参加同一合同项下的政府采购活动。</w:t>
      </w:r>
    </w:p>
    <w:p w14:paraId="50A11D6F">
      <w:pPr>
        <w:snapToGrid w:val="0"/>
        <w:spacing w:line="360" w:lineRule="auto"/>
        <w:ind w:firstLine="576"/>
        <w:rPr>
          <w:rFonts w:ascii="宋体" w:hAnsi="宋体" w:cs="宋体"/>
          <w:color w:val="auto"/>
          <w:kern w:val="0"/>
          <w:sz w:val="24"/>
          <w:highlight w:val="none"/>
          <w:lang w:val="zh-CN"/>
        </w:rPr>
      </w:pPr>
      <w:r>
        <w:rPr>
          <w:rFonts w:hint="eastAsia" w:cs="宋体"/>
          <w:color w:val="auto"/>
          <w:kern w:val="0"/>
          <w:sz w:val="24"/>
          <w:highlight w:val="none"/>
          <w:lang w:val="zh-CN"/>
        </w:rPr>
        <w:t>2.</w:t>
      </w:r>
      <w:r>
        <w:rPr>
          <w:rFonts w:hint="eastAsia" w:ascii="宋体" w:hAnsi="宋体" w:cs="宋体"/>
          <w:color w:val="auto"/>
          <w:kern w:val="0"/>
          <w:sz w:val="24"/>
          <w:highlight w:val="none"/>
          <w:lang w:val="zh-CN"/>
        </w:rPr>
        <w:t>联合体中有同类资质的各方按照联合体分工承担相同工作的，按照资质等级较低的供应商确定资质等级。</w:t>
      </w:r>
    </w:p>
    <w:p w14:paraId="6F788B7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zh-CN"/>
        </w:rPr>
        <w:t>3.</w:t>
      </w:r>
      <w:r>
        <w:rPr>
          <w:rFonts w:hint="eastAsia" w:ascii="宋体" w:hAnsi="宋体" w:cs="宋体"/>
          <w:color w:val="auto"/>
          <w:kern w:val="0"/>
          <w:sz w:val="24"/>
          <w:highlight w:val="none"/>
          <w:lang w:val="zh-CN"/>
        </w:rPr>
        <w:t>本协议提交采购人、采购代理机构后，联合体各方不得以任何形式对上述内容进行修改或撤销。</w:t>
      </w:r>
    </w:p>
    <w:p w14:paraId="44316F66">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358BFE71">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0806E4D6">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75DB94C7">
      <w:pPr>
        <w:snapToGrid w:val="0"/>
        <w:spacing w:line="360" w:lineRule="auto"/>
        <w:ind w:firstLine="576"/>
        <w:rPr>
          <w:rFonts w:hint="eastAsia" w:ascii="宋体" w:hAnsi="宋体" w:cs="宋体"/>
          <w:color w:val="auto"/>
          <w:kern w:val="0"/>
          <w:sz w:val="24"/>
          <w:highlight w:val="none"/>
          <w:lang w:val="zh-CN"/>
        </w:rPr>
      </w:pPr>
    </w:p>
    <w:p w14:paraId="1797DBDC">
      <w:pPr>
        <w:snapToGrid w:val="0"/>
        <w:spacing w:line="360" w:lineRule="auto"/>
        <w:ind w:firstLine="576"/>
        <w:rPr>
          <w:rFonts w:hint="eastAsia" w:ascii="宋体" w:hAnsi="宋体" w:cs="宋体"/>
          <w:color w:val="auto"/>
          <w:kern w:val="0"/>
          <w:sz w:val="24"/>
          <w:highlight w:val="none"/>
          <w:lang w:val="zh-CN"/>
        </w:rPr>
      </w:pPr>
    </w:p>
    <w:p w14:paraId="5A402B39">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38DDDFF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6767ED1D">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27F630C2">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83835A9">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77541D33">
      <w:pPr>
        <w:keepNext w:val="0"/>
        <w:keepLines w:val="0"/>
        <w:pageBreakBefore w:val="0"/>
        <w:kinsoku/>
        <w:overflowPunct/>
        <w:topLinePunct w:val="0"/>
        <w:autoSpaceDE/>
        <w:autoSpaceDN/>
        <w:bidi w:val="0"/>
        <w:spacing w:before="157" w:beforeLines="50" w:after="157" w:afterLines="50"/>
        <w:ind w:left="2520" w:leftChars="1050"/>
        <w:textAlignment w:val="auto"/>
        <w:rPr>
          <w:rFonts w:cs="Tahoma"/>
          <w:color w:val="auto"/>
          <w:highlight w:val="none"/>
          <w:u w:val="single"/>
        </w:rPr>
      </w:pPr>
      <w:r>
        <w:rPr>
          <w:rFonts w:cs="Tahoma"/>
          <w:color w:val="auto"/>
          <w:highlight w:val="none"/>
          <w:u w:val="single"/>
        </w:rPr>
        <w:br w:type="page"/>
      </w:r>
    </w:p>
    <w:p w14:paraId="20A66666">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438" w:name="_Toc156490356"/>
      <w:bookmarkStart w:id="439" w:name="_Toc162299566"/>
      <w:bookmarkStart w:id="440" w:name="_Toc31421"/>
      <w:bookmarkStart w:id="441" w:name="_Hlk101169080"/>
      <w:r>
        <w:rPr>
          <w:rFonts w:hint="eastAsia"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分包意向协议书</w:t>
      </w:r>
      <w:r>
        <w:rPr>
          <w:rFonts w:hint="eastAsia" w:ascii="宋体" w:hAnsi="宋体" w:eastAsia="宋体" w:cstheme="minorBidi"/>
          <w:b w:val="0"/>
          <w:bCs w:val="0"/>
          <w:color w:val="auto"/>
          <w:kern w:val="2"/>
          <w:sz w:val="28"/>
          <w:szCs w:val="28"/>
          <w:highlight w:val="none"/>
          <w:lang w:val="zh-CN" w:eastAsia="zh-CN" w:bidi="ar-SA"/>
        </w:rPr>
        <w:t>【如适用】</w:t>
      </w:r>
      <w:bookmarkEnd w:id="438"/>
      <w:bookmarkEnd w:id="439"/>
      <w:bookmarkEnd w:id="440"/>
    </w:p>
    <w:p w14:paraId="3E5B9BAA">
      <w:pPr>
        <w:bidi w:val="0"/>
        <w:rPr>
          <w:rFonts w:hint="eastAsia"/>
          <w:color w:val="auto"/>
          <w:highlight w:val="none"/>
        </w:rPr>
      </w:pPr>
    </w:p>
    <w:p w14:paraId="3EDB9456">
      <w:pPr>
        <w:snapToGrid w:val="0"/>
        <w:spacing w:line="360" w:lineRule="auto"/>
        <w:jc w:val="center"/>
        <w:outlineLvl w:val="0"/>
        <w:rPr>
          <w:rFonts w:hint="eastAsia" w:ascii="宋体" w:hAnsi="宋体" w:eastAsia="宋体" w:cs="宋体"/>
          <w:b/>
          <w:color w:val="auto"/>
          <w:kern w:val="0"/>
          <w:sz w:val="32"/>
          <w:szCs w:val="32"/>
          <w:highlight w:val="none"/>
          <w:lang w:val="en-US" w:eastAsia="zh-CN"/>
        </w:rPr>
      </w:pPr>
      <w:bookmarkStart w:id="442" w:name="_Toc24460"/>
      <w:bookmarkStart w:id="443" w:name="_Toc16974"/>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442"/>
      <w:bookmarkEnd w:id="443"/>
    </w:p>
    <w:p w14:paraId="14539810">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b/>
          <w:color w:val="auto"/>
          <w:sz w:val="24"/>
          <w:highlight w:val="none"/>
          <w:lang w:eastAsia="zh-CN"/>
        </w:rPr>
        <w:t>】</w:t>
      </w:r>
    </w:p>
    <w:p w14:paraId="61ED939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429DCE2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0A6DA90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408631BF">
      <w:pPr>
        <w:pStyle w:val="3"/>
        <w:tabs>
          <w:tab w:val="left" w:pos="432"/>
        </w:tabs>
        <w:ind w:left="758" w:leftChars="316" w:firstLine="229" w:firstLineChars="95"/>
        <w:rPr>
          <w:rFonts w:ascii="宋体" w:hAnsi="宋体" w:eastAsia="宋体" w:cs="宋体"/>
          <w:color w:val="auto"/>
          <w:kern w:val="0"/>
          <w:sz w:val="24"/>
          <w:szCs w:val="24"/>
          <w:highlight w:val="none"/>
        </w:rPr>
      </w:pPr>
      <w:bookmarkStart w:id="444" w:name="_Toc29070"/>
      <w:bookmarkStart w:id="445" w:name="_Toc7988"/>
      <w:r>
        <w:rPr>
          <w:rFonts w:hint="eastAsia" w:ascii="宋体" w:hAnsi="宋体" w:eastAsia="宋体" w:cs="宋体"/>
          <w:color w:val="auto"/>
          <w:kern w:val="0"/>
          <w:sz w:val="24"/>
          <w:szCs w:val="24"/>
          <w:highlight w:val="none"/>
        </w:rPr>
        <w:t>……</w:t>
      </w:r>
      <w:bookmarkEnd w:id="444"/>
      <w:bookmarkEnd w:id="445"/>
    </w:p>
    <w:p w14:paraId="1265446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1EDF0D1">
      <w:pPr>
        <w:snapToGrid w:val="0"/>
        <w:spacing w:line="360" w:lineRule="auto"/>
        <w:ind w:firstLine="576"/>
        <w:rPr>
          <w:rFonts w:ascii="宋体" w:hAnsi="宋体" w:cs="宋体"/>
          <w:b/>
          <w:color w:val="auto"/>
          <w:kern w:val="0"/>
          <w:sz w:val="24"/>
          <w:highlight w:val="none"/>
          <w:lang w:val="zh-CN"/>
        </w:rPr>
      </w:pPr>
      <w:r>
        <w:rPr>
          <w:rFonts w:hint="eastAsia" w:cs="宋体"/>
          <w:color w:val="auto"/>
          <w:kern w:val="0"/>
          <w:sz w:val="24"/>
          <w:highlight w:val="none"/>
          <w:lang w:eastAsia="zh-CN"/>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w:t>
      </w:r>
      <w:r>
        <w:rPr>
          <w:rFonts w:hint="eastAsia" w:cs="宋体"/>
          <w:color w:val="auto"/>
          <w:kern w:val="0"/>
          <w:sz w:val="24"/>
          <w:highlight w:val="none"/>
          <w:u w:val="single"/>
          <w:lang w:val="en-US" w:eastAsia="zh-CN"/>
        </w:rPr>
        <w:t>服务</w:t>
      </w:r>
      <w:r>
        <w:rPr>
          <w:rFonts w:hint="eastAsia" w:ascii="宋体" w:hAnsi="宋体" w:cs="宋体"/>
          <w:color w:val="auto"/>
          <w:kern w:val="0"/>
          <w:sz w:val="24"/>
          <w:highlight w:val="none"/>
          <w:u w:val="single"/>
        </w:rPr>
        <w:t>全部由小微企业</w:t>
      </w:r>
      <w:r>
        <w:rPr>
          <w:rFonts w:hint="eastAsia" w:cs="宋体"/>
          <w:color w:val="auto"/>
          <w:kern w:val="0"/>
          <w:sz w:val="24"/>
          <w:highlight w:val="none"/>
          <w:u w:val="single"/>
          <w:lang w:val="en-US" w:eastAsia="zh-CN"/>
        </w:rPr>
        <w:t>承担</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286E8E0C">
      <w:pPr>
        <w:spacing w:line="360" w:lineRule="auto"/>
        <w:ind w:firstLine="480" w:firstLineChars="200"/>
        <w:rPr>
          <w:rFonts w:ascii="宋体" w:hAnsi="宋体" w:cs="宋体"/>
          <w:b/>
          <w:bCs/>
          <w:color w:val="auto"/>
          <w:kern w:val="0"/>
          <w:sz w:val="24"/>
          <w:highlight w:val="none"/>
          <w:lang w:val="zh-CN"/>
        </w:rPr>
      </w:pPr>
      <w:r>
        <w:rPr>
          <w:rFonts w:hint="eastAsia" w:cs="宋体"/>
          <w:color w:val="auto"/>
          <w:sz w:val="24"/>
          <w:highlight w:val="none"/>
          <w:lang w:eastAsia="zh-CN"/>
        </w:rPr>
        <w:t>2.</w:t>
      </w:r>
      <w:bookmarkStart w:id="446"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446"/>
    </w:p>
    <w:p w14:paraId="620C4D6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3F2D94E9">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4136317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7BFC388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605240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0DC09930">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BF67EB5">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27437AA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3D2631E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3B106DF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FB3456A">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533AC1B8">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1AE92561">
      <w:pPr>
        <w:snapToGrid w:val="0"/>
        <w:spacing w:line="360" w:lineRule="auto"/>
        <w:jc w:val="right"/>
        <w:rPr>
          <w:rFonts w:ascii="宋体" w:hAnsi="宋体" w:cs="宋体"/>
          <w:color w:val="auto"/>
          <w:kern w:val="0"/>
          <w:sz w:val="24"/>
          <w:highlight w:val="none"/>
          <w:lang w:val="zh-CN"/>
        </w:rPr>
      </w:pPr>
    </w:p>
    <w:p w14:paraId="008851C0">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771C3B29">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4EE88E23">
      <w:pPr>
        <w:spacing w:line="360" w:lineRule="auto"/>
        <w:ind w:right="420"/>
        <w:rPr>
          <w:rFonts w:ascii="宋体" w:hAnsi="宋体" w:cs="宋体"/>
          <w:color w:val="auto"/>
          <w:sz w:val="24"/>
          <w:highlight w:val="none"/>
        </w:rPr>
      </w:pPr>
      <w:r>
        <w:rPr>
          <w:rFonts w:hint="eastAsia" w:ascii="宋体" w:hAnsi="宋体" w:cs="宋体"/>
          <w:color w:val="auto"/>
          <w:sz w:val="21"/>
          <w:szCs w:val="21"/>
          <w:highlight w:val="none"/>
        </w:rPr>
        <w:t>注：按本格式和要求提供。</w:t>
      </w:r>
    </w:p>
    <w:p w14:paraId="0585D618">
      <w:pPr>
        <w:topLinePunct/>
        <w:ind w:firstLine="480" w:firstLineChars="200"/>
        <w:rPr>
          <w:rFonts w:hint="eastAsia"/>
          <w:color w:val="auto"/>
          <w:szCs w:val="32"/>
          <w:highlight w:val="none"/>
        </w:rPr>
      </w:pPr>
    </w:p>
    <w:p w14:paraId="0A2E5A5C">
      <w:pPr>
        <w:topLinePunct/>
        <w:ind w:firstLine="480" w:firstLineChars="200"/>
        <w:rPr>
          <w:rFonts w:hint="eastAsia"/>
          <w:color w:val="auto"/>
          <w:szCs w:val="32"/>
          <w:highlight w:val="none"/>
        </w:rPr>
      </w:pPr>
    </w:p>
    <w:p w14:paraId="0F53062C">
      <w:pPr>
        <w:topLinePunct/>
        <w:ind w:firstLine="480" w:firstLineChars="200"/>
        <w:rPr>
          <w:rFonts w:hint="eastAsia"/>
          <w:color w:val="auto"/>
          <w:szCs w:val="32"/>
          <w:highlight w:val="none"/>
        </w:rPr>
      </w:pPr>
    </w:p>
    <w:p w14:paraId="576EC6C0">
      <w:pPr>
        <w:topLinePunct/>
        <w:ind w:firstLine="480" w:firstLineChars="200"/>
        <w:rPr>
          <w:rFonts w:hint="eastAsia"/>
          <w:color w:val="auto"/>
          <w:szCs w:val="32"/>
          <w:highlight w:val="none"/>
        </w:rPr>
      </w:pPr>
    </w:p>
    <w:bookmarkEnd w:id="441"/>
    <w:p w14:paraId="4C17A56E">
      <w:pPr>
        <w:ind w:left="2520" w:leftChars="1050"/>
        <w:rPr>
          <w:color w:val="auto"/>
          <w:highlight w:val="none"/>
        </w:rPr>
      </w:pPr>
      <w:r>
        <w:rPr>
          <w:rFonts w:cs="Courier New"/>
          <w:color w:val="auto"/>
          <w:szCs w:val="24"/>
          <w:highlight w:val="none"/>
        </w:rPr>
        <w:br w:type="page"/>
      </w:r>
    </w:p>
    <w:p w14:paraId="6FB9C666">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447" w:name="_Toc155185932"/>
      <w:bookmarkStart w:id="448" w:name="_Toc163492926"/>
      <w:bookmarkStart w:id="449" w:name="_Toc8875"/>
      <w:r>
        <w:rPr>
          <w:rFonts w:hint="eastAsia" w:cstheme="majorBidi"/>
          <w:b/>
          <w:bCs/>
          <w:color w:val="auto"/>
          <w:kern w:val="2"/>
          <w:sz w:val="28"/>
          <w:szCs w:val="28"/>
          <w:highlight w:val="none"/>
          <w:lang w:val="en-US" w:eastAsia="zh-CN" w:bidi="ar-SA"/>
        </w:rPr>
        <w:t>四</w:t>
      </w:r>
      <w:r>
        <w:rPr>
          <w:rFonts w:hint="eastAsia" w:eastAsia="宋体" w:asciiTheme="majorHAnsi" w:hAnsiTheme="majorHAnsi" w:cstheme="majorBidi"/>
          <w:b/>
          <w:bCs/>
          <w:color w:val="auto"/>
          <w:kern w:val="2"/>
          <w:sz w:val="28"/>
          <w:szCs w:val="28"/>
          <w:highlight w:val="none"/>
          <w:lang w:val="en-US" w:eastAsia="zh-CN" w:bidi="ar-SA"/>
        </w:rPr>
        <w:t>、</w:t>
      </w:r>
      <w:bookmarkEnd w:id="447"/>
      <w:bookmarkEnd w:id="448"/>
      <w:r>
        <w:rPr>
          <w:rFonts w:hint="eastAsia" w:eastAsia="宋体" w:asciiTheme="majorHAnsi" w:hAnsiTheme="majorHAnsi" w:cstheme="majorBidi"/>
          <w:b/>
          <w:bCs/>
          <w:color w:val="auto"/>
          <w:kern w:val="2"/>
          <w:sz w:val="28"/>
          <w:szCs w:val="28"/>
          <w:highlight w:val="none"/>
          <w:lang w:val="en-US" w:eastAsia="zh-CN" w:bidi="ar-SA"/>
        </w:rPr>
        <w:t>落实政府采购政策相关证明文件</w:t>
      </w:r>
      <w:bookmarkEnd w:id="449"/>
    </w:p>
    <w:p w14:paraId="469A605C">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50" w:name="_Toc8350"/>
      <w:bookmarkStart w:id="451" w:name="_Toc163492938"/>
      <w:bookmarkStart w:id="452" w:name="_Toc17038"/>
      <w:r>
        <w:rPr>
          <w:rFonts w:hint="eastAsia" w:ascii="宋体" w:hAnsi="宋体" w:eastAsia="宋体" w:cs="宋体"/>
          <w:b/>
          <w:bCs/>
          <w:color w:val="auto"/>
          <w:kern w:val="2"/>
          <w:sz w:val="24"/>
          <w:szCs w:val="24"/>
          <w:highlight w:val="none"/>
          <w:lang w:val="en-US" w:eastAsia="zh-CN" w:bidi="ar-SA"/>
        </w:rPr>
        <w:t>（一）节能环保产品清单及证明材料</w:t>
      </w:r>
      <w:r>
        <w:rPr>
          <w:rFonts w:hint="eastAsia" w:ascii="宋体" w:hAnsi="宋体" w:eastAsia="宋体" w:cs="宋体"/>
          <w:b w:val="0"/>
          <w:bCs w:val="0"/>
          <w:color w:val="auto"/>
          <w:kern w:val="2"/>
          <w:sz w:val="24"/>
          <w:szCs w:val="24"/>
          <w:highlight w:val="none"/>
          <w:lang w:val="en-US" w:eastAsia="zh-CN" w:bidi="ar-SA"/>
        </w:rPr>
        <w:t>【如适用】</w:t>
      </w:r>
      <w:bookmarkEnd w:id="450"/>
      <w:bookmarkEnd w:id="451"/>
      <w:bookmarkEnd w:id="452"/>
    </w:p>
    <w:p w14:paraId="4C3D6D1A">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299FEA05">
      <w:pPr>
        <w:spacing w:line="300" w:lineRule="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1.</w:t>
      </w:r>
      <w:r>
        <w:rPr>
          <w:rFonts w:hint="eastAsia" w:ascii="宋体" w:hAnsi="宋体" w:eastAsia="宋体" w:cs="宋体"/>
          <w:color w:val="auto"/>
          <w:sz w:val="24"/>
          <w:szCs w:val="24"/>
          <w:highlight w:val="none"/>
        </w:rPr>
        <w:t>节能产品</w:t>
      </w:r>
    </w:p>
    <w:tbl>
      <w:tblPr>
        <w:tblStyle w:val="3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1B30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41DA1B1">
            <w:pPr>
              <w:pStyle w:val="53"/>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1278137">
            <w:pPr>
              <w:pStyle w:val="53"/>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7613F88D">
            <w:pPr>
              <w:pStyle w:val="53"/>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0F74DCF6">
            <w:pPr>
              <w:pStyle w:val="53"/>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0E309F40">
            <w:pPr>
              <w:pStyle w:val="53"/>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380822DE">
            <w:pPr>
              <w:pStyle w:val="53"/>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3BC47C11">
            <w:pPr>
              <w:pStyle w:val="53"/>
              <w:jc w:val="center"/>
              <w:rPr>
                <w:color w:val="auto"/>
                <w:sz w:val="21"/>
                <w:szCs w:val="21"/>
                <w:highlight w:val="none"/>
              </w:rPr>
            </w:pPr>
            <w:r>
              <w:rPr>
                <w:rFonts w:hint="eastAsia"/>
                <w:color w:val="auto"/>
                <w:sz w:val="21"/>
                <w:szCs w:val="21"/>
                <w:highlight w:val="none"/>
              </w:rPr>
              <w:t>单价</w:t>
            </w:r>
          </w:p>
          <w:p w14:paraId="317BB97A">
            <w:pPr>
              <w:pStyle w:val="53"/>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7571B7BC">
            <w:pPr>
              <w:pStyle w:val="53"/>
              <w:jc w:val="center"/>
              <w:rPr>
                <w:color w:val="auto"/>
                <w:sz w:val="21"/>
                <w:szCs w:val="21"/>
                <w:highlight w:val="none"/>
              </w:rPr>
            </w:pPr>
            <w:r>
              <w:rPr>
                <w:rFonts w:hint="eastAsia"/>
                <w:color w:val="auto"/>
                <w:sz w:val="21"/>
                <w:szCs w:val="21"/>
                <w:highlight w:val="none"/>
              </w:rPr>
              <w:t>总价</w:t>
            </w:r>
          </w:p>
          <w:p w14:paraId="4FECC128">
            <w:pPr>
              <w:pStyle w:val="53"/>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59DE33CA">
            <w:pPr>
              <w:pStyle w:val="53"/>
              <w:jc w:val="center"/>
              <w:rPr>
                <w:color w:val="auto"/>
                <w:sz w:val="21"/>
                <w:szCs w:val="21"/>
                <w:highlight w:val="none"/>
              </w:rPr>
            </w:pPr>
            <w:r>
              <w:rPr>
                <w:rFonts w:hint="eastAsia"/>
                <w:color w:val="auto"/>
                <w:sz w:val="21"/>
                <w:szCs w:val="21"/>
                <w:highlight w:val="none"/>
              </w:rPr>
              <w:t>属强制采购或优先采购</w:t>
            </w:r>
          </w:p>
        </w:tc>
      </w:tr>
      <w:tr w14:paraId="2155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B2E6B1C">
            <w:pPr>
              <w:pStyle w:val="53"/>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BCAE46E">
            <w:pPr>
              <w:pStyle w:val="53"/>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6438976">
            <w:pPr>
              <w:pStyle w:val="53"/>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4C123A1B">
            <w:pPr>
              <w:pStyle w:val="53"/>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8631666">
            <w:pPr>
              <w:pStyle w:val="53"/>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7C781277">
            <w:pPr>
              <w:pStyle w:val="53"/>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F01B740">
            <w:pPr>
              <w:pStyle w:val="53"/>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579D38C">
            <w:pPr>
              <w:pStyle w:val="53"/>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D7B21C0">
            <w:pPr>
              <w:pStyle w:val="53"/>
              <w:jc w:val="center"/>
              <w:rPr>
                <w:color w:val="auto"/>
                <w:sz w:val="21"/>
                <w:szCs w:val="21"/>
                <w:highlight w:val="none"/>
              </w:rPr>
            </w:pPr>
          </w:p>
        </w:tc>
      </w:tr>
      <w:tr w14:paraId="5FCE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17B48D1">
            <w:pPr>
              <w:pStyle w:val="53"/>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DD6740D">
            <w:pPr>
              <w:pStyle w:val="53"/>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92E713C">
            <w:pPr>
              <w:pStyle w:val="53"/>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6CF5AD1">
            <w:pPr>
              <w:pStyle w:val="53"/>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6B4F27A">
            <w:pPr>
              <w:pStyle w:val="53"/>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7F32D7D8">
            <w:pPr>
              <w:pStyle w:val="53"/>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20B24584">
            <w:pPr>
              <w:pStyle w:val="53"/>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16FB2C1F">
            <w:pPr>
              <w:pStyle w:val="53"/>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703F414">
            <w:pPr>
              <w:pStyle w:val="53"/>
              <w:jc w:val="center"/>
              <w:rPr>
                <w:color w:val="auto"/>
                <w:sz w:val="21"/>
                <w:szCs w:val="21"/>
                <w:highlight w:val="none"/>
              </w:rPr>
            </w:pPr>
          </w:p>
        </w:tc>
      </w:tr>
      <w:tr w14:paraId="1444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436DFD3">
            <w:pPr>
              <w:pStyle w:val="53"/>
              <w:numPr>
                <w:ilvl w:val="0"/>
                <w:numId w:val="3"/>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7D506B16">
            <w:pPr>
              <w:pStyle w:val="53"/>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2D9BD79B">
            <w:pPr>
              <w:pStyle w:val="53"/>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67E1EE2">
            <w:pPr>
              <w:pStyle w:val="53"/>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6968A2E">
            <w:pPr>
              <w:pStyle w:val="53"/>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71570710">
            <w:pPr>
              <w:pStyle w:val="53"/>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D3D5FCF">
            <w:pPr>
              <w:pStyle w:val="53"/>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9D69D62">
            <w:pPr>
              <w:pStyle w:val="53"/>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438A390">
            <w:pPr>
              <w:pStyle w:val="53"/>
              <w:jc w:val="center"/>
              <w:rPr>
                <w:color w:val="auto"/>
                <w:sz w:val="21"/>
                <w:szCs w:val="21"/>
                <w:highlight w:val="none"/>
              </w:rPr>
            </w:pPr>
          </w:p>
        </w:tc>
      </w:tr>
    </w:tbl>
    <w:p w14:paraId="2D7B6720">
      <w:pPr>
        <w:spacing w:line="300" w:lineRule="auto"/>
        <w:rPr>
          <w:rFonts w:ascii="Arial" w:hAnsi="Arial" w:cs="Arial"/>
          <w:color w:val="auto"/>
          <w:szCs w:val="21"/>
          <w:highlight w:val="none"/>
        </w:rPr>
      </w:pPr>
    </w:p>
    <w:p w14:paraId="47A4F34C">
      <w:pPr>
        <w:spacing w:line="300" w:lineRule="auto"/>
        <w:rPr>
          <w:rFonts w:hint="eastAsia" w:ascii="宋体" w:hAnsi="宋体" w:eastAsia="宋体" w:cs="宋体"/>
          <w:color w:val="auto"/>
          <w:szCs w:val="21"/>
          <w:highlight w:val="none"/>
        </w:rPr>
      </w:pPr>
      <w:r>
        <w:rPr>
          <w:rFonts w:hint="eastAsia" w:cs="宋体"/>
          <w:color w:val="auto"/>
          <w:szCs w:val="21"/>
          <w:highlight w:val="none"/>
          <w:lang w:eastAsia="zh-CN"/>
        </w:rPr>
        <w:t>2.</w:t>
      </w:r>
      <w:r>
        <w:rPr>
          <w:rFonts w:hint="eastAsia" w:ascii="宋体" w:hAnsi="宋体" w:eastAsia="宋体" w:cs="宋体"/>
          <w:color w:val="auto"/>
          <w:szCs w:val="21"/>
          <w:highlight w:val="none"/>
        </w:rPr>
        <w:t>环保产品</w:t>
      </w:r>
    </w:p>
    <w:tbl>
      <w:tblPr>
        <w:tblStyle w:val="3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D64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EC5C8AD">
            <w:pPr>
              <w:pStyle w:val="53"/>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553760B0">
            <w:pPr>
              <w:pStyle w:val="53"/>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11D82355">
            <w:pPr>
              <w:pStyle w:val="53"/>
              <w:jc w:val="center"/>
              <w:rPr>
                <w:color w:val="auto"/>
                <w:sz w:val="21"/>
                <w:szCs w:val="21"/>
                <w:highlight w:val="none"/>
              </w:rPr>
            </w:pPr>
            <w:r>
              <w:rPr>
                <w:rFonts w:hint="eastAsia"/>
                <w:color w:val="auto"/>
                <w:sz w:val="21"/>
                <w:szCs w:val="21"/>
                <w:highlight w:val="none"/>
              </w:rPr>
              <w:t>制造商</w:t>
            </w:r>
          </w:p>
          <w:p w14:paraId="52DDAFEC">
            <w:pPr>
              <w:pStyle w:val="53"/>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3F81DAF">
            <w:pPr>
              <w:pStyle w:val="53"/>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C848921">
            <w:pPr>
              <w:pStyle w:val="53"/>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7258A3CC">
            <w:pPr>
              <w:pStyle w:val="53"/>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7975FB56">
            <w:pPr>
              <w:pStyle w:val="53"/>
              <w:jc w:val="center"/>
              <w:rPr>
                <w:color w:val="auto"/>
                <w:sz w:val="21"/>
                <w:szCs w:val="21"/>
                <w:highlight w:val="none"/>
              </w:rPr>
            </w:pPr>
            <w:r>
              <w:rPr>
                <w:rFonts w:hint="eastAsia"/>
                <w:color w:val="auto"/>
                <w:sz w:val="21"/>
                <w:szCs w:val="21"/>
                <w:highlight w:val="none"/>
              </w:rPr>
              <w:t>单价</w:t>
            </w:r>
          </w:p>
          <w:p w14:paraId="6DDCD20B">
            <w:pPr>
              <w:pStyle w:val="53"/>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38595767">
            <w:pPr>
              <w:pStyle w:val="53"/>
              <w:jc w:val="center"/>
              <w:rPr>
                <w:color w:val="auto"/>
                <w:sz w:val="21"/>
                <w:szCs w:val="21"/>
                <w:highlight w:val="none"/>
              </w:rPr>
            </w:pPr>
            <w:r>
              <w:rPr>
                <w:rFonts w:hint="eastAsia"/>
                <w:color w:val="auto"/>
                <w:sz w:val="21"/>
                <w:szCs w:val="21"/>
                <w:highlight w:val="none"/>
              </w:rPr>
              <w:t>总价</w:t>
            </w:r>
          </w:p>
          <w:p w14:paraId="3982866C">
            <w:pPr>
              <w:pStyle w:val="53"/>
              <w:jc w:val="center"/>
              <w:rPr>
                <w:color w:val="auto"/>
                <w:sz w:val="21"/>
                <w:szCs w:val="21"/>
                <w:highlight w:val="none"/>
              </w:rPr>
            </w:pPr>
            <w:r>
              <w:rPr>
                <w:rFonts w:hint="eastAsia"/>
                <w:color w:val="auto"/>
                <w:sz w:val="21"/>
                <w:szCs w:val="21"/>
                <w:highlight w:val="none"/>
              </w:rPr>
              <w:t>（万元）</w:t>
            </w:r>
          </w:p>
        </w:tc>
      </w:tr>
      <w:tr w14:paraId="5C3E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D58D158">
            <w:pPr>
              <w:pStyle w:val="53"/>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69DEC48">
            <w:pPr>
              <w:pStyle w:val="53"/>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3B6786EF">
            <w:pPr>
              <w:pStyle w:val="53"/>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0C86715">
            <w:pPr>
              <w:pStyle w:val="53"/>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5AA572B">
            <w:pPr>
              <w:pStyle w:val="53"/>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8725903">
            <w:pPr>
              <w:pStyle w:val="53"/>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B448375">
            <w:pPr>
              <w:pStyle w:val="53"/>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A2A4014">
            <w:pPr>
              <w:pStyle w:val="53"/>
              <w:jc w:val="center"/>
              <w:rPr>
                <w:color w:val="auto"/>
                <w:sz w:val="21"/>
                <w:szCs w:val="21"/>
                <w:highlight w:val="none"/>
              </w:rPr>
            </w:pPr>
          </w:p>
        </w:tc>
      </w:tr>
      <w:tr w14:paraId="6783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13BE6B64">
            <w:pPr>
              <w:pStyle w:val="53"/>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022D5ED6">
            <w:pPr>
              <w:pStyle w:val="53"/>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2E39210D">
            <w:pPr>
              <w:pStyle w:val="53"/>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30CF591">
            <w:pPr>
              <w:pStyle w:val="53"/>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4BA12D6">
            <w:pPr>
              <w:pStyle w:val="53"/>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A31A0BD">
            <w:pPr>
              <w:pStyle w:val="53"/>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4D57E93C">
            <w:pPr>
              <w:pStyle w:val="53"/>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02F5282">
            <w:pPr>
              <w:pStyle w:val="53"/>
              <w:jc w:val="center"/>
              <w:rPr>
                <w:color w:val="auto"/>
                <w:sz w:val="21"/>
                <w:szCs w:val="21"/>
                <w:highlight w:val="none"/>
              </w:rPr>
            </w:pPr>
          </w:p>
        </w:tc>
      </w:tr>
      <w:tr w14:paraId="03B9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477FC24">
            <w:pPr>
              <w:pStyle w:val="53"/>
              <w:numPr>
                <w:ilvl w:val="0"/>
                <w:numId w:val="4"/>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2E1DCCA5">
            <w:pPr>
              <w:pStyle w:val="53"/>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07C49B6A">
            <w:pPr>
              <w:pStyle w:val="53"/>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8597D46">
            <w:pPr>
              <w:pStyle w:val="53"/>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00AA349">
            <w:pPr>
              <w:pStyle w:val="53"/>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B383BD8">
            <w:pPr>
              <w:pStyle w:val="53"/>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11BA5828">
            <w:pPr>
              <w:pStyle w:val="53"/>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1F65161D">
            <w:pPr>
              <w:pStyle w:val="53"/>
              <w:jc w:val="center"/>
              <w:rPr>
                <w:color w:val="auto"/>
                <w:sz w:val="21"/>
                <w:szCs w:val="21"/>
                <w:highlight w:val="none"/>
              </w:rPr>
            </w:pPr>
          </w:p>
        </w:tc>
      </w:tr>
    </w:tbl>
    <w:p w14:paraId="6394ADE6">
      <w:pPr>
        <w:spacing w:line="300" w:lineRule="auto"/>
        <w:rPr>
          <w:rFonts w:ascii="Arial" w:hAnsi="Arial" w:cs="Arial"/>
          <w:color w:val="auto"/>
          <w:szCs w:val="21"/>
          <w:highlight w:val="none"/>
        </w:rPr>
      </w:pPr>
    </w:p>
    <w:p w14:paraId="3A9D51D3">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ascii="Arial" w:hAnsi="Arial" w:cs="Arial"/>
          <w:b/>
          <w:color w:val="auto"/>
          <w:sz w:val="21"/>
          <w:szCs w:val="21"/>
          <w:highlight w:val="none"/>
        </w:rPr>
        <w:t>价格扣除</w:t>
      </w:r>
      <w:r>
        <w:rPr>
          <w:rFonts w:hint="eastAsia" w:ascii="Arial" w:hAnsi="Arial" w:cs="Arial"/>
          <w:b/>
          <w:color w:val="auto"/>
          <w:sz w:val="21"/>
          <w:szCs w:val="21"/>
          <w:highlight w:val="none"/>
        </w:rPr>
        <w:t>。</w:t>
      </w:r>
    </w:p>
    <w:p w14:paraId="0937896E">
      <w:pPr>
        <w:spacing w:line="300" w:lineRule="auto"/>
        <w:rPr>
          <w:rFonts w:ascii="Arial" w:hAnsi="Arial" w:cs="Arial"/>
          <w:color w:val="auto"/>
          <w:szCs w:val="21"/>
          <w:highlight w:val="none"/>
        </w:rPr>
      </w:pPr>
    </w:p>
    <w:p w14:paraId="255F04CC">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ascii="Arial" w:hAnsi="Arial" w:cs="Arial"/>
          <w:color w:val="auto"/>
          <w:szCs w:val="21"/>
          <w:highlight w:val="none"/>
        </w:rPr>
        <w:t>：</w:t>
      </w:r>
    </w:p>
    <w:p w14:paraId="3A4637E2">
      <w:pPr>
        <w:rPr>
          <w:rFonts w:ascii="Arial" w:hAnsi="Arial" w:cs="Arial"/>
          <w:color w:val="auto"/>
          <w:szCs w:val="21"/>
          <w:highlight w:val="none"/>
        </w:rPr>
      </w:pPr>
      <w:r>
        <w:rPr>
          <w:rFonts w:ascii="Arial" w:hAnsi="Arial" w:cs="Arial"/>
          <w:color w:val="auto"/>
          <w:szCs w:val="21"/>
          <w:highlight w:val="none"/>
        </w:rPr>
        <w:t>日期：</w:t>
      </w:r>
    </w:p>
    <w:p w14:paraId="2DCFB86C">
      <w:pPr>
        <w:rPr>
          <w:rFonts w:ascii="Arial" w:hAnsi="Arial" w:cs="Arial"/>
          <w:color w:val="auto"/>
          <w:szCs w:val="21"/>
          <w:highlight w:val="none"/>
        </w:rPr>
      </w:pPr>
    </w:p>
    <w:p w14:paraId="3F1C95ED">
      <w:pPr>
        <w:rPr>
          <w:rFonts w:ascii="Arial" w:hAnsi="Arial" w:cs="Arial"/>
          <w:color w:val="auto"/>
          <w:szCs w:val="21"/>
          <w:highlight w:val="none"/>
        </w:rPr>
      </w:pPr>
      <w:r>
        <w:rPr>
          <w:rFonts w:ascii="Arial" w:hAnsi="Arial" w:cs="Arial"/>
          <w:color w:val="auto"/>
          <w:szCs w:val="21"/>
          <w:highlight w:val="none"/>
        </w:rPr>
        <w:br w:type="page"/>
      </w:r>
    </w:p>
    <w:p w14:paraId="46A3E999">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453" w:name="_Toc163492939"/>
      <w:bookmarkStart w:id="454" w:name="_Toc24277"/>
      <w:bookmarkStart w:id="455" w:name="_Toc29603"/>
      <w:r>
        <w:rPr>
          <w:rFonts w:hint="eastAsia" w:ascii="宋体" w:hAnsi="宋体" w:eastAsia="宋体" w:cstheme="minorBidi"/>
          <w:b/>
          <w:bCs/>
          <w:color w:val="auto"/>
          <w:kern w:val="2"/>
          <w:sz w:val="24"/>
          <w:szCs w:val="24"/>
          <w:highlight w:val="none"/>
          <w:lang w:val="en-US" w:eastAsia="zh-CN" w:bidi="ar-SA"/>
        </w:rPr>
        <w:t>（二）中小企业声明函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453"/>
      <w:bookmarkEnd w:id="454"/>
      <w:bookmarkEnd w:id="455"/>
    </w:p>
    <w:p w14:paraId="53DB7D5B">
      <w:pPr>
        <w:pStyle w:val="43"/>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6EF57D54">
      <w:pPr>
        <w:pStyle w:val="43"/>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11F90FE0">
      <w:pPr>
        <w:ind w:firstLine="504" w:firstLineChars="200"/>
        <w:rPr>
          <w:rFonts w:hint="eastAsia"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采购活动，服务全部由符合政策要求的中小企业承接。相关企业（含联合体中的中小企业、签订分包意向协议的中小企业）的具体情况如下：</w:t>
      </w:r>
    </w:p>
    <w:p w14:paraId="43F32809">
      <w:pPr>
        <w:ind w:firstLine="504" w:firstLineChars="200"/>
        <w:rPr>
          <w:rFonts w:hint="eastAsia" w:cs="宋体"/>
          <w:color w:val="auto"/>
          <w:spacing w:val="6"/>
          <w:szCs w:val="24"/>
          <w:highlight w:val="none"/>
        </w:rPr>
      </w:pPr>
      <w:r>
        <w:rPr>
          <w:rFonts w:hint="eastAsia" w:cs="宋体"/>
          <w:color w:val="auto"/>
          <w:spacing w:val="6"/>
          <w:szCs w:val="24"/>
          <w:highlight w:val="none"/>
        </w:rPr>
        <w:t xml:space="preserve">1. </w:t>
      </w:r>
      <w:r>
        <w:rPr>
          <w:rFonts w:hint="eastAsia" w:cs="宋体"/>
          <w:color w:val="auto"/>
          <w:spacing w:val="6"/>
          <w:szCs w:val="24"/>
          <w:highlight w:val="none"/>
          <w:u w:val="single"/>
        </w:rPr>
        <w:t xml:space="preserve">（标的名称）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09B3D7C9">
      <w:pPr>
        <w:ind w:firstLine="504" w:firstLineChars="200"/>
        <w:rPr>
          <w:rFonts w:hint="eastAsia"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w:t>
      </w:r>
      <w:r>
        <w:rPr>
          <w:rFonts w:hint="eastAsia" w:cs="宋体"/>
          <w:color w:val="auto"/>
          <w:spacing w:val="6"/>
          <w:szCs w:val="24"/>
          <w:highlight w:val="none"/>
        </w:rPr>
        <w:t xml:space="preserve"> ，属于</w:t>
      </w:r>
      <w:r>
        <w:rPr>
          <w:rFonts w:hint="eastAsia" w:cs="宋体"/>
          <w:color w:val="auto"/>
          <w:spacing w:val="6"/>
          <w:szCs w:val="24"/>
          <w:highlight w:val="none"/>
          <w:u w:val="single"/>
        </w:rPr>
        <w:t xml:space="preserve"> （采购文件中明确的所属行业） </w:t>
      </w:r>
      <w:r>
        <w:rPr>
          <w:rFonts w:hint="eastAsia" w:cs="宋体"/>
          <w:color w:val="auto"/>
          <w:spacing w:val="6"/>
          <w:szCs w:val="24"/>
          <w:highlight w:val="none"/>
        </w:rPr>
        <w:t>；承接企业为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（中型企业、小型企业、微型企业）</w:t>
      </w:r>
      <w:r>
        <w:rPr>
          <w:rFonts w:hint="eastAsia" w:cs="宋体"/>
          <w:color w:val="auto"/>
          <w:spacing w:val="6"/>
          <w:szCs w:val="24"/>
          <w:highlight w:val="none"/>
        </w:rPr>
        <w:t>；</w:t>
      </w:r>
    </w:p>
    <w:p w14:paraId="03937133">
      <w:pPr>
        <w:ind w:firstLine="504" w:firstLineChars="200"/>
        <w:rPr>
          <w:rFonts w:hint="eastAsia" w:cs="宋体"/>
          <w:color w:val="auto"/>
          <w:spacing w:val="6"/>
          <w:szCs w:val="24"/>
          <w:highlight w:val="none"/>
        </w:rPr>
      </w:pPr>
      <w:r>
        <w:rPr>
          <w:rFonts w:hint="eastAsia" w:cs="宋体"/>
          <w:color w:val="auto"/>
          <w:spacing w:val="6"/>
          <w:szCs w:val="24"/>
          <w:highlight w:val="none"/>
        </w:rPr>
        <w:t>……</w:t>
      </w:r>
    </w:p>
    <w:p w14:paraId="40D18545">
      <w:pPr>
        <w:ind w:firstLine="504" w:firstLineChars="200"/>
        <w:rPr>
          <w:rFonts w:hint="eastAsia"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0068FBE0">
      <w:pPr>
        <w:ind w:firstLine="504" w:firstLineChars="200"/>
        <w:rPr>
          <w:rFonts w:hint="eastAsia"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4F7239B5">
      <w:pPr>
        <w:ind w:firstLine="504" w:firstLineChars="200"/>
        <w:rPr>
          <w:rFonts w:cs="宋体"/>
          <w:color w:val="auto"/>
          <w:spacing w:val="6"/>
          <w:szCs w:val="24"/>
          <w:highlight w:val="none"/>
        </w:rPr>
      </w:pPr>
    </w:p>
    <w:p w14:paraId="5DF8AB19">
      <w:pPr>
        <w:ind w:right="1008" w:firstLine="4788" w:firstLineChars="1900"/>
        <w:rPr>
          <w:rFonts w:cs="宋体"/>
          <w:color w:val="auto"/>
          <w:spacing w:val="6"/>
          <w:szCs w:val="24"/>
          <w:highlight w:val="none"/>
        </w:rPr>
      </w:pPr>
    </w:p>
    <w:p w14:paraId="0A7F54AA">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宋体"/>
          <w:color w:val="auto"/>
          <w:spacing w:val="6"/>
          <w:szCs w:val="24"/>
          <w:highlight w:val="none"/>
        </w:rPr>
        <w:t>：</w:t>
      </w:r>
    </w:p>
    <w:p w14:paraId="550F28C7">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4FF0A18A">
      <w:pPr>
        <w:ind w:firstLine="504" w:firstLineChars="200"/>
        <w:rPr>
          <w:rFonts w:cs="宋体"/>
          <w:color w:val="auto"/>
          <w:spacing w:val="6"/>
          <w:szCs w:val="24"/>
          <w:highlight w:val="none"/>
        </w:rPr>
      </w:pPr>
    </w:p>
    <w:p w14:paraId="1ADACDCE">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64297B4A">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490FCA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2D200E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43C4497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3B5D977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3BEF2E49">
      <w:pPr>
        <w:keepNext w:val="0"/>
        <w:keepLines w:val="0"/>
        <w:widowControl/>
        <w:suppressLineNumbers w:val="0"/>
        <w:ind w:firstLine="562" w:firstLineChars="200"/>
        <w:jc w:val="left"/>
        <w:rPr>
          <w:rStyle w:val="35"/>
          <w:rFonts w:hint="eastAsia" w:ascii="宋体" w:hAnsi="宋体" w:eastAsia="宋体" w:cs="宋体"/>
          <w:color w:val="auto"/>
          <w:kern w:val="0"/>
          <w:sz w:val="28"/>
          <w:szCs w:val="28"/>
          <w:highlight w:val="none"/>
          <w:lang w:val="en-US" w:eastAsia="zh-CN" w:bidi="ar"/>
        </w:rPr>
      </w:pPr>
    </w:p>
    <w:p w14:paraId="34E60D19">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0D7B68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5"/>
          <w:rFonts w:hint="eastAsia" w:ascii="宋体" w:hAnsi="宋体" w:eastAsia="宋体" w:cs="宋体"/>
          <w:b w:val="0"/>
          <w:color w:val="auto"/>
          <w:sz w:val="24"/>
          <w:szCs w:val="24"/>
          <w:highlight w:val="none"/>
        </w:rPr>
      </w:pPr>
      <w:r>
        <w:rPr>
          <w:rStyle w:val="35"/>
          <w:rFonts w:hint="eastAsia" w:ascii="宋体" w:hAnsi="宋体" w:eastAsia="宋体" w:cs="宋体"/>
          <w:b w:val="0"/>
          <w:color w:val="auto"/>
          <w:sz w:val="24"/>
          <w:szCs w:val="24"/>
          <w:highlight w:val="none"/>
        </w:rPr>
        <w:t>工信部联企业〔2011〕300号</w:t>
      </w:r>
    </w:p>
    <w:p w14:paraId="4F6F39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5"/>
          <w:rFonts w:hint="eastAsia" w:ascii="宋体" w:hAnsi="宋体" w:eastAsia="宋体" w:cs="宋体"/>
          <w:b w:val="0"/>
          <w:color w:val="auto"/>
          <w:sz w:val="24"/>
          <w:szCs w:val="24"/>
          <w:highlight w:val="none"/>
        </w:rPr>
      </w:pPr>
    </w:p>
    <w:p w14:paraId="258384F0">
      <w:pPr>
        <w:keepNext w:val="0"/>
        <w:keepLines w:val="0"/>
        <w:pageBreakBefore w:val="0"/>
        <w:widowControl w:val="0"/>
        <w:kinsoku/>
        <w:wordWrap/>
        <w:overflowPunct/>
        <w:topLinePunct w:val="0"/>
        <w:autoSpaceDE/>
        <w:autoSpaceDN/>
        <w:bidi w:val="0"/>
        <w:adjustRightInd/>
        <w:snapToGrid/>
        <w:spacing w:line="360" w:lineRule="exact"/>
        <w:textAlignment w:val="auto"/>
        <w:rPr>
          <w:rStyle w:val="35"/>
          <w:rFonts w:hint="eastAsia" w:ascii="宋体" w:hAnsi="宋体" w:eastAsia="宋体" w:cs="宋体"/>
          <w:b w:val="0"/>
          <w:color w:val="auto"/>
          <w:sz w:val="24"/>
          <w:szCs w:val="24"/>
          <w:highlight w:val="none"/>
        </w:rPr>
      </w:pPr>
      <w:r>
        <w:rPr>
          <w:rStyle w:val="35"/>
          <w:rFonts w:hint="eastAsia" w:ascii="宋体" w:hAnsi="宋体" w:eastAsia="宋体" w:cs="宋体"/>
          <w:b w:val="0"/>
          <w:color w:val="auto"/>
          <w:sz w:val="24"/>
          <w:szCs w:val="24"/>
          <w:highlight w:val="none"/>
        </w:rPr>
        <w:t>各省、自治区、直辖市人民政府，国务院各部委、各直属机构及有关单位：</w:t>
      </w:r>
    </w:p>
    <w:p w14:paraId="18986DF0">
      <w:pPr>
        <w:keepNext w:val="0"/>
        <w:keepLines w:val="0"/>
        <w:pageBreakBefore w:val="0"/>
        <w:widowControl w:val="0"/>
        <w:kinsoku/>
        <w:wordWrap/>
        <w:overflowPunct/>
        <w:topLinePunct w:val="0"/>
        <w:autoSpaceDE/>
        <w:autoSpaceDN/>
        <w:bidi w:val="0"/>
        <w:adjustRightInd/>
        <w:snapToGrid/>
        <w:spacing w:line="36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FD49C90">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工业和信息化部　国家统计局</w:t>
      </w:r>
    </w:p>
    <w:p w14:paraId="1613AD02">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国家发展和改革委员会　财政部</w:t>
      </w:r>
    </w:p>
    <w:p w14:paraId="3734F147">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5"/>
          <w:rFonts w:hint="eastAsia" w:ascii="宋体" w:hAnsi="宋体" w:eastAsia="宋体" w:cs="宋体"/>
          <w:b w:val="0"/>
          <w:bCs w:val="0"/>
          <w:color w:val="auto"/>
          <w:sz w:val="24"/>
          <w:szCs w:val="24"/>
          <w:highlight w:val="none"/>
        </w:rPr>
      </w:pPr>
      <w:r>
        <w:rPr>
          <w:rStyle w:val="35"/>
          <w:rFonts w:hint="eastAsia" w:cs="宋体"/>
          <w:b w:val="0"/>
          <w:bCs w:val="0"/>
          <w:color w:val="auto"/>
          <w:sz w:val="24"/>
          <w:szCs w:val="24"/>
          <w:highlight w:val="none"/>
          <w:lang w:eastAsia="zh-CN"/>
        </w:rPr>
        <w:t>二〇一一</w:t>
      </w:r>
      <w:r>
        <w:rPr>
          <w:rStyle w:val="35"/>
          <w:rFonts w:hint="eastAsia" w:ascii="宋体" w:hAnsi="宋体" w:eastAsia="宋体" w:cs="宋体"/>
          <w:b w:val="0"/>
          <w:bCs w:val="0"/>
          <w:color w:val="auto"/>
          <w:sz w:val="24"/>
          <w:szCs w:val="24"/>
          <w:highlight w:val="none"/>
        </w:rPr>
        <w:t>年六月十八日</w:t>
      </w:r>
    </w:p>
    <w:p w14:paraId="787888ED">
      <w:pPr>
        <w:keepNext w:val="0"/>
        <w:keepLines w:val="0"/>
        <w:pageBreakBefore w:val="0"/>
        <w:widowControl w:val="0"/>
        <w:kinsoku/>
        <w:wordWrap/>
        <w:overflowPunct/>
        <w:topLinePunct w:val="0"/>
        <w:autoSpaceDE/>
        <w:autoSpaceDN/>
        <w:bidi w:val="0"/>
        <w:adjustRightInd/>
        <w:snapToGrid/>
        <w:spacing w:line="36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xml:space="preserve"> </w:t>
      </w:r>
    </w:p>
    <w:p w14:paraId="656DCA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5"/>
          <w:rFonts w:hint="eastAsia" w:ascii="宋体" w:hAnsi="宋体" w:eastAsia="宋体" w:cs="宋体"/>
          <w:b/>
          <w:bCs w:val="0"/>
          <w:color w:val="auto"/>
          <w:sz w:val="28"/>
          <w:szCs w:val="28"/>
          <w:highlight w:val="none"/>
        </w:rPr>
      </w:pPr>
      <w:r>
        <w:rPr>
          <w:rStyle w:val="35"/>
          <w:rFonts w:hint="eastAsia" w:ascii="宋体" w:hAnsi="宋体" w:eastAsia="宋体" w:cs="宋体"/>
          <w:b/>
          <w:bCs w:val="0"/>
          <w:color w:val="auto"/>
          <w:sz w:val="28"/>
          <w:szCs w:val="28"/>
          <w:highlight w:val="none"/>
        </w:rPr>
        <w:t>中小企业划型标准规定</w:t>
      </w:r>
    </w:p>
    <w:p w14:paraId="7FAFC6A1">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w:t>
      </w:r>
      <w:r>
        <w:rPr>
          <w:rStyle w:val="35"/>
          <w:rFonts w:hint="eastAsia" w:cs="宋体"/>
          <w:b w:val="0"/>
          <w:bCs w:val="0"/>
          <w:color w:val="auto"/>
          <w:sz w:val="24"/>
          <w:szCs w:val="24"/>
          <w:highlight w:val="none"/>
          <w:lang w:eastAsia="zh-CN"/>
        </w:rPr>
        <w:t>（</w:t>
      </w:r>
      <w:r>
        <w:rPr>
          <w:rStyle w:val="35"/>
          <w:rFonts w:hint="eastAsia" w:ascii="宋体" w:hAnsi="宋体" w:eastAsia="宋体" w:cs="宋体"/>
          <w:b w:val="0"/>
          <w:bCs w:val="0"/>
          <w:color w:val="auto"/>
          <w:sz w:val="24"/>
          <w:szCs w:val="24"/>
          <w:highlight w:val="none"/>
        </w:rPr>
        <w:t>国发〔2009〕36号</w:t>
      </w:r>
      <w:r>
        <w:rPr>
          <w:rStyle w:val="35"/>
          <w:rFonts w:hint="eastAsia" w:cs="宋体"/>
          <w:b w:val="0"/>
          <w:bCs w:val="0"/>
          <w:color w:val="auto"/>
          <w:sz w:val="24"/>
          <w:szCs w:val="24"/>
          <w:highlight w:val="none"/>
          <w:lang w:eastAsia="zh-CN"/>
        </w:rPr>
        <w:t>）</w:t>
      </w:r>
      <w:r>
        <w:rPr>
          <w:rStyle w:val="35"/>
          <w:rFonts w:hint="eastAsia" w:ascii="宋体" w:hAnsi="宋体" w:eastAsia="宋体" w:cs="宋体"/>
          <w:b w:val="0"/>
          <w:bCs w:val="0"/>
          <w:color w:val="auto"/>
          <w:sz w:val="24"/>
          <w:szCs w:val="24"/>
          <w:highlight w:val="none"/>
        </w:rPr>
        <w:t>，制定本规定。</w:t>
      </w:r>
    </w:p>
    <w:p w14:paraId="6BD74354">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0F736129">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2960F02">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四、各行业划型标准为：</w:t>
      </w:r>
    </w:p>
    <w:p w14:paraId="24EC1EDF">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0E684FF7">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539867A">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F6080CD">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29183EF">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B67053F">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A6467EB">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EC2FFB4">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7B106CD">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A66331B">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FD1313F">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983243D">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14FCF9B">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790D9E2">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7EF2FF1">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F453642">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9003326">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五、企业类型的划分以统计部门的统计数据为依据。</w:t>
      </w:r>
    </w:p>
    <w:p w14:paraId="322A8BD7">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36BDBF39">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E2E9D58">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1BDBAD14">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九、本规定由工业和信息化部、国家统计局会同有关部门负责解释。</w:t>
      </w:r>
    </w:p>
    <w:p w14:paraId="41D303A6">
      <w:pPr>
        <w:keepNext w:val="0"/>
        <w:keepLines w:val="0"/>
        <w:pageBreakBefore w:val="0"/>
        <w:widowControl w:val="0"/>
        <w:kinsoku/>
        <w:wordWrap/>
        <w:overflowPunct/>
        <w:topLinePunct w:val="0"/>
        <w:autoSpaceDE/>
        <w:autoSpaceDN/>
        <w:bidi w:val="0"/>
        <w:adjustRightInd/>
        <w:snapToGrid/>
        <w:spacing w:line="40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5F2C8979">
      <w:pPr>
        <w:rPr>
          <w:rFonts w:cs="宋体"/>
          <w:color w:val="auto"/>
          <w:spacing w:val="6"/>
          <w:sz w:val="21"/>
          <w:szCs w:val="21"/>
          <w:highlight w:val="none"/>
        </w:rPr>
      </w:pPr>
      <w:r>
        <w:rPr>
          <w:rFonts w:cs="宋体"/>
          <w:color w:val="auto"/>
          <w:spacing w:val="6"/>
          <w:sz w:val="21"/>
          <w:szCs w:val="21"/>
          <w:highlight w:val="none"/>
        </w:rPr>
        <w:br w:type="page"/>
      </w:r>
    </w:p>
    <w:p w14:paraId="6AA131E4">
      <w:pPr>
        <w:rPr>
          <w:rFonts w:cs="宋体"/>
          <w:color w:val="auto"/>
          <w:spacing w:val="6"/>
          <w:sz w:val="21"/>
          <w:szCs w:val="21"/>
          <w:highlight w:val="none"/>
        </w:rPr>
      </w:pPr>
      <w:bookmarkStart w:id="456" w:name="_Toc163492940"/>
    </w:p>
    <w:p w14:paraId="18F8D54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5EF4A6C0">
      <w:pPr>
        <w:rPr>
          <w:rFonts w:hint="eastAsia" w:cs="宋体"/>
          <w:color w:val="auto"/>
          <w:spacing w:val="6"/>
          <w:sz w:val="21"/>
          <w:szCs w:val="21"/>
          <w:highlight w:val="none"/>
        </w:rPr>
      </w:pPr>
    </w:p>
    <w:p w14:paraId="341C74D0">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181CC438">
      <w:pPr>
        <w:jc w:val="center"/>
        <w:rPr>
          <w:rStyle w:val="35"/>
          <w:rFonts w:hint="eastAsia" w:ascii="宋体" w:hAnsi="宋体" w:eastAsia="宋体" w:cs="宋体"/>
          <w:b w:val="0"/>
          <w:color w:val="auto"/>
          <w:sz w:val="24"/>
          <w:szCs w:val="24"/>
          <w:highlight w:val="none"/>
        </w:rPr>
      </w:pPr>
      <w:r>
        <w:rPr>
          <w:rStyle w:val="35"/>
          <w:rFonts w:hint="eastAsia" w:ascii="宋体" w:hAnsi="宋体" w:eastAsia="宋体" w:cs="宋体"/>
          <w:b w:val="0"/>
          <w:color w:val="auto"/>
          <w:sz w:val="24"/>
          <w:szCs w:val="24"/>
          <w:highlight w:val="none"/>
        </w:rPr>
        <w:t>银发〔2015〕309号</w:t>
      </w:r>
    </w:p>
    <w:p w14:paraId="6BF7F4C9">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为进一步贯彻落实《中华人民共和国中小企业促进法</w:t>
      </w:r>
      <w:r>
        <w:rPr>
          <w:rStyle w:val="35"/>
          <w:rFonts w:hint="eastAsia" w:cs="宋体"/>
          <w:b w:val="0"/>
          <w:bCs w:val="0"/>
          <w:color w:val="auto"/>
          <w:sz w:val="24"/>
          <w:szCs w:val="24"/>
          <w:highlight w:val="none"/>
          <w:lang w:eastAsia="zh-CN"/>
        </w:rPr>
        <w:t>》《</w:t>
      </w:r>
      <w:r>
        <w:rPr>
          <w:rStyle w:val="35"/>
          <w:rFonts w:hint="eastAsia" w:ascii="宋体" w:hAnsi="宋体" w:eastAsia="宋体" w:cs="宋体"/>
          <w:b w:val="0"/>
          <w:bCs w:val="0"/>
          <w:color w:val="auto"/>
          <w:sz w:val="24"/>
          <w:szCs w:val="24"/>
          <w:highlight w:val="none"/>
        </w:rPr>
        <w:t>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3688244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7328BBD5">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5"/>
          <w:rFonts w:hint="eastAsia" w:ascii="宋体" w:hAnsi="宋体" w:eastAsia="宋体" w:cs="宋体"/>
          <w:b w:val="0"/>
          <w:bCs w:val="0"/>
          <w:color w:val="auto"/>
          <w:sz w:val="24"/>
          <w:szCs w:val="24"/>
          <w:highlight w:val="none"/>
        </w:rPr>
      </w:pPr>
    </w:p>
    <w:p w14:paraId="70D15187">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附件：金融业企业划型标准规定</w:t>
      </w:r>
    </w:p>
    <w:p w14:paraId="72B31116">
      <w:pPr>
        <w:keepNext w:val="0"/>
        <w:keepLines w:val="0"/>
        <w:pageBreakBefore w:val="0"/>
        <w:widowControl w:val="0"/>
        <w:kinsoku/>
        <w:wordWrap/>
        <w:overflowPunct/>
        <w:topLinePunct w:val="0"/>
        <w:autoSpaceDE/>
        <w:autoSpaceDN/>
        <w:bidi w:val="0"/>
        <w:adjustRightInd/>
        <w:snapToGrid/>
        <w:spacing w:line="460" w:lineRule="exact"/>
        <w:textAlignment w:val="auto"/>
        <w:rPr>
          <w:rStyle w:val="35"/>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5"/>
          <w:rFonts w:hint="eastAsia" w:ascii="宋体" w:hAnsi="宋体" w:eastAsia="宋体" w:cs="宋体"/>
          <w:b w:val="0"/>
          <w:bCs w:val="0"/>
          <w:color w:val="auto"/>
          <w:sz w:val="24"/>
          <w:szCs w:val="24"/>
          <w:highlight w:val="none"/>
        </w:rPr>
        <w:t>       </w:t>
      </w:r>
      <w:r>
        <w:rPr>
          <w:rStyle w:val="35"/>
          <w:rFonts w:hint="eastAsia" w:cs="宋体"/>
          <w:b w:val="0"/>
          <w:bCs w:val="0"/>
          <w:color w:val="auto"/>
          <w:sz w:val="24"/>
          <w:szCs w:val="24"/>
          <w:highlight w:val="none"/>
          <w:lang w:val="en-US" w:eastAsia="zh-CN"/>
        </w:rPr>
        <w:t xml:space="preserve">                            </w:t>
      </w:r>
      <w:r>
        <w:rPr>
          <w:rStyle w:val="35"/>
          <w:rFonts w:hint="eastAsia" w:ascii="宋体" w:hAnsi="宋体" w:eastAsia="宋体" w:cs="宋体"/>
          <w:b w:val="0"/>
          <w:bCs w:val="0"/>
          <w:color w:val="auto"/>
          <w:sz w:val="24"/>
          <w:szCs w:val="24"/>
          <w:highlight w:val="none"/>
        </w:rPr>
        <w:t>中国人民银行</w:t>
      </w:r>
    </w:p>
    <w:p w14:paraId="2CCD29E7">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中国银行业监督管理委员会</w:t>
      </w:r>
    </w:p>
    <w:p w14:paraId="15D6E5F9">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中国证券监督管理委员会</w:t>
      </w:r>
    </w:p>
    <w:p w14:paraId="0BADF22E">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中国保险监督管理委员会</w:t>
      </w:r>
    </w:p>
    <w:p w14:paraId="660ECC88">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中华人民共和国国家统计局</w:t>
      </w:r>
    </w:p>
    <w:p w14:paraId="06DFB080">
      <w:pPr>
        <w:keepNext w:val="0"/>
        <w:keepLines w:val="0"/>
        <w:pageBreakBefore w:val="0"/>
        <w:widowControl w:val="0"/>
        <w:kinsoku/>
        <w:wordWrap/>
        <w:overflowPunct/>
        <w:topLinePunct w:val="0"/>
        <w:autoSpaceDE/>
        <w:autoSpaceDN/>
        <w:bidi w:val="0"/>
        <w:adjustRightInd/>
        <w:snapToGrid/>
        <w:spacing w:line="460" w:lineRule="exact"/>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                                                     </w:t>
      </w:r>
      <w:r>
        <w:rPr>
          <w:rStyle w:val="35"/>
          <w:rFonts w:hint="eastAsia" w:cs="宋体"/>
          <w:b w:val="0"/>
          <w:bCs w:val="0"/>
          <w:color w:val="auto"/>
          <w:sz w:val="24"/>
          <w:szCs w:val="24"/>
          <w:highlight w:val="none"/>
          <w:lang w:val="en-US" w:eastAsia="zh-CN"/>
        </w:rPr>
        <w:t xml:space="preserve">     </w:t>
      </w:r>
      <w:r>
        <w:rPr>
          <w:rStyle w:val="35"/>
          <w:rFonts w:hint="eastAsia" w:ascii="宋体" w:hAnsi="宋体" w:eastAsia="宋体" w:cs="宋体"/>
          <w:b w:val="0"/>
          <w:bCs w:val="0"/>
          <w:color w:val="auto"/>
          <w:sz w:val="24"/>
          <w:szCs w:val="24"/>
          <w:highlight w:val="none"/>
        </w:rPr>
        <w:t> 2015年9月28日</w:t>
      </w:r>
    </w:p>
    <w:p w14:paraId="08D2E7E4">
      <w:pPr>
        <w:rPr>
          <w:rFonts w:hint="eastAsia" w:cs="宋体"/>
          <w:color w:val="auto"/>
          <w:spacing w:val="6"/>
          <w:sz w:val="21"/>
          <w:szCs w:val="21"/>
          <w:highlight w:val="none"/>
        </w:rPr>
      </w:pPr>
    </w:p>
    <w:p w14:paraId="243F94FD">
      <w:pPr>
        <w:rPr>
          <w:rFonts w:hint="eastAsia" w:cs="宋体"/>
          <w:color w:val="auto"/>
          <w:spacing w:val="6"/>
          <w:sz w:val="21"/>
          <w:szCs w:val="21"/>
          <w:highlight w:val="none"/>
          <w:lang w:val="en-US" w:eastAsia="zh-CN"/>
        </w:rPr>
      </w:pPr>
    </w:p>
    <w:p w14:paraId="0F080979">
      <w:pPr>
        <w:rPr>
          <w:rFonts w:hint="eastAsia" w:cs="宋体"/>
          <w:color w:val="auto"/>
          <w:spacing w:val="6"/>
          <w:sz w:val="21"/>
          <w:szCs w:val="21"/>
          <w:highlight w:val="none"/>
          <w:lang w:val="en-US" w:eastAsia="zh-CN"/>
        </w:rPr>
      </w:pPr>
    </w:p>
    <w:p w14:paraId="405EB252">
      <w:pPr>
        <w:rPr>
          <w:rFonts w:hint="eastAsia" w:cs="宋体"/>
          <w:color w:val="auto"/>
          <w:spacing w:val="6"/>
          <w:sz w:val="21"/>
          <w:szCs w:val="21"/>
          <w:highlight w:val="none"/>
          <w:lang w:val="en-US" w:eastAsia="zh-CN"/>
        </w:rPr>
      </w:pPr>
    </w:p>
    <w:p w14:paraId="3CAAC428">
      <w:pPr>
        <w:rPr>
          <w:rFonts w:hint="eastAsia" w:cs="宋体"/>
          <w:color w:val="auto"/>
          <w:spacing w:val="6"/>
          <w:sz w:val="21"/>
          <w:szCs w:val="21"/>
          <w:highlight w:val="none"/>
          <w:lang w:val="en-US" w:eastAsia="zh-CN"/>
        </w:rPr>
      </w:pPr>
    </w:p>
    <w:p w14:paraId="4C19777B">
      <w:pPr>
        <w:rPr>
          <w:rFonts w:hint="eastAsia" w:cs="宋体"/>
          <w:color w:val="auto"/>
          <w:spacing w:val="6"/>
          <w:sz w:val="21"/>
          <w:szCs w:val="21"/>
          <w:highlight w:val="none"/>
          <w:lang w:val="en-US" w:eastAsia="zh-CN"/>
        </w:rPr>
      </w:pPr>
    </w:p>
    <w:p w14:paraId="5575D8B3">
      <w:pPr>
        <w:rPr>
          <w:rFonts w:hint="eastAsia" w:cs="宋体"/>
          <w:color w:val="auto"/>
          <w:spacing w:val="6"/>
          <w:sz w:val="21"/>
          <w:szCs w:val="21"/>
          <w:highlight w:val="none"/>
          <w:lang w:val="en-US" w:eastAsia="zh-CN"/>
        </w:rPr>
      </w:pPr>
    </w:p>
    <w:p w14:paraId="6D32B3DA">
      <w:pPr>
        <w:rPr>
          <w:rFonts w:hint="eastAsia" w:cs="宋体"/>
          <w:color w:val="auto"/>
          <w:spacing w:val="6"/>
          <w:sz w:val="21"/>
          <w:szCs w:val="21"/>
          <w:highlight w:val="none"/>
          <w:lang w:val="en-US" w:eastAsia="zh-CN"/>
        </w:rPr>
      </w:pPr>
    </w:p>
    <w:p w14:paraId="368F4A3D">
      <w:pPr>
        <w:rPr>
          <w:rFonts w:hint="eastAsia" w:cs="宋体"/>
          <w:color w:val="auto"/>
          <w:spacing w:val="6"/>
          <w:sz w:val="21"/>
          <w:szCs w:val="21"/>
          <w:highlight w:val="none"/>
          <w:lang w:val="en-US" w:eastAsia="zh-CN"/>
        </w:rPr>
      </w:pPr>
    </w:p>
    <w:p w14:paraId="5930B33B">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34874284">
      <w:pPr>
        <w:pStyle w:val="1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1AB1D85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一、根据《中华人民共和国中小企业促进法</w:t>
      </w:r>
      <w:r>
        <w:rPr>
          <w:rStyle w:val="35"/>
          <w:rFonts w:hint="eastAsia" w:cs="宋体"/>
          <w:b w:val="0"/>
          <w:bCs w:val="0"/>
          <w:color w:val="auto"/>
          <w:sz w:val="24"/>
          <w:szCs w:val="24"/>
          <w:highlight w:val="none"/>
          <w:lang w:eastAsia="zh-CN"/>
        </w:rPr>
        <w:t>》《</w:t>
      </w:r>
      <w:r>
        <w:rPr>
          <w:rStyle w:val="35"/>
          <w:rFonts w:hint="eastAsia" w:ascii="宋体" w:hAnsi="宋体" w:eastAsia="宋体" w:cs="宋体"/>
          <w:b w:val="0"/>
          <w:bCs w:val="0"/>
          <w:color w:val="auto"/>
          <w:sz w:val="24"/>
          <w:szCs w:val="24"/>
          <w:highlight w:val="none"/>
        </w:rPr>
        <w:t>国务院关于进一步促进中小企业发展的若干意见》（国发〔2009〕36号）和《国务院办公厅关于金融支持小微企业发展的实施意见》（国办发〔2013〕87号），制定本规定。</w:t>
      </w:r>
    </w:p>
    <w:p w14:paraId="49E478B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76193F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560F30D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2F0CBB4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4A1304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70B06E7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4A31CAD5">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09CB041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6F70E50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438FDB5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471D4D5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r>
        <w:rPr>
          <w:rStyle w:val="35"/>
          <w:rFonts w:hint="eastAsia" w:cs="宋体"/>
          <w:b w:val="0"/>
          <w:bCs w:val="0"/>
          <w:color w:val="auto"/>
          <w:sz w:val="24"/>
          <w:szCs w:val="24"/>
          <w:highlight w:val="none"/>
          <w:lang w:eastAsia="zh-CN"/>
        </w:rPr>
        <w:t>。</w:t>
      </w:r>
    </w:p>
    <w:p w14:paraId="289786F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lang w:eastAsia="zh-CN"/>
        </w:rPr>
      </w:pPr>
      <w:r>
        <w:rPr>
          <w:rStyle w:val="35"/>
          <w:rFonts w:hint="eastAsia" w:cs="宋体"/>
          <w:b w:val="0"/>
          <w:bCs w:val="0"/>
          <w:color w:val="auto"/>
          <w:sz w:val="24"/>
          <w:szCs w:val="24"/>
          <w:highlight w:val="none"/>
          <w:lang w:eastAsia="zh-CN"/>
        </w:rPr>
        <w:t>（八）</w:t>
      </w:r>
      <w:r>
        <w:rPr>
          <w:rStyle w:val="35"/>
          <w:rFonts w:hint="eastAsia" w:ascii="宋体" w:hAnsi="宋体" w:eastAsia="宋体" w:cs="宋体"/>
          <w:b w:val="0"/>
          <w:bCs w:val="0"/>
          <w:color w:val="auto"/>
          <w:sz w:val="24"/>
          <w:szCs w:val="24"/>
          <w:highlight w:val="none"/>
        </w:rPr>
        <w:t>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5"/>
          <w:rFonts w:hint="eastAsia" w:cs="宋体"/>
          <w:b w:val="0"/>
          <w:bCs w:val="0"/>
          <w:color w:val="auto"/>
          <w:sz w:val="24"/>
          <w:szCs w:val="24"/>
          <w:highlight w:val="none"/>
          <w:lang w:eastAsia="zh-CN"/>
        </w:rPr>
        <w:t>。</w:t>
      </w:r>
    </w:p>
    <w:p w14:paraId="7DB58D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5"/>
          <w:rFonts w:hint="eastAsia" w:cs="宋体"/>
          <w:b w:val="0"/>
          <w:bCs w:val="0"/>
          <w:color w:val="auto"/>
          <w:sz w:val="24"/>
          <w:szCs w:val="24"/>
          <w:highlight w:val="none"/>
          <w:lang w:eastAsia="zh-CN"/>
        </w:rPr>
        <w:t>，</w:t>
      </w:r>
      <w:r>
        <w:rPr>
          <w:rStyle w:val="35"/>
          <w:rFonts w:hint="eastAsia" w:ascii="宋体" w:hAnsi="宋体" w:eastAsia="宋体" w:cs="宋体"/>
          <w:b w:val="0"/>
          <w:bCs w:val="0"/>
          <w:color w:val="auto"/>
          <w:sz w:val="24"/>
          <w:szCs w:val="24"/>
          <w:highlight w:val="none"/>
        </w:rPr>
        <w:t>方便政府部门和社会各界查询使用。</w:t>
      </w:r>
    </w:p>
    <w:p w14:paraId="26902C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6D23EB5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lang w:eastAsia="zh-CN"/>
        </w:rPr>
      </w:pPr>
      <w:r>
        <w:rPr>
          <w:rStyle w:val="35"/>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5"/>
          <w:rFonts w:hint="eastAsia" w:cs="宋体"/>
          <w:b w:val="0"/>
          <w:bCs w:val="0"/>
          <w:color w:val="auto"/>
          <w:sz w:val="24"/>
          <w:szCs w:val="24"/>
          <w:highlight w:val="none"/>
          <w:lang w:eastAsia="zh-CN"/>
        </w:rPr>
        <w:t>。</w:t>
      </w:r>
    </w:p>
    <w:p w14:paraId="694A3CC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lang w:eastAsia="zh-CN"/>
        </w:rPr>
      </w:pPr>
      <w:r>
        <w:rPr>
          <w:rStyle w:val="35"/>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5"/>
          <w:rFonts w:hint="eastAsia" w:cs="宋体"/>
          <w:b w:val="0"/>
          <w:bCs w:val="0"/>
          <w:color w:val="auto"/>
          <w:sz w:val="24"/>
          <w:szCs w:val="24"/>
          <w:highlight w:val="none"/>
          <w:lang w:eastAsia="zh-CN"/>
        </w:rPr>
        <w:t>。</w:t>
      </w:r>
    </w:p>
    <w:p w14:paraId="26F9C702">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十、本规定由人民银行会同银监会、证监会、保监会和统计局负责解释。</w:t>
      </w:r>
    </w:p>
    <w:p w14:paraId="4C2165F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lang w:eastAsia="zh-CN"/>
        </w:rPr>
      </w:pPr>
      <w:r>
        <w:rPr>
          <w:rStyle w:val="35"/>
          <w:rFonts w:hint="eastAsia" w:ascii="宋体" w:hAnsi="宋体" w:eastAsia="宋体" w:cs="宋体"/>
          <w:b w:val="0"/>
          <w:bCs w:val="0"/>
          <w:color w:val="auto"/>
          <w:sz w:val="24"/>
          <w:szCs w:val="24"/>
          <w:highlight w:val="none"/>
        </w:rPr>
        <w:t>十一、本规定自发布之日起实施</w:t>
      </w:r>
      <w:r>
        <w:rPr>
          <w:rStyle w:val="35"/>
          <w:rFonts w:hint="eastAsia" w:cs="宋体"/>
          <w:b w:val="0"/>
          <w:bCs w:val="0"/>
          <w:color w:val="auto"/>
          <w:sz w:val="24"/>
          <w:szCs w:val="24"/>
          <w:highlight w:val="none"/>
          <w:lang w:eastAsia="zh-CN"/>
        </w:rPr>
        <w:t>。</w:t>
      </w:r>
    </w:p>
    <w:p w14:paraId="4B5175C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p>
    <w:p w14:paraId="1C35096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附</w:t>
      </w:r>
      <w:r>
        <w:rPr>
          <w:rStyle w:val="35"/>
          <w:rFonts w:hint="eastAsia" w:cs="宋体"/>
          <w:b w:val="0"/>
          <w:bCs w:val="0"/>
          <w:color w:val="auto"/>
          <w:sz w:val="24"/>
          <w:szCs w:val="24"/>
          <w:highlight w:val="none"/>
          <w:lang w:eastAsia="zh-CN"/>
        </w:rPr>
        <w:t>：</w:t>
      </w:r>
      <w:r>
        <w:rPr>
          <w:rStyle w:val="35"/>
          <w:rFonts w:hint="eastAsia" w:ascii="宋体" w:hAnsi="宋体" w:eastAsia="宋体" w:cs="宋体"/>
          <w:b w:val="0"/>
          <w:bCs w:val="0"/>
          <w:color w:val="auto"/>
          <w:sz w:val="24"/>
          <w:szCs w:val="24"/>
          <w:highlight w:val="none"/>
        </w:rPr>
        <w:t>金融业企业划型标准</w:t>
      </w:r>
    </w:p>
    <w:p w14:paraId="776DC77B">
      <w:pPr>
        <w:rPr>
          <w:rFonts w:cs="宋体"/>
          <w:color w:val="auto"/>
          <w:spacing w:val="6"/>
          <w:sz w:val="21"/>
          <w:szCs w:val="21"/>
          <w:highlight w:val="none"/>
        </w:rPr>
      </w:pPr>
    </w:p>
    <w:p w14:paraId="73841675">
      <w:pPr>
        <w:rPr>
          <w:rFonts w:hint="eastAsia" w:cs="宋体"/>
          <w:color w:val="auto"/>
          <w:spacing w:val="6"/>
          <w:sz w:val="24"/>
          <w:szCs w:val="24"/>
          <w:highlight w:val="none"/>
          <w:lang w:val="en-US" w:eastAsia="zh-CN"/>
        </w:rPr>
      </w:pPr>
    </w:p>
    <w:p w14:paraId="02B97522">
      <w:pPr>
        <w:rPr>
          <w:rFonts w:hint="eastAsia" w:cs="宋体"/>
          <w:color w:val="auto"/>
          <w:spacing w:val="6"/>
          <w:sz w:val="24"/>
          <w:szCs w:val="24"/>
          <w:highlight w:val="none"/>
          <w:lang w:val="en-US" w:eastAsia="zh-CN"/>
        </w:rPr>
      </w:pPr>
    </w:p>
    <w:p w14:paraId="076F4086">
      <w:pPr>
        <w:rPr>
          <w:rFonts w:hint="eastAsia" w:cs="宋体"/>
          <w:color w:val="auto"/>
          <w:spacing w:val="6"/>
          <w:sz w:val="24"/>
          <w:szCs w:val="24"/>
          <w:highlight w:val="none"/>
          <w:lang w:val="en-US" w:eastAsia="zh-CN"/>
        </w:rPr>
      </w:pPr>
    </w:p>
    <w:p w14:paraId="3364E75E">
      <w:pPr>
        <w:rPr>
          <w:rFonts w:hint="eastAsia" w:cs="宋体"/>
          <w:color w:val="auto"/>
          <w:spacing w:val="6"/>
          <w:sz w:val="24"/>
          <w:szCs w:val="24"/>
          <w:highlight w:val="none"/>
          <w:lang w:val="en-US" w:eastAsia="zh-CN"/>
        </w:rPr>
      </w:pPr>
    </w:p>
    <w:p w14:paraId="76EF1E8B">
      <w:pPr>
        <w:rPr>
          <w:rFonts w:hint="eastAsia" w:cs="宋体"/>
          <w:color w:val="auto"/>
          <w:spacing w:val="6"/>
          <w:sz w:val="24"/>
          <w:szCs w:val="24"/>
          <w:highlight w:val="none"/>
          <w:lang w:val="en-US" w:eastAsia="zh-CN"/>
        </w:rPr>
      </w:pPr>
    </w:p>
    <w:p w14:paraId="6276CFAA">
      <w:pPr>
        <w:rPr>
          <w:rFonts w:hint="eastAsia" w:cs="宋体"/>
          <w:color w:val="auto"/>
          <w:spacing w:val="6"/>
          <w:sz w:val="24"/>
          <w:szCs w:val="24"/>
          <w:highlight w:val="none"/>
          <w:lang w:val="en-US" w:eastAsia="zh-CN"/>
        </w:rPr>
      </w:pPr>
    </w:p>
    <w:p w14:paraId="618E4D3C">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1458D940">
      <w:pPr>
        <w:pStyle w:val="19"/>
        <w:keepNext w:val="0"/>
        <w:keepLines w:val="0"/>
        <w:pageBreakBefore w:val="0"/>
        <w:widowControl w:val="0"/>
        <w:kinsoku/>
        <w:wordWrap/>
        <w:overflowPunct/>
        <w:topLinePunct w:val="0"/>
        <w:autoSpaceDE/>
        <w:autoSpaceDN/>
        <w:bidi w:val="0"/>
        <w:adjustRightInd/>
        <w:snapToGrid/>
        <w:spacing w:before="100" w:after="100"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3"/>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168"/>
        <w:gridCol w:w="1817"/>
        <w:gridCol w:w="1143"/>
        <w:gridCol w:w="3251"/>
      </w:tblGrid>
      <w:tr w14:paraId="610D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Align w:val="center"/>
          </w:tcPr>
          <w:p w14:paraId="07C20339">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6DB43EF8">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CC7CA08">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6EAB6BC1">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2B38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EB6878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200719E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3B35BCC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28E10A7A">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1F418527">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3E44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B2B1190">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FBEC09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26B71AA1">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26AA8C0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2D85C0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A24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79BE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54BA833">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2544A39B">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4E2784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72DB6208">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6B462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D87F89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7A4D1ADA">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39473A1E">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26577A7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3CD725D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03CD8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617595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8A4FEC3">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F5FF5FA">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FE136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3E3CD85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3C15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DBDD5D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F40DC7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549358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771F82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77E06E58">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5CDF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227AB0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241600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093FEFD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4AEA274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5106E2D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CD4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206E8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9B8EB47">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B8535D8">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2B4385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682594C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2217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701290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7D494A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5FC17F1">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981D5C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626A755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5DA2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54F6290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3EA4703">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110AC04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76E7E14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6377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3A08374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FE6722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E87606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E04D78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FD5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036EC55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26FB3833">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0182A5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8C2983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6D8E7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68EDDFEB">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184653D2">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01B0999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1AA694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1743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3D2DF9D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3C18D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700741E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CFCDDC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2E55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1C3D04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C398B0C">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FEA159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0D812A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0679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735AEC97">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14718FC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4D45312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17AA5C1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175CABC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0A49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E28F11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5E432DD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415E638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52605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71F322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838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2DEF4C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5B830E1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7D1C9D1">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CCB9A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20872D0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3285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815175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246D210A">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15D357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47900A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3EEC228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27A8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F383B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DBD125D">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4BE1F5EA">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3C4E14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66D7E1A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5D4A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6EFBA2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D9185B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4C22DE1">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018CBC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52BBCA0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0F5B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18E9FD8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688960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6DAB479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8D307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730959D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69C2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AFAB1BA">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5A4A27CE">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6E4D67E8">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AE123C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00DCF9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2B3D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5AD34F74">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39E2AE3E">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050DFC65">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2A183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2B0296A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2BFAB19A">
      <w:pPr>
        <w:pStyle w:val="19"/>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方正小标宋_GBK" w:hAnsi="方正小标宋_GBK" w:eastAsia="方正小标宋_GBK" w:cs="方正小标宋_GBK"/>
          <w:bCs/>
          <w:color w:val="auto"/>
          <w:sz w:val="36"/>
          <w:szCs w:val="36"/>
          <w:highlight w:val="none"/>
          <w:lang w:val="en-US" w:eastAsia="zh-CN"/>
        </w:rPr>
      </w:pPr>
      <w:r>
        <w:rPr>
          <w:rFonts w:cs="宋体"/>
          <w:color w:val="auto"/>
          <w:spacing w:val="6"/>
          <w:sz w:val="21"/>
          <w:szCs w:val="21"/>
          <w:highlight w:val="none"/>
        </w:rPr>
        <w:br w:type="page"/>
      </w:r>
    </w:p>
    <w:p w14:paraId="5EADEA6C">
      <w:pPr>
        <w:pStyle w:val="19"/>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Cs/>
          <w:color w:val="auto"/>
          <w:sz w:val="36"/>
          <w:szCs w:val="36"/>
          <w:highlight w:val="none"/>
          <w:lang w:val="en-US" w:eastAsia="zh-CN"/>
        </w:rPr>
      </w:pPr>
    </w:p>
    <w:p w14:paraId="4A1DAC2E">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457" w:name="_Toc30764"/>
      <w:bookmarkStart w:id="458" w:name="_Toc16227"/>
      <w:r>
        <w:rPr>
          <w:rFonts w:hint="eastAsia" w:ascii="宋体" w:hAnsi="宋体" w:eastAsia="宋体" w:cstheme="minorBidi"/>
          <w:b/>
          <w:bCs/>
          <w:color w:val="auto"/>
          <w:kern w:val="2"/>
          <w:sz w:val="24"/>
          <w:szCs w:val="24"/>
          <w:highlight w:val="none"/>
          <w:lang w:val="en-US" w:eastAsia="zh-CN" w:bidi="ar-SA"/>
        </w:rPr>
        <w:t>（三）监狱企业证明文件</w:t>
      </w:r>
      <w:r>
        <w:rPr>
          <w:rFonts w:hint="eastAsia" w:ascii="宋体" w:hAnsi="宋体" w:eastAsia="宋体" w:cstheme="minorBidi"/>
          <w:b w:val="0"/>
          <w:bCs w:val="0"/>
          <w:color w:val="auto"/>
          <w:kern w:val="2"/>
          <w:sz w:val="24"/>
          <w:szCs w:val="24"/>
          <w:highlight w:val="none"/>
          <w:lang w:val="en-US" w:eastAsia="zh-CN" w:bidi="ar-SA"/>
        </w:rPr>
        <w:t>【如适用】</w:t>
      </w:r>
      <w:bookmarkEnd w:id="456"/>
      <w:bookmarkEnd w:id="457"/>
      <w:bookmarkEnd w:id="458"/>
    </w:p>
    <w:p w14:paraId="7A1EC1C4">
      <w:pPr>
        <w:rPr>
          <w:rFonts w:cs="仿宋_GB2312"/>
          <w:b/>
          <w:color w:val="auto"/>
          <w:sz w:val="24"/>
          <w:szCs w:val="24"/>
          <w:highlight w:val="none"/>
        </w:rPr>
      </w:pPr>
    </w:p>
    <w:p w14:paraId="7263D9C0">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5F55C7E6">
      <w:pPr>
        <w:pStyle w:val="19"/>
        <w:spacing w:line="360" w:lineRule="auto"/>
        <w:jc w:val="center"/>
        <w:rPr>
          <w:rFonts w:hint="eastAsia" w:ascii="宋体" w:hAnsi="宋体" w:eastAsia="宋体" w:cs="宋体"/>
          <w:b/>
          <w:bCs w:val="0"/>
          <w:color w:val="auto"/>
          <w:sz w:val="32"/>
          <w:szCs w:val="32"/>
          <w:highlight w:val="none"/>
        </w:rPr>
      </w:pPr>
    </w:p>
    <w:p w14:paraId="69D5A766">
      <w:pPr>
        <w:pStyle w:val="19"/>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75168F72">
      <w:pPr>
        <w:spacing w:line="360" w:lineRule="auto"/>
        <w:rPr>
          <w:rFonts w:hint="eastAsia" w:ascii="仿宋_GB2312" w:hAnsi="仿宋_GB2312" w:eastAsia="仿宋_GB2312" w:cs="仿宋_GB2312"/>
          <w:color w:val="auto"/>
          <w:sz w:val="32"/>
          <w:szCs w:val="32"/>
          <w:highlight w:val="none"/>
        </w:rPr>
      </w:pPr>
    </w:p>
    <w:p w14:paraId="6EA2CAF7">
      <w:pPr>
        <w:ind w:firstLine="504" w:firstLineChars="200"/>
        <w:rPr>
          <w:rFonts w:hint="eastAsia" w:cs="宋体"/>
          <w:color w:val="auto"/>
          <w:spacing w:val="6"/>
          <w:szCs w:val="24"/>
          <w:highlight w:val="none"/>
        </w:rPr>
      </w:pPr>
      <w:r>
        <w:rPr>
          <w:rFonts w:hint="eastAsia" w:cs="宋体"/>
          <w:color w:val="auto"/>
          <w:spacing w:val="6"/>
          <w:szCs w:val="24"/>
          <w:highlight w:val="none"/>
        </w:rPr>
        <w:t>本公司郑重声明，根据财政部、司法部《关于政府采购支持监狱企业发展有关问题的通知》（财库</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2014</w:t>
      </w:r>
      <w:r>
        <w:rPr>
          <w:rFonts w:hint="eastAsia" w:ascii="微软雅黑" w:hAnsi="微软雅黑" w:eastAsia="微软雅黑" w:cs="微软雅黑"/>
          <w:color w:val="auto"/>
          <w:spacing w:val="6"/>
          <w:szCs w:val="24"/>
          <w:highlight w:val="none"/>
          <w:lang w:eastAsia="zh-CN"/>
        </w:rPr>
        <w:t>〕</w:t>
      </w:r>
      <w:r>
        <w:rPr>
          <w:rFonts w:hint="eastAsia" w:cs="宋体"/>
          <w:color w:val="auto"/>
          <w:spacing w:val="6"/>
          <w:szCs w:val="24"/>
          <w:highlight w:val="none"/>
        </w:rPr>
        <w:t>68号）的规定，本公司为监狱企业。</w:t>
      </w:r>
    </w:p>
    <w:p w14:paraId="1BD92464">
      <w:pPr>
        <w:spacing w:line="360" w:lineRule="auto"/>
        <w:rPr>
          <w:rFonts w:hint="eastAsia" w:ascii="宋体" w:hAnsi="宋体" w:eastAsia="宋体" w:cs="宋体"/>
          <w:color w:val="auto"/>
          <w:sz w:val="24"/>
          <w:szCs w:val="24"/>
          <w:highlight w:val="none"/>
        </w:rPr>
      </w:pPr>
    </w:p>
    <w:p w14:paraId="55D4DC1C">
      <w:pPr>
        <w:ind w:firstLine="4440" w:firstLineChars="1850"/>
        <w:rPr>
          <w:rFonts w:hint="eastAsia" w:ascii="宋体" w:hAnsi="宋体" w:eastAsia="宋体" w:cs="宋体"/>
          <w:color w:val="auto"/>
          <w:sz w:val="24"/>
          <w:szCs w:val="24"/>
          <w:highlight w:val="none"/>
        </w:rPr>
      </w:pPr>
    </w:p>
    <w:p w14:paraId="518B6CD2">
      <w:pPr>
        <w:ind w:firstLine="4440" w:firstLineChars="1850"/>
        <w:rPr>
          <w:rFonts w:hint="eastAsia" w:ascii="宋体" w:hAnsi="宋体" w:eastAsia="宋体" w:cs="宋体"/>
          <w:color w:val="auto"/>
          <w:sz w:val="24"/>
          <w:szCs w:val="24"/>
          <w:highlight w:val="none"/>
        </w:rPr>
      </w:pPr>
    </w:p>
    <w:p w14:paraId="318B5E61">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spacing w:val="6"/>
          <w:sz w:val="24"/>
          <w:szCs w:val="24"/>
          <w:highlight w:val="none"/>
        </w:rPr>
        <w:t>：</w:t>
      </w:r>
    </w:p>
    <w:p w14:paraId="6681F006">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36E1A322">
      <w:pPr>
        <w:spacing w:line="360" w:lineRule="auto"/>
        <w:ind w:firstLine="240" w:firstLineChars="100"/>
        <w:rPr>
          <w:rFonts w:hint="eastAsia" w:ascii="宋体" w:hAnsi="宋体" w:eastAsia="宋体" w:cs="宋体"/>
          <w:color w:val="auto"/>
          <w:sz w:val="24"/>
          <w:szCs w:val="24"/>
          <w:highlight w:val="none"/>
        </w:rPr>
      </w:pPr>
    </w:p>
    <w:p w14:paraId="69428AFB">
      <w:pPr>
        <w:spacing w:line="360" w:lineRule="auto"/>
        <w:ind w:firstLine="240" w:firstLineChars="100"/>
        <w:rPr>
          <w:rFonts w:hint="eastAsia" w:ascii="宋体" w:hAnsi="宋体" w:eastAsia="宋体" w:cs="宋体"/>
          <w:color w:val="auto"/>
          <w:sz w:val="24"/>
          <w:szCs w:val="24"/>
          <w:highlight w:val="none"/>
        </w:rPr>
      </w:pPr>
    </w:p>
    <w:p w14:paraId="778144EA">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66EDBDE2">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（含新疆生产建设兵团）（盖章）：  </w:t>
      </w:r>
    </w:p>
    <w:p w14:paraId="13CF6638">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2647AD9D">
      <w:pPr>
        <w:spacing w:line="360" w:lineRule="auto"/>
        <w:ind w:firstLine="240" w:firstLineChars="100"/>
        <w:rPr>
          <w:rFonts w:hint="eastAsia" w:ascii="宋体" w:hAnsi="宋体" w:eastAsia="宋体" w:cs="宋体"/>
          <w:color w:val="auto"/>
          <w:sz w:val="24"/>
          <w:szCs w:val="24"/>
          <w:highlight w:val="none"/>
        </w:rPr>
      </w:pPr>
    </w:p>
    <w:p w14:paraId="1EAFF393">
      <w:pPr>
        <w:spacing w:line="360" w:lineRule="auto"/>
        <w:ind w:firstLine="4000" w:firstLineChars="1250"/>
        <w:rPr>
          <w:rFonts w:hint="eastAsia" w:ascii="仿宋_GB2312" w:hAnsi="仿宋_GB2312" w:eastAsia="仿宋_GB2312" w:cs="仿宋_GB2312"/>
          <w:color w:val="auto"/>
          <w:sz w:val="32"/>
          <w:szCs w:val="32"/>
          <w:highlight w:val="none"/>
        </w:rPr>
      </w:pPr>
    </w:p>
    <w:p w14:paraId="13D07F89">
      <w:pPr>
        <w:spacing w:line="360" w:lineRule="auto"/>
        <w:rPr>
          <w:rFonts w:hint="eastAsia" w:ascii="仿宋_GB2312" w:hAnsi="仿宋_GB2312" w:eastAsia="仿宋_GB2312" w:cs="仿宋_GB2312"/>
          <w:color w:val="auto"/>
          <w:sz w:val="32"/>
          <w:szCs w:val="32"/>
          <w:highlight w:val="none"/>
        </w:rPr>
      </w:pPr>
    </w:p>
    <w:p w14:paraId="62A9C322">
      <w:pPr>
        <w:widowControl/>
        <w:spacing w:before="100" w:beforeAutospacing="1" w:after="100" w:afterAutospacing="1"/>
        <w:rPr>
          <w:rFonts w:ascii="Arial" w:hAnsi="Arial" w:cs="Arial"/>
          <w:color w:val="auto"/>
          <w:sz w:val="21"/>
          <w:szCs w:val="21"/>
          <w:highlight w:val="none"/>
        </w:rPr>
      </w:pPr>
    </w:p>
    <w:p w14:paraId="4E5392B4">
      <w:pPr>
        <w:widowControl/>
        <w:spacing w:before="100" w:beforeAutospacing="1" w:after="100" w:afterAutospacing="1"/>
        <w:rPr>
          <w:rFonts w:ascii="Arial" w:hAnsi="Arial" w:cs="Arial"/>
          <w:color w:val="auto"/>
          <w:sz w:val="21"/>
          <w:szCs w:val="21"/>
          <w:highlight w:val="none"/>
        </w:rPr>
      </w:pPr>
    </w:p>
    <w:p w14:paraId="49AA7617">
      <w:pPr>
        <w:widowControl/>
        <w:spacing w:before="100" w:beforeAutospacing="1" w:after="100" w:afterAutospacing="1"/>
        <w:rPr>
          <w:rFonts w:ascii="Arial" w:hAnsi="Arial" w:cs="Arial"/>
          <w:color w:val="auto"/>
          <w:sz w:val="21"/>
          <w:szCs w:val="21"/>
          <w:highlight w:val="none"/>
        </w:rPr>
      </w:pPr>
    </w:p>
    <w:p w14:paraId="7F8BDD6D">
      <w:pPr>
        <w:bidi w:val="0"/>
        <w:rPr>
          <w:rFonts w:hint="eastAsia"/>
          <w:color w:val="auto"/>
          <w:highlight w:val="none"/>
          <w:lang w:val="en-US" w:eastAsia="zh-CN"/>
        </w:rPr>
      </w:pPr>
      <w:bookmarkStart w:id="459" w:name="_Toc163492941"/>
    </w:p>
    <w:p w14:paraId="2B9315CE">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460" w:name="_Toc13465"/>
      <w:bookmarkStart w:id="461" w:name="_Toc31652"/>
      <w:r>
        <w:rPr>
          <w:rFonts w:hint="eastAsia" w:ascii="宋体" w:hAnsi="宋体" w:eastAsia="宋体" w:cstheme="minorBidi"/>
          <w:b/>
          <w:bCs/>
          <w:color w:val="auto"/>
          <w:kern w:val="2"/>
          <w:sz w:val="24"/>
          <w:szCs w:val="24"/>
          <w:highlight w:val="none"/>
          <w:lang w:val="en-US" w:eastAsia="zh-CN" w:bidi="ar-SA"/>
        </w:rPr>
        <w:t>（四）残疾人福利性单位声明函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459"/>
      <w:bookmarkEnd w:id="460"/>
      <w:bookmarkEnd w:id="461"/>
    </w:p>
    <w:p w14:paraId="38337141">
      <w:pPr>
        <w:pStyle w:val="43"/>
        <w:numPr>
          <w:ilvl w:val="0"/>
          <w:numId w:val="0"/>
        </w:numPr>
        <w:ind w:left="420" w:leftChars="0" w:hanging="420" w:firstLineChars="0"/>
        <w:jc w:val="center"/>
        <w:rPr>
          <w:rFonts w:hint="eastAsia"/>
          <w:b/>
          <w:bCs/>
          <w:color w:val="auto"/>
          <w:sz w:val="32"/>
          <w:szCs w:val="32"/>
          <w:highlight w:val="none"/>
        </w:rPr>
      </w:pPr>
    </w:p>
    <w:p w14:paraId="02CA056A">
      <w:pPr>
        <w:pStyle w:val="43"/>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60A118C7">
      <w:pPr>
        <w:wordWrap w:val="0"/>
        <w:ind w:firstLine="480" w:firstLineChars="200"/>
        <w:rPr>
          <w:rFonts w:hint="eastAsia"/>
          <w:color w:val="auto"/>
          <w:szCs w:val="24"/>
          <w:highlight w:val="none"/>
        </w:rPr>
      </w:pPr>
    </w:p>
    <w:p w14:paraId="5FB1E7E2">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w:t>
      </w:r>
      <w:r>
        <w:rPr>
          <w:rFonts w:hint="eastAsia"/>
          <w:i w:val="0"/>
          <w:iCs w:val="0"/>
          <w:color w:val="auto"/>
          <w:szCs w:val="24"/>
          <w:highlight w:val="none"/>
          <w:lang w:val="en-US" w:eastAsia="zh-CN"/>
        </w:rPr>
        <w:t>服务及</w:t>
      </w:r>
      <w:r>
        <w:rPr>
          <w:rFonts w:hint="eastAsia"/>
          <w:i w:val="0"/>
          <w:iCs w:val="0"/>
          <w:color w:val="auto"/>
          <w:szCs w:val="24"/>
          <w:highlight w:val="none"/>
        </w:rPr>
        <w:t>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w:t>
      </w:r>
      <w:r>
        <w:rPr>
          <w:rFonts w:hint="eastAsia"/>
          <w:b/>
          <w:i w:val="0"/>
          <w:iCs w:val="0"/>
          <w:color w:val="auto"/>
          <w:szCs w:val="24"/>
          <w:highlight w:val="none"/>
          <w:lang w:val="en-US" w:eastAsia="zh-CN"/>
        </w:rPr>
        <w:t>提供和</w:t>
      </w:r>
      <w:r>
        <w:rPr>
          <w:rFonts w:hint="eastAsia"/>
          <w:b/>
          <w:i w:val="0"/>
          <w:iCs w:val="0"/>
          <w:color w:val="auto"/>
          <w:szCs w:val="24"/>
          <w:highlight w:val="none"/>
        </w:rPr>
        <w:t>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1C008B75">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BF20846">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w:t>
      </w:r>
      <w:r>
        <w:rPr>
          <w:rFonts w:hint="eastAsia"/>
          <w:i w:val="0"/>
          <w:iCs w:val="0"/>
          <w:color w:val="auto"/>
          <w:szCs w:val="24"/>
          <w:highlight w:val="none"/>
          <w:lang w:val="en-US" w:eastAsia="zh-CN"/>
        </w:rPr>
        <w:t>承接单位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2981E173">
      <w:pPr>
        <w:wordWrap w:val="0"/>
        <w:ind w:firstLine="480" w:firstLineChars="200"/>
        <w:rPr>
          <w:i w:val="0"/>
          <w:iCs w:val="0"/>
          <w:color w:val="auto"/>
          <w:szCs w:val="24"/>
          <w:highlight w:val="none"/>
        </w:rPr>
      </w:pPr>
      <w:r>
        <w:rPr>
          <w:rFonts w:hint="eastAsia"/>
          <w:i w:val="0"/>
          <w:iCs w:val="0"/>
          <w:color w:val="auto"/>
          <w:szCs w:val="24"/>
          <w:highlight w:val="none"/>
        </w:rPr>
        <w:t>……</w:t>
      </w:r>
    </w:p>
    <w:p w14:paraId="69CA850C">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289E5D19">
      <w:pPr>
        <w:wordWrap w:val="0"/>
        <w:ind w:left="1087" w:leftChars="200" w:hanging="607" w:hangingChars="253"/>
        <w:rPr>
          <w:color w:val="auto"/>
          <w:szCs w:val="24"/>
          <w:highlight w:val="none"/>
        </w:rPr>
      </w:pPr>
      <w:r>
        <w:rPr>
          <w:rFonts w:hint="eastAsia"/>
          <w:color w:val="auto"/>
          <w:szCs w:val="24"/>
          <w:highlight w:val="none"/>
        </w:rPr>
        <w:t>本企业对上述声明内容的真实性负责。如有虚假，将依法承担相应责任。</w:t>
      </w:r>
    </w:p>
    <w:p w14:paraId="16E35D4A">
      <w:pPr>
        <w:wordWrap w:val="0"/>
        <w:ind w:left="1091" w:hanging="1091" w:hangingChars="453"/>
        <w:rPr>
          <w:b/>
          <w:bCs/>
          <w:color w:val="auto"/>
          <w:szCs w:val="24"/>
          <w:highlight w:val="none"/>
        </w:rPr>
      </w:pPr>
    </w:p>
    <w:p w14:paraId="40406D07">
      <w:pPr>
        <w:wordWrap w:val="0"/>
        <w:ind w:left="1091" w:hanging="1091" w:hangingChars="453"/>
        <w:rPr>
          <w:bCs/>
          <w:color w:val="auto"/>
          <w:szCs w:val="24"/>
          <w:highlight w:val="none"/>
        </w:rPr>
      </w:pPr>
      <w:r>
        <w:rPr>
          <w:rFonts w:hint="eastAsia"/>
          <w:b/>
          <w:bCs/>
          <w:color w:val="auto"/>
          <w:szCs w:val="24"/>
          <w:highlight w:val="none"/>
        </w:rPr>
        <w:t>说明：</w:t>
      </w:r>
      <w:r>
        <w:rPr>
          <w:rFonts w:hint="eastAsia"/>
          <w:bCs/>
          <w:color w:val="auto"/>
          <w:szCs w:val="24"/>
          <w:highlight w:val="none"/>
        </w:rPr>
        <w:t>1、</w:t>
      </w:r>
      <w:r>
        <w:rPr>
          <w:rFonts w:hint="eastAsia"/>
          <w:bCs/>
          <w:color w:val="auto"/>
          <w:szCs w:val="24"/>
          <w:highlight w:val="none"/>
          <w:lang w:val="en-US" w:eastAsia="zh-CN"/>
        </w:rPr>
        <w:t>服务及</w:t>
      </w:r>
      <w:r>
        <w:rPr>
          <w:rFonts w:hint="eastAsia"/>
          <w:bCs/>
          <w:color w:val="auto"/>
          <w:szCs w:val="21"/>
          <w:highlight w:val="none"/>
          <w:lang w:val="zh-CN"/>
        </w:rPr>
        <w:t>货物应当全部由符合政策要求的残疾人福利性单位</w:t>
      </w:r>
      <w:r>
        <w:rPr>
          <w:rFonts w:hint="eastAsia"/>
          <w:bCs/>
          <w:color w:val="auto"/>
          <w:szCs w:val="21"/>
          <w:highlight w:val="none"/>
          <w:lang w:val="en-US" w:eastAsia="zh-CN"/>
        </w:rPr>
        <w:t>提供及</w:t>
      </w:r>
      <w:r>
        <w:rPr>
          <w:rFonts w:hint="eastAsia"/>
          <w:bCs/>
          <w:color w:val="auto"/>
          <w:szCs w:val="21"/>
          <w:highlight w:val="none"/>
          <w:lang w:val="zh-CN"/>
        </w:rPr>
        <w:t>生产且使用该残疾人福利性单位商号或注册商标（与代理商或投标人无关）；应当严格按上述格式及内容进行填写（应当明确每个标的的生产企业类型及相关数据），否则导致的后果由投标人自行承担；</w:t>
      </w:r>
    </w:p>
    <w:p w14:paraId="51360868">
      <w:pPr>
        <w:wordWrap w:val="0"/>
        <w:ind w:left="1087" w:hanging="1087" w:hangingChars="453"/>
        <w:rPr>
          <w:rFonts w:cs="Courier New"/>
          <w:color w:val="auto"/>
          <w:szCs w:val="21"/>
          <w:highlight w:val="none"/>
        </w:rPr>
      </w:pPr>
      <w:r>
        <w:rPr>
          <w:rFonts w:hint="eastAsia"/>
          <w:bCs/>
          <w:color w:val="auto"/>
          <w:szCs w:val="21"/>
          <w:highlight w:val="none"/>
          <w:lang w:val="zh-CN"/>
        </w:rPr>
        <w:t xml:space="preserve">      2.</w:t>
      </w:r>
      <w:r>
        <w:rPr>
          <w:rFonts w:hint="eastAsia" w:cs="Courier New"/>
          <w:color w:val="auto"/>
          <w:szCs w:val="21"/>
          <w:highlight w:val="none"/>
        </w:rPr>
        <w:t>以联合体形式参加的，应</w:t>
      </w:r>
      <w:r>
        <w:rPr>
          <w:rFonts w:hint="eastAsia"/>
          <w:bCs/>
          <w:color w:val="auto"/>
          <w:szCs w:val="21"/>
          <w:highlight w:val="none"/>
          <w:lang w:val="zh-CN"/>
        </w:rPr>
        <w:t>当</w:t>
      </w:r>
      <w:r>
        <w:rPr>
          <w:rFonts w:hint="eastAsia" w:cs="Courier New"/>
          <w:color w:val="auto"/>
          <w:szCs w:val="21"/>
          <w:highlight w:val="none"/>
        </w:rPr>
        <w:t>由联合体各方盖章。</w:t>
      </w:r>
    </w:p>
    <w:p w14:paraId="6CD3B5C8">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13D2D786">
      <w:pPr>
        <w:wordWrap w:val="0"/>
        <w:spacing w:before="100" w:beforeAutospacing="1" w:after="100" w:afterAutospacing="1"/>
        <w:ind w:firstLine="3316" w:firstLineChars="1382"/>
        <w:rPr>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443C2299">
      <w:pPr>
        <w:ind w:left="4620" w:firstLine="281" w:firstLineChars="100"/>
        <w:rPr>
          <w:rFonts w:cs="仿宋_GB2312"/>
          <w:b/>
          <w:color w:val="auto"/>
          <w:sz w:val="28"/>
          <w:szCs w:val="28"/>
          <w:highlight w:val="none"/>
        </w:rPr>
      </w:pPr>
    </w:p>
    <w:p w14:paraId="5F159CC2">
      <w:pPr>
        <w:rPr>
          <w:color w:val="auto"/>
          <w:highlight w:val="none"/>
        </w:rPr>
      </w:pPr>
      <w:r>
        <w:rPr>
          <w:color w:val="auto"/>
          <w:highlight w:val="none"/>
        </w:rPr>
        <w:br w:type="page"/>
      </w:r>
    </w:p>
    <w:p w14:paraId="651187BE">
      <w:pPr>
        <w:bidi w:val="0"/>
        <w:rPr>
          <w:rFonts w:hint="eastAsia"/>
          <w:color w:val="auto"/>
          <w:highlight w:val="none"/>
          <w:lang w:val="en-US" w:eastAsia="zh-CN"/>
        </w:rPr>
      </w:pPr>
    </w:p>
    <w:p w14:paraId="106098BC">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462" w:name="_Toc24696"/>
      <w:r>
        <w:rPr>
          <w:rFonts w:hint="eastAsia" w:cstheme="majorBidi"/>
          <w:b/>
          <w:bCs/>
          <w:color w:val="auto"/>
          <w:kern w:val="2"/>
          <w:sz w:val="28"/>
          <w:szCs w:val="28"/>
          <w:highlight w:val="none"/>
          <w:lang w:val="en-US" w:eastAsia="zh-CN" w:bidi="ar-SA"/>
        </w:rPr>
        <w:t>五、不参与围标串标承诺书</w:t>
      </w:r>
      <w:bookmarkEnd w:id="462"/>
    </w:p>
    <w:p w14:paraId="4F99E8A3">
      <w:pPr>
        <w:bidi w:val="0"/>
        <w:rPr>
          <w:rFonts w:hint="eastAsia"/>
          <w:color w:val="auto"/>
          <w:highlight w:val="none"/>
          <w:lang w:val="en-US" w:eastAsia="zh-CN"/>
        </w:rPr>
      </w:pPr>
    </w:p>
    <w:p w14:paraId="1C350959">
      <w:pPr>
        <w:jc w:val="center"/>
        <w:rPr>
          <w:rFonts w:hint="eastAsia"/>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6E00B091">
      <w:pPr>
        <w:rPr>
          <w:rFonts w:hint="eastAsia"/>
          <w:color w:val="auto"/>
          <w:highlight w:val="none"/>
          <w:lang w:val="en-US" w:eastAsia="zh-CN"/>
        </w:rPr>
      </w:pPr>
      <w:r>
        <w:rPr>
          <w:rFonts w:hint="eastAsia"/>
          <w:color w:val="auto"/>
          <w:highlight w:val="none"/>
          <w:lang w:val="en-US" w:eastAsia="zh-CN"/>
        </w:rPr>
        <w:t>  </w:t>
      </w:r>
    </w:p>
    <w:p w14:paraId="6128545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本人作为经授权的投标人代表，清楚知晓我单位本项目投标活动，对以下事项作出承诺：</w:t>
      </w:r>
    </w:p>
    <w:p w14:paraId="625245C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p>
    <w:p w14:paraId="6EDFB4E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一、我单位和我本人遵循公开透明、公平竞争、公正和诚实信用的原则，依法依规参与本项目竞标。</w:t>
      </w:r>
    </w:p>
    <w:p w14:paraId="4AD94C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二、我单位和我本人在本项目政府采购投标活动中，未参与围标串标。</w:t>
      </w:r>
    </w:p>
    <w:p w14:paraId="4B347B3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0FEC542E">
      <w:pPr>
        <w:pStyle w:val="14"/>
        <w:rPr>
          <w:rFonts w:hint="eastAsia"/>
          <w:color w:val="auto"/>
          <w:highlight w:val="none"/>
          <w:lang w:val="en-US" w:eastAsia="zh-CN"/>
        </w:rPr>
      </w:pPr>
    </w:p>
    <w:p w14:paraId="42A99BF1">
      <w:pPr>
        <w:spacing w:line="560" w:lineRule="exact"/>
        <w:rPr>
          <w:rFonts w:hint="eastAsia" w:ascii="宋体" w:hAnsi="宋体" w:eastAsia="宋体" w:cs="宋体"/>
          <w:color w:val="auto"/>
          <w:kern w:val="0"/>
          <w:sz w:val="24"/>
          <w:szCs w:val="24"/>
          <w:highlight w:val="none"/>
        </w:rPr>
      </w:pPr>
    </w:p>
    <w:p w14:paraId="61001167">
      <w:pPr>
        <w:spacing w:line="560" w:lineRule="exact"/>
        <w:rPr>
          <w:rFonts w:hint="eastAsia" w:ascii="宋体" w:hAnsi="宋体" w:eastAsia="宋体" w:cs="宋体"/>
          <w:color w:val="auto"/>
          <w:kern w:val="0"/>
          <w:sz w:val="24"/>
          <w:szCs w:val="24"/>
          <w:highlight w:val="none"/>
        </w:rPr>
      </w:pPr>
      <w:r>
        <w:rPr>
          <w:rFonts w:hint="eastAsia" w:cs="宋体"/>
          <w:color w:val="auto"/>
          <w:kern w:val="0"/>
          <w:sz w:val="24"/>
          <w:szCs w:val="24"/>
          <w:highlight w:val="none"/>
          <w:lang w:val="en-US" w:eastAsia="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1DCEE496">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法定代表人、负责人、本人</w:t>
      </w:r>
      <w:r>
        <w:rPr>
          <w:rFonts w:hint="eastAsia" w:cs="宋体"/>
          <w:color w:val="auto"/>
          <w:kern w:val="0"/>
          <w:sz w:val="24"/>
          <w:szCs w:val="24"/>
          <w:highlight w:val="none"/>
          <w:lang w:eastAsia="zh-CN"/>
        </w:rPr>
        <w:t>或</w:t>
      </w:r>
      <w:r>
        <w:rPr>
          <w:rFonts w:hint="eastAsia" w:ascii="宋体" w:hAnsi="宋体" w:eastAsia="宋体" w:cs="宋体"/>
          <w:color w:val="auto"/>
          <w:kern w:val="0"/>
          <w:sz w:val="24"/>
          <w:szCs w:val="24"/>
          <w:highlight w:val="none"/>
        </w:rPr>
        <w:t>授权代表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48DFD71C">
      <w:pPr>
        <w:spacing w:line="56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 年 月 日</w:t>
      </w:r>
    </w:p>
    <w:p w14:paraId="396E4E87">
      <w:pPr>
        <w:widowControl/>
        <w:spacing w:line="560" w:lineRule="exact"/>
        <w:ind w:firstLine="630"/>
        <w:jc w:val="left"/>
        <w:rPr>
          <w:rFonts w:hint="eastAsia" w:ascii="宋体" w:hAnsi="宋体" w:eastAsia="宋体" w:cs="宋体"/>
          <w:color w:val="auto"/>
          <w:kern w:val="0"/>
          <w:sz w:val="24"/>
          <w:szCs w:val="24"/>
          <w:highlight w:val="none"/>
        </w:rPr>
      </w:pPr>
    </w:p>
    <w:p w14:paraId="4FF890C9">
      <w:pPr>
        <w:pStyle w:val="14"/>
        <w:rPr>
          <w:rFonts w:hint="eastAsia"/>
          <w:color w:val="auto"/>
          <w:highlight w:val="none"/>
          <w:lang w:val="en-US" w:eastAsia="zh-CN"/>
        </w:rPr>
      </w:pPr>
    </w:p>
    <w:p w14:paraId="16E9E39B">
      <w:pPr>
        <w:pStyle w:val="14"/>
        <w:rPr>
          <w:rFonts w:hint="eastAsia"/>
          <w:color w:val="auto"/>
          <w:highlight w:val="none"/>
          <w:lang w:val="en-US" w:eastAsia="zh-CN"/>
        </w:rPr>
      </w:pPr>
    </w:p>
    <w:p w14:paraId="0A9FEB0A">
      <w:pPr>
        <w:pStyle w:val="14"/>
        <w:rPr>
          <w:rFonts w:hint="eastAsia"/>
          <w:color w:val="auto"/>
          <w:highlight w:val="none"/>
          <w:lang w:val="en-US" w:eastAsia="zh-CN"/>
        </w:rPr>
      </w:pPr>
    </w:p>
    <w:p w14:paraId="65D99D2C">
      <w:pPr>
        <w:pStyle w:val="14"/>
        <w:rPr>
          <w:rFonts w:hint="eastAsia"/>
          <w:color w:val="auto"/>
          <w:highlight w:val="none"/>
          <w:lang w:val="en-US" w:eastAsia="zh-CN"/>
        </w:rPr>
      </w:pPr>
    </w:p>
    <w:p w14:paraId="38918A13">
      <w:pPr>
        <w:pStyle w:val="14"/>
        <w:rPr>
          <w:rFonts w:hint="eastAsia"/>
          <w:color w:val="auto"/>
          <w:highlight w:val="none"/>
          <w:lang w:val="en-US" w:eastAsia="zh-CN"/>
        </w:rPr>
      </w:pPr>
    </w:p>
    <w:p w14:paraId="5985E0F7">
      <w:pPr>
        <w:pStyle w:val="14"/>
        <w:rPr>
          <w:rFonts w:hint="eastAsia"/>
          <w:color w:val="auto"/>
          <w:highlight w:val="none"/>
          <w:lang w:val="en-US" w:eastAsia="zh-CN"/>
        </w:rPr>
      </w:pPr>
    </w:p>
    <w:p w14:paraId="7EBA6E4B">
      <w:pPr>
        <w:pStyle w:val="14"/>
        <w:rPr>
          <w:rFonts w:hint="eastAsia"/>
          <w:color w:val="auto"/>
          <w:highlight w:val="none"/>
          <w:lang w:val="en-US" w:eastAsia="zh-CN"/>
        </w:rPr>
      </w:pPr>
    </w:p>
    <w:p w14:paraId="1B435D2F">
      <w:pPr>
        <w:pStyle w:val="14"/>
        <w:rPr>
          <w:rFonts w:hint="eastAsia"/>
          <w:color w:val="auto"/>
          <w:highlight w:val="none"/>
          <w:lang w:val="en-US" w:eastAsia="zh-CN"/>
        </w:rPr>
      </w:pPr>
    </w:p>
    <w:p w14:paraId="31C09501">
      <w:pPr>
        <w:pStyle w:val="14"/>
        <w:rPr>
          <w:rFonts w:hint="eastAsia"/>
          <w:color w:val="auto"/>
          <w:highlight w:val="none"/>
          <w:lang w:val="en-US" w:eastAsia="zh-CN"/>
        </w:rPr>
      </w:pPr>
    </w:p>
    <w:p w14:paraId="57CE05A5">
      <w:pPr>
        <w:pStyle w:val="14"/>
        <w:rPr>
          <w:rFonts w:hint="eastAsia"/>
          <w:color w:val="auto"/>
          <w:highlight w:val="none"/>
          <w:lang w:val="en-US" w:eastAsia="zh-CN"/>
        </w:rPr>
      </w:pPr>
    </w:p>
    <w:p w14:paraId="086B62AE">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zh-CN" w:eastAsia="zh-CN" w:bidi="ar-SA"/>
        </w:rPr>
      </w:pPr>
      <w:bookmarkStart w:id="463" w:name="_Toc2869"/>
      <w:r>
        <w:rPr>
          <w:rFonts w:hint="eastAsia" w:cstheme="majorBidi"/>
          <w:b/>
          <w:bCs/>
          <w:color w:val="auto"/>
          <w:kern w:val="2"/>
          <w:sz w:val="28"/>
          <w:szCs w:val="28"/>
          <w:highlight w:val="none"/>
          <w:lang w:val="en-US" w:eastAsia="zh-CN" w:bidi="ar-SA"/>
        </w:rPr>
        <w:t>六</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463"/>
    </w:p>
    <w:p w14:paraId="469D9BCC">
      <w:pPr>
        <w:pStyle w:val="41"/>
        <w:rPr>
          <w:rFonts w:hint="eastAsia"/>
          <w:color w:val="auto"/>
          <w:highlight w:val="none"/>
        </w:rPr>
      </w:pPr>
      <w:r>
        <w:rPr>
          <w:rFonts w:hint="eastAsia" w:cs="Courier New"/>
          <w:color w:val="auto"/>
          <w:szCs w:val="24"/>
          <w:highlight w:val="none"/>
        </w:rPr>
        <w:t>投标人认为需提供的</w:t>
      </w:r>
      <w:r>
        <w:rPr>
          <w:rFonts w:hint="eastAsia" w:cs="Courier New"/>
          <w:color w:val="auto"/>
          <w:szCs w:val="24"/>
          <w:highlight w:val="none"/>
          <w:lang w:eastAsia="zh-CN"/>
        </w:rPr>
        <w:t>其他</w:t>
      </w:r>
      <w:r>
        <w:rPr>
          <w:rFonts w:hint="eastAsia" w:cs="Courier New"/>
          <w:color w:val="auto"/>
          <w:szCs w:val="24"/>
          <w:highlight w:val="none"/>
        </w:rPr>
        <w:t>相关资格证明材料</w:t>
      </w:r>
    </w:p>
    <w:p w14:paraId="0FB68FC9">
      <w:pPr>
        <w:pStyle w:val="41"/>
        <w:rPr>
          <w:rFonts w:hint="eastAsia"/>
          <w:color w:val="auto"/>
          <w:highlight w:val="none"/>
        </w:rPr>
      </w:pPr>
    </w:p>
    <w:p w14:paraId="13D53C83">
      <w:pPr>
        <w:pStyle w:val="41"/>
        <w:rPr>
          <w:rFonts w:hint="eastAsia"/>
          <w:color w:val="auto"/>
          <w:highlight w:val="none"/>
        </w:rPr>
      </w:pPr>
    </w:p>
    <w:p w14:paraId="0F79408D">
      <w:pPr>
        <w:pStyle w:val="41"/>
        <w:rPr>
          <w:rFonts w:hint="eastAsia"/>
          <w:color w:val="auto"/>
          <w:highlight w:val="none"/>
        </w:rPr>
      </w:pPr>
    </w:p>
    <w:p w14:paraId="694888FC">
      <w:pPr>
        <w:pStyle w:val="41"/>
        <w:rPr>
          <w:rFonts w:hint="eastAsia"/>
          <w:color w:val="auto"/>
          <w:highlight w:val="none"/>
        </w:rPr>
      </w:pPr>
    </w:p>
    <w:p w14:paraId="584E3D35">
      <w:pPr>
        <w:pStyle w:val="41"/>
        <w:rPr>
          <w:rFonts w:hint="eastAsia"/>
          <w:color w:val="auto"/>
          <w:highlight w:val="none"/>
        </w:rPr>
      </w:pPr>
    </w:p>
    <w:p w14:paraId="406BF312">
      <w:pPr>
        <w:pStyle w:val="41"/>
        <w:rPr>
          <w:rFonts w:hint="eastAsia"/>
          <w:color w:val="auto"/>
          <w:highlight w:val="none"/>
        </w:rPr>
      </w:pPr>
    </w:p>
    <w:p w14:paraId="3185583F">
      <w:pPr>
        <w:pStyle w:val="41"/>
        <w:rPr>
          <w:rFonts w:hint="eastAsia"/>
          <w:color w:val="auto"/>
          <w:highlight w:val="none"/>
        </w:rPr>
      </w:pPr>
    </w:p>
    <w:p w14:paraId="37A052D9">
      <w:pPr>
        <w:pStyle w:val="41"/>
        <w:rPr>
          <w:rFonts w:hint="eastAsia"/>
          <w:color w:val="auto"/>
          <w:highlight w:val="none"/>
        </w:rPr>
      </w:pPr>
    </w:p>
    <w:p w14:paraId="367A64C8">
      <w:pPr>
        <w:pStyle w:val="41"/>
        <w:rPr>
          <w:rFonts w:hint="eastAsia"/>
          <w:color w:val="auto"/>
          <w:highlight w:val="none"/>
        </w:rPr>
      </w:pPr>
    </w:p>
    <w:p w14:paraId="74FF51A3">
      <w:pPr>
        <w:pStyle w:val="41"/>
        <w:rPr>
          <w:rFonts w:hint="eastAsia"/>
          <w:color w:val="auto"/>
          <w:highlight w:val="none"/>
        </w:rPr>
      </w:pPr>
    </w:p>
    <w:p w14:paraId="71B6A12E">
      <w:pPr>
        <w:pStyle w:val="41"/>
        <w:rPr>
          <w:rFonts w:hint="eastAsia"/>
          <w:color w:val="auto"/>
          <w:highlight w:val="none"/>
        </w:rPr>
      </w:pPr>
    </w:p>
    <w:p w14:paraId="078A53A4">
      <w:pPr>
        <w:pStyle w:val="41"/>
        <w:rPr>
          <w:rFonts w:hint="eastAsia"/>
          <w:color w:val="auto"/>
          <w:highlight w:val="none"/>
        </w:rPr>
      </w:pPr>
    </w:p>
    <w:p w14:paraId="533D34AE">
      <w:pPr>
        <w:pStyle w:val="41"/>
        <w:rPr>
          <w:rFonts w:hint="eastAsia"/>
          <w:color w:val="auto"/>
          <w:highlight w:val="none"/>
        </w:rPr>
      </w:pPr>
    </w:p>
    <w:p w14:paraId="33EC8959">
      <w:pPr>
        <w:pStyle w:val="41"/>
        <w:rPr>
          <w:rFonts w:hint="eastAsia"/>
          <w:color w:val="auto"/>
          <w:highlight w:val="none"/>
        </w:rPr>
      </w:pPr>
    </w:p>
    <w:p w14:paraId="1399BD42">
      <w:pPr>
        <w:pStyle w:val="41"/>
        <w:rPr>
          <w:rFonts w:hint="eastAsia"/>
          <w:color w:val="auto"/>
          <w:highlight w:val="none"/>
        </w:rPr>
      </w:pPr>
    </w:p>
    <w:p w14:paraId="79618602">
      <w:pPr>
        <w:pStyle w:val="41"/>
        <w:rPr>
          <w:rFonts w:hint="eastAsia"/>
          <w:color w:val="auto"/>
          <w:highlight w:val="none"/>
        </w:rPr>
      </w:pPr>
    </w:p>
    <w:p w14:paraId="376E693D">
      <w:pPr>
        <w:pStyle w:val="41"/>
        <w:rPr>
          <w:rFonts w:hint="eastAsia"/>
          <w:color w:val="auto"/>
          <w:highlight w:val="none"/>
        </w:rPr>
      </w:pPr>
    </w:p>
    <w:p w14:paraId="4DB35647">
      <w:pPr>
        <w:pStyle w:val="41"/>
        <w:rPr>
          <w:rFonts w:hint="eastAsia"/>
          <w:color w:val="auto"/>
          <w:highlight w:val="none"/>
        </w:rPr>
      </w:pPr>
    </w:p>
    <w:p w14:paraId="17F5EC92">
      <w:pPr>
        <w:pStyle w:val="41"/>
        <w:rPr>
          <w:rFonts w:hint="eastAsia"/>
          <w:color w:val="auto"/>
          <w:highlight w:val="none"/>
        </w:rPr>
      </w:pPr>
    </w:p>
    <w:p w14:paraId="6B968A67">
      <w:pPr>
        <w:pStyle w:val="41"/>
        <w:rPr>
          <w:rFonts w:hint="eastAsia"/>
          <w:color w:val="auto"/>
          <w:highlight w:val="none"/>
        </w:rPr>
      </w:pPr>
    </w:p>
    <w:p w14:paraId="4DB2D2A8">
      <w:pPr>
        <w:pStyle w:val="41"/>
        <w:rPr>
          <w:rFonts w:hint="eastAsia"/>
          <w:color w:val="auto"/>
          <w:highlight w:val="none"/>
        </w:rPr>
      </w:pPr>
    </w:p>
    <w:p w14:paraId="187C3F07">
      <w:pPr>
        <w:pStyle w:val="41"/>
        <w:rPr>
          <w:rFonts w:hint="eastAsia"/>
          <w:color w:val="auto"/>
          <w:highlight w:val="none"/>
        </w:rPr>
      </w:pPr>
    </w:p>
    <w:p w14:paraId="3B9E49F7">
      <w:pPr>
        <w:pStyle w:val="41"/>
        <w:rPr>
          <w:rFonts w:hint="eastAsia"/>
          <w:color w:val="auto"/>
          <w:highlight w:val="none"/>
        </w:rPr>
      </w:pPr>
    </w:p>
    <w:p w14:paraId="4C6D28CD">
      <w:pPr>
        <w:pStyle w:val="41"/>
        <w:rPr>
          <w:rFonts w:hint="eastAsia"/>
          <w:color w:val="auto"/>
          <w:highlight w:val="none"/>
        </w:rPr>
      </w:pPr>
    </w:p>
    <w:p w14:paraId="00CC40B6">
      <w:pPr>
        <w:pStyle w:val="41"/>
        <w:rPr>
          <w:rFonts w:hint="eastAsia"/>
          <w:color w:val="auto"/>
          <w:highlight w:val="none"/>
        </w:rPr>
      </w:pPr>
    </w:p>
    <w:p w14:paraId="7B546A9E">
      <w:pPr>
        <w:pStyle w:val="41"/>
        <w:rPr>
          <w:rFonts w:hint="eastAsia"/>
          <w:color w:val="auto"/>
          <w:highlight w:val="none"/>
        </w:rPr>
      </w:pPr>
    </w:p>
    <w:p w14:paraId="2485259D">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4442F89D">
      <w:pPr>
        <w:rPr>
          <w:rFonts w:hint="eastAsia" w:cs="仿宋_GB2312"/>
          <w:color w:val="auto"/>
          <w:szCs w:val="24"/>
          <w:highlight w:val="none"/>
          <w:lang w:val="zh-CN"/>
        </w:rPr>
      </w:pPr>
      <w:r>
        <w:rPr>
          <w:rFonts w:hint="eastAsia" w:cs="仿宋_GB2312"/>
          <w:color w:val="auto"/>
          <w:szCs w:val="24"/>
          <w:highlight w:val="none"/>
          <w:lang w:val="zh-CN"/>
        </w:rPr>
        <w:br w:type="page"/>
      </w:r>
    </w:p>
    <w:p w14:paraId="66A88B86">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512D4253">
      <w:pPr>
        <w:autoSpaceDE w:val="0"/>
        <w:autoSpaceDN w:val="0"/>
        <w:adjustRightInd w:val="0"/>
        <w:rPr>
          <w:color w:val="auto"/>
          <w:sz w:val="21"/>
          <w:szCs w:val="24"/>
          <w:highlight w:val="none"/>
        </w:rPr>
      </w:pPr>
    </w:p>
    <w:p w14:paraId="13E3043C">
      <w:pPr>
        <w:autoSpaceDE w:val="0"/>
        <w:autoSpaceDN w:val="0"/>
        <w:adjustRightInd w:val="0"/>
        <w:rPr>
          <w:color w:val="auto"/>
          <w:sz w:val="21"/>
          <w:szCs w:val="24"/>
          <w:highlight w:val="none"/>
        </w:rPr>
      </w:pPr>
    </w:p>
    <w:p w14:paraId="0711C339">
      <w:pPr>
        <w:autoSpaceDE w:val="0"/>
        <w:autoSpaceDN w:val="0"/>
        <w:adjustRightInd w:val="0"/>
        <w:jc w:val="center"/>
        <w:rPr>
          <w:color w:val="auto"/>
          <w:sz w:val="21"/>
          <w:szCs w:val="24"/>
          <w:highlight w:val="none"/>
        </w:rPr>
      </w:pPr>
    </w:p>
    <w:p w14:paraId="0A6D0F72">
      <w:pPr>
        <w:pStyle w:val="3"/>
        <w:bidi w:val="0"/>
        <w:jc w:val="center"/>
        <w:rPr>
          <w:color w:val="auto"/>
          <w:sz w:val="84"/>
          <w:szCs w:val="84"/>
          <w:highlight w:val="none"/>
        </w:rPr>
      </w:pPr>
      <w:bookmarkStart w:id="464" w:name="_Toc19075"/>
      <w:r>
        <w:rPr>
          <w:rFonts w:hint="eastAsia"/>
          <w:color w:val="auto"/>
          <w:sz w:val="84"/>
          <w:szCs w:val="84"/>
          <w:highlight w:val="none"/>
        </w:rPr>
        <w:t>投 标 文 件</w:t>
      </w:r>
      <w:bookmarkEnd w:id="464"/>
    </w:p>
    <w:p w14:paraId="74931B99">
      <w:pPr>
        <w:pStyle w:val="3"/>
        <w:bidi w:val="0"/>
        <w:spacing w:before="0" w:after="0" w:line="240" w:lineRule="auto"/>
        <w:jc w:val="center"/>
        <w:rPr>
          <w:rFonts w:hint="eastAsia"/>
          <w:color w:val="auto"/>
          <w:sz w:val="56"/>
          <w:szCs w:val="56"/>
          <w:highlight w:val="none"/>
          <w:lang w:val="en-US" w:eastAsia="zh-CN"/>
        </w:rPr>
      </w:pPr>
      <w:bookmarkStart w:id="465" w:name="_Toc11387"/>
      <w:r>
        <w:rPr>
          <w:rFonts w:hint="eastAsia"/>
          <w:color w:val="auto"/>
          <w:sz w:val="56"/>
          <w:szCs w:val="56"/>
          <w:highlight w:val="none"/>
          <w:lang w:val="en-US" w:eastAsia="zh-CN"/>
        </w:rPr>
        <w:t>报价文件</w:t>
      </w:r>
      <w:bookmarkEnd w:id="465"/>
    </w:p>
    <w:p w14:paraId="62F9DEAB">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7E05338B">
      <w:pPr>
        <w:bidi w:val="0"/>
        <w:rPr>
          <w:color w:val="auto"/>
          <w:highlight w:val="none"/>
        </w:rPr>
      </w:pPr>
    </w:p>
    <w:p w14:paraId="3B29F447">
      <w:pPr>
        <w:rPr>
          <w:color w:val="auto"/>
          <w:sz w:val="21"/>
          <w:szCs w:val="21"/>
          <w:highlight w:val="none"/>
        </w:rPr>
      </w:pPr>
    </w:p>
    <w:p w14:paraId="2ACFF50E">
      <w:pPr>
        <w:rPr>
          <w:color w:val="auto"/>
          <w:highlight w:val="none"/>
        </w:rPr>
      </w:pPr>
    </w:p>
    <w:p w14:paraId="244F892E">
      <w:pPr>
        <w:autoSpaceDE w:val="0"/>
        <w:autoSpaceDN w:val="0"/>
        <w:adjustRightInd w:val="0"/>
        <w:rPr>
          <w:color w:val="auto"/>
          <w:sz w:val="21"/>
          <w:szCs w:val="21"/>
          <w:highlight w:val="none"/>
        </w:rPr>
      </w:pPr>
    </w:p>
    <w:p w14:paraId="77A8F2C8">
      <w:pPr>
        <w:autoSpaceDE w:val="0"/>
        <w:autoSpaceDN w:val="0"/>
        <w:adjustRightInd w:val="0"/>
        <w:rPr>
          <w:color w:val="auto"/>
          <w:sz w:val="21"/>
          <w:szCs w:val="21"/>
          <w:highlight w:val="none"/>
        </w:rPr>
      </w:pPr>
    </w:p>
    <w:p w14:paraId="5020AF2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AF0EFB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7472571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65C3B9A">
      <w:pPr>
        <w:ind w:left="840" w:firstLine="420"/>
        <w:rPr>
          <w:b/>
          <w:bCs/>
          <w:color w:val="auto"/>
          <w:sz w:val="28"/>
          <w:szCs w:val="28"/>
          <w:highlight w:val="none"/>
        </w:rPr>
      </w:pPr>
    </w:p>
    <w:p w14:paraId="1E873FDD">
      <w:pPr>
        <w:ind w:left="840" w:firstLine="420"/>
        <w:rPr>
          <w:b/>
          <w:bCs/>
          <w:color w:val="auto"/>
          <w:sz w:val="28"/>
          <w:szCs w:val="28"/>
          <w:highlight w:val="none"/>
        </w:rPr>
      </w:pPr>
    </w:p>
    <w:p w14:paraId="17B8D147">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558A9012">
      <w:pPr>
        <w:rPr>
          <w:color w:val="auto"/>
          <w:highlight w:val="none"/>
          <w:lang w:val="zh-CN"/>
        </w:rPr>
      </w:pPr>
      <w:r>
        <w:rPr>
          <w:color w:val="auto"/>
          <w:highlight w:val="none"/>
          <w:lang w:val="zh-CN"/>
        </w:rPr>
        <w:br w:type="page"/>
      </w:r>
    </w:p>
    <w:p w14:paraId="51A352D6">
      <w:pPr>
        <w:bidi w:val="0"/>
        <w:rPr>
          <w:rFonts w:hint="eastAsia"/>
          <w:color w:val="auto"/>
          <w:highlight w:val="none"/>
          <w:lang w:val="en-US" w:eastAsia="zh-CN"/>
        </w:rPr>
      </w:pPr>
    </w:p>
    <w:p w14:paraId="577A2C0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466" w:name="_Toc28928"/>
      <w:r>
        <w:rPr>
          <w:rFonts w:hint="eastAsia" w:cstheme="majorBidi"/>
          <w:b/>
          <w:bCs/>
          <w:color w:val="auto"/>
          <w:kern w:val="2"/>
          <w:sz w:val="32"/>
          <w:szCs w:val="32"/>
          <w:highlight w:val="none"/>
          <w:lang w:val="en-US" w:eastAsia="zh-CN" w:bidi="ar-SA"/>
        </w:rPr>
        <w:t>一、开标一览表</w:t>
      </w:r>
      <w:bookmarkEnd w:id="466"/>
    </w:p>
    <w:p w14:paraId="3393E96C">
      <w:pPr>
        <w:spacing w:line="300" w:lineRule="auto"/>
        <w:rPr>
          <w:rFonts w:cs="仿宋_GB2312"/>
          <w:color w:val="auto"/>
          <w:szCs w:val="24"/>
          <w:highlight w:val="none"/>
        </w:rPr>
      </w:pPr>
    </w:p>
    <w:p w14:paraId="628C201D">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p>
    <w:p w14:paraId="5382131A">
      <w:pPr>
        <w:rPr>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3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7063C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5E6CC2B1">
            <w:pPr>
              <w:widowControl/>
              <w:autoSpaceDE w:val="0"/>
              <w:autoSpaceDN w:val="0"/>
              <w:jc w:val="center"/>
              <w:textAlignment w:val="bottom"/>
              <w:rPr>
                <w:color w:val="auto"/>
                <w:sz w:val="24"/>
                <w:szCs w:val="24"/>
                <w:highlight w:val="none"/>
              </w:rPr>
            </w:pPr>
            <w:r>
              <w:rPr>
                <w:rFonts w:hint="eastAsia"/>
                <w:color w:val="auto"/>
                <w:sz w:val="24"/>
                <w:szCs w:val="24"/>
                <w:highlight w:val="none"/>
              </w:rPr>
              <w:t>序号</w:t>
            </w:r>
          </w:p>
        </w:tc>
        <w:tc>
          <w:tcPr>
            <w:tcW w:w="2352" w:type="dxa"/>
            <w:vAlign w:val="center"/>
          </w:tcPr>
          <w:p w14:paraId="6C3AC0CE">
            <w:pPr>
              <w:widowControl/>
              <w:autoSpaceDE w:val="0"/>
              <w:autoSpaceDN w:val="0"/>
              <w:ind w:left="851" w:hanging="851"/>
              <w:jc w:val="center"/>
              <w:textAlignment w:val="bottom"/>
              <w:rPr>
                <w:color w:val="auto"/>
                <w:sz w:val="24"/>
                <w:szCs w:val="24"/>
                <w:highlight w:val="none"/>
              </w:rPr>
            </w:pPr>
            <w:r>
              <w:rPr>
                <w:rFonts w:hint="eastAsia"/>
                <w:color w:val="auto"/>
                <w:sz w:val="24"/>
                <w:szCs w:val="24"/>
                <w:highlight w:val="none"/>
              </w:rPr>
              <w:t>投标报价</w:t>
            </w:r>
          </w:p>
        </w:tc>
        <w:tc>
          <w:tcPr>
            <w:tcW w:w="2161" w:type="dxa"/>
            <w:vAlign w:val="center"/>
          </w:tcPr>
          <w:p w14:paraId="6F470565">
            <w:pPr>
              <w:widowControl/>
              <w:autoSpaceDE w:val="0"/>
              <w:autoSpaceDN w:val="0"/>
              <w:ind w:left="851" w:hanging="851"/>
              <w:jc w:val="center"/>
              <w:textAlignment w:val="bottom"/>
              <w:rPr>
                <w:color w:val="auto"/>
                <w:sz w:val="24"/>
                <w:szCs w:val="24"/>
                <w:highlight w:val="none"/>
              </w:rPr>
            </w:pPr>
            <w:r>
              <w:rPr>
                <w:rFonts w:hint="eastAsia"/>
                <w:color w:val="auto"/>
                <w:sz w:val="24"/>
                <w:szCs w:val="24"/>
                <w:highlight w:val="none"/>
                <w:lang w:val="en-US" w:eastAsia="zh-CN"/>
              </w:rPr>
              <w:t>服务</w:t>
            </w:r>
            <w:r>
              <w:rPr>
                <w:rFonts w:hint="eastAsia"/>
                <w:color w:val="auto"/>
                <w:sz w:val="24"/>
                <w:szCs w:val="24"/>
                <w:highlight w:val="none"/>
              </w:rPr>
              <w:t>期限</w:t>
            </w:r>
          </w:p>
        </w:tc>
        <w:tc>
          <w:tcPr>
            <w:tcW w:w="2611" w:type="dxa"/>
            <w:vAlign w:val="center"/>
          </w:tcPr>
          <w:p w14:paraId="32B3BA5D">
            <w:pPr>
              <w:widowControl/>
              <w:autoSpaceDE w:val="0"/>
              <w:autoSpaceDN w:val="0"/>
              <w:jc w:val="center"/>
              <w:textAlignment w:val="bottom"/>
              <w:rPr>
                <w:color w:val="auto"/>
                <w:sz w:val="24"/>
                <w:szCs w:val="24"/>
                <w:highlight w:val="none"/>
              </w:rPr>
            </w:pPr>
            <w:r>
              <w:rPr>
                <w:rFonts w:hint="eastAsia"/>
                <w:color w:val="auto"/>
                <w:sz w:val="24"/>
                <w:szCs w:val="24"/>
                <w:highlight w:val="none"/>
              </w:rPr>
              <w:t>备注（如有）</w:t>
            </w:r>
          </w:p>
        </w:tc>
      </w:tr>
      <w:tr w14:paraId="7617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5D683F46">
            <w:pPr>
              <w:jc w:val="center"/>
              <w:rPr>
                <w:color w:val="auto"/>
                <w:sz w:val="24"/>
                <w:szCs w:val="24"/>
                <w:highlight w:val="none"/>
              </w:rPr>
            </w:pPr>
          </w:p>
        </w:tc>
        <w:tc>
          <w:tcPr>
            <w:tcW w:w="2352" w:type="dxa"/>
            <w:vAlign w:val="center"/>
          </w:tcPr>
          <w:p w14:paraId="4A37FD33">
            <w:pPr>
              <w:widowControl/>
              <w:autoSpaceDE w:val="0"/>
              <w:autoSpaceDN w:val="0"/>
              <w:spacing w:line="240" w:lineRule="auto"/>
              <w:ind w:left="851" w:hanging="851"/>
              <w:jc w:val="both"/>
              <w:textAlignment w:val="bottom"/>
              <w:rPr>
                <w:rFonts w:hint="eastAsia"/>
                <w:color w:val="auto"/>
                <w:sz w:val="24"/>
                <w:szCs w:val="24"/>
                <w:highlight w:val="none"/>
                <w:lang w:val="en-US" w:eastAsia="zh-CN"/>
              </w:rPr>
            </w:pPr>
            <w:r>
              <w:rPr>
                <w:rFonts w:hint="eastAsia"/>
                <w:color w:val="auto"/>
                <w:sz w:val="24"/>
                <w:szCs w:val="24"/>
                <w:highlight w:val="none"/>
                <w:lang w:val="en-US" w:eastAsia="zh-CN"/>
              </w:rPr>
              <w:t>小写：</w:t>
            </w:r>
          </w:p>
          <w:p w14:paraId="1EA04AEC">
            <w:pPr>
              <w:jc w:val="both"/>
              <w:rPr>
                <w:color w:val="auto"/>
                <w:sz w:val="24"/>
                <w:szCs w:val="24"/>
                <w:highlight w:val="none"/>
              </w:rPr>
            </w:pPr>
            <w:r>
              <w:rPr>
                <w:rFonts w:hint="eastAsia"/>
                <w:color w:val="auto"/>
                <w:sz w:val="24"/>
                <w:szCs w:val="24"/>
                <w:highlight w:val="none"/>
                <w:lang w:val="en-US" w:eastAsia="zh-CN"/>
              </w:rPr>
              <w:t>大写：</w:t>
            </w:r>
          </w:p>
        </w:tc>
        <w:tc>
          <w:tcPr>
            <w:tcW w:w="2161" w:type="dxa"/>
            <w:vAlign w:val="center"/>
          </w:tcPr>
          <w:p w14:paraId="1853CC9F">
            <w:pPr>
              <w:jc w:val="center"/>
              <w:rPr>
                <w:color w:val="auto"/>
                <w:sz w:val="24"/>
                <w:szCs w:val="24"/>
                <w:highlight w:val="none"/>
              </w:rPr>
            </w:pPr>
          </w:p>
        </w:tc>
        <w:tc>
          <w:tcPr>
            <w:tcW w:w="2611" w:type="dxa"/>
            <w:vAlign w:val="center"/>
          </w:tcPr>
          <w:p w14:paraId="6D6F324C">
            <w:pPr>
              <w:jc w:val="center"/>
              <w:rPr>
                <w:color w:val="auto"/>
                <w:sz w:val="24"/>
                <w:szCs w:val="24"/>
                <w:highlight w:val="none"/>
              </w:rPr>
            </w:pPr>
          </w:p>
        </w:tc>
      </w:tr>
    </w:tbl>
    <w:p w14:paraId="34DB30EC">
      <w:pPr>
        <w:spacing w:line="300" w:lineRule="auto"/>
        <w:rPr>
          <w:rFonts w:ascii="Arial" w:hAnsi="Arial" w:cs="Arial"/>
          <w:color w:val="auto"/>
          <w:szCs w:val="21"/>
          <w:highlight w:val="none"/>
          <w:u w:val="single"/>
        </w:rPr>
      </w:pPr>
    </w:p>
    <w:p w14:paraId="79D62F29">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ascii="Arial" w:hAnsi="Arial" w:cs="Arial"/>
          <w:color w:val="auto"/>
          <w:szCs w:val="21"/>
          <w:highlight w:val="none"/>
        </w:rPr>
        <w:t>：</w:t>
      </w:r>
    </w:p>
    <w:p w14:paraId="0D4B89AB">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1D28D025">
      <w:pPr>
        <w:rPr>
          <w:rFonts w:cs="Arial"/>
          <w:color w:val="auto"/>
          <w:szCs w:val="24"/>
          <w:highlight w:val="none"/>
        </w:rPr>
      </w:pPr>
    </w:p>
    <w:p w14:paraId="09B63DC9">
      <w:pPr>
        <w:pStyle w:val="14"/>
        <w:rPr>
          <w:rFonts w:cs="Arial"/>
          <w:color w:val="auto"/>
          <w:szCs w:val="24"/>
          <w:highlight w:val="none"/>
        </w:rPr>
      </w:pPr>
    </w:p>
    <w:p w14:paraId="5CCDD7AC">
      <w:pPr>
        <w:pStyle w:val="14"/>
        <w:rPr>
          <w:rFonts w:cs="Arial"/>
          <w:color w:val="auto"/>
          <w:szCs w:val="24"/>
          <w:highlight w:val="none"/>
        </w:rPr>
      </w:pPr>
    </w:p>
    <w:p w14:paraId="712CC126">
      <w:pPr>
        <w:pStyle w:val="14"/>
        <w:rPr>
          <w:rFonts w:cs="Arial"/>
          <w:color w:val="auto"/>
          <w:szCs w:val="24"/>
          <w:highlight w:val="none"/>
        </w:rPr>
      </w:pPr>
    </w:p>
    <w:p w14:paraId="35B33935">
      <w:pPr>
        <w:pStyle w:val="14"/>
        <w:rPr>
          <w:rFonts w:cs="Arial"/>
          <w:color w:val="auto"/>
          <w:szCs w:val="24"/>
          <w:highlight w:val="none"/>
        </w:rPr>
      </w:pPr>
    </w:p>
    <w:p w14:paraId="3D3CBB46">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347798B8">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26DA7B52">
      <w:pPr>
        <w:spacing w:line="36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737FC42C">
      <w:pPr>
        <w:pStyle w:val="14"/>
        <w:ind w:firstLine="420" w:firstLineChars="200"/>
        <w:rPr>
          <w:rFonts w:hint="eastAsia" w:ascii="宋体" w:hAnsi="宋体" w:eastAsia="宋体" w:cs="宋体"/>
          <w:color w:val="auto"/>
          <w:sz w:val="24"/>
          <w:szCs w:val="24"/>
          <w:highlight w:val="none"/>
        </w:rPr>
        <w:sectPr>
          <w:headerReference r:id="rId9" w:type="default"/>
          <w:footerReference r:id="rId10" w:type="default"/>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64E14E76">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bookmarkStart w:id="467" w:name="_Toc17062"/>
      <w:r>
        <w:rPr>
          <w:rFonts w:hint="eastAsia" w:cstheme="majorBidi"/>
          <w:b/>
          <w:bCs/>
          <w:color w:val="auto"/>
          <w:kern w:val="2"/>
          <w:sz w:val="32"/>
          <w:szCs w:val="32"/>
          <w:highlight w:val="none"/>
          <w:lang w:val="en-US" w:eastAsia="zh-CN" w:bidi="ar-SA"/>
        </w:rPr>
        <w:t>二、分项报价表</w:t>
      </w:r>
      <w:bookmarkEnd w:id="467"/>
    </w:p>
    <w:p w14:paraId="6865DA54">
      <w:pPr>
        <w:rPr>
          <w:b w:val="0"/>
          <w:bCs/>
          <w:color w:val="auto"/>
          <w:szCs w:val="21"/>
          <w:highlight w:val="none"/>
          <w:lang w:val="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p>
    <w:p w14:paraId="2D13638B">
      <w:pPr>
        <w:rPr>
          <w:rFonts w:hint="eastAsia"/>
          <w:b w:val="0"/>
          <w:bCs/>
          <w:color w:val="auto"/>
          <w:szCs w:val="21"/>
          <w:highlight w:val="none"/>
          <w:u w:val="single"/>
          <w:lang w:val="zh-CN"/>
        </w:rPr>
      </w:pP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p>
    <w:tbl>
      <w:tblPr>
        <w:tblStyle w:val="32"/>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3720"/>
        <w:gridCol w:w="1065"/>
        <w:gridCol w:w="1065"/>
        <w:gridCol w:w="1066"/>
        <w:gridCol w:w="947"/>
      </w:tblGrid>
      <w:tr w14:paraId="7B60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BC202EC">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720" w:type="dxa"/>
            <w:vAlign w:val="center"/>
          </w:tcPr>
          <w:p w14:paraId="4B412E37">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w:t>
            </w:r>
          </w:p>
        </w:tc>
        <w:tc>
          <w:tcPr>
            <w:tcW w:w="1065" w:type="dxa"/>
            <w:vAlign w:val="center"/>
          </w:tcPr>
          <w:p w14:paraId="69245053">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065" w:type="dxa"/>
            <w:vAlign w:val="center"/>
          </w:tcPr>
          <w:p w14:paraId="0A7EBF8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单价（元）</w:t>
            </w:r>
          </w:p>
        </w:tc>
        <w:tc>
          <w:tcPr>
            <w:tcW w:w="1066" w:type="dxa"/>
            <w:vAlign w:val="center"/>
          </w:tcPr>
          <w:p w14:paraId="60D076F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w:t>
            </w:r>
            <w:r>
              <w:rPr>
                <w:rFonts w:hint="eastAsia" w:ascii="宋体" w:hAnsi="宋体" w:eastAsia="宋体" w:cs="宋体"/>
                <w:color w:val="auto"/>
                <w:sz w:val="21"/>
                <w:szCs w:val="21"/>
                <w:highlight w:val="none"/>
              </w:rPr>
              <w:t>价</w:t>
            </w:r>
          </w:p>
        </w:tc>
        <w:tc>
          <w:tcPr>
            <w:tcW w:w="947" w:type="dxa"/>
            <w:vAlign w:val="center"/>
          </w:tcPr>
          <w:p w14:paraId="28F4AE4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7A9CF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411870A">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3720" w:type="dxa"/>
            <w:vAlign w:val="center"/>
          </w:tcPr>
          <w:p w14:paraId="1922B1FE">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26B8639">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087F877">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063371C5">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EDE85E1">
            <w:pPr>
              <w:adjustRightInd w:val="0"/>
              <w:snapToGrid w:val="0"/>
              <w:spacing w:line="240" w:lineRule="auto"/>
              <w:jc w:val="center"/>
              <w:rPr>
                <w:rFonts w:hint="eastAsia" w:ascii="宋体" w:hAnsi="宋体" w:eastAsia="宋体" w:cs="宋体"/>
                <w:color w:val="auto"/>
                <w:sz w:val="21"/>
                <w:szCs w:val="21"/>
                <w:highlight w:val="none"/>
              </w:rPr>
            </w:pPr>
          </w:p>
        </w:tc>
      </w:tr>
      <w:tr w14:paraId="4734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A2AA203">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3720" w:type="dxa"/>
            <w:vAlign w:val="center"/>
          </w:tcPr>
          <w:p w14:paraId="287359A3">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42728BDA">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B0012F7">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39F4553E">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2C25EF0">
            <w:pPr>
              <w:adjustRightInd w:val="0"/>
              <w:snapToGrid w:val="0"/>
              <w:spacing w:line="240" w:lineRule="auto"/>
              <w:jc w:val="center"/>
              <w:rPr>
                <w:rFonts w:hint="eastAsia" w:ascii="宋体" w:hAnsi="宋体" w:eastAsia="宋体" w:cs="宋体"/>
                <w:color w:val="auto"/>
                <w:sz w:val="21"/>
                <w:szCs w:val="21"/>
                <w:highlight w:val="none"/>
              </w:rPr>
            </w:pPr>
          </w:p>
        </w:tc>
      </w:tr>
      <w:tr w14:paraId="4864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547F944">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3720" w:type="dxa"/>
            <w:vAlign w:val="center"/>
          </w:tcPr>
          <w:p w14:paraId="203FB4DF">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0808DF67">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A7E08A2">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191C5CF">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094E998">
            <w:pPr>
              <w:adjustRightInd w:val="0"/>
              <w:snapToGrid w:val="0"/>
              <w:spacing w:line="240" w:lineRule="auto"/>
              <w:jc w:val="center"/>
              <w:rPr>
                <w:rFonts w:hint="eastAsia" w:ascii="宋体" w:hAnsi="宋体" w:eastAsia="宋体" w:cs="宋体"/>
                <w:color w:val="auto"/>
                <w:sz w:val="21"/>
                <w:szCs w:val="21"/>
                <w:highlight w:val="none"/>
              </w:rPr>
            </w:pPr>
          </w:p>
        </w:tc>
      </w:tr>
      <w:tr w14:paraId="61E4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1D483D92">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3720" w:type="dxa"/>
            <w:vAlign w:val="center"/>
          </w:tcPr>
          <w:p w14:paraId="2C75214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4B1AC07D">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74450AA4">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3E1E0A55">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0540F2F4">
            <w:pPr>
              <w:adjustRightInd w:val="0"/>
              <w:snapToGrid w:val="0"/>
              <w:spacing w:line="240" w:lineRule="auto"/>
              <w:jc w:val="center"/>
              <w:rPr>
                <w:rFonts w:hint="eastAsia" w:ascii="宋体" w:hAnsi="宋体" w:eastAsia="宋体" w:cs="宋体"/>
                <w:color w:val="auto"/>
                <w:sz w:val="21"/>
                <w:szCs w:val="21"/>
                <w:highlight w:val="none"/>
              </w:rPr>
            </w:pPr>
          </w:p>
        </w:tc>
      </w:tr>
      <w:tr w14:paraId="4B38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D99B70A">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720" w:type="dxa"/>
            <w:vAlign w:val="center"/>
          </w:tcPr>
          <w:p w14:paraId="1ADA739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54FCA76D">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F39F387">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6D19C04A">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35F7C3A">
            <w:pPr>
              <w:adjustRightInd w:val="0"/>
              <w:snapToGrid w:val="0"/>
              <w:spacing w:line="240" w:lineRule="auto"/>
              <w:jc w:val="center"/>
              <w:rPr>
                <w:rFonts w:hint="eastAsia" w:ascii="宋体" w:hAnsi="宋体" w:eastAsia="宋体" w:cs="宋体"/>
                <w:color w:val="auto"/>
                <w:sz w:val="21"/>
                <w:szCs w:val="21"/>
                <w:highlight w:val="none"/>
              </w:rPr>
            </w:pPr>
          </w:p>
        </w:tc>
      </w:tr>
      <w:tr w14:paraId="6209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74A3288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3720" w:type="dxa"/>
            <w:vAlign w:val="center"/>
          </w:tcPr>
          <w:p w14:paraId="636C6CCE">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EBA42C8">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79079987">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7D6AC2F4">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0FF2AB13">
            <w:pPr>
              <w:adjustRightInd w:val="0"/>
              <w:snapToGrid w:val="0"/>
              <w:spacing w:line="240" w:lineRule="auto"/>
              <w:jc w:val="center"/>
              <w:rPr>
                <w:rFonts w:hint="eastAsia" w:ascii="宋体" w:hAnsi="宋体" w:eastAsia="宋体" w:cs="宋体"/>
                <w:color w:val="auto"/>
                <w:sz w:val="21"/>
                <w:szCs w:val="21"/>
                <w:highlight w:val="none"/>
              </w:rPr>
            </w:pPr>
          </w:p>
        </w:tc>
      </w:tr>
      <w:tr w14:paraId="2DAE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06EABF24">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3720" w:type="dxa"/>
            <w:vAlign w:val="center"/>
          </w:tcPr>
          <w:p w14:paraId="78366946">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37EFCA1B">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2032E8F7">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24CF5814">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55FFE0AB">
            <w:pPr>
              <w:adjustRightInd w:val="0"/>
              <w:snapToGrid w:val="0"/>
              <w:spacing w:line="240" w:lineRule="auto"/>
              <w:jc w:val="center"/>
              <w:rPr>
                <w:rFonts w:hint="eastAsia" w:ascii="宋体" w:hAnsi="宋体" w:eastAsia="宋体" w:cs="宋体"/>
                <w:color w:val="auto"/>
                <w:sz w:val="21"/>
                <w:szCs w:val="21"/>
                <w:highlight w:val="none"/>
              </w:rPr>
            </w:pPr>
          </w:p>
        </w:tc>
      </w:tr>
      <w:tr w14:paraId="5BE9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4426187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3720" w:type="dxa"/>
            <w:vAlign w:val="center"/>
          </w:tcPr>
          <w:p w14:paraId="01B6D944">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630DE28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13FC2990">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10B40A9E">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79B78F4">
            <w:pPr>
              <w:adjustRightInd w:val="0"/>
              <w:snapToGrid w:val="0"/>
              <w:spacing w:line="240" w:lineRule="auto"/>
              <w:jc w:val="center"/>
              <w:rPr>
                <w:rFonts w:hint="eastAsia" w:ascii="宋体" w:hAnsi="宋体" w:eastAsia="宋体" w:cs="宋体"/>
                <w:color w:val="auto"/>
                <w:sz w:val="21"/>
                <w:szCs w:val="21"/>
                <w:highlight w:val="none"/>
              </w:rPr>
            </w:pPr>
          </w:p>
        </w:tc>
      </w:tr>
      <w:tr w14:paraId="2839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shd w:val="clear" w:color="auto" w:fill="auto"/>
            <w:vAlign w:val="center"/>
          </w:tcPr>
          <w:p w14:paraId="5456820A">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3720" w:type="dxa"/>
            <w:shd w:val="clear" w:color="auto" w:fill="auto"/>
            <w:vAlign w:val="center"/>
          </w:tcPr>
          <w:p w14:paraId="680BC6B2">
            <w:pPr>
              <w:adjustRightInd w:val="0"/>
              <w:snapToGrid w:val="0"/>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1065" w:type="dxa"/>
            <w:vAlign w:val="center"/>
          </w:tcPr>
          <w:p w14:paraId="0592F05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40FCEAE8">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33452280">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2DF53DF5">
            <w:pPr>
              <w:adjustRightInd w:val="0"/>
              <w:snapToGrid w:val="0"/>
              <w:spacing w:line="240" w:lineRule="auto"/>
              <w:jc w:val="center"/>
              <w:rPr>
                <w:rFonts w:hint="eastAsia" w:ascii="宋体" w:hAnsi="宋体" w:eastAsia="宋体" w:cs="宋体"/>
                <w:color w:val="auto"/>
                <w:sz w:val="21"/>
                <w:szCs w:val="21"/>
                <w:highlight w:val="none"/>
              </w:rPr>
            </w:pPr>
          </w:p>
        </w:tc>
      </w:tr>
      <w:tr w14:paraId="2477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CCAF568">
            <w:pPr>
              <w:adjustRightInd w:val="0"/>
              <w:snapToGrid w:val="0"/>
              <w:spacing w:line="240" w:lineRule="auto"/>
              <w:jc w:val="center"/>
              <w:rPr>
                <w:rFonts w:hint="eastAsia" w:ascii="宋体" w:hAnsi="宋体" w:eastAsia="宋体" w:cs="宋体"/>
                <w:color w:val="auto"/>
                <w:sz w:val="21"/>
                <w:szCs w:val="21"/>
                <w:highlight w:val="none"/>
              </w:rPr>
            </w:pPr>
          </w:p>
        </w:tc>
        <w:tc>
          <w:tcPr>
            <w:tcW w:w="3720" w:type="dxa"/>
            <w:vAlign w:val="center"/>
          </w:tcPr>
          <w:p w14:paraId="3BAFCD9A">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其他费用</w:t>
            </w:r>
          </w:p>
        </w:tc>
        <w:tc>
          <w:tcPr>
            <w:tcW w:w="1065" w:type="dxa"/>
            <w:vAlign w:val="center"/>
          </w:tcPr>
          <w:p w14:paraId="4A97B0C7">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72EC0262">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2E9F4075">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386142A0">
            <w:pPr>
              <w:adjustRightInd w:val="0"/>
              <w:snapToGrid w:val="0"/>
              <w:spacing w:line="240" w:lineRule="auto"/>
              <w:jc w:val="center"/>
              <w:rPr>
                <w:rFonts w:hint="eastAsia" w:ascii="宋体" w:hAnsi="宋体" w:eastAsia="宋体" w:cs="宋体"/>
                <w:color w:val="auto"/>
                <w:sz w:val="21"/>
                <w:szCs w:val="21"/>
                <w:highlight w:val="none"/>
              </w:rPr>
            </w:pPr>
          </w:p>
        </w:tc>
      </w:tr>
      <w:tr w14:paraId="739A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65" w:type="dxa"/>
            <w:vAlign w:val="center"/>
          </w:tcPr>
          <w:p w14:paraId="2A5871BC">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720" w:type="dxa"/>
            <w:vAlign w:val="center"/>
          </w:tcPr>
          <w:p w14:paraId="12BAD9D9">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65" w:type="dxa"/>
            <w:vAlign w:val="center"/>
          </w:tcPr>
          <w:p w14:paraId="707B18D2">
            <w:pPr>
              <w:adjustRightInd w:val="0"/>
              <w:snapToGrid w:val="0"/>
              <w:spacing w:line="240" w:lineRule="auto"/>
              <w:jc w:val="center"/>
              <w:rPr>
                <w:rFonts w:hint="eastAsia" w:ascii="宋体" w:hAnsi="宋体" w:eastAsia="宋体" w:cs="宋体"/>
                <w:color w:val="auto"/>
                <w:sz w:val="21"/>
                <w:szCs w:val="21"/>
                <w:highlight w:val="none"/>
              </w:rPr>
            </w:pPr>
          </w:p>
        </w:tc>
        <w:tc>
          <w:tcPr>
            <w:tcW w:w="1065" w:type="dxa"/>
            <w:vAlign w:val="center"/>
          </w:tcPr>
          <w:p w14:paraId="441C4928">
            <w:pPr>
              <w:adjustRightInd w:val="0"/>
              <w:snapToGrid w:val="0"/>
              <w:spacing w:line="240" w:lineRule="auto"/>
              <w:jc w:val="center"/>
              <w:rPr>
                <w:rFonts w:hint="eastAsia" w:ascii="宋体" w:hAnsi="宋体" w:eastAsia="宋体" w:cs="宋体"/>
                <w:color w:val="auto"/>
                <w:sz w:val="21"/>
                <w:szCs w:val="21"/>
                <w:highlight w:val="none"/>
              </w:rPr>
            </w:pPr>
          </w:p>
        </w:tc>
        <w:tc>
          <w:tcPr>
            <w:tcW w:w="1066" w:type="dxa"/>
            <w:vAlign w:val="center"/>
          </w:tcPr>
          <w:p w14:paraId="02AD434F">
            <w:pPr>
              <w:adjustRightInd w:val="0"/>
              <w:snapToGrid w:val="0"/>
              <w:spacing w:line="240" w:lineRule="auto"/>
              <w:jc w:val="center"/>
              <w:rPr>
                <w:rFonts w:hint="eastAsia" w:ascii="宋体" w:hAnsi="宋体" w:eastAsia="宋体" w:cs="宋体"/>
                <w:color w:val="auto"/>
                <w:sz w:val="21"/>
                <w:szCs w:val="21"/>
                <w:highlight w:val="none"/>
              </w:rPr>
            </w:pPr>
          </w:p>
        </w:tc>
        <w:tc>
          <w:tcPr>
            <w:tcW w:w="947" w:type="dxa"/>
            <w:vAlign w:val="center"/>
          </w:tcPr>
          <w:p w14:paraId="4B93333C">
            <w:pPr>
              <w:adjustRightInd w:val="0"/>
              <w:snapToGrid w:val="0"/>
              <w:spacing w:line="240" w:lineRule="auto"/>
              <w:jc w:val="center"/>
              <w:rPr>
                <w:rFonts w:hint="eastAsia" w:ascii="宋体" w:hAnsi="宋体" w:eastAsia="宋体" w:cs="宋体"/>
                <w:color w:val="auto"/>
                <w:sz w:val="21"/>
                <w:szCs w:val="21"/>
                <w:highlight w:val="none"/>
              </w:rPr>
            </w:pPr>
          </w:p>
        </w:tc>
      </w:tr>
      <w:tr w14:paraId="6CE5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915" w:type="dxa"/>
            <w:gridSpan w:val="4"/>
            <w:vAlign w:val="center"/>
          </w:tcPr>
          <w:p w14:paraId="45167C70">
            <w:pPr>
              <w:adjustRightInd w:val="0"/>
              <w:snapToGrid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投标报价合计（元）</w:t>
            </w:r>
          </w:p>
        </w:tc>
        <w:tc>
          <w:tcPr>
            <w:tcW w:w="2013" w:type="dxa"/>
            <w:gridSpan w:val="2"/>
            <w:vAlign w:val="center"/>
          </w:tcPr>
          <w:p w14:paraId="11A2C3A8">
            <w:pPr>
              <w:adjustRightInd w:val="0"/>
              <w:snapToGrid w:val="0"/>
              <w:spacing w:line="240" w:lineRule="auto"/>
              <w:jc w:val="center"/>
              <w:rPr>
                <w:rFonts w:hint="eastAsia" w:ascii="宋体" w:hAnsi="宋体" w:eastAsia="宋体" w:cs="宋体"/>
                <w:color w:val="auto"/>
                <w:sz w:val="21"/>
                <w:szCs w:val="21"/>
                <w:highlight w:val="none"/>
              </w:rPr>
            </w:pPr>
          </w:p>
        </w:tc>
      </w:tr>
    </w:tbl>
    <w:p w14:paraId="21C7B189">
      <w:pPr>
        <w:spacing w:line="300" w:lineRule="auto"/>
        <w:rPr>
          <w:rFonts w:ascii="Arial" w:hAnsi="Arial" w:cs="Arial"/>
          <w:color w:val="auto"/>
          <w:szCs w:val="21"/>
          <w:highlight w:val="none"/>
        </w:rPr>
      </w:pPr>
    </w:p>
    <w:p w14:paraId="73B477EC">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ascii="Arial" w:hAnsi="Arial" w:cs="Arial"/>
          <w:color w:val="auto"/>
          <w:szCs w:val="21"/>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ascii="Arial" w:hAnsi="Arial" w:cs="Arial"/>
          <w:color w:val="auto"/>
          <w:szCs w:val="21"/>
          <w:highlight w:val="none"/>
        </w:rPr>
        <w:t>：</w:t>
      </w:r>
    </w:p>
    <w:p w14:paraId="08F93A6B">
      <w:pPr>
        <w:spacing w:line="300" w:lineRule="auto"/>
        <w:rPr>
          <w:rFonts w:ascii="Arial" w:hAnsi="Arial" w:cs="Arial"/>
          <w:color w:val="auto"/>
          <w:szCs w:val="21"/>
          <w:highlight w:val="none"/>
        </w:rPr>
      </w:pPr>
      <w:r>
        <w:rPr>
          <w:rFonts w:ascii="Arial" w:hAnsi="Arial" w:cs="Arial"/>
          <w:color w:val="auto"/>
          <w:szCs w:val="21"/>
          <w:highlight w:val="none"/>
        </w:rPr>
        <w:t>日期：</w:t>
      </w:r>
    </w:p>
    <w:p w14:paraId="169E4435">
      <w:pPr>
        <w:spacing w:line="300" w:lineRule="auto"/>
        <w:rPr>
          <w:rFonts w:ascii="Arial" w:hAnsi="Arial" w:cs="Arial"/>
          <w:color w:val="auto"/>
          <w:szCs w:val="21"/>
          <w:highlight w:val="none"/>
        </w:rPr>
      </w:pPr>
    </w:p>
    <w:p w14:paraId="37C4E1D0">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124E8068">
      <w:pPr>
        <w:spacing w:line="360" w:lineRule="auto"/>
        <w:ind w:firstLine="435"/>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按照本表填写的各项目的投标报价合计填写到</w:t>
      </w:r>
      <w:r>
        <w:rPr>
          <w:rFonts w:hint="eastAsia" w:ascii="宋体" w:hAnsi="宋体" w:eastAsia="宋体" w:cs="宋体"/>
          <w:color w:val="auto"/>
          <w:sz w:val="21"/>
          <w:szCs w:val="21"/>
          <w:highlight w:val="none"/>
          <w:lang w:val="en-US" w:eastAsia="zh-CN"/>
        </w:rPr>
        <w:t>“开标一览表”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投标报价</w:t>
      </w:r>
      <w:r>
        <w:rPr>
          <w:rFonts w:hint="eastAsia"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栏中。</w:t>
      </w:r>
    </w:p>
    <w:p w14:paraId="64C342A8">
      <w:pPr>
        <w:spacing w:line="360" w:lineRule="auto"/>
        <w:ind w:firstLine="435"/>
        <w:rPr>
          <w:rFonts w:hint="eastAsia" w:ascii="宋体" w:hAnsi="宋体" w:eastAsia="宋体" w:cs="宋体"/>
          <w:color w:val="auto"/>
          <w:sz w:val="24"/>
          <w:szCs w:val="24"/>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.所列服务为对应本项目需求的全部服务内容。如有漏项或缺项，投标人承担全部责任。</w:t>
      </w:r>
      <w:r>
        <w:rPr>
          <w:rFonts w:hint="eastAsia" w:ascii="宋体" w:hAnsi="宋体" w:eastAsia="宋体" w:cs="宋体"/>
          <w:color w:val="auto"/>
          <w:sz w:val="24"/>
          <w:szCs w:val="24"/>
          <w:highlight w:val="none"/>
        </w:rPr>
        <w:br w:type="page"/>
      </w:r>
    </w:p>
    <w:p w14:paraId="7C0504FF">
      <w:pPr>
        <w:pStyle w:val="64"/>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14C46493">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0C41BC2C">
      <w:pPr>
        <w:autoSpaceDE w:val="0"/>
        <w:autoSpaceDN w:val="0"/>
        <w:adjustRightInd w:val="0"/>
        <w:rPr>
          <w:color w:val="auto"/>
          <w:sz w:val="21"/>
          <w:szCs w:val="24"/>
          <w:highlight w:val="none"/>
        </w:rPr>
      </w:pPr>
    </w:p>
    <w:p w14:paraId="1421A32C">
      <w:pPr>
        <w:autoSpaceDE w:val="0"/>
        <w:autoSpaceDN w:val="0"/>
        <w:adjustRightInd w:val="0"/>
        <w:rPr>
          <w:color w:val="auto"/>
          <w:sz w:val="21"/>
          <w:szCs w:val="24"/>
          <w:highlight w:val="none"/>
        </w:rPr>
      </w:pPr>
    </w:p>
    <w:p w14:paraId="2BC89894">
      <w:pPr>
        <w:autoSpaceDE w:val="0"/>
        <w:autoSpaceDN w:val="0"/>
        <w:adjustRightInd w:val="0"/>
        <w:jc w:val="center"/>
        <w:rPr>
          <w:color w:val="auto"/>
          <w:sz w:val="21"/>
          <w:szCs w:val="24"/>
          <w:highlight w:val="none"/>
        </w:rPr>
      </w:pPr>
    </w:p>
    <w:p w14:paraId="467514A8">
      <w:pPr>
        <w:pStyle w:val="3"/>
        <w:bidi w:val="0"/>
        <w:jc w:val="center"/>
        <w:rPr>
          <w:color w:val="auto"/>
          <w:sz w:val="84"/>
          <w:szCs w:val="84"/>
          <w:highlight w:val="none"/>
        </w:rPr>
      </w:pPr>
      <w:bookmarkStart w:id="468" w:name="_Toc27080"/>
      <w:r>
        <w:rPr>
          <w:rFonts w:hint="eastAsia"/>
          <w:color w:val="auto"/>
          <w:sz w:val="84"/>
          <w:szCs w:val="84"/>
          <w:highlight w:val="none"/>
        </w:rPr>
        <w:t>投 标 文 件</w:t>
      </w:r>
      <w:bookmarkEnd w:id="468"/>
    </w:p>
    <w:p w14:paraId="22660D88">
      <w:pPr>
        <w:pStyle w:val="3"/>
        <w:bidi w:val="0"/>
        <w:jc w:val="center"/>
        <w:rPr>
          <w:rFonts w:hint="eastAsia"/>
          <w:color w:val="auto"/>
          <w:sz w:val="56"/>
          <w:szCs w:val="56"/>
          <w:highlight w:val="none"/>
          <w:lang w:val="en-US" w:eastAsia="zh-CN"/>
        </w:rPr>
      </w:pPr>
      <w:bookmarkStart w:id="469" w:name="_Toc15320"/>
      <w:r>
        <w:rPr>
          <w:rFonts w:hint="eastAsia"/>
          <w:color w:val="auto"/>
          <w:sz w:val="56"/>
          <w:szCs w:val="56"/>
          <w:highlight w:val="none"/>
          <w:lang w:val="en-US" w:eastAsia="zh-CN"/>
        </w:rPr>
        <w:t>商务技术文件</w:t>
      </w:r>
      <w:bookmarkEnd w:id="469"/>
    </w:p>
    <w:p w14:paraId="131E0B81">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0BD9FD8">
      <w:pPr>
        <w:bidi w:val="0"/>
        <w:rPr>
          <w:color w:val="auto"/>
          <w:highlight w:val="none"/>
        </w:rPr>
      </w:pPr>
    </w:p>
    <w:p w14:paraId="2A4C46A2">
      <w:pPr>
        <w:rPr>
          <w:color w:val="auto"/>
          <w:sz w:val="21"/>
          <w:szCs w:val="21"/>
          <w:highlight w:val="none"/>
        </w:rPr>
      </w:pPr>
    </w:p>
    <w:p w14:paraId="55505A23">
      <w:pPr>
        <w:rPr>
          <w:color w:val="auto"/>
          <w:highlight w:val="none"/>
        </w:rPr>
      </w:pPr>
    </w:p>
    <w:p w14:paraId="08E912FD">
      <w:pPr>
        <w:autoSpaceDE w:val="0"/>
        <w:autoSpaceDN w:val="0"/>
        <w:adjustRightInd w:val="0"/>
        <w:rPr>
          <w:color w:val="auto"/>
          <w:sz w:val="21"/>
          <w:szCs w:val="21"/>
          <w:highlight w:val="none"/>
        </w:rPr>
      </w:pPr>
    </w:p>
    <w:p w14:paraId="079C2F52">
      <w:pPr>
        <w:autoSpaceDE w:val="0"/>
        <w:autoSpaceDN w:val="0"/>
        <w:adjustRightInd w:val="0"/>
        <w:rPr>
          <w:color w:val="auto"/>
          <w:sz w:val="21"/>
          <w:szCs w:val="21"/>
          <w:highlight w:val="none"/>
        </w:rPr>
      </w:pPr>
    </w:p>
    <w:p w14:paraId="3DB1C4F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5A9D031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7A60590">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754C9EC">
      <w:pPr>
        <w:ind w:left="420" w:leftChars="175"/>
        <w:rPr>
          <w:rFonts w:ascii="黑体" w:hAnsi="黑体" w:eastAsia="黑体"/>
          <w:color w:val="auto"/>
          <w:sz w:val="32"/>
          <w:szCs w:val="32"/>
          <w:highlight w:val="none"/>
        </w:rPr>
      </w:pPr>
    </w:p>
    <w:p w14:paraId="00DBB64F">
      <w:pPr>
        <w:ind w:left="840" w:firstLine="420"/>
        <w:rPr>
          <w:b/>
          <w:bCs/>
          <w:color w:val="auto"/>
          <w:sz w:val="28"/>
          <w:szCs w:val="28"/>
          <w:highlight w:val="none"/>
        </w:rPr>
      </w:pPr>
    </w:p>
    <w:p w14:paraId="5BA13A7C">
      <w:pPr>
        <w:ind w:left="840" w:firstLine="420"/>
        <w:rPr>
          <w:b/>
          <w:bCs/>
          <w:color w:val="auto"/>
          <w:sz w:val="28"/>
          <w:szCs w:val="28"/>
          <w:highlight w:val="none"/>
        </w:rPr>
      </w:pPr>
    </w:p>
    <w:p w14:paraId="71C4330A">
      <w:pPr>
        <w:jc w:val="center"/>
        <w:rPr>
          <w:rFonts w:ascii="黑体" w:hAnsi="黑体" w:eastAsia="黑体"/>
          <w:color w:val="auto"/>
          <w:sz w:val="32"/>
          <w:szCs w:val="32"/>
          <w:highlight w:val="none"/>
        </w:rPr>
      </w:pPr>
      <w:r>
        <w:rPr>
          <w:rFonts w:hint="eastAsia" w:ascii="宋体" w:hAnsi="宋体" w:eastAsia="宋体" w:cs="宋体"/>
          <w:color w:val="auto"/>
          <w:sz w:val="32"/>
          <w:szCs w:val="32"/>
          <w:highlight w:val="none"/>
        </w:rPr>
        <w:t>年   月    日</w:t>
      </w:r>
    </w:p>
    <w:p w14:paraId="16EE4F34">
      <w:pPr>
        <w:rPr>
          <w:color w:val="auto"/>
          <w:highlight w:val="none"/>
          <w:lang w:val="zh-CN"/>
        </w:rPr>
      </w:pPr>
      <w:r>
        <w:rPr>
          <w:color w:val="auto"/>
          <w:highlight w:val="none"/>
          <w:lang w:val="zh-CN"/>
        </w:rPr>
        <w:br w:type="page"/>
      </w:r>
    </w:p>
    <w:p w14:paraId="4BFCA1A6">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70" w:name="_Toc140132831"/>
      <w:bookmarkStart w:id="471" w:name="_Toc3577"/>
      <w:bookmarkStart w:id="472" w:name="_Toc23604"/>
      <w:bookmarkStart w:id="473" w:name="_Toc109899489"/>
      <w:bookmarkStart w:id="474" w:name="_Toc25402"/>
      <w:bookmarkStart w:id="475" w:name="_Toc109899908"/>
      <w:bookmarkStart w:id="476" w:name="_Toc109900327"/>
      <w:bookmarkStart w:id="477" w:name="_Toc155185921"/>
      <w:r>
        <w:rPr>
          <w:rFonts w:hint="eastAsia" w:eastAsia="宋体" w:asciiTheme="majorHAnsi" w:hAnsiTheme="majorHAnsi" w:cstheme="majorBidi"/>
          <w:b/>
          <w:bCs/>
          <w:color w:val="auto"/>
          <w:kern w:val="2"/>
          <w:sz w:val="32"/>
          <w:szCs w:val="32"/>
          <w:highlight w:val="none"/>
          <w:lang w:val="en-US" w:eastAsia="zh-CN" w:bidi="ar-SA"/>
        </w:rPr>
        <w:t>一、投标函</w:t>
      </w:r>
      <w:bookmarkEnd w:id="470"/>
      <w:bookmarkEnd w:id="471"/>
      <w:bookmarkEnd w:id="472"/>
      <w:bookmarkEnd w:id="473"/>
      <w:bookmarkEnd w:id="474"/>
      <w:bookmarkEnd w:id="475"/>
      <w:bookmarkEnd w:id="476"/>
      <w:bookmarkEnd w:id="477"/>
    </w:p>
    <w:p w14:paraId="206B2A05">
      <w:pPr>
        <w:rPr>
          <w:color w:val="auto"/>
          <w:highlight w:val="none"/>
        </w:rPr>
      </w:pPr>
      <w:r>
        <w:rPr>
          <w:rFonts w:hint="eastAsia"/>
          <w:color w:val="auto"/>
          <w:highlight w:val="none"/>
        </w:rPr>
        <w:t>致：（采购人）</w:t>
      </w:r>
    </w:p>
    <w:p w14:paraId="0C57F118">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095F4971">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16835A3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47F97E1E">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52719011">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549A85BF">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cs="Arial"/>
          <w:color w:val="auto"/>
          <w:szCs w:val="24"/>
          <w:highlight w:val="none"/>
        </w:rPr>
        <w:t>所附投标价格表中规定的应提交和交付的服务和</w:t>
      </w:r>
      <w:r>
        <w:rPr>
          <w:rFonts w:hint="eastAsia" w:cs="Arial"/>
          <w:color w:val="auto"/>
          <w:szCs w:val="24"/>
          <w:highlight w:val="none"/>
          <w:lang w:val="en-US" w:eastAsia="zh-CN"/>
        </w:rPr>
        <w:t>相关</w:t>
      </w:r>
      <w:r>
        <w:rPr>
          <w:rFonts w:hint="eastAsia" w:cs="Arial"/>
          <w:color w:val="auto"/>
          <w:szCs w:val="24"/>
          <w:highlight w:val="none"/>
        </w:rPr>
        <w:t>货物（如有）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532BECE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55B64BFB">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w:t>
      </w:r>
      <w:r>
        <w:rPr>
          <w:rFonts w:cs="Arial"/>
          <w:i w:val="0"/>
          <w:iCs w:val="0"/>
          <w:color w:val="auto"/>
          <w:szCs w:val="24"/>
          <w:highlight w:val="none"/>
        </w:rPr>
        <w:t>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6FC3DEAD">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投标有效期为自提交投标文件的截止之日起</w:t>
      </w:r>
      <w:r>
        <w:rPr>
          <w:rFonts w:hint="eastAsia" w:cs="Arial"/>
          <w:i w:val="0"/>
          <w:iCs w:val="0"/>
          <w:color w:val="auto"/>
          <w:szCs w:val="24"/>
          <w:highlight w:val="none"/>
          <w:u w:val="single"/>
        </w:rPr>
        <w:t xml:space="preserve"> （由投标人填写）</w:t>
      </w:r>
      <w:r>
        <w:rPr>
          <w:rFonts w:cs="Arial"/>
          <w:i w:val="0"/>
          <w:iCs w:val="0"/>
          <w:color w:val="auto"/>
          <w:szCs w:val="24"/>
          <w:highlight w:val="none"/>
        </w:rPr>
        <w:t>个日历天。</w:t>
      </w:r>
    </w:p>
    <w:p w14:paraId="3933493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招标</w:t>
      </w:r>
      <w:r>
        <w:rPr>
          <w:rFonts w:hint="eastAsia" w:cs="Arial"/>
          <w:i w:val="0"/>
          <w:iCs w:val="0"/>
          <w:color w:val="auto"/>
          <w:szCs w:val="24"/>
          <w:highlight w:val="none"/>
        </w:rPr>
        <w:t>文件</w:t>
      </w:r>
      <w:r>
        <w:rPr>
          <w:rFonts w:cs="Arial"/>
          <w:i w:val="0"/>
          <w:iCs w:val="0"/>
          <w:color w:val="auto"/>
          <w:szCs w:val="24"/>
          <w:highlight w:val="none"/>
        </w:rPr>
        <w:t>要求的与投标有关的一切数据或资料，</w:t>
      </w:r>
      <w:r>
        <w:rPr>
          <w:rFonts w:hint="eastAsia" w:cs="Arial"/>
          <w:i w:val="0"/>
          <w:iCs w:val="0"/>
          <w:color w:val="auto"/>
          <w:szCs w:val="24"/>
          <w:highlight w:val="none"/>
        </w:rPr>
        <w:t>采用综合评分法时，我方</w:t>
      </w:r>
      <w:r>
        <w:rPr>
          <w:rFonts w:cs="Arial"/>
          <w:i w:val="0"/>
          <w:iCs w:val="0"/>
          <w:color w:val="auto"/>
          <w:szCs w:val="24"/>
          <w:highlight w:val="none"/>
        </w:rPr>
        <w:t>完全理解贵方不一定接受最低价的投标。</w:t>
      </w:r>
    </w:p>
    <w:p w14:paraId="0015454D">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本项目如由中标人支付采购代理服务费，我方同意按投标人须知前附表中规定向采购代理机构支付采购代理服务费。</w:t>
      </w:r>
    </w:p>
    <w:p w14:paraId="7FE2BF0C">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79362CDA">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6B8A47C0">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2281E51A">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22538848">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683F63FF">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21E30427">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（由投标人如实填写）</w:t>
      </w:r>
      <w:r>
        <w:rPr>
          <w:rFonts w:hint="eastAsia"/>
          <w:i w:val="0"/>
          <w:iCs w:val="0"/>
          <w:color w:val="auto"/>
          <w:szCs w:val="24"/>
          <w:highlight w:val="none"/>
        </w:rPr>
        <w:t>。</w:t>
      </w:r>
    </w:p>
    <w:p w14:paraId="4521C70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0694B2C2">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47BA5D43">
      <w:pPr>
        <w:snapToGrid w:val="0"/>
        <w:spacing w:line="324" w:lineRule="auto"/>
        <w:ind w:firstLine="480" w:firstLineChars="200"/>
        <w:rPr>
          <w:color w:val="auto"/>
          <w:szCs w:val="24"/>
          <w:highlight w:val="none"/>
        </w:rPr>
      </w:pPr>
      <w:r>
        <w:rPr>
          <w:rFonts w:hint="eastAsia"/>
          <w:color w:val="auto"/>
          <w:szCs w:val="24"/>
          <w:highlight w:val="none"/>
        </w:rPr>
        <w:t>5）</w:t>
      </w:r>
      <w:bookmarkStart w:id="478" w:name="_Hlk161604053"/>
      <w:r>
        <w:rPr>
          <w:rFonts w:hint="eastAsia"/>
          <w:color w:val="auto"/>
          <w:szCs w:val="24"/>
          <w:highlight w:val="none"/>
        </w:rPr>
        <w:t>我方承诺本《投标函》的签章对本投标文件全部内容具有约束力并承担法律责任。</w:t>
      </w:r>
      <w:bookmarkEnd w:id="478"/>
    </w:p>
    <w:p w14:paraId="5D8EC88C">
      <w:pPr>
        <w:spacing w:line="300" w:lineRule="auto"/>
        <w:rPr>
          <w:rFonts w:cs="Arial"/>
          <w:color w:val="auto"/>
          <w:szCs w:val="24"/>
          <w:highlight w:val="none"/>
        </w:rPr>
      </w:pPr>
    </w:p>
    <w:p w14:paraId="23320A5C">
      <w:pPr>
        <w:spacing w:line="300" w:lineRule="auto"/>
        <w:rPr>
          <w:rFonts w:cs="Arial"/>
          <w:color w:val="auto"/>
          <w:szCs w:val="24"/>
          <w:highlight w:val="none"/>
        </w:rPr>
      </w:pPr>
    </w:p>
    <w:p w14:paraId="63C326E3">
      <w:pPr>
        <w:spacing w:line="300" w:lineRule="auto"/>
        <w:rPr>
          <w:rFonts w:cs="Arial"/>
          <w:color w:val="auto"/>
          <w:szCs w:val="24"/>
          <w:highlight w:val="none"/>
        </w:rPr>
      </w:pPr>
    </w:p>
    <w:p w14:paraId="59FE3012">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投 </w:t>
      </w:r>
      <w:r>
        <w:rPr>
          <w:rFonts w:cs="宋体"/>
          <w:color w:val="auto"/>
          <w:highlight w:val="none"/>
        </w:rPr>
        <w:t xml:space="preserve">   </w:t>
      </w:r>
      <w:r>
        <w:rPr>
          <w:rFonts w:hint="eastAsia" w:cs="宋体"/>
          <w:color w:val="auto"/>
          <w:highlight w:val="none"/>
        </w:rPr>
        <w:t xml:space="preserve">标 </w:t>
      </w:r>
      <w:r>
        <w:rPr>
          <w:rFonts w:cs="宋体"/>
          <w:color w:val="auto"/>
          <w:highlight w:val="none"/>
        </w:rPr>
        <w:t xml:space="preserve">   </w:t>
      </w:r>
      <w:r>
        <w:rPr>
          <w:rFonts w:hint="eastAsia" w:cs="宋体"/>
          <w:color w:val="auto"/>
          <w:highlight w:val="none"/>
        </w:rPr>
        <w:t>人</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p>
    <w:p w14:paraId="79EA5FB0">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1A22B040">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11F2397C">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3BFE325E">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授 </w:t>
      </w:r>
      <w:r>
        <w:rPr>
          <w:rFonts w:cs="宋体"/>
          <w:color w:val="auto"/>
          <w:highlight w:val="none"/>
        </w:rPr>
        <w:t xml:space="preserve"> </w:t>
      </w:r>
      <w:r>
        <w:rPr>
          <w:rFonts w:hint="eastAsia" w:cs="宋体"/>
          <w:color w:val="auto"/>
          <w:highlight w:val="none"/>
        </w:rPr>
        <w:t xml:space="preserve">权 </w:t>
      </w:r>
      <w:r>
        <w:rPr>
          <w:rFonts w:cs="宋体"/>
          <w:color w:val="auto"/>
          <w:highlight w:val="none"/>
        </w:rPr>
        <w:t xml:space="preserve"> </w:t>
      </w:r>
      <w:r>
        <w:rPr>
          <w:rFonts w:hint="eastAsia" w:cs="宋体"/>
          <w:color w:val="auto"/>
          <w:highlight w:val="none"/>
        </w:rPr>
        <w:t xml:space="preserve">代 </w:t>
      </w:r>
      <w:r>
        <w:rPr>
          <w:rFonts w:cs="宋体"/>
          <w:color w:val="auto"/>
          <w:highlight w:val="none"/>
        </w:rPr>
        <w:t xml:space="preserve"> </w:t>
      </w:r>
      <w:r>
        <w:rPr>
          <w:rFonts w:hint="eastAsia" w:cs="宋体"/>
          <w:color w:val="auto"/>
          <w:highlight w:val="none"/>
        </w:rPr>
        <w:t>表：</w:t>
      </w:r>
    </w:p>
    <w:p w14:paraId="52E54AAE">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72944C70">
      <w:pPr>
        <w:rPr>
          <w:rFonts w:cs="Arial"/>
          <w:color w:val="auto"/>
          <w:szCs w:val="24"/>
          <w:highlight w:val="none"/>
          <w:u w:val="single"/>
        </w:rPr>
      </w:pPr>
    </w:p>
    <w:p w14:paraId="2C7819B2">
      <w:pPr>
        <w:rPr>
          <w:rFonts w:cs="Arial"/>
          <w:color w:val="auto"/>
          <w:szCs w:val="24"/>
          <w:highlight w:val="none"/>
          <w:u w:val="single"/>
        </w:rPr>
      </w:pPr>
      <w:r>
        <w:rPr>
          <w:rFonts w:cs="Arial"/>
          <w:color w:val="auto"/>
          <w:szCs w:val="24"/>
          <w:highlight w:val="none"/>
          <w:u w:val="single"/>
        </w:rPr>
        <w:br w:type="page"/>
      </w:r>
    </w:p>
    <w:p w14:paraId="1A45FEA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79" w:name="_Toc12459"/>
      <w:bookmarkStart w:id="480" w:name="_Toc155185924"/>
      <w:r>
        <w:rPr>
          <w:rFonts w:hint="eastAsia" w:cstheme="majorBidi"/>
          <w:b/>
          <w:bCs/>
          <w:color w:val="auto"/>
          <w:kern w:val="2"/>
          <w:sz w:val="32"/>
          <w:szCs w:val="32"/>
          <w:highlight w:val="none"/>
          <w:lang w:val="en-US" w:eastAsia="zh-CN" w:bidi="ar-SA"/>
        </w:rPr>
        <w:t>二</w:t>
      </w:r>
      <w:r>
        <w:rPr>
          <w:rFonts w:hint="eastAsia" w:eastAsia="宋体" w:asciiTheme="majorHAnsi" w:hAnsiTheme="majorHAnsi" w:cstheme="majorBidi"/>
          <w:b/>
          <w:bCs/>
          <w:color w:val="auto"/>
          <w:kern w:val="2"/>
          <w:sz w:val="32"/>
          <w:szCs w:val="32"/>
          <w:highlight w:val="none"/>
          <w:lang w:val="en-US" w:eastAsia="zh-CN" w:bidi="ar-SA"/>
        </w:rPr>
        <w:t>、法定代表人（单位负责人）身份证明</w:t>
      </w:r>
      <w:bookmarkEnd w:id="479"/>
      <w:bookmarkEnd w:id="480"/>
    </w:p>
    <w:p w14:paraId="66435CAE">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6840DBC7">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9EA266A">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09B77B6F">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6E018145">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2A3E6FE0">
      <w:pPr>
        <w:spacing w:line="480" w:lineRule="auto"/>
        <w:ind w:firstLine="480" w:firstLineChars="200"/>
        <w:rPr>
          <w:rFonts w:cs="仿宋_GB2312"/>
          <w:color w:val="auto"/>
          <w:szCs w:val="24"/>
          <w:highlight w:val="none"/>
        </w:rPr>
      </w:pPr>
    </w:p>
    <w:p w14:paraId="794D6642">
      <w:pPr>
        <w:rPr>
          <w:rFonts w:cs="Arial"/>
          <w:color w:val="auto"/>
          <w:sz w:val="21"/>
          <w:szCs w:val="21"/>
          <w:highlight w:val="none"/>
        </w:rPr>
      </w:pPr>
    </w:p>
    <w:tbl>
      <w:tblPr>
        <w:tblStyle w:val="3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46AA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2A7D6138">
            <w:pPr>
              <w:rPr>
                <w:rFonts w:cs="Arial"/>
                <w:color w:val="auto"/>
                <w:highlight w:val="none"/>
              </w:rPr>
            </w:pPr>
          </w:p>
        </w:tc>
      </w:tr>
    </w:tbl>
    <w:p w14:paraId="5EB68B4E">
      <w:pPr>
        <w:ind w:firstLine="840" w:firstLineChars="350"/>
        <w:jc w:val="center"/>
        <w:rPr>
          <w:rFonts w:cs="Arial"/>
          <w:color w:val="auto"/>
          <w:highlight w:val="none"/>
        </w:rPr>
      </w:pPr>
    </w:p>
    <w:p w14:paraId="4258085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14:paraId="6D8F946D">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6A894459">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5538E3C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537356C">
      <w:pPr>
        <w:rPr>
          <w:b/>
          <w:color w:val="auto"/>
          <w:sz w:val="28"/>
          <w:szCs w:val="28"/>
          <w:highlight w:val="none"/>
        </w:rPr>
      </w:pPr>
    </w:p>
    <w:p w14:paraId="372AA767">
      <w:pPr>
        <w:rPr>
          <w:b/>
          <w:color w:val="auto"/>
          <w:sz w:val="28"/>
          <w:szCs w:val="28"/>
          <w:highlight w:val="none"/>
        </w:rPr>
      </w:pPr>
      <w:r>
        <w:rPr>
          <w:b/>
          <w:color w:val="auto"/>
          <w:sz w:val="28"/>
          <w:szCs w:val="28"/>
          <w:highlight w:val="none"/>
        </w:rPr>
        <w:br w:type="page"/>
      </w:r>
    </w:p>
    <w:p w14:paraId="289FA61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81" w:name="_Toc155185925"/>
      <w:bookmarkStart w:id="482" w:name="_Toc26391"/>
      <w:r>
        <w:rPr>
          <w:rFonts w:hint="eastAsia" w:cstheme="majorBidi"/>
          <w:b/>
          <w:bCs/>
          <w:color w:val="auto"/>
          <w:kern w:val="2"/>
          <w:sz w:val="32"/>
          <w:szCs w:val="32"/>
          <w:highlight w:val="none"/>
          <w:lang w:val="en-US" w:eastAsia="zh-CN" w:bidi="ar-SA"/>
        </w:rPr>
        <w:t>三</w:t>
      </w:r>
      <w:r>
        <w:rPr>
          <w:rFonts w:hint="eastAsia" w:eastAsia="宋体" w:asciiTheme="majorHAnsi" w:hAnsiTheme="majorHAnsi" w:cstheme="majorBidi"/>
          <w:b/>
          <w:bCs/>
          <w:color w:val="auto"/>
          <w:kern w:val="2"/>
          <w:sz w:val="32"/>
          <w:szCs w:val="32"/>
          <w:highlight w:val="none"/>
          <w:lang w:val="en-US" w:eastAsia="zh-CN" w:bidi="ar-SA"/>
        </w:rPr>
        <w:t>、授权委托书</w:t>
      </w:r>
      <w:bookmarkEnd w:id="481"/>
      <w:bookmarkEnd w:id="482"/>
    </w:p>
    <w:p w14:paraId="2EBFEA00">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02852EDE">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509728D1">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BDBF4A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699B8E5B">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highlight w:val="none"/>
          <w:lang w:val="zh-CN"/>
        </w:rPr>
        <w:t>：</w:t>
      </w:r>
      <w:r>
        <w:rPr>
          <w:rFonts w:ascii="DejaVuSans" w:hAnsi="DejaVuSans" w:eastAsia="DejaVuSans" w:cs="DejaVuSans"/>
          <w:color w:val="auto"/>
          <w:kern w:val="0"/>
          <w:sz w:val="24"/>
          <w:szCs w:val="24"/>
          <w:highlight w:val="none"/>
          <w:lang w:val="en-US" w:eastAsia="zh-CN" w:bidi="ar"/>
        </w:rPr>
        <w:t xml:space="preserve">________________ </w:t>
      </w:r>
    </w:p>
    <w:p w14:paraId="3F72436A">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1574C22E">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eastAsia" w:ascii="DejaVuSans" w:hAnsi="DejaVuSans" w:eastAsia="DejaVuSans" w:cs="DejaVuSans"/>
          <w:color w:val="auto"/>
          <w:kern w:val="0"/>
          <w:sz w:val="24"/>
          <w:szCs w:val="24"/>
          <w:highlight w:val="none"/>
          <w:u w:val="single"/>
          <w:lang w:val="en-US" w:eastAsia="zh-CN" w:bidi="ar"/>
        </w:rPr>
        <w:t xml:space="preserve">               </w:t>
      </w:r>
      <w:r>
        <w:rPr>
          <w:rFonts w:hint="default" w:ascii="DejaVuSans" w:hAnsi="DejaVuSans" w:eastAsia="DejaVuSans" w:cs="DejaVuSans"/>
          <w:color w:val="auto"/>
          <w:kern w:val="0"/>
          <w:sz w:val="24"/>
          <w:szCs w:val="24"/>
          <w:highlight w:val="none"/>
          <w:lang w:val="en-US" w:eastAsia="zh-CN" w:bidi="ar"/>
        </w:rPr>
        <w:t xml:space="preserve"> </w:t>
      </w:r>
    </w:p>
    <w:p w14:paraId="1434C58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208A0BF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672AB4BB">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2"/>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300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2DEC9007">
            <w:pPr>
              <w:rPr>
                <w:rFonts w:cs="Arial"/>
                <w:color w:val="auto"/>
                <w:highlight w:val="none"/>
              </w:rPr>
            </w:pPr>
          </w:p>
        </w:tc>
      </w:tr>
    </w:tbl>
    <w:p w14:paraId="0E347100">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406F353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0C8E62C3">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3BB78FB0">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65533F7B">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201D2CAD">
      <w:pPr>
        <w:rPr>
          <w:color w:val="auto"/>
          <w:highlight w:val="none"/>
        </w:rPr>
      </w:pPr>
      <w:r>
        <w:rPr>
          <w:color w:val="auto"/>
          <w:highlight w:val="none"/>
        </w:rPr>
        <w:br w:type="page"/>
      </w:r>
    </w:p>
    <w:p w14:paraId="52AE4CC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83" w:name="_Toc163492928"/>
      <w:bookmarkStart w:id="484" w:name="_Toc155185934"/>
      <w:bookmarkStart w:id="485" w:name="_Toc27408"/>
      <w:r>
        <w:rPr>
          <w:rFonts w:hint="eastAsia" w:cstheme="majorBidi"/>
          <w:b/>
          <w:bCs/>
          <w:color w:val="auto"/>
          <w:kern w:val="2"/>
          <w:sz w:val="32"/>
          <w:szCs w:val="32"/>
          <w:highlight w:val="none"/>
          <w:lang w:val="en-US" w:eastAsia="zh-CN" w:bidi="ar-SA"/>
        </w:rPr>
        <w:t>四</w:t>
      </w:r>
      <w:r>
        <w:rPr>
          <w:rFonts w:hint="eastAsia" w:eastAsia="宋体" w:asciiTheme="majorHAnsi" w:hAnsiTheme="majorHAnsi" w:cstheme="majorBidi"/>
          <w:b/>
          <w:bCs/>
          <w:color w:val="auto"/>
          <w:kern w:val="2"/>
          <w:sz w:val="32"/>
          <w:szCs w:val="32"/>
          <w:highlight w:val="none"/>
          <w:lang w:val="en-US" w:eastAsia="zh-CN" w:bidi="ar-SA"/>
        </w:rPr>
        <w:t>、</w:t>
      </w:r>
      <w:bookmarkEnd w:id="483"/>
      <w:bookmarkEnd w:id="484"/>
      <w:r>
        <w:rPr>
          <w:rFonts w:hint="eastAsia" w:eastAsia="宋体" w:asciiTheme="majorHAnsi" w:hAnsiTheme="majorHAnsi" w:cstheme="majorBidi"/>
          <w:b/>
          <w:bCs/>
          <w:color w:val="auto"/>
          <w:kern w:val="2"/>
          <w:sz w:val="32"/>
          <w:szCs w:val="32"/>
          <w:highlight w:val="none"/>
          <w:lang w:val="zh-CN" w:eastAsia="zh-CN" w:bidi="ar-SA"/>
        </w:rPr>
        <w:t>政府采购</w:t>
      </w:r>
      <w:r>
        <w:rPr>
          <w:rFonts w:hint="eastAsia" w:cstheme="majorBidi"/>
          <w:b/>
          <w:bCs/>
          <w:color w:val="auto"/>
          <w:kern w:val="2"/>
          <w:sz w:val="32"/>
          <w:szCs w:val="32"/>
          <w:highlight w:val="none"/>
          <w:lang w:val="en-US" w:eastAsia="zh-CN" w:bidi="ar-SA"/>
        </w:rPr>
        <w:t>投标人</w:t>
      </w:r>
      <w:r>
        <w:rPr>
          <w:rFonts w:hint="eastAsia" w:eastAsia="宋体" w:asciiTheme="majorHAnsi" w:hAnsiTheme="majorHAnsi" w:cstheme="majorBidi"/>
          <w:b/>
          <w:bCs/>
          <w:color w:val="auto"/>
          <w:kern w:val="2"/>
          <w:sz w:val="32"/>
          <w:szCs w:val="32"/>
          <w:highlight w:val="none"/>
          <w:lang w:val="zh-CN" w:eastAsia="zh-CN" w:bidi="ar-SA"/>
        </w:rPr>
        <w:t>廉洁自律承诺书</w:t>
      </w:r>
      <w:bookmarkEnd w:id="485"/>
    </w:p>
    <w:p w14:paraId="639B6A0F">
      <w:pPr>
        <w:pStyle w:val="14"/>
        <w:rPr>
          <w:color w:val="auto"/>
          <w:highlight w:val="none"/>
        </w:rPr>
      </w:pPr>
    </w:p>
    <w:p w14:paraId="3595E112">
      <w:pPr>
        <w:snapToGrid w:val="0"/>
        <w:spacing w:line="360" w:lineRule="auto"/>
        <w:rPr>
          <w:rFonts w:ascii="宋体" w:hAnsi="宋体" w:cs="宋体"/>
          <w:color w:val="auto"/>
          <w:kern w:val="0"/>
          <w:sz w:val="24"/>
          <w:szCs w:val="24"/>
          <w:highlight w:val="none"/>
        </w:rPr>
      </w:pPr>
      <w:r>
        <w:rPr>
          <w:rFonts w:hint="eastAsia" w:ascii="宋体" w:hAnsi="宋体" w:cs="宋体"/>
          <w:color w:val="auto"/>
          <w:sz w:val="24"/>
          <w:szCs w:val="24"/>
          <w:highlight w:val="none"/>
        </w:rPr>
        <w:t>（采购人）、（采购代理机构）</w:t>
      </w:r>
      <w:r>
        <w:rPr>
          <w:rFonts w:hint="eastAsia" w:ascii="宋体" w:hAnsi="宋体" w:cs="宋体"/>
          <w:color w:val="auto"/>
          <w:kern w:val="0"/>
          <w:sz w:val="24"/>
          <w:szCs w:val="24"/>
          <w:highlight w:val="none"/>
          <w:lang w:val="zh-CN"/>
        </w:rPr>
        <w:t>：</w:t>
      </w:r>
    </w:p>
    <w:p w14:paraId="5F61F3FD">
      <w:pPr>
        <w:autoSpaceDE w:val="0"/>
        <w:autoSpaceDN w:val="0"/>
        <w:spacing w:line="360" w:lineRule="auto"/>
        <w:ind w:left="2" w:leftChars="1" w:firstLine="480" w:firstLineChars="2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我单位响应你</w:t>
      </w:r>
      <w:r>
        <w:rPr>
          <w:rFonts w:hint="eastAsia" w:ascii="宋体" w:hAnsi="宋体" w:cs="宋体"/>
          <w:color w:val="auto"/>
          <w:sz w:val="24"/>
          <w:szCs w:val="24"/>
          <w:highlight w:val="none"/>
        </w:rPr>
        <w:t>单位</w:t>
      </w:r>
      <w:r>
        <w:rPr>
          <w:rFonts w:hint="eastAsia" w:ascii="宋体" w:hAnsi="宋体" w:cs="宋体"/>
          <w:color w:val="auto"/>
          <w:kern w:val="0"/>
          <w:sz w:val="24"/>
          <w:szCs w:val="24"/>
          <w:highlight w:val="none"/>
          <w:lang w:val="zh-CN"/>
        </w:rPr>
        <w:t>项目招标要求参加投标。在这次投标过程中和中标后，我们将严格遵守国家法律法规要求，并郑重承诺：</w:t>
      </w:r>
    </w:p>
    <w:p w14:paraId="5673249E">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一、不向项目有关人员及部门赠送礼金礼物、有价证券、回扣以及中介费、介绍费、咨询费等好处费； </w:t>
      </w:r>
    </w:p>
    <w:p w14:paraId="0037C92D">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二、不为项目有关人员及部门报销应由你方单位或个人支付的费用； </w:t>
      </w:r>
    </w:p>
    <w:p w14:paraId="0D7254AC">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三、不向项目有关人员及部门提供有可能影响公正的宴请和健身娱乐等活动；</w:t>
      </w:r>
    </w:p>
    <w:p w14:paraId="59AAA3C4">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四、不为项目有关人员及部门出国（境）、旅游等提供方便；</w:t>
      </w:r>
    </w:p>
    <w:p w14:paraId="5C59F17D">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五、不为项目有关人员个人装修住房、婚丧嫁娶、配偶子女工作安排等提供好处；</w:t>
      </w:r>
    </w:p>
    <w:p w14:paraId="1F168BD8">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六、严格遵守《中华人民共和国政府采购法》</w:t>
      </w:r>
      <w:r>
        <w:rPr>
          <w:rFonts w:hint="eastAsia"/>
          <w:color w:val="auto"/>
          <w:highlight w:val="none"/>
        </w:rPr>
        <w:t>《中华人民共和国政府采购法</w:t>
      </w:r>
      <w:r>
        <w:rPr>
          <w:rFonts w:hint="eastAsia"/>
          <w:color w:val="auto"/>
          <w:highlight w:val="none"/>
          <w:lang w:val="en-US" w:eastAsia="zh-CN"/>
        </w:rPr>
        <w:t>实施条例</w:t>
      </w:r>
      <w:r>
        <w:rPr>
          <w:rFonts w:hint="eastAsia"/>
          <w:color w:val="auto"/>
          <w:highlight w:val="none"/>
        </w:rPr>
        <w:t>》</w:t>
      </w:r>
      <w:r>
        <w:rPr>
          <w:rFonts w:hint="eastAsia" w:ascii="宋体" w:hAnsi="宋体" w:cs="宋体"/>
          <w:color w:val="auto"/>
          <w:kern w:val="0"/>
          <w:sz w:val="24"/>
          <w:szCs w:val="24"/>
          <w:highlight w:val="none"/>
          <w:lang w:val="zh-CN"/>
        </w:rPr>
        <w:t xml:space="preserve">《中华人民共和国民法典》等法律法规，诚实守信，合法经营，坚决抵制各种违法违纪行为。 </w:t>
      </w:r>
    </w:p>
    <w:p w14:paraId="6B249F5B">
      <w:pPr>
        <w:autoSpaceDE w:val="0"/>
        <w:autoSpaceDN w:val="0"/>
        <w:spacing w:line="360" w:lineRule="auto"/>
        <w:ind w:left="2" w:leftChars="1" w:firstLine="480" w:firstLineChars="200"/>
        <w:jc w:val="left"/>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s="宋体"/>
          <w:color w:val="auto"/>
          <w:kern w:val="0"/>
          <w:sz w:val="24"/>
          <w:szCs w:val="24"/>
          <w:highlight w:val="none"/>
          <w:lang w:val="en-US" w:eastAsia="zh-CN"/>
        </w:rPr>
        <w:t>财政监管部门</w:t>
      </w:r>
      <w:r>
        <w:rPr>
          <w:rFonts w:hint="eastAsia" w:ascii="宋体" w:hAnsi="宋体" w:cs="宋体"/>
          <w:color w:val="auto"/>
          <w:kern w:val="0"/>
          <w:sz w:val="24"/>
          <w:szCs w:val="24"/>
          <w:highlight w:val="none"/>
          <w:lang w:val="zh-CN"/>
        </w:rPr>
        <w:t>。由此引起的相应损失均由我单位承担。</w:t>
      </w:r>
    </w:p>
    <w:p w14:paraId="30F790DA">
      <w:pPr>
        <w:autoSpaceDE w:val="0"/>
        <w:autoSpaceDN w:val="0"/>
        <w:spacing w:line="360" w:lineRule="auto"/>
        <w:ind w:left="2"/>
        <w:jc w:val="left"/>
        <w:rPr>
          <w:rFonts w:ascii="宋体" w:hAnsi="宋体" w:cs="宋体"/>
          <w:color w:val="auto"/>
          <w:kern w:val="0"/>
          <w:sz w:val="24"/>
          <w:szCs w:val="24"/>
          <w:highlight w:val="none"/>
          <w:lang w:val="zh-CN"/>
        </w:rPr>
      </w:pPr>
    </w:p>
    <w:p w14:paraId="1A6DAABF">
      <w:pPr>
        <w:autoSpaceDE w:val="0"/>
        <w:autoSpaceDN w:val="0"/>
        <w:spacing w:line="360" w:lineRule="auto"/>
        <w:ind w:left="2"/>
        <w:jc w:val="left"/>
        <w:rPr>
          <w:rFonts w:ascii="宋体" w:hAnsi="宋体" w:cs="宋体"/>
          <w:color w:val="auto"/>
          <w:kern w:val="0"/>
          <w:sz w:val="24"/>
          <w:szCs w:val="24"/>
          <w:highlight w:val="none"/>
          <w:lang w:val="zh-CN"/>
        </w:rPr>
      </w:pPr>
    </w:p>
    <w:p w14:paraId="5578FBC2">
      <w:pPr>
        <w:autoSpaceDE w:val="0"/>
        <w:autoSpaceDN w:val="0"/>
        <w:spacing w:line="360" w:lineRule="auto"/>
        <w:ind w:left="2"/>
        <w:jc w:val="left"/>
        <w:rPr>
          <w:rFonts w:ascii="宋体" w:hAnsi="宋体" w:cs="宋体"/>
          <w:color w:val="auto"/>
          <w:kern w:val="0"/>
          <w:sz w:val="24"/>
          <w:szCs w:val="24"/>
          <w:highlight w:val="none"/>
          <w:lang w:val="zh-CN"/>
        </w:rPr>
      </w:pPr>
    </w:p>
    <w:p w14:paraId="5E956CA9">
      <w:pPr>
        <w:autoSpaceDE w:val="0"/>
        <w:autoSpaceDN w:val="0"/>
        <w:spacing w:line="360" w:lineRule="auto"/>
        <w:ind w:left="2" w:leftChars="1" w:right="1120" w:firstLine="4560" w:firstLineChars="1900"/>
        <w:jc w:val="left"/>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ascii="宋体" w:hAnsi="宋体" w:cs="宋体"/>
          <w:color w:val="auto"/>
          <w:kern w:val="0"/>
          <w:sz w:val="24"/>
          <w:szCs w:val="24"/>
          <w:highlight w:val="none"/>
          <w:lang w:val="zh-CN"/>
        </w:rPr>
        <w:t xml:space="preserve">：                                                                                                                                                                                                               </w:t>
      </w:r>
    </w:p>
    <w:p w14:paraId="3DBDAC5F">
      <w:pPr>
        <w:ind w:firstLine="4560" w:firstLineChars="1900"/>
        <w:rPr>
          <w:rFonts w:hint="eastAsia" w:eastAsia="宋体" w:asciiTheme="majorHAnsi" w:hAnsiTheme="majorHAnsi" w:cstheme="majorBidi"/>
          <w:b/>
          <w:bCs/>
          <w:color w:val="auto"/>
          <w:kern w:val="2"/>
          <w:sz w:val="24"/>
          <w:szCs w:val="24"/>
          <w:highlight w:val="none"/>
          <w:lang w:val="en-US" w:eastAsia="zh-CN" w:bidi="ar-SA"/>
        </w:rPr>
      </w:pPr>
      <w:r>
        <w:rPr>
          <w:rFonts w:hint="eastAsia" w:ascii="宋体" w:hAnsi="宋体" w:cs="宋体"/>
          <w:color w:val="auto"/>
          <w:kern w:val="0"/>
          <w:sz w:val="24"/>
          <w:szCs w:val="24"/>
          <w:highlight w:val="none"/>
          <w:lang w:val="zh-CN"/>
        </w:rPr>
        <w:t>日期</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zh-CN"/>
        </w:rPr>
        <w:t xml:space="preserve">   年   月   日</w:t>
      </w:r>
    </w:p>
    <w:p w14:paraId="348BC769">
      <w:pPr>
        <w:rPr>
          <w:rFonts w:hint="eastAsia" w:eastAsia="宋体" w:asciiTheme="majorHAnsi" w:hAnsiTheme="majorHAnsi" w:cstheme="majorBidi"/>
          <w:b/>
          <w:bCs/>
          <w:color w:val="auto"/>
          <w:kern w:val="2"/>
          <w:sz w:val="24"/>
          <w:szCs w:val="24"/>
          <w:highlight w:val="none"/>
          <w:lang w:val="en-US" w:eastAsia="zh-CN" w:bidi="ar-SA"/>
        </w:rPr>
      </w:pPr>
    </w:p>
    <w:p w14:paraId="3925B981">
      <w:pPr>
        <w:pStyle w:val="14"/>
        <w:rPr>
          <w:rFonts w:hint="eastAsia" w:eastAsia="宋体" w:asciiTheme="majorHAnsi" w:hAnsiTheme="majorHAnsi" w:cstheme="majorBidi"/>
          <w:b/>
          <w:bCs/>
          <w:color w:val="auto"/>
          <w:kern w:val="2"/>
          <w:sz w:val="24"/>
          <w:szCs w:val="24"/>
          <w:highlight w:val="none"/>
          <w:lang w:val="en-US" w:eastAsia="zh-CN" w:bidi="ar-SA"/>
        </w:rPr>
      </w:pPr>
    </w:p>
    <w:p w14:paraId="6C316C05">
      <w:pPr>
        <w:pStyle w:val="14"/>
        <w:rPr>
          <w:rFonts w:hint="eastAsia" w:eastAsia="宋体" w:asciiTheme="majorHAnsi" w:hAnsiTheme="majorHAnsi" w:cstheme="majorBidi"/>
          <w:b/>
          <w:bCs/>
          <w:color w:val="auto"/>
          <w:kern w:val="2"/>
          <w:sz w:val="24"/>
          <w:szCs w:val="24"/>
          <w:highlight w:val="none"/>
          <w:lang w:val="en-US" w:eastAsia="zh-CN" w:bidi="ar-SA"/>
        </w:rPr>
      </w:pPr>
    </w:p>
    <w:p w14:paraId="3A8838CB">
      <w:pPr>
        <w:pStyle w:val="14"/>
        <w:rPr>
          <w:rFonts w:hint="eastAsia" w:eastAsia="宋体" w:asciiTheme="majorHAnsi" w:hAnsiTheme="majorHAnsi" w:cstheme="majorBidi"/>
          <w:b/>
          <w:bCs/>
          <w:color w:val="auto"/>
          <w:kern w:val="2"/>
          <w:sz w:val="24"/>
          <w:szCs w:val="24"/>
          <w:highlight w:val="none"/>
          <w:lang w:val="en-US" w:eastAsia="zh-CN" w:bidi="ar-SA"/>
        </w:rPr>
      </w:pPr>
    </w:p>
    <w:p w14:paraId="60812F3A">
      <w:pPr>
        <w:pStyle w:val="3"/>
        <w:bidi w:val="0"/>
        <w:jc w:val="center"/>
        <w:rPr>
          <w:rFonts w:hint="default"/>
          <w:color w:val="auto"/>
          <w:highlight w:val="none"/>
          <w:lang w:val="en-US" w:eastAsia="zh-CN"/>
        </w:rPr>
      </w:pPr>
      <w:bookmarkStart w:id="486" w:name="_Toc24923"/>
      <w:r>
        <w:rPr>
          <w:rFonts w:hint="eastAsia"/>
          <w:color w:val="auto"/>
          <w:highlight w:val="none"/>
          <w:lang w:val="en-US" w:eastAsia="zh-CN"/>
        </w:rPr>
        <w:t>五、</w:t>
      </w:r>
      <w:r>
        <w:rPr>
          <w:rFonts w:hint="eastAsia"/>
          <w:color w:val="auto"/>
          <w:highlight w:val="none"/>
          <w:lang w:val="zh-CN" w:eastAsia="zh-CN"/>
        </w:rPr>
        <w:t>实质性响应一览表【</w:t>
      </w:r>
      <w:r>
        <w:rPr>
          <w:rFonts w:hint="eastAsia"/>
          <w:color w:val="auto"/>
          <w:highlight w:val="none"/>
          <w:lang w:val="en-US" w:eastAsia="zh-CN"/>
        </w:rPr>
        <w:t>本表须与第五章的一致】</w:t>
      </w:r>
      <w:bookmarkEnd w:id="486"/>
    </w:p>
    <w:p w14:paraId="1AF14AD1">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13C533CB">
      <w:pPr>
        <w:pStyle w:val="25"/>
        <w:rPr>
          <w:rFonts w:hint="eastAsia" w:ascii="宋体" w:hAnsi="宋体" w:cs="宋体"/>
          <w:color w:val="auto"/>
          <w:highlight w:val="none"/>
        </w:rPr>
      </w:pPr>
    </w:p>
    <w:tbl>
      <w:tblPr>
        <w:tblStyle w:val="32"/>
        <w:tblW w:w="9198"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978"/>
        <w:gridCol w:w="4229"/>
        <w:gridCol w:w="1860"/>
        <w:gridCol w:w="726"/>
      </w:tblGrid>
      <w:tr w14:paraId="6C63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405" w:type="dxa"/>
            <w:vMerge w:val="restart"/>
            <w:vAlign w:val="center"/>
          </w:tcPr>
          <w:p w14:paraId="1BA6763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6207" w:type="dxa"/>
            <w:gridSpan w:val="2"/>
            <w:vAlign w:val="center"/>
          </w:tcPr>
          <w:p w14:paraId="536B0EC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highlight w:val="none"/>
                <w:lang w:val="en-US" w:eastAsia="zh-CN"/>
              </w:rPr>
              <w:t>招标</w:t>
            </w:r>
            <w:r>
              <w:rPr>
                <w:rFonts w:hint="eastAsia" w:ascii="宋体" w:hAnsi="宋体" w:cs="宋体"/>
                <w:color w:val="auto"/>
                <w:sz w:val="24"/>
                <w:highlight w:val="none"/>
              </w:rPr>
              <w:t>文件要求的实质性响应内容</w:t>
            </w:r>
          </w:p>
        </w:tc>
        <w:tc>
          <w:tcPr>
            <w:tcW w:w="1860" w:type="dxa"/>
            <w:vMerge w:val="restart"/>
            <w:vAlign w:val="center"/>
          </w:tcPr>
          <w:p w14:paraId="398C05E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726" w:type="dxa"/>
            <w:vMerge w:val="restart"/>
            <w:vAlign w:val="center"/>
          </w:tcPr>
          <w:p w14:paraId="0C0A844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605D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405" w:type="dxa"/>
            <w:vMerge w:val="continue"/>
            <w:vAlign w:val="center"/>
          </w:tcPr>
          <w:p w14:paraId="01F62BB8">
            <w:pPr>
              <w:keepNext w:val="0"/>
              <w:keepLines w:val="0"/>
              <w:pageBreakBefore w:val="0"/>
              <w:widowControl w:val="0"/>
              <w:kinsoku/>
              <w:wordWrap/>
              <w:overflowPunct/>
              <w:topLinePunct w:val="0"/>
              <w:bidi w:val="0"/>
              <w:adjustRightInd/>
              <w:snapToGrid/>
              <w:spacing w:line="360" w:lineRule="exact"/>
              <w:jc w:val="center"/>
              <w:textAlignment w:val="auto"/>
              <w:rPr>
                <w:color w:val="auto"/>
                <w:highlight w:val="none"/>
              </w:rPr>
            </w:pPr>
          </w:p>
        </w:tc>
        <w:tc>
          <w:tcPr>
            <w:tcW w:w="1978" w:type="dxa"/>
            <w:vAlign w:val="center"/>
          </w:tcPr>
          <w:p w14:paraId="064F2A7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cs="宋体"/>
                <w:color w:val="auto"/>
                <w:sz w:val="24"/>
                <w:highlight w:val="none"/>
                <w:lang w:val="en-US" w:eastAsia="zh-CN"/>
              </w:rPr>
              <w:t>实质性要求</w:t>
            </w:r>
          </w:p>
        </w:tc>
        <w:tc>
          <w:tcPr>
            <w:tcW w:w="4229" w:type="dxa"/>
            <w:vAlign w:val="center"/>
          </w:tcPr>
          <w:p w14:paraId="6298DE9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cs="宋体"/>
                <w:color w:val="auto"/>
                <w:sz w:val="24"/>
                <w:highlight w:val="none"/>
                <w:lang w:val="en-US" w:eastAsia="zh-CN"/>
              </w:rPr>
              <w:t>招标文件中的规定</w:t>
            </w:r>
          </w:p>
        </w:tc>
        <w:tc>
          <w:tcPr>
            <w:tcW w:w="1860" w:type="dxa"/>
            <w:vMerge w:val="continue"/>
            <w:vAlign w:val="center"/>
          </w:tcPr>
          <w:p w14:paraId="3B4C9F3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726" w:type="dxa"/>
            <w:vMerge w:val="continue"/>
            <w:vAlign w:val="center"/>
          </w:tcPr>
          <w:p w14:paraId="54C74BA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3804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405" w:type="dxa"/>
            <w:vAlign w:val="center"/>
          </w:tcPr>
          <w:p w14:paraId="15BA231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78" w:type="dxa"/>
            <w:shd w:val="clear" w:color="auto" w:fill="auto"/>
            <w:vAlign w:val="center"/>
          </w:tcPr>
          <w:p w14:paraId="62B8B0E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4229" w:type="dxa"/>
            <w:shd w:val="clear" w:color="auto" w:fill="auto"/>
            <w:vAlign w:val="center"/>
          </w:tcPr>
          <w:p w14:paraId="1747BCEE">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860" w:type="dxa"/>
            <w:vAlign w:val="center"/>
          </w:tcPr>
          <w:p w14:paraId="3F50533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726" w:type="dxa"/>
            <w:vAlign w:val="center"/>
          </w:tcPr>
          <w:p w14:paraId="698422B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080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405" w:type="dxa"/>
            <w:vAlign w:val="center"/>
          </w:tcPr>
          <w:p w14:paraId="4E05E5F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78" w:type="dxa"/>
            <w:shd w:val="clear" w:color="auto" w:fill="auto"/>
            <w:vAlign w:val="center"/>
          </w:tcPr>
          <w:p w14:paraId="277A03E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4229" w:type="dxa"/>
            <w:shd w:val="clear" w:color="auto" w:fill="auto"/>
            <w:vAlign w:val="center"/>
          </w:tcPr>
          <w:p w14:paraId="25410A73">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860" w:type="dxa"/>
            <w:vAlign w:val="center"/>
          </w:tcPr>
          <w:p w14:paraId="7D7373D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726" w:type="dxa"/>
            <w:vAlign w:val="center"/>
          </w:tcPr>
          <w:p w14:paraId="14D7839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023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405" w:type="dxa"/>
            <w:shd w:val="clear" w:color="auto" w:fill="auto"/>
            <w:vAlign w:val="center"/>
          </w:tcPr>
          <w:p w14:paraId="43F2FAB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978" w:type="dxa"/>
            <w:shd w:val="clear" w:color="auto" w:fill="auto"/>
            <w:vAlign w:val="center"/>
          </w:tcPr>
          <w:p w14:paraId="597E0A67">
            <w:pPr>
              <w:pStyle w:val="53"/>
              <w:rPr>
                <w:rFonts w:hint="eastAsia" w:ascii="宋体" w:hAnsi="宋体" w:eastAsia="宋体" w:cstheme="minorBidi"/>
                <w:color w:val="auto"/>
                <w:kern w:val="2"/>
                <w:sz w:val="24"/>
                <w:szCs w:val="22"/>
                <w:highlight w:val="none"/>
                <w:lang w:val="en-US" w:eastAsia="zh-CN" w:bidi="ar-SA"/>
              </w:rPr>
            </w:pPr>
          </w:p>
        </w:tc>
        <w:tc>
          <w:tcPr>
            <w:tcW w:w="4229" w:type="dxa"/>
            <w:shd w:val="clear" w:color="auto" w:fill="auto"/>
            <w:vAlign w:val="center"/>
          </w:tcPr>
          <w:p w14:paraId="41A58517">
            <w:pPr>
              <w:pStyle w:val="53"/>
              <w:rPr>
                <w:rFonts w:hint="eastAsia" w:ascii="宋体" w:hAnsi="宋体" w:eastAsia="宋体" w:cstheme="minorBidi"/>
                <w:color w:val="auto"/>
                <w:kern w:val="2"/>
                <w:sz w:val="24"/>
                <w:szCs w:val="22"/>
                <w:highlight w:val="none"/>
                <w:lang w:val="en-US" w:eastAsia="zh-CN" w:bidi="ar-SA"/>
              </w:rPr>
            </w:pPr>
          </w:p>
        </w:tc>
        <w:tc>
          <w:tcPr>
            <w:tcW w:w="1860" w:type="dxa"/>
            <w:vAlign w:val="center"/>
          </w:tcPr>
          <w:p w14:paraId="14A87E6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726" w:type="dxa"/>
            <w:vAlign w:val="center"/>
          </w:tcPr>
          <w:p w14:paraId="2D1AD23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642D8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05" w:type="dxa"/>
            <w:shd w:val="clear" w:color="auto" w:fill="auto"/>
            <w:vAlign w:val="center"/>
          </w:tcPr>
          <w:p w14:paraId="005C483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978" w:type="dxa"/>
            <w:shd w:val="clear" w:color="auto" w:fill="auto"/>
            <w:vAlign w:val="center"/>
          </w:tcPr>
          <w:p w14:paraId="2AC27569">
            <w:pPr>
              <w:pStyle w:val="53"/>
              <w:rPr>
                <w:rFonts w:hint="eastAsia" w:ascii="宋体" w:hAnsi="宋体" w:eastAsia="宋体" w:cstheme="minorBidi"/>
                <w:color w:val="auto"/>
                <w:kern w:val="2"/>
                <w:sz w:val="24"/>
                <w:szCs w:val="22"/>
                <w:highlight w:val="none"/>
                <w:lang w:val="en-US" w:eastAsia="zh-CN" w:bidi="ar-SA"/>
              </w:rPr>
            </w:pPr>
          </w:p>
        </w:tc>
        <w:tc>
          <w:tcPr>
            <w:tcW w:w="4229" w:type="dxa"/>
            <w:shd w:val="clear" w:color="auto" w:fill="auto"/>
            <w:vAlign w:val="center"/>
          </w:tcPr>
          <w:p w14:paraId="1FE9DF44">
            <w:pPr>
              <w:pStyle w:val="53"/>
              <w:rPr>
                <w:rFonts w:hint="eastAsia" w:ascii="宋体" w:hAnsi="宋体" w:eastAsia="宋体" w:cstheme="minorBidi"/>
                <w:color w:val="auto"/>
                <w:kern w:val="2"/>
                <w:sz w:val="24"/>
                <w:szCs w:val="22"/>
                <w:highlight w:val="none"/>
                <w:lang w:val="en-US" w:eastAsia="zh-CN" w:bidi="ar-SA"/>
              </w:rPr>
            </w:pPr>
          </w:p>
        </w:tc>
        <w:tc>
          <w:tcPr>
            <w:tcW w:w="1860" w:type="dxa"/>
            <w:vAlign w:val="center"/>
          </w:tcPr>
          <w:p w14:paraId="6BE39B9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726" w:type="dxa"/>
            <w:vAlign w:val="center"/>
          </w:tcPr>
          <w:p w14:paraId="01DE452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75D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405" w:type="dxa"/>
            <w:shd w:val="clear" w:color="auto" w:fill="auto"/>
            <w:vAlign w:val="center"/>
          </w:tcPr>
          <w:p w14:paraId="520D24F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978" w:type="dxa"/>
            <w:vAlign w:val="center"/>
          </w:tcPr>
          <w:p w14:paraId="1A0340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4229" w:type="dxa"/>
            <w:vAlign w:val="center"/>
          </w:tcPr>
          <w:p w14:paraId="718206B9">
            <w:pPr>
              <w:pStyle w:val="77"/>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860" w:type="dxa"/>
            <w:vAlign w:val="center"/>
          </w:tcPr>
          <w:p w14:paraId="2C6E789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726" w:type="dxa"/>
            <w:vAlign w:val="center"/>
          </w:tcPr>
          <w:p w14:paraId="0860356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33D8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05" w:type="dxa"/>
            <w:shd w:val="clear" w:color="auto" w:fill="auto"/>
            <w:vAlign w:val="center"/>
          </w:tcPr>
          <w:p w14:paraId="2ACC30B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978" w:type="dxa"/>
            <w:vAlign w:val="center"/>
          </w:tcPr>
          <w:p w14:paraId="42D433F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4229" w:type="dxa"/>
            <w:vAlign w:val="center"/>
          </w:tcPr>
          <w:p w14:paraId="09361F4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860" w:type="dxa"/>
            <w:vAlign w:val="center"/>
          </w:tcPr>
          <w:p w14:paraId="11B30CC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726" w:type="dxa"/>
            <w:vAlign w:val="center"/>
          </w:tcPr>
          <w:p w14:paraId="0FC7A0D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4798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05" w:type="dxa"/>
            <w:shd w:val="clear" w:color="auto" w:fill="auto"/>
            <w:vAlign w:val="center"/>
          </w:tcPr>
          <w:p w14:paraId="610F42A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978" w:type="dxa"/>
            <w:vAlign w:val="center"/>
          </w:tcPr>
          <w:p w14:paraId="58A4A78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4229" w:type="dxa"/>
            <w:vAlign w:val="center"/>
          </w:tcPr>
          <w:p w14:paraId="1CA15673">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860" w:type="dxa"/>
            <w:vAlign w:val="center"/>
          </w:tcPr>
          <w:p w14:paraId="58CB014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726" w:type="dxa"/>
            <w:vAlign w:val="center"/>
          </w:tcPr>
          <w:p w14:paraId="4B7B2AF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93F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405" w:type="dxa"/>
            <w:vAlign w:val="center"/>
          </w:tcPr>
          <w:p w14:paraId="662CAB8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978" w:type="dxa"/>
            <w:shd w:val="clear" w:color="auto" w:fill="auto"/>
            <w:vAlign w:val="center"/>
          </w:tcPr>
          <w:p w14:paraId="0F529AC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4229" w:type="dxa"/>
            <w:vAlign w:val="center"/>
          </w:tcPr>
          <w:p w14:paraId="03F5BF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860" w:type="dxa"/>
            <w:vAlign w:val="center"/>
          </w:tcPr>
          <w:p w14:paraId="17B2C69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726" w:type="dxa"/>
            <w:vAlign w:val="center"/>
          </w:tcPr>
          <w:p w14:paraId="5F82E7D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3D592A0C">
      <w:pPr>
        <w:rPr>
          <w:rFonts w:hint="eastAsia" w:eastAsia="宋体" w:asciiTheme="majorHAnsi" w:hAnsiTheme="majorHAnsi" w:cstheme="majorBidi"/>
          <w:b/>
          <w:bCs/>
          <w:color w:val="auto"/>
          <w:kern w:val="2"/>
          <w:sz w:val="28"/>
          <w:szCs w:val="28"/>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br w:type="page"/>
      </w:r>
    </w:p>
    <w:p w14:paraId="4A68132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87" w:name="_Toc20481"/>
      <w:r>
        <w:rPr>
          <w:rFonts w:hint="eastAsia" w:cstheme="majorBidi"/>
          <w:b/>
          <w:bCs/>
          <w:color w:val="auto"/>
          <w:kern w:val="2"/>
          <w:sz w:val="32"/>
          <w:szCs w:val="32"/>
          <w:highlight w:val="none"/>
          <w:lang w:val="en-US" w:eastAsia="zh-CN" w:bidi="ar-SA"/>
        </w:rPr>
        <w:t>六</w:t>
      </w:r>
      <w:r>
        <w:rPr>
          <w:rFonts w:hint="eastAsia" w:eastAsia="宋体" w:asciiTheme="majorHAnsi" w:hAnsiTheme="majorHAnsi" w:cstheme="majorBidi"/>
          <w:b/>
          <w:bCs/>
          <w:color w:val="auto"/>
          <w:kern w:val="2"/>
          <w:sz w:val="32"/>
          <w:szCs w:val="32"/>
          <w:highlight w:val="none"/>
          <w:lang w:val="en-US" w:eastAsia="zh-CN" w:bidi="ar-SA"/>
        </w:rPr>
        <w:t>、商务响应偏离表</w:t>
      </w:r>
      <w:bookmarkEnd w:id="487"/>
    </w:p>
    <w:p w14:paraId="1BFFA7D4">
      <w:pPr>
        <w:rPr>
          <w:rFonts w:cs="仿宋_GB2312"/>
          <w:color w:val="auto"/>
          <w:szCs w:val="24"/>
          <w:highlight w:val="none"/>
        </w:rPr>
      </w:pPr>
      <w:r>
        <w:rPr>
          <w:rFonts w:hint="eastAsia" w:cs="仿宋_GB2312"/>
          <w:color w:val="auto"/>
          <w:szCs w:val="24"/>
          <w:highlight w:val="none"/>
        </w:rPr>
        <w:t xml:space="preserve">项目名称：                                         </w:t>
      </w:r>
    </w:p>
    <w:p w14:paraId="42966783">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2"/>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394"/>
        <w:gridCol w:w="1720"/>
        <w:gridCol w:w="1871"/>
        <w:gridCol w:w="1871"/>
      </w:tblGrid>
      <w:tr w14:paraId="4E88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21" w:type="dxa"/>
            <w:vAlign w:val="center"/>
          </w:tcPr>
          <w:p w14:paraId="6424CF83">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394" w:type="dxa"/>
            <w:vAlign w:val="center"/>
          </w:tcPr>
          <w:p w14:paraId="723BAEFF">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720" w:type="dxa"/>
            <w:vAlign w:val="center"/>
          </w:tcPr>
          <w:p w14:paraId="3F0FC471">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871" w:type="dxa"/>
            <w:vAlign w:val="center"/>
          </w:tcPr>
          <w:p w14:paraId="1B2DA5C6">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871" w:type="dxa"/>
            <w:vAlign w:val="center"/>
          </w:tcPr>
          <w:p w14:paraId="1801FA59">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578C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32C8225B">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394" w:type="dxa"/>
            <w:vAlign w:val="center"/>
          </w:tcPr>
          <w:p w14:paraId="7ED0FF77">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20" w:type="dxa"/>
            <w:vAlign w:val="center"/>
          </w:tcPr>
          <w:p w14:paraId="75170AE2">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1" w:type="dxa"/>
            <w:vAlign w:val="center"/>
          </w:tcPr>
          <w:p w14:paraId="67867B17">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871" w:type="dxa"/>
            <w:vAlign w:val="center"/>
          </w:tcPr>
          <w:p w14:paraId="5D0F8A76">
            <w:pPr>
              <w:pStyle w:val="53"/>
              <w:jc w:val="center"/>
              <w:rPr>
                <w:rFonts w:hint="eastAsia" w:ascii="宋体" w:hAnsi="宋体" w:eastAsia="宋体" w:cs="宋体"/>
                <w:color w:val="auto"/>
                <w:sz w:val="21"/>
                <w:szCs w:val="21"/>
                <w:highlight w:val="none"/>
              </w:rPr>
            </w:pPr>
          </w:p>
        </w:tc>
      </w:tr>
      <w:tr w14:paraId="23F1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414D50BD">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394" w:type="dxa"/>
            <w:vAlign w:val="center"/>
          </w:tcPr>
          <w:p w14:paraId="6D6DC36C">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20" w:type="dxa"/>
            <w:vAlign w:val="center"/>
          </w:tcPr>
          <w:p w14:paraId="39A06EB4">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1" w:type="dxa"/>
            <w:vAlign w:val="center"/>
          </w:tcPr>
          <w:p w14:paraId="661E1FCB">
            <w:pPr>
              <w:pStyle w:val="53"/>
              <w:jc w:val="center"/>
              <w:rPr>
                <w:rFonts w:hint="eastAsia" w:ascii="宋体" w:hAnsi="宋体" w:eastAsia="宋体" w:cs="宋体"/>
                <w:color w:val="auto"/>
                <w:sz w:val="21"/>
                <w:szCs w:val="21"/>
                <w:highlight w:val="none"/>
              </w:rPr>
            </w:pPr>
          </w:p>
        </w:tc>
        <w:tc>
          <w:tcPr>
            <w:tcW w:w="1871" w:type="dxa"/>
            <w:vAlign w:val="center"/>
          </w:tcPr>
          <w:p w14:paraId="3456A6CD">
            <w:pPr>
              <w:pStyle w:val="53"/>
              <w:jc w:val="center"/>
              <w:rPr>
                <w:rFonts w:hint="eastAsia" w:ascii="宋体" w:hAnsi="宋体" w:eastAsia="宋体" w:cs="宋体"/>
                <w:color w:val="auto"/>
                <w:sz w:val="21"/>
                <w:szCs w:val="21"/>
                <w:highlight w:val="none"/>
              </w:rPr>
            </w:pPr>
          </w:p>
        </w:tc>
      </w:tr>
      <w:tr w14:paraId="6A87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255C72A6">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394" w:type="dxa"/>
            <w:vAlign w:val="center"/>
          </w:tcPr>
          <w:p w14:paraId="334B8F7B">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20" w:type="dxa"/>
            <w:vAlign w:val="center"/>
          </w:tcPr>
          <w:p w14:paraId="60B19693">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1" w:type="dxa"/>
            <w:vAlign w:val="center"/>
          </w:tcPr>
          <w:p w14:paraId="6B5B6354">
            <w:pPr>
              <w:pStyle w:val="53"/>
              <w:jc w:val="center"/>
              <w:rPr>
                <w:rFonts w:hint="eastAsia" w:ascii="宋体" w:hAnsi="宋体" w:eastAsia="宋体" w:cs="宋体"/>
                <w:color w:val="auto"/>
                <w:sz w:val="21"/>
                <w:szCs w:val="21"/>
                <w:highlight w:val="none"/>
              </w:rPr>
            </w:pPr>
          </w:p>
        </w:tc>
        <w:tc>
          <w:tcPr>
            <w:tcW w:w="1871" w:type="dxa"/>
            <w:vAlign w:val="center"/>
          </w:tcPr>
          <w:p w14:paraId="3B39EE7B">
            <w:pPr>
              <w:pStyle w:val="53"/>
              <w:jc w:val="center"/>
              <w:rPr>
                <w:rFonts w:hint="eastAsia" w:ascii="宋体" w:hAnsi="宋体" w:eastAsia="宋体" w:cs="宋体"/>
                <w:color w:val="auto"/>
                <w:sz w:val="21"/>
                <w:szCs w:val="21"/>
                <w:highlight w:val="none"/>
              </w:rPr>
            </w:pPr>
          </w:p>
        </w:tc>
      </w:tr>
      <w:tr w14:paraId="3360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0BCD8637">
            <w:pPr>
              <w:pStyle w:val="53"/>
              <w:jc w:val="center"/>
              <w:rPr>
                <w:rFonts w:hint="eastAsia" w:ascii="宋体" w:hAnsi="宋体" w:eastAsia="宋体" w:cs="宋体"/>
                <w:color w:val="auto"/>
                <w:sz w:val="21"/>
                <w:szCs w:val="21"/>
                <w:highlight w:val="none"/>
              </w:rPr>
            </w:pPr>
          </w:p>
        </w:tc>
        <w:tc>
          <w:tcPr>
            <w:tcW w:w="2394" w:type="dxa"/>
            <w:vAlign w:val="center"/>
          </w:tcPr>
          <w:p w14:paraId="3E205566">
            <w:pPr>
              <w:pStyle w:val="53"/>
              <w:jc w:val="center"/>
              <w:rPr>
                <w:rFonts w:hint="eastAsia" w:ascii="宋体" w:hAnsi="宋体" w:eastAsia="宋体" w:cs="宋体"/>
                <w:color w:val="auto"/>
                <w:sz w:val="21"/>
                <w:szCs w:val="21"/>
                <w:highlight w:val="none"/>
              </w:rPr>
            </w:pPr>
          </w:p>
        </w:tc>
        <w:tc>
          <w:tcPr>
            <w:tcW w:w="1720" w:type="dxa"/>
            <w:vAlign w:val="center"/>
          </w:tcPr>
          <w:p w14:paraId="767ED59E">
            <w:pPr>
              <w:pStyle w:val="53"/>
              <w:jc w:val="center"/>
              <w:rPr>
                <w:rFonts w:hint="eastAsia" w:ascii="宋体" w:hAnsi="宋体" w:eastAsia="宋体" w:cs="宋体"/>
                <w:color w:val="auto"/>
                <w:sz w:val="21"/>
                <w:szCs w:val="21"/>
                <w:highlight w:val="none"/>
              </w:rPr>
            </w:pPr>
          </w:p>
        </w:tc>
        <w:tc>
          <w:tcPr>
            <w:tcW w:w="1871" w:type="dxa"/>
            <w:vAlign w:val="center"/>
          </w:tcPr>
          <w:p w14:paraId="796E03E1">
            <w:pPr>
              <w:pStyle w:val="53"/>
              <w:jc w:val="center"/>
              <w:rPr>
                <w:rFonts w:hint="eastAsia" w:ascii="宋体" w:hAnsi="宋体" w:eastAsia="宋体" w:cs="宋体"/>
                <w:color w:val="auto"/>
                <w:sz w:val="21"/>
                <w:szCs w:val="21"/>
                <w:highlight w:val="none"/>
              </w:rPr>
            </w:pPr>
          </w:p>
        </w:tc>
        <w:tc>
          <w:tcPr>
            <w:tcW w:w="1871" w:type="dxa"/>
            <w:vAlign w:val="center"/>
          </w:tcPr>
          <w:p w14:paraId="6E1D4D3E">
            <w:pPr>
              <w:pStyle w:val="53"/>
              <w:jc w:val="center"/>
              <w:rPr>
                <w:rFonts w:hint="eastAsia" w:ascii="宋体" w:hAnsi="宋体" w:eastAsia="宋体" w:cs="宋体"/>
                <w:color w:val="auto"/>
                <w:sz w:val="21"/>
                <w:szCs w:val="21"/>
                <w:highlight w:val="none"/>
              </w:rPr>
            </w:pPr>
          </w:p>
        </w:tc>
      </w:tr>
      <w:tr w14:paraId="71484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44622E43">
            <w:pPr>
              <w:pStyle w:val="53"/>
              <w:jc w:val="center"/>
              <w:rPr>
                <w:rFonts w:hint="eastAsia" w:ascii="宋体" w:hAnsi="宋体" w:eastAsia="宋体" w:cs="宋体"/>
                <w:color w:val="auto"/>
                <w:sz w:val="21"/>
                <w:szCs w:val="21"/>
                <w:highlight w:val="none"/>
              </w:rPr>
            </w:pPr>
          </w:p>
        </w:tc>
        <w:tc>
          <w:tcPr>
            <w:tcW w:w="2394" w:type="dxa"/>
            <w:vAlign w:val="center"/>
          </w:tcPr>
          <w:p w14:paraId="472D3690">
            <w:pPr>
              <w:pStyle w:val="53"/>
              <w:jc w:val="center"/>
              <w:rPr>
                <w:rFonts w:hint="eastAsia" w:ascii="宋体" w:hAnsi="宋体" w:eastAsia="宋体" w:cs="宋体"/>
                <w:color w:val="auto"/>
                <w:sz w:val="21"/>
                <w:szCs w:val="21"/>
                <w:highlight w:val="none"/>
              </w:rPr>
            </w:pPr>
          </w:p>
        </w:tc>
        <w:tc>
          <w:tcPr>
            <w:tcW w:w="1720" w:type="dxa"/>
            <w:vAlign w:val="center"/>
          </w:tcPr>
          <w:p w14:paraId="6F5841A2">
            <w:pPr>
              <w:pStyle w:val="53"/>
              <w:jc w:val="center"/>
              <w:rPr>
                <w:rFonts w:hint="eastAsia" w:ascii="宋体" w:hAnsi="宋体" w:eastAsia="宋体" w:cs="宋体"/>
                <w:color w:val="auto"/>
                <w:sz w:val="21"/>
                <w:szCs w:val="21"/>
                <w:highlight w:val="none"/>
              </w:rPr>
            </w:pPr>
          </w:p>
        </w:tc>
        <w:tc>
          <w:tcPr>
            <w:tcW w:w="1871" w:type="dxa"/>
            <w:vAlign w:val="center"/>
          </w:tcPr>
          <w:p w14:paraId="009EB7AF">
            <w:pPr>
              <w:pStyle w:val="53"/>
              <w:jc w:val="center"/>
              <w:rPr>
                <w:rFonts w:hint="eastAsia" w:ascii="宋体" w:hAnsi="宋体" w:eastAsia="宋体" w:cs="宋体"/>
                <w:color w:val="auto"/>
                <w:sz w:val="21"/>
                <w:szCs w:val="21"/>
                <w:highlight w:val="none"/>
              </w:rPr>
            </w:pPr>
          </w:p>
        </w:tc>
        <w:tc>
          <w:tcPr>
            <w:tcW w:w="1871" w:type="dxa"/>
            <w:vAlign w:val="center"/>
          </w:tcPr>
          <w:p w14:paraId="4A4AAABD">
            <w:pPr>
              <w:pStyle w:val="53"/>
              <w:jc w:val="center"/>
              <w:rPr>
                <w:rFonts w:hint="eastAsia" w:ascii="宋体" w:hAnsi="宋体" w:eastAsia="宋体" w:cs="宋体"/>
                <w:color w:val="auto"/>
                <w:sz w:val="21"/>
                <w:szCs w:val="21"/>
                <w:highlight w:val="none"/>
              </w:rPr>
            </w:pPr>
          </w:p>
        </w:tc>
      </w:tr>
      <w:tr w14:paraId="1A86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17DE0189">
            <w:pPr>
              <w:pStyle w:val="53"/>
              <w:jc w:val="center"/>
              <w:rPr>
                <w:rFonts w:hint="eastAsia" w:ascii="宋体" w:hAnsi="宋体" w:eastAsia="宋体" w:cs="宋体"/>
                <w:color w:val="auto"/>
                <w:sz w:val="21"/>
                <w:szCs w:val="21"/>
                <w:highlight w:val="none"/>
              </w:rPr>
            </w:pPr>
          </w:p>
        </w:tc>
        <w:tc>
          <w:tcPr>
            <w:tcW w:w="2394" w:type="dxa"/>
            <w:vAlign w:val="center"/>
          </w:tcPr>
          <w:p w14:paraId="18A340C6">
            <w:pPr>
              <w:pStyle w:val="53"/>
              <w:jc w:val="center"/>
              <w:rPr>
                <w:rFonts w:hint="eastAsia" w:ascii="宋体" w:hAnsi="宋体" w:eastAsia="宋体" w:cs="宋体"/>
                <w:color w:val="auto"/>
                <w:sz w:val="21"/>
                <w:szCs w:val="21"/>
                <w:highlight w:val="none"/>
              </w:rPr>
            </w:pPr>
          </w:p>
        </w:tc>
        <w:tc>
          <w:tcPr>
            <w:tcW w:w="1720" w:type="dxa"/>
            <w:vAlign w:val="center"/>
          </w:tcPr>
          <w:p w14:paraId="57CC9361">
            <w:pPr>
              <w:pStyle w:val="53"/>
              <w:jc w:val="center"/>
              <w:rPr>
                <w:rFonts w:hint="eastAsia" w:ascii="宋体" w:hAnsi="宋体" w:eastAsia="宋体" w:cs="宋体"/>
                <w:color w:val="auto"/>
                <w:sz w:val="21"/>
                <w:szCs w:val="21"/>
                <w:highlight w:val="none"/>
              </w:rPr>
            </w:pPr>
          </w:p>
        </w:tc>
        <w:tc>
          <w:tcPr>
            <w:tcW w:w="1871" w:type="dxa"/>
            <w:vAlign w:val="center"/>
          </w:tcPr>
          <w:p w14:paraId="22451547">
            <w:pPr>
              <w:pStyle w:val="53"/>
              <w:jc w:val="center"/>
              <w:rPr>
                <w:rFonts w:hint="eastAsia" w:ascii="宋体" w:hAnsi="宋体" w:eastAsia="宋体" w:cs="宋体"/>
                <w:color w:val="auto"/>
                <w:sz w:val="21"/>
                <w:szCs w:val="21"/>
                <w:highlight w:val="none"/>
              </w:rPr>
            </w:pPr>
          </w:p>
        </w:tc>
        <w:tc>
          <w:tcPr>
            <w:tcW w:w="1871" w:type="dxa"/>
            <w:vAlign w:val="center"/>
          </w:tcPr>
          <w:p w14:paraId="71F40C7A">
            <w:pPr>
              <w:pStyle w:val="53"/>
              <w:jc w:val="center"/>
              <w:rPr>
                <w:rFonts w:hint="eastAsia" w:ascii="宋体" w:hAnsi="宋体" w:eastAsia="宋体" w:cs="宋体"/>
                <w:color w:val="auto"/>
                <w:sz w:val="21"/>
                <w:szCs w:val="21"/>
                <w:highlight w:val="none"/>
              </w:rPr>
            </w:pPr>
          </w:p>
        </w:tc>
      </w:tr>
      <w:tr w14:paraId="2B92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2FDC336D">
            <w:pPr>
              <w:pStyle w:val="53"/>
              <w:jc w:val="center"/>
              <w:rPr>
                <w:rFonts w:hint="eastAsia" w:ascii="宋体" w:hAnsi="宋体" w:eastAsia="宋体" w:cs="宋体"/>
                <w:color w:val="auto"/>
                <w:sz w:val="21"/>
                <w:szCs w:val="21"/>
                <w:highlight w:val="none"/>
              </w:rPr>
            </w:pPr>
          </w:p>
        </w:tc>
        <w:tc>
          <w:tcPr>
            <w:tcW w:w="2394" w:type="dxa"/>
            <w:vAlign w:val="center"/>
          </w:tcPr>
          <w:p w14:paraId="256D4F0A">
            <w:pPr>
              <w:pStyle w:val="53"/>
              <w:jc w:val="center"/>
              <w:rPr>
                <w:rFonts w:hint="eastAsia" w:ascii="宋体" w:hAnsi="宋体" w:eastAsia="宋体" w:cs="宋体"/>
                <w:color w:val="auto"/>
                <w:sz w:val="21"/>
                <w:szCs w:val="21"/>
                <w:highlight w:val="none"/>
              </w:rPr>
            </w:pPr>
          </w:p>
        </w:tc>
        <w:tc>
          <w:tcPr>
            <w:tcW w:w="1720" w:type="dxa"/>
            <w:vAlign w:val="center"/>
          </w:tcPr>
          <w:p w14:paraId="4490580D">
            <w:pPr>
              <w:pStyle w:val="53"/>
              <w:jc w:val="center"/>
              <w:rPr>
                <w:rFonts w:hint="eastAsia" w:ascii="宋体" w:hAnsi="宋体" w:eastAsia="宋体" w:cs="宋体"/>
                <w:color w:val="auto"/>
                <w:sz w:val="21"/>
                <w:szCs w:val="21"/>
                <w:highlight w:val="none"/>
              </w:rPr>
            </w:pPr>
          </w:p>
        </w:tc>
        <w:tc>
          <w:tcPr>
            <w:tcW w:w="1871" w:type="dxa"/>
            <w:vAlign w:val="center"/>
          </w:tcPr>
          <w:p w14:paraId="683B63F7">
            <w:pPr>
              <w:pStyle w:val="53"/>
              <w:jc w:val="center"/>
              <w:rPr>
                <w:rFonts w:hint="eastAsia" w:ascii="宋体" w:hAnsi="宋体" w:eastAsia="宋体" w:cs="宋体"/>
                <w:color w:val="auto"/>
                <w:sz w:val="21"/>
                <w:szCs w:val="21"/>
                <w:highlight w:val="none"/>
              </w:rPr>
            </w:pPr>
          </w:p>
        </w:tc>
        <w:tc>
          <w:tcPr>
            <w:tcW w:w="1871" w:type="dxa"/>
            <w:vAlign w:val="center"/>
          </w:tcPr>
          <w:p w14:paraId="28A4BE16">
            <w:pPr>
              <w:pStyle w:val="53"/>
              <w:jc w:val="center"/>
              <w:rPr>
                <w:rFonts w:hint="eastAsia" w:ascii="宋体" w:hAnsi="宋体" w:eastAsia="宋体" w:cs="宋体"/>
                <w:color w:val="auto"/>
                <w:sz w:val="21"/>
                <w:szCs w:val="21"/>
                <w:highlight w:val="none"/>
              </w:rPr>
            </w:pPr>
          </w:p>
        </w:tc>
      </w:tr>
      <w:tr w14:paraId="5AEB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2F7A53B6">
            <w:pPr>
              <w:pStyle w:val="53"/>
              <w:jc w:val="center"/>
              <w:rPr>
                <w:rFonts w:hint="eastAsia" w:ascii="宋体" w:hAnsi="宋体" w:eastAsia="宋体" w:cs="宋体"/>
                <w:color w:val="auto"/>
                <w:sz w:val="21"/>
                <w:szCs w:val="21"/>
                <w:highlight w:val="none"/>
              </w:rPr>
            </w:pPr>
          </w:p>
        </w:tc>
        <w:tc>
          <w:tcPr>
            <w:tcW w:w="2394" w:type="dxa"/>
            <w:vAlign w:val="center"/>
          </w:tcPr>
          <w:p w14:paraId="2EE33D6E">
            <w:pPr>
              <w:pStyle w:val="53"/>
              <w:jc w:val="center"/>
              <w:rPr>
                <w:rFonts w:hint="eastAsia" w:ascii="宋体" w:hAnsi="宋体" w:eastAsia="宋体" w:cs="宋体"/>
                <w:color w:val="auto"/>
                <w:sz w:val="21"/>
                <w:szCs w:val="21"/>
                <w:highlight w:val="none"/>
              </w:rPr>
            </w:pPr>
          </w:p>
        </w:tc>
        <w:tc>
          <w:tcPr>
            <w:tcW w:w="1720" w:type="dxa"/>
            <w:vAlign w:val="center"/>
          </w:tcPr>
          <w:p w14:paraId="1CC8385A">
            <w:pPr>
              <w:pStyle w:val="53"/>
              <w:jc w:val="center"/>
              <w:rPr>
                <w:rFonts w:hint="eastAsia" w:ascii="宋体" w:hAnsi="宋体" w:eastAsia="宋体" w:cs="宋体"/>
                <w:color w:val="auto"/>
                <w:sz w:val="21"/>
                <w:szCs w:val="21"/>
                <w:highlight w:val="none"/>
              </w:rPr>
            </w:pPr>
          </w:p>
        </w:tc>
        <w:tc>
          <w:tcPr>
            <w:tcW w:w="1871" w:type="dxa"/>
            <w:vAlign w:val="center"/>
          </w:tcPr>
          <w:p w14:paraId="20819484">
            <w:pPr>
              <w:pStyle w:val="53"/>
              <w:jc w:val="center"/>
              <w:rPr>
                <w:rFonts w:hint="eastAsia" w:ascii="宋体" w:hAnsi="宋体" w:eastAsia="宋体" w:cs="宋体"/>
                <w:color w:val="auto"/>
                <w:sz w:val="21"/>
                <w:szCs w:val="21"/>
                <w:highlight w:val="none"/>
              </w:rPr>
            </w:pPr>
          </w:p>
        </w:tc>
        <w:tc>
          <w:tcPr>
            <w:tcW w:w="1871" w:type="dxa"/>
            <w:vAlign w:val="center"/>
          </w:tcPr>
          <w:p w14:paraId="7A8A8091">
            <w:pPr>
              <w:pStyle w:val="53"/>
              <w:jc w:val="center"/>
              <w:rPr>
                <w:rFonts w:hint="eastAsia" w:ascii="宋体" w:hAnsi="宋体" w:eastAsia="宋体" w:cs="宋体"/>
                <w:color w:val="auto"/>
                <w:sz w:val="21"/>
                <w:szCs w:val="21"/>
                <w:highlight w:val="none"/>
              </w:rPr>
            </w:pPr>
          </w:p>
        </w:tc>
      </w:tr>
      <w:tr w14:paraId="0434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1F3212CE">
            <w:pPr>
              <w:pStyle w:val="53"/>
              <w:jc w:val="center"/>
              <w:rPr>
                <w:rFonts w:hint="eastAsia" w:ascii="宋体" w:hAnsi="宋体" w:eastAsia="宋体" w:cs="宋体"/>
                <w:color w:val="auto"/>
                <w:sz w:val="21"/>
                <w:szCs w:val="21"/>
                <w:highlight w:val="none"/>
              </w:rPr>
            </w:pPr>
          </w:p>
        </w:tc>
        <w:tc>
          <w:tcPr>
            <w:tcW w:w="2394" w:type="dxa"/>
            <w:vAlign w:val="center"/>
          </w:tcPr>
          <w:p w14:paraId="5112C089">
            <w:pPr>
              <w:pStyle w:val="53"/>
              <w:jc w:val="center"/>
              <w:rPr>
                <w:rFonts w:hint="eastAsia" w:ascii="宋体" w:hAnsi="宋体" w:eastAsia="宋体" w:cs="宋体"/>
                <w:color w:val="auto"/>
                <w:sz w:val="21"/>
                <w:szCs w:val="21"/>
                <w:highlight w:val="none"/>
              </w:rPr>
            </w:pPr>
          </w:p>
        </w:tc>
        <w:tc>
          <w:tcPr>
            <w:tcW w:w="1720" w:type="dxa"/>
            <w:vAlign w:val="center"/>
          </w:tcPr>
          <w:p w14:paraId="5D26EBDB">
            <w:pPr>
              <w:pStyle w:val="53"/>
              <w:jc w:val="center"/>
              <w:rPr>
                <w:rFonts w:hint="eastAsia" w:ascii="宋体" w:hAnsi="宋体" w:eastAsia="宋体" w:cs="宋体"/>
                <w:color w:val="auto"/>
                <w:sz w:val="21"/>
                <w:szCs w:val="21"/>
                <w:highlight w:val="none"/>
              </w:rPr>
            </w:pPr>
          </w:p>
        </w:tc>
        <w:tc>
          <w:tcPr>
            <w:tcW w:w="1871" w:type="dxa"/>
            <w:vAlign w:val="center"/>
          </w:tcPr>
          <w:p w14:paraId="4B694359">
            <w:pPr>
              <w:pStyle w:val="53"/>
              <w:jc w:val="center"/>
              <w:rPr>
                <w:rFonts w:hint="eastAsia" w:ascii="宋体" w:hAnsi="宋体" w:eastAsia="宋体" w:cs="宋体"/>
                <w:color w:val="auto"/>
                <w:sz w:val="21"/>
                <w:szCs w:val="21"/>
                <w:highlight w:val="none"/>
              </w:rPr>
            </w:pPr>
          </w:p>
        </w:tc>
        <w:tc>
          <w:tcPr>
            <w:tcW w:w="1871" w:type="dxa"/>
            <w:vAlign w:val="center"/>
          </w:tcPr>
          <w:p w14:paraId="57B191DF">
            <w:pPr>
              <w:pStyle w:val="53"/>
              <w:jc w:val="center"/>
              <w:rPr>
                <w:rFonts w:hint="eastAsia" w:ascii="宋体" w:hAnsi="宋体" w:eastAsia="宋体" w:cs="宋体"/>
                <w:color w:val="auto"/>
                <w:sz w:val="21"/>
                <w:szCs w:val="21"/>
                <w:highlight w:val="none"/>
              </w:rPr>
            </w:pPr>
          </w:p>
        </w:tc>
      </w:tr>
      <w:tr w14:paraId="056A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174D5ABC">
            <w:pPr>
              <w:pStyle w:val="53"/>
              <w:jc w:val="center"/>
              <w:rPr>
                <w:rFonts w:hint="eastAsia" w:ascii="宋体" w:hAnsi="宋体" w:eastAsia="宋体" w:cs="宋体"/>
                <w:color w:val="auto"/>
                <w:sz w:val="21"/>
                <w:szCs w:val="21"/>
                <w:highlight w:val="none"/>
              </w:rPr>
            </w:pPr>
          </w:p>
        </w:tc>
        <w:tc>
          <w:tcPr>
            <w:tcW w:w="2394" w:type="dxa"/>
            <w:vAlign w:val="center"/>
          </w:tcPr>
          <w:p w14:paraId="75666C2B">
            <w:pPr>
              <w:pStyle w:val="53"/>
              <w:jc w:val="center"/>
              <w:rPr>
                <w:rFonts w:hint="eastAsia" w:ascii="宋体" w:hAnsi="宋体" w:eastAsia="宋体" w:cs="宋体"/>
                <w:color w:val="auto"/>
                <w:sz w:val="21"/>
                <w:szCs w:val="21"/>
                <w:highlight w:val="none"/>
              </w:rPr>
            </w:pPr>
          </w:p>
        </w:tc>
        <w:tc>
          <w:tcPr>
            <w:tcW w:w="1720" w:type="dxa"/>
            <w:vAlign w:val="center"/>
          </w:tcPr>
          <w:p w14:paraId="5D5CD985">
            <w:pPr>
              <w:pStyle w:val="53"/>
              <w:jc w:val="center"/>
              <w:rPr>
                <w:rFonts w:hint="eastAsia" w:ascii="宋体" w:hAnsi="宋体" w:eastAsia="宋体" w:cs="宋体"/>
                <w:color w:val="auto"/>
                <w:sz w:val="21"/>
                <w:szCs w:val="21"/>
                <w:highlight w:val="none"/>
              </w:rPr>
            </w:pPr>
          </w:p>
        </w:tc>
        <w:tc>
          <w:tcPr>
            <w:tcW w:w="1871" w:type="dxa"/>
            <w:vAlign w:val="center"/>
          </w:tcPr>
          <w:p w14:paraId="2E869874">
            <w:pPr>
              <w:pStyle w:val="53"/>
              <w:jc w:val="center"/>
              <w:rPr>
                <w:rFonts w:hint="eastAsia" w:ascii="宋体" w:hAnsi="宋体" w:eastAsia="宋体" w:cs="宋体"/>
                <w:color w:val="auto"/>
                <w:sz w:val="21"/>
                <w:szCs w:val="21"/>
                <w:highlight w:val="none"/>
              </w:rPr>
            </w:pPr>
          </w:p>
        </w:tc>
        <w:tc>
          <w:tcPr>
            <w:tcW w:w="1871" w:type="dxa"/>
            <w:vAlign w:val="center"/>
          </w:tcPr>
          <w:p w14:paraId="247BB60F">
            <w:pPr>
              <w:pStyle w:val="53"/>
              <w:jc w:val="center"/>
              <w:rPr>
                <w:rFonts w:hint="eastAsia" w:ascii="宋体" w:hAnsi="宋体" w:eastAsia="宋体" w:cs="宋体"/>
                <w:color w:val="auto"/>
                <w:sz w:val="21"/>
                <w:szCs w:val="21"/>
                <w:highlight w:val="none"/>
              </w:rPr>
            </w:pPr>
          </w:p>
        </w:tc>
      </w:tr>
      <w:tr w14:paraId="6779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1366B87B">
            <w:pPr>
              <w:pStyle w:val="53"/>
              <w:jc w:val="center"/>
              <w:rPr>
                <w:rFonts w:hint="eastAsia" w:ascii="宋体" w:hAnsi="宋体" w:eastAsia="宋体" w:cs="宋体"/>
                <w:color w:val="auto"/>
                <w:sz w:val="21"/>
                <w:szCs w:val="21"/>
                <w:highlight w:val="none"/>
              </w:rPr>
            </w:pPr>
          </w:p>
        </w:tc>
        <w:tc>
          <w:tcPr>
            <w:tcW w:w="2394" w:type="dxa"/>
            <w:vAlign w:val="center"/>
          </w:tcPr>
          <w:p w14:paraId="3CA2DCFD">
            <w:pPr>
              <w:pStyle w:val="53"/>
              <w:jc w:val="center"/>
              <w:rPr>
                <w:rFonts w:hint="eastAsia" w:ascii="宋体" w:hAnsi="宋体" w:eastAsia="宋体" w:cs="宋体"/>
                <w:color w:val="auto"/>
                <w:sz w:val="21"/>
                <w:szCs w:val="21"/>
                <w:highlight w:val="none"/>
              </w:rPr>
            </w:pPr>
          </w:p>
        </w:tc>
        <w:tc>
          <w:tcPr>
            <w:tcW w:w="1720" w:type="dxa"/>
            <w:vAlign w:val="center"/>
          </w:tcPr>
          <w:p w14:paraId="5DA8E9F4">
            <w:pPr>
              <w:pStyle w:val="53"/>
              <w:jc w:val="center"/>
              <w:rPr>
                <w:rFonts w:hint="eastAsia" w:ascii="宋体" w:hAnsi="宋体" w:eastAsia="宋体" w:cs="宋体"/>
                <w:color w:val="auto"/>
                <w:sz w:val="21"/>
                <w:szCs w:val="21"/>
                <w:highlight w:val="none"/>
              </w:rPr>
            </w:pPr>
          </w:p>
        </w:tc>
        <w:tc>
          <w:tcPr>
            <w:tcW w:w="1871" w:type="dxa"/>
            <w:vAlign w:val="center"/>
          </w:tcPr>
          <w:p w14:paraId="567D7B8A">
            <w:pPr>
              <w:pStyle w:val="53"/>
              <w:jc w:val="center"/>
              <w:rPr>
                <w:rFonts w:hint="eastAsia" w:ascii="宋体" w:hAnsi="宋体" w:eastAsia="宋体" w:cs="宋体"/>
                <w:color w:val="auto"/>
                <w:sz w:val="21"/>
                <w:szCs w:val="21"/>
                <w:highlight w:val="none"/>
              </w:rPr>
            </w:pPr>
          </w:p>
        </w:tc>
        <w:tc>
          <w:tcPr>
            <w:tcW w:w="1871" w:type="dxa"/>
            <w:vAlign w:val="center"/>
          </w:tcPr>
          <w:p w14:paraId="262000EC">
            <w:pPr>
              <w:pStyle w:val="53"/>
              <w:jc w:val="center"/>
              <w:rPr>
                <w:rFonts w:hint="eastAsia" w:ascii="宋体" w:hAnsi="宋体" w:eastAsia="宋体" w:cs="宋体"/>
                <w:color w:val="auto"/>
                <w:sz w:val="21"/>
                <w:szCs w:val="21"/>
                <w:highlight w:val="none"/>
              </w:rPr>
            </w:pPr>
          </w:p>
        </w:tc>
      </w:tr>
      <w:tr w14:paraId="1937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663297BE">
            <w:pPr>
              <w:pStyle w:val="53"/>
              <w:jc w:val="center"/>
              <w:rPr>
                <w:rFonts w:hint="eastAsia" w:ascii="宋体" w:hAnsi="宋体" w:eastAsia="宋体" w:cs="宋体"/>
                <w:color w:val="auto"/>
                <w:sz w:val="21"/>
                <w:szCs w:val="21"/>
                <w:highlight w:val="none"/>
              </w:rPr>
            </w:pPr>
          </w:p>
        </w:tc>
        <w:tc>
          <w:tcPr>
            <w:tcW w:w="2394" w:type="dxa"/>
            <w:vAlign w:val="center"/>
          </w:tcPr>
          <w:p w14:paraId="47F8E6F6">
            <w:pPr>
              <w:pStyle w:val="53"/>
              <w:jc w:val="center"/>
              <w:rPr>
                <w:rFonts w:hint="eastAsia" w:ascii="宋体" w:hAnsi="宋体" w:eastAsia="宋体" w:cs="宋体"/>
                <w:color w:val="auto"/>
                <w:sz w:val="21"/>
                <w:szCs w:val="21"/>
                <w:highlight w:val="none"/>
              </w:rPr>
            </w:pPr>
          </w:p>
        </w:tc>
        <w:tc>
          <w:tcPr>
            <w:tcW w:w="1720" w:type="dxa"/>
            <w:vAlign w:val="center"/>
          </w:tcPr>
          <w:p w14:paraId="57784D1E">
            <w:pPr>
              <w:pStyle w:val="53"/>
              <w:jc w:val="center"/>
              <w:rPr>
                <w:rFonts w:hint="eastAsia" w:ascii="宋体" w:hAnsi="宋体" w:eastAsia="宋体" w:cs="宋体"/>
                <w:color w:val="auto"/>
                <w:sz w:val="21"/>
                <w:szCs w:val="21"/>
                <w:highlight w:val="none"/>
              </w:rPr>
            </w:pPr>
          </w:p>
        </w:tc>
        <w:tc>
          <w:tcPr>
            <w:tcW w:w="1871" w:type="dxa"/>
            <w:vAlign w:val="center"/>
          </w:tcPr>
          <w:p w14:paraId="5C19ED10">
            <w:pPr>
              <w:pStyle w:val="53"/>
              <w:jc w:val="center"/>
              <w:rPr>
                <w:rFonts w:hint="eastAsia" w:ascii="宋体" w:hAnsi="宋体" w:eastAsia="宋体" w:cs="宋体"/>
                <w:color w:val="auto"/>
                <w:sz w:val="21"/>
                <w:szCs w:val="21"/>
                <w:highlight w:val="none"/>
              </w:rPr>
            </w:pPr>
          </w:p>
        </w:tc>
        <w:tc>
          <w:tcPr>
            <w:tcW w:w="1871" w:type="dxa"/>
            <w:vAlign w:val="center"/>
          </w:tcPr>
          <w:p w14:paraId="14B27E44">
            <w:pPr>
              <w:pStyle w:val="53"/>
              <w:jc w:val="center"/>
              <w:rPr>
                <w:rFonts w:hint="eastAsia" w:ascii="宋体" w:hAnsi="宋体" w:eastAsia="宋体" w:cs="宋体"/>
                <w:color w:val="auto"/>
                <w:sz w:val="21"/>
                <w:szCs w:val="21"/>
                <w:highlight w:val="none"/>
              </w:rPr>
            </w:pPr>
          </w:p>
        </w:tc>
      </w:tr>
      <w:tr w14:paraId="09154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14:paraId="25942F2B">
            <w:pPr>
              <w:pStyle w:val="53"/>
              <w:jc w:val="center"/>
              <w:rPr>
                <w:rFonts w:hint="eastAsia" w:ascii="宋体" w:hAnsi="宋体" w:eastAsia="宋体" w:cs="宋体"/>
                <w:color w:val="auto"/>
                <w:sz w:val="21"/>
                <w:szCs w:val="21"/>
                <w:highlight w:val="none"/>
              </w:rPr>
            </w:pPr>
          </w:p>
        </w:tc>
        <w:tc>
          <w:tcPr>
            <w:tcW w:w="2394" w:type="dxa"/>
            <w:vAlign w:val="center"/>
          </w:tcPr>
          <w:p w14:paraId="6DD14E70">
            <w:pPr>
              <w:pStyle w:val="53"/>
              <w:jc w:val="center"/>
              <w:rPr>
                <w:rFonts w:hint="eastAsia" w:ascii="宋体" w:hAnsi="宋体" w:eastAsia="宋体" w:cs="宋体"/>
                <w:color w:val="auto"/>
                <w:sz w:val="21"/>
                <w:szCs w:val="21"/>
                <w:highlight w:val="none"/>
              </w:rPr>
            </w:pPr>
          </w:p>
        </w:tc>
        <w:tc>
          <w:tcPr>
            <w:tcW w:w="1720" w:type="dxa"/>
            <w:vAlign w:val="center"/>
          </w:tcPr>
          <w:p w14:paraId="4A44C649">
            <w:pPr>
              <w:pStyle w:val="53"/>
              <w:jc w:val="center"/>
              <w:rPr>
                <w:rFonts w:hint="eastAsia" w:ascii="宋体" w:hAnsi="宋体" w:eastAsia="宋体" w:cs="宋体"/>
                <w:color w:val="auto"/>
                <w:sz w:val="21"/>
                <w:szCs w:val="21"/>
                <w:highlight w:val="none"/>
              </w:rPr>
            </w:pPr>
          </w:p>
        </w:tc>
        <w:tc>
          <w:tcPr>
            <w:tcW w:w="1871" w:type="dxa"/>
            <w:vAlign w:val="center"/>
          </w:tcPr>
          <w:p w14:paraId="437767D4">
            <w:pPr>
              <w:pStyle w:val="53"/>
              <w:jc w:val="center"/>
              <w:rPr>
                <w:rFonts w:hint="eastAsia" w:ascii="宋体" w:hAnsi="宋体" w:eastAsia="宋体" w:cs="宋体"/>
                <w:color w:val="auto"/>
                <w:sz w:val="21"/>
                <w:szCs w:val="21"/>
                <w:highlight w:val="none"/>
              </w:rPr>
            </w:pPr>
          </w:p>
        </w:tc>
        <w:tc>
          <w:tcPr>
            <w:tcW w:w="1871" w:type="dxa"/>
            <w:vAlign w:val="center"/>
          </w:tcPr>
          <w:p w14:paraId="2B0E5AEB">
            <w:pPr>
              <w:pStyle w:val="53"/>
              <w:jc w:val="center"/>
              <w:rPr>
                <w:rFonts w:hint="eastAsia" w:ascii="宋体" w:hAnsi="宋体" w:eastAsia="宋体" w:cs="宋体"/>
                <w:color w:val="auto"/>
                <w:sz w:val="21"/>
                <w:szCs w:val="21"/>
                <w:highlight w:val="none"/>
              </w:rPr>
            </w:pPr>
          </w:p>
        </w:tc>
      </w:tr>
      <w:tr w14:paraId="7417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vAlign w:val="center"/>
          </w:tcPr>
          <w:p w14:paraId="27214301">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394" w:type="dxa"/>
            <w:vAlign w:val="center"/>
          </w:tcPr>
          <w:p w14:paraId="497B550E">
            <w:pPr>
              <w:pStyle w:val="53"/>
              <w:jc w:val="center"/>
              <w:rPr>
                <w:rFonts w:hint="eastAsia" w:ascii="宋体" w:hAnsi="宋体" w:eastAsia="宋体" w:cs="宋体"/>
                <w:color w:val="auto"/>
                <w:sz w:val="21"/>
                <w:szCs w:val="21"/>
                <w:highlight w:val="none"/>
              </w:rPr>
            </w:pPr>
            <w:r>
              <w:rPr>
                <w:rFonts w:hint="eastAsia" w:cs="宋体"/>
                <w:color w:val="auto"/>
                <w:sz w:val="21"/>
                <w:szCs w:val="21"/>
                <w:highlight w:val="none"/>
                <w:lang w:eastAsia="zh-CN"/>
              </w:rPr>
              <w:t>…</w:t>
            </w:r>
          </w:p>
        </w:tc>
        <w:tc>
          <w:tcPr>
            <w:tcW w:w="1720" w:type="dxa"/>
            <w:vAlign w:val="center"/>
          </w:tcPr>
          <w:p w14:paraId="33BF33A3">
            <w:pPr>
              <w:pStyle w:val="53"/>
              <w:jc w:val="center"/>
              <w:rPr>
                <w:rFonts w:hint="eastAsia" w:ascii="宋体" w:hAnsi="宋体" w:eastAsia="宋体" w:cs="宋体"/>
                <w:color w:val="auto"/>
                <w:sz w:val="21"/>
                <w:szCs w:val="21"/>
                <w:highlight w:val="none"/>
              </w:rPr>
            </w:pPr>
            <w:r>
              <w:rPr>
                <w:rFonts w:hint="eastAsia" w:cs="宋体"/>
                <w:color w:val="auto"/>
                <w:sz w:val="21"/>
                <w:szCs w:val="21"/>
                <w:highlight w:val="none"/>
                <w:lang w:eastAsia="zh-CN"/>
              </w:rPr>
              <w:t>…</w:t>
            </w:r>
          </w:p>
        </w:tc>
        <w:tc>
          <w:tcPr>
            <w:tcW w:w="1871" w:type="dxa"/>
            <w:vAlign w:val="center"/>
          </w:tcPr>
          <w:p w14:paraId="29053FD6">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71" w:type="dxa"/>
            <w:vAlign w:val="center"/>
          </w:tcPr>
          <w:p w14:paraId="4FC6926F">
            <w:pPr>
              <w:pStyle w:val="53"/>
              <w:jc w:val="center"/>
              <w:rPr>
                <w:rFonts w:hint="eastAsia" w:ascii="宋体" w:hAnsi="宋体" w:eastAsia="宋体" w:cs="宋体"/>
                <w:color w:val="auto"/>
                <w:sz w:val="21"/>
                <w:szCs w:val="21"/>
                <w:highlight w:val="none"/>
              </w:rPr>
            </w:pPr>
          </w:p>
        </w:tc>
      </w:tr>
    </w:tbl>
    <w:p w14:paraId="408CA328">
      <w:pPr>
        <w:ind w:firstLine="420" w:firstLineChars="200"/>
        <w:rPr>
          <w:rFonts w:hint="eastAsia" w:cs="仿宋_GB2312"/>
          <w:color w:val="auto"/>
          <w:sz w:val="21"/>
          <w:szCs w:val="21"/>
          <w:highlight w:val="none"/>
        </w:rPr>
      </w:pPr>
    </w:p>
    <w:p w14:paraId="2FECC626">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r>
        <w:rPr>
          <w:rFonts w:hint="eastAsia" w:cs="仿宋_GB2312"/>
          <w:color w:val="auto"/>
          <w:sz w:val="21"/>
          <w:szCs w:val="21"/>
          <w:highlight w:val="none"/>
          <w:lang w:val="en-US" w:eastAsia="zh-CN"/>
        </w:rPr>
        <w:t>“响应/偏离”应据实填写“响应”、“正偏离”或“负偏离”</w:t>
      </w:r>
      <w:r>
        <w:rPr>
          <w:rFonts w:hint="eastAsia" w:cs="仿宋_GB2312"/>
          <w:color w:val="auto"/>
          <w:sz w:val="21"/>
          <w:szCs w:val="21"/>
          <w:highlight w:val="none"/>
        </w:rPr>
        <w:t>。</w:t>
      </w:r>
    </w:p>
    <w:p w14:paraId="6E3CFAFF">
      <w:pPr>
        <w:rPr>
          <w:rFonts w:cs="仿宋_GB2312"/>
          <w:color w:val="auto"/>
          <w:szCs w:val="24"/>
          <w:highlight w:val="none"/>
        </w:rPr>
      </w:pPr>
    </w:p>
    <w:p w14:paraId="042AE840">
      <w:pPr>
        <w:ind w:firstLine="480" w:firstLineChars="200"/>
        <w:rPr>
          <w:rFonts w:cs="仿宋_GB2312"/>
          <w:color w:val="auto"/>
          <w:szCs w:val="24"/>
          <w:highlight w:val="none"/>
        </w:rPr>
      </w:pPr>
    </w:p>
    <w:p w14:paraId="1F9D713D">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462FD175">
      <w:pPr>
        <w:ind w:firstLine="420"/>
        <w:rPr>
          <w:rFonts w:cs="仿宋_GB2312"/>
          <w:color w:val="auto"/>
          <w:szCs w:val="24"/>
          <w:highlight w:val="none"/>
        </w:rPr>
      </w:pPr>
      <w:r>
        <w:rPr>
          <w:rFonts w:hint="eastAsia" w:cs="仿宋_GB2312"/>
          <w:color w:val="auto"/>
          <w:szCs w:val="24"/>
          <w:highlight w:val="none"/>
        </w:rPr>
        <w:t>日      期：</w:t>
      </w:r>
    </w:p>
    <w:p w14:paraId="3C647701">
      <w:pPr>
        <w:ind w:firstLine="420"/>
        <w:rPr>
          <w:rFonts w:cs="仿宋_GB2312"/>
          <w:color w:val="auto"/>
          <w:szCs w:val="24"/>
          <w:highlight w:val="none"/>
        </w:rPr>
      </w:pPr>
      <w:r>
        <w:rPr>
          <w:rFonts w:cs="仿宋_GB2312"/>
          <w:color w:val="auto"/>
          <w:szCs w:val="24"/>
          <w:highlight w:val="none"/>
        </w:rPr>
        <w:br w:type="page"/>
      </w:r>
    </w:p>
    <w:p w14:paraId="0078B46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6D688162">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88" w:name="_Toc18155"/>
      <w:r>
        <w:rPr>
          <w:rFonts w:hint="eastAsia" w:cstheme="majorBidi"/>
          <w:b/>
          <w:bCs/>
          <w:color w:val="auto"/>
          <w:kern w:val="2"/>
          <w:sz w:val="32"/>
          <w:szCs w:val="32"/>
          <w:highlight w:val="none"/>
          <w:lang w:val="en-US" w:eastAsia="zh-CN" w:bidi="ar-SA"/>
        </w:rPr>
        <w:t>七</w:t>
      </w:r>
      <w:r>
        <w:rPr>
          <w:rFonts w:hint="eastAsia" w:eastAsia="宋体" w:asciiTheme="majorHAnsi" w:hAnsiTheme="majorHAnsi" w:cstheme="majorBidi"/>
          <w:b/>
          <w:bCs/>
          <w:color w:val="auto"/>
          <w:kern w:val="2"/>
          <w:sz w:val="32"/>
          <w:szCs w:val="32"/>
          <w:highlight w:val="none"/>
          <w:lang w:val="en-US" w:eastAsia="zh-CN" w:bidi="ar-SA"/>
        </w:rPr>
        <w:t>、业绩证明文件</w:t>
      </w:r>
      <w:bookmarkEnd w:id="488"/>
    </w:p>
    <w:p w14:paraId="1303914A">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0926FB08">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2"/>
        <w:tblW w:w="8988"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80"/>
        <w:gridCol w:w="1248"/>
        <w:gridCol w:w="1129"/>
        <w:gridCol w:w="1283"/>
        <w:gridCol w:w="1368"/>
        <w:gridCol w:w="960"/>
        <w:gridCol w:w="1176"/>
      </w:tblGrid>
      <w:tr w14:paraId="2EB7B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B8B54D0">
            <w:pPr>
              <w:jc w:val="center"/>
              <w:rPr>
                <w:rFonts w:hint="eastAsia" w:ascii="宋体" w:hAnsi="宋体" w:eastAsia="宋体" w:cs="宋体"/>
                <w:color w:val="auto"/>
                <w:sz w:val="21"/>
                <w:szCs w:val="21"/>
                <w:highlight w:val="none"/>
              </w:rPr>
            </w:pPr>
            <w:bookmarkStart w:id="489" w:name="_Hlk46779239"/>
            <w:r>
              <w:rPr>
                <w:rFonts w:hint="eastAsia" w:ascii="宋体" w:hAnsi="宋体" w:eastAsia="宋体" w:cs="宋体"/>
                <w:color w:val="auto"/>
                <w:sz w:val="21"/>
                <w:szCs w:val="21"/>
                <w:highlight w:val="none"/>
              </w:rPr>
              <w:t>序号</w:t>
            </w:r>
          </w:p>
        </w:tc>
        <w:tc>
          <w:tcPr>
            <w:tcW w:w="1080" w:type="dxa"/>
            <w:vAlign w:val="center"/>
          </w:tcPr>
          <w:p w14:paraId="0E963FE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完成时间</w:t>
            </w:r>
          </w:p>
        </w:tc>
        <w:tc>
          <w:tcPr>
            <w:tcW w:w="1248" w:type="dxa"/>
            <w:vAlign w:val="center"/>
          </w:tcPr>
          <w:p w14:paraId="1E01E98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129" w:type="dxa"/>
            <w:vAlign w:val="center"/>
          </w:tcPr>
          <w:p w14:paraId="1C54DE0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283" w:type="dxa"/>
            <w:vAlign w:val="center"/>
          </w:tcPr>
          <w:p w14:paraId="74962E8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68" w:type="dxa"/>
            <w:vAlign w:val="center"/>
          </w:tcPr>
          <w:p w14:paraId="0A720ED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中标（成交）金额</w:t>
            </w:r>
          </w:p>
        </w:tc>
        <w:tc>
          <w:tcPr>
            <w:tcW w:w="960" w:type="dxa"/>
            <w:vAlign w:val="center"/>
          </w:tcPr>
          <w:p w14:paraId="6B7D2C8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1176" w:type="dxa"/>
            <w:vAlign w:val="center"/>
          </w:tcPr>
          <w:p w14:paraId="3A69B1E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r>
      <w:tr w14:paraId="3327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41DFEF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80" w:type="dxa"/>
            <w:vAlign w:val="center"/>
          </w:tcPr>
          <w:p w14:paraId="0C472466">
            <w:pPr>
              <w:rPr>
                <w:rFonts w:hint="eastAsia" w:ascii="宋体" w:hAnsi="宋体" w:eastAsia="宋体" w:cs="宋体"/>
                <w:color w:val="auto"/>
                <w:sz w:val="21"/>
                <w:szCs w:val="21"/>
                <w:highlight w:val="none"/>
              </w:rPr>
            </w:pPr>
          </w:p>
        </w:tc>
        <w:tc>
          <w:tcPr>
            <w:tcW w:w="1248" w:type="dxa"/>
            <w:vAlign w:val="center"/>
          </w:tcPr>
          <w:p w14:paraId="04F381D3">
            <w:pPr>
              <w:rPr>
                <w:rFonts w:hint="eastAsia" w:ascii="宋体" w:hAnsi="宋体" w:eastAsia="宋体" w:cs="宋体"/>
                <w:color w:val="auto"/>
                <w:sz w:val="21"/>
                <w:szCs w:val="21"/>
                <w:highlight w:val="none"/>
              </w:rPr>
            </w:pPr>
          </w:p>
        </w:tc>
        <w:tc>
          <w:tcPr>
            <w:tcW w:w="1129" w:type="dxa"/>
            <w:vAlign w:val="center"/>
          </w:tcPr>
          <w:p w14:paraId="0CA041BC">
            <w:pPr>
              <w:rPr>
                <w:rFonts w:hint="eastAsia" w:ascii="宋体" w:hAnsi="宋体" w:eastAsia="宋体" w:cs="宋体"/>
                <w:color w:val="auto"/>
                <w:sz w:val="21"/>
                <w:szCs w:val="21"/>
                <w:highlight w:val="none"/>
              </w:rPr>
            </w:pPr>
          </w:p>
        </w:tc>
        <w:tc>
          <w:tcPr>
            <w:tcW w:w="1283" w:type="dxa"/>
            <w:vAlign w:val="center"/>
          </w:tcPr>
          <w:p w14:paraId="1737512E">
            <w:pPr>
              <w:rPr>
                <w:rFonts w:hint="eastAsia" w:ascii="宋体" w:hAnsi="宋体" w:eastAsia="宋体" w:cs="宋体"/>
                <w:color w:val="auto"/>
                <w:sz w:val="21"/>
                <w:szCs w:val="21"/>
                <w:highlight w:val="none"/>
              </w:rPr>
            </w:pPr>
          </w:p>
        </w:tc>
        <w:tc>
          <w:tcPr>
            <w:tcW w:w="1368" w:type="dxa"/>
            <w:vAlign w:val="center"/>
          </w:tcPr>
          <w:p w14:paraId="38ED2A3A">
            <w:pPr>
              <w:rPr>
                <w:rFonts w:hint="eastAsia" w:ascii="宋体" w:hAnsi="宋体" w:eastAsia="宋体" w:cs="宋体"/>
                <w:color w:val="auto"/>
                <w:sz w:val="21"/>
                <w:szCs w:val="21"/>
                <w:highlight w:val="none"/>
              </w:rPr>
            </w:pPr>
          </w:p>
        </w:tc>
        <w:tc>
          <w:tcPr>
            <w:tcW w:w="960" w:type="dxa"/>
            <w:vAlign w:val="center"/>
          </w:tcPr>
          <w:p w14:paraId="422299E9">
            <w:pPr>
              <w:rPr>
                <w:rFonts w:hint="eastAsia" w:ascii="宋体" w:hAnsi="宋体" w:eastAsia="宋体" w:cs="宋体"/>
                <w:color w:val="auto"/>
                <w:sz w:val="21"/>
                <w:szCs w:val="21"/>
                <w:highlight w:val="none"/>
              </w:rPr>
            </w:pPr>
          </w:p>
        </w:tc>
        <w:tc>
          <w:tcPr>
            <w:tcW w:w="1176" w:type="dxa"/>
            <w:vAlign w:val="center"/>
          </w:tcPr>
          <w:p w14:paraId="2E44B95B">
            <w:pPr>
              <w:rPr>
                <w:rFonts w:hint="eastAsia" w:ascii="宋体" w:hAnsi="宋体" w:eastAsia="宋体" w:cs="宋体"/>
                <w:color w:val="auto"/>
                <w:sz w:val="21"/>
                <w:szCs w:val="21"/>
                <w:highlight w:val="none"/>
              </w:rPr>
            </w:pPr>
          </w:p>
        </w:tc>
      </w:tr>
      <w:tr w14:paraId="35172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894694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80" w:type="dxa"/>
            <w:vAlign w:val="center"/>
          </w:tcPr>
          <w:p w14:paraId="68132B11">
            <w:pPr>
              <w:rPr>
                <w:rFonts w:hint="eastAsia" w:ascii="宋体" w:hAnsi="宋体" w:eastAsia="宋体" w:cs="宋体"/>
                <w:color w:val="auto"/>
                <w:sz w:val="21"/>
                <w:szCs w:val="21"/>
                <w:highlight w:val="none"/>
              </w:rPr>
            </w:pPr>
          </w:p>
        </w:tc>
        <w:tc>
          <w:tcPr>
            <w:tcW w:w="1248" w:type="dxa"/>
            <w:vAlign w:val="center"/>
          </w:tcPr>
          <w:p w14:paraId="1C9D794E">
            <w:pPr>
              <w:rPr>
                <w:rFonts w:hint="eastAsia" w:ascii="宋体" w:hAnsi="宋体" w:eastAsia="宋体" w:cs="宋体"/>
                <w:color w:val="auto"/>
                <w:sz w:val="21"/>
                <w:szCs w:val="21"/>
                <w:highlight w:val="none"/>
              </w:rPr>
            </w:pPr>
          </w:p>
        </w:tc>
        <w:tc>
          <w:tcPr>
            <w:tcW w:w="1129" w:type="dxa"/>
            <w:vAlign w:val="center"/>
          </w:tcPr>
          <w:p w14:paraId="1C0AF4EF">
            <w:pPr>
              <w:rPr>
                <w:rFonts w:hint="eastAsia" w:ascii="宋体" w:hAnsi="宋体" w:eastAsia="宋体" w:cs="宋体"/>
                <w:color w:val="auto"/>
                <w:sz w:val="21"/>
                <w:szCs w:val="21"/>
                <w:highlight w:val="none"/>
              </w:rPr>
            </w:pPr>
          </w:p>
        </w:tc>
        <w:tc>
          <w:tcPr>
            <w:tcW w:w="1283" w:type="dxa"/>
            <w:vAlign w:val="center"/>
          </w:tcPr>
          <w:p w14:paraId="4D880681">
            <w:pPr>
              <w:rPr>
                <w:rFonts w:hint="eastAsia" w:ascii="宋体" w:hAnsi="宋体" w:eastAsia="宋体" w:cs="宋体"/>
                <w:color w:val="auto"/>
                <w:sz w:val="21"/>
                <w:szCs w:val="21"/>
                <w:highlight w:val="none"/>
              </w:rPr>
            </w:pPr>
          </w:p>
        </w:tc>
        <w:tc>
          <w:tcPr>
            <w:tcW w:w="1368" w:type="dxa"/>
            <w:vAlign w:val="center"/>
          </w:tcPr>
          <w:p w14:paraId="6C85B51E">
            <w:pPr>
              <w:rPr>
                <w:rFonts w:hint="eastAsia" w:ascii="宋体" w:hAnsi="宋体" w:eastAsia="宋体" w:cs="宋体"/>
                <w:color w:val="auto"/>
                <w:sz w:val="21"/>
                <w:szCs w:val="21"/>
                <w:highlight w:val="none"/>
              </w:rPr>
            </w:pPr>
          </w:p>
        </w:tc>
        <w:tc>
          <w:tcPr>
            <w:tcW w:w="960" w:type="dxa"/>
            <w:vAlign w:val="center"/>
          </w:tcPr>
          <w:p w14:paraId="4A430B16">
            <w:pPr>
              <w:rPr>
                <w:rFonts w:hint="eastAsia" w:ascii="宋体" w:hAnsi="宋体" w:eastAsia="宋体" w:cs="宋体"/>
                <w:color w:val="auto"/>
                <w:sz w:val="21"/>
                <w:szCs w:val="21"/>
                <w:highlight w:val="none"/>
              </w:rPr>
            </w:pPr>
          </w:p>
        </w:tc>
        <w:tc>
          <w:tcPr>
            <w:tcW w:w="1176" w:type="dxa"/>
            <w:vAlign w:val="center"/>
          </w:tcPr>
          <w:p w14:paraId="2B7F107B">
            <w:pPr>
              <w:rPr>
                <w:rFonts w:hint="eastAsia" w:ascii="宋体" w:hAnsi="宋体" w:eastAsia="宋体" w:cs="宋体"/>
                <w:color w:val="auto"/>
                <w:sz w:val="21"/>
                <w:szCs w:val="21"/>
                <w:highlight w:val="none"/>
              </w:rPr>
            </w:pPr>
          </w:p>
        </w:tc>
      </w:tr>
      <w:tr w14:paraId="0C83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34C2BC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80" w:type="dxa"/>
            <w:vAlign w:val="center"/>
          </w:tcPr>
          <w:p w14:paraId="40139843">
            <w:pPr>
              <w:rPr>
                <w:rFonts w:hint="eastAsia" w:ascii="宋体" w:hAnsi="宋体" w:eastAsia="宋体" w:cs="宋体"/>
                <w:color w:val="auto"/>
                <w:sz w:val="21"/>
                <w:szCs w:val="21"/>
                <w:highlight w:val="none"/>
              </w:rPr>
            </w:pPr>
          </w:p>
        </w:tc>
        <w:tc>
          <w:tcPr>
            <w:tcW w:w="1248" w:type="dxa"/>
            <w:vAlign w:val="center"/>
          </w:tcPr>
          <w:p w14:paraId="4179511E">
            <w:pPr>
              <w:rPr>
                <w:rFonts w:hint="eastAsia" w:ascii="宋体" w:hAnsi="宋体" w:eastAsia="宋体" w:cs="宋体"/>
                <w:color w:val="auto"/>
                <w:sz w:val="21"/>
                <w:szCs w:val="21"/>
                <w:highlight w:val="none"/>
              </w:rPr>
            </w:pPr>
          </w:p>
        </w:tc>
        <w:tc>
          <w:tcPr>
            <w:tcW w:w="1129" w:type="dxa"/>
            <w:vAlign w:val="center"/>
          </w:tcPr>
          <w:p w14:paraId="1EFC594A">
            <w:pPr>
              <w:rPr>
                <w:rFonts w:hint="eastAsia" w:ascii="宋体" w:hAnsi="宋体" w:eastAsia="宋体" w:cs="宋体"/>
                <w:color w:val="auto"/>
                <w:sz w:val="21"/>
                <w:szCs w:val="21"/>
                <w:highlight w:val="none"/>
              </w:rPr>
            </w:pPr>
          </w:p>
        </w:tc>
        <w:tc>
          <w:tcPr>
            <w:tcW w:w="1283" w:type="dxa"/>
            <w:vAlign w:val="center"/>
          </w:tcPr>
          <w:p w14:paraId="5CEFED74">
            <w:pPr>
              <w:rPr>
                <w:rFonts w:hint="eastAsia" w:ascii="宋体" w:hAnsi="宋体" w:eastAsia="宋体" w:cs="宋体"/>
                <w:color w:val="auto"/>
                <w:sz w:val="21"/>
                <w:szCs w:val="21"/>
                <w:highlight w:val="none"/>
              </w:rPr>
            </w:pPr>
          </w:p>
        </w:tc>
        <w:tc>
          <w:tcPr>
            <w:tcW w:w="1368" w:type="dxa"/>
            <w:vAlign w:val="center"/>
          </w:tcPr>
          <w:p w14:paraId="08CCC7CF">
            <w:pPr>
              <w:rPr>
                <w:rFonts w:hint="eastAsia" w:ascii="宋体" w:hAnsi="宋体" w:eastAsia="宋体" w:cs="宋体"/>
                <w:color w:val="auto"/>
                <w:sz w:val="21"/>
                <w:szCs w:val="21"/>
                <w:highlight w:val="none"/>
              </w:rPr>
            </w:pPr>
          </w:p>
        </w:tc>
        <w:tc>
          <w:tcPr>
            <w:tcW w:w="960" w:type="dxa"/>
            <w:vAlign w:val="center"/>
          </w:tcPr>
          <w:p w14:paraId="4FA2CE1B">
            <w:pPr>
              <w:rPr>
                <w:rFonts w:hint="eastAsia" w:ascii="宋体" w:hAnsi="宋体" w:eastAsia="宋体" w:cs="宋体"/>
                <w:color w:val="auto"/>
                <w:sz w:val="21"/>
                <w:szCs w:val="21"/>
                <w:highlight w:val="none"/>
              </w:rPr>
            </w:pPr>
          </w:p>
        </w:tc>
        <w:tc>
          <w:tcPr>
            <w:tcW w:w="1176" w:type="dxa"/>
            <w:vAlign w:val="center"/>
          </w:tcPr>
          <w:p w14:paraId="31852D70">
            <w:pPr>
              <w:rPr>
                <w:rFonts w:hint="eastAsia" w:ascii="宋体" w:hAnsi="宋体" w:eastAsia="宋体" w:cs="宋体"/>
                <w:color w:val="auto"/>
                <w:sz w:val="21"/>
                <w:szCs w:val="21"/>
                <w:highlight w:val="none"/>
              </w:rPr>
            </w:pPr>
          </w:p>
        </w:tc>
      </w:tr>
      <w:tr w14:paraId="3395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9BA3F5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080" w:type="dxa"/>
            <w:vAlign w:val="center"/>
          </w:tcPr>
          <w:p w14:paraId="3DCE484F">
            <w:pPr>
              <w:rPr>
                <w:rFonts w:hint="eastAsia" w:ascii="宋体" w:hAnsi="宋体" w:eastAsia="宋体" w:cs="宋体"/>
                <w:color w:val="auto"/>
                <w:sz w:val="21"/>
                <w:szCs w:val="21"/>
                <w:highlight w:val="none"/>
              </w:rPr>
            </w:pPr>
          </w:p>
        </w:tc>
        <w:tc>
          <w:tcPr>
            <w:tcW w:w="1248" w:type="dxa"/>
            <w:vAlign w:val="center"/>
          </w:tcPr>
          <w:p w14:paraId="067B89F8">
            <w:pPr>
              <w:rPr>
                <w:rFonts w:hint="eastAsia" w:ascii="宋体" w:hAnsi="宋体" w:eastAsia="宋体" w:cs="宋体"/>
                <w:color w:val="auto"/>
                <w:sz w:val="21"/>
                <w:szCs w:val="21"/>
                <w:highlight w:val="none"/>
              </w:rPr>
            </w:pPr>
          </w:p>
        </w:tc>
        <w:tc>
          <w:tcPr>
            <w:tcW w:w="1129" w:type="dxa"/>
            <w:vAlign w:val="center"/>
          </w:tcPr>
          <w:p w14:paraId="17E40553">
            <w:pPr>
              <w:rPr>
                <w:rFonts w:hint="eastAsia" w:ascii="宋体" w:hAnsi="宋体" w:eastAsia="宋体" w:cs="宋体"/>
                <w:color w:val="auto"/>
                <w:sz w:val="21"/>
                <w:szCs w:val="21"/>
                <w:highlight w:val="none"/>
              </w:rPr>
            </w:pPr>
          </w:p>
        </w:tc>
        <w:tc>
          <w:tcPr>
            <w:tcW w:w="1283" w:type="dxa"/>
            <w:vAlign w:val="center"/>
          </w:tcPr>
          <w:p w14:paraId="5E3074AA">
            <w:pPr>
              <w:rPr>
                <w:rFonts w:hint="eastAsia" w:ascii="宋体" w:hAnsi="宋体" w:eastAsia="宋体" w:cs="宋体"/>
                <w:color w:val="auto"/>
                <w:sz w:val="21"/>
                <w:szCs w:val="21"/>
                <w:highlight w:val="none"/>
              </w:rPr>
            </w:pPr>
          </w:p>
        </w:tc>
        <w:tc>
          <w:tcPr>
            <w:tcW w:w="1368" w:type="dxa"/>
            <w:vAlign w:val="center"/>
          </w:tcPr>
          <w:p w14:paraId="3F50D8FF">
            <w:pPr>
              <w:rPr>
                <w:rFonts w:hint="eastAsia" w:ascii="宋体" w:hAnsi="宋体" w:eastAsia="宋体" w:cs="宋体"/>
                <w:color w:val="auto"/>
                <w:sz w:val="21"/>
                <w:szCs w:val="21"/>
                <w:highlight w:val="none"/>
              </w:rPr>
            </w:pPr>
          </w:p>
        </w:tc>
        <w:tc>
          <w:tcPr>
            <w:tcW w:w="960" w:type="dxa"/>
            <w:vAlign w:val="center"/>
          </w:tcPr>
          <w:p w14:paraId="3D045E86">
            <w:pPr>
              <w:rPr>
                <w:rFonts w:hint="eastAsia" w:ascii="宋体" w:hAnsi="宋体" w:eastAsia="宋体" w:cs="宋体"/>
                <w:color w:val="auto"/>
                <w:sz w:val="21"/>
                <w:szCs w:val="21"/>
                <w:highlight w:val="none"/>
              </w:rPr>
            </w:pPr>
          </w:p>
        </w:tc>
        <w:tc>
          <w:tcPr>
            <w:tcW w:w="1176" w:type="dxa"/>
            <w:vAlign w:val="center"/>
          </w:tcPr>
          <w:p w14:paraId="7817593D">
            <w:pPr>
              <w:rPr>
                <w:rFonts w:hint="eastAsia" w:ascii="宋体" w:hAnsi="宋体" w:eastAsia="宋体" w:cs="宋体"/>
                <w:color w:val="auto"/>
                <w:sz w:val="21"/>
                <w:szCs w:val="21"/>
                <w:highlight w:val="none"/>
              </w:rPr>
            </w:pPr>
          </w:p>
        </w:tc>
      </w:tr>
      <w:tr w14:paraId="42BD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B0F34E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080" w:type="dxa"/>
            <w:vAlign w:val="center"/>
          </w:tcPr>
          <w:p w14:paraId="4748395E">
            <w:pPr>
              <w:rPr>
                <w:rFonts w:hint="eastAsia" w:ascii="宋体" w:hAnsi="宋体" w:eastAsia="宋体" w:cs="宋体"/>
                <w:color w:val="auto"/>
                <w:sz w:val="21"/>
                <w:szCs w:val="21"/>
                <w:highlight w:val="none"/>
              </w:rPr>
            </w:pPr>
          </w:p>
        </w:tc>
        <w:tc>
          <w:tcPr>
            <w:tcW w:w="1248" w:type="dxa"/>
            <w:vAlign w:val="center"/>
          </w:tcPr>
          <w:p w14:paraId="5E480BBF">
            <w:pPr>
              <w:rPr>
                <w:rFonts w:hint="eastAsia" w:ascii="宋体" w:hAnsi="宋体" w:eastAsia="宋体" w:cs="宋体"/>
                <w:color w:val="auto"/>
                <w:sz w:val="21"/>
                <w:szCs w:val="21"/>
                <w:highlight w:val="none"/>
              </w:rPr>
            </w:pPr>
          </w:p>
        </w:tc>
        <w:tc>
          <w:tcPr>
            <w:tcW w:w="1129" w:type="dxa"/>
            <w:vAlign w:val="center"/>
          </w:tcPr>
          <w:p w14:paraId="315EB9E3">
            <w:pPr>
              <w:rPr>
                <w:rFonts w:hint="eastAsia" w:ascii="宋体" w:hAnsi="宋体" w:eastAsia="宋体" w:cs="宋体"/>
                <w:color w:val="auto"/>
                <w:sz w:val="21"/>
                <w:szCs w:val="21"/>
                <w:highlight w:val="none"/>
              </w:rPr>
            </w:pPr>
          </w:p>
        </w:tc>
        <w:tc>
          <w:tcPr>
            <w:tcW w:w="1283" w:type="dxa"/>
            <w:vAlign w:val="center"/>
          </w:tcPr>
          <w:p w14:paraId="6D9AD13D">
            <w:pPr>
              <w:rPr>
                <w:rFonts w:hint="eastAsia" w:ascii="宋体" w:hAnsi="宋体" w:eastAsia="宋体" w:cs="宋体"/>
                <w:color w:val="auto"/>
                <w:sz w:val="21"/>
                <w:szCs w:val="21"/>
                <w:highlight w:val="none"/>
              </w:rPr>
            </w:pPr>
          </w:p>
        </w:tc>
        <w:tc>
          <w:tcPr>
            <w:tcW w:w="1368" w:type="dxa"/>
            <w:vAlign w:val="center"/>
          </w:tcPr>
          <w:p w14:paraId="64336F20">
            <w:pPr>
              <w:rPr>
                <w:rFonts w:hint="eastAsia" w:ascii="宋体" w:hAnsi="宋体" w:eastAsia="宋体" w:cs="宋体"/>
                <w:color w:val="auto"/>
                <w:sz w:val="21"/>
                <w:szCs w:val="21"/>
                <w:highlight w:val="none"/>
              </w:rPr>
            </w:pPr>
          </w:p>
        </w:tc>
        <w:tc>
          <w:tcPr>
            <w:tcW w:w="960" w:type="dxa"/>
            <w:vAlign w:val="center"/>
          </w:tcPr>
          <w:p w14:paraId="1B38802F">
            <w:pPr>
              <w:rPr>
                <w:rFonts w:hint="eastAsia" w:ascii="宋体" w:hAnsi="宋体" w:eastAsia="宋体" w:cs="宋体"/>
                <w:color w:val="auto"/>
                <w:sz w:val="21"/>
                <w:szCs w:val="21"/>
                <w:highlight w:val="none"/>
              </w:rPr>
            </w:pPr>
          </w:p>
        </w:tc>
        <w:tc>
          <w:tcPr>
            <w:tcW w:w="1176" w:type="dxa"/>
            <w:vAlign w:val="center"/>
          </w:tcPr>
          <w:p w14:paraId="35C26772">
            <w:pPr>
              <w:rPr>
                <w:rFonts w:hint="eastAsia" w:ascii="宋体" w:hAnsi="宋体" w:eastAsia="宋体" w:cs="宋体"/>
                <w:color w:val="auto"/>
                <w:sz w:val="21"/>
                <w:szCs w:val="21"/>
                <w:highlight w:val="none"/>
              </w:rPr>
            </w:pPr>
          </w:p>
        </w:tc>
      </w:tr>
      <w:tr w14:paraId="2E5C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3632880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0" w:type="dxa"/>
            <w:vAlign w:val="center"/>
          </w:tcPr>
          <w:p w14:paraId="154B1CAE">
            <w:pPr>
              <w:rPr>
                <w:rFonts w:hint="eastAsia" w:ascii="宋体" w:hAnsi="宋体" w:eastAsia="宋体" w:cs="宋体"/>
                <w:color w:val="auto"/>
                <w:sz w:val="21"/>
                <w:szCs w:val="21"/>
                <w:highlight w:val="none"/>
              </w:rPr>
            </w:pPr>
          </w:p>
        </w:tc>
        <w:tc>
          <w:tcPr>
            <w:tcW w:w="1248" w:type="dxa"/>
            <w:vAlign w:val="center"/>
          </w:tcPr>
          <w:p w14:paraId="79E85DD2">
            <w:pPr>
              <w:rPr>
                <w:rFonts w:hint="eastAsia" w:ascii="宋体" w:hAnsi="宋体" w:eastAsia="宋体" w:cs="宋体"/>
                <w:color w:val="auto"/>
                <w:sz w:val="21"/>
                <w:szCs w:val="21"/>
                <w:highlight w:val="none"/>
              </w:rPr>
            </w:pPr>
          </w:p>
        </w:tc>
        <w:tc>
          <w:tcPr>
            <w:tcW w:w="1129" w:type="dxa"/>
            <w:vAlign w:val="center"/>
          </w:tcPr>
          <w:p w14:paraId="698B1731">
            <w:pPr>
              <w:rPr>
                <w:rFonts w:hint="eastAsia" w:ascii="宋体" w:hAnsi="宋体" w:eastAsia="宋体" w:cs="宋体"/>
                <w:color w:val="auto"/>
                <w:sz w:val="21"/>
                <w:szCs w:val="21"/>
                <w:highlight w:val="none"/>
              </w:rPr>
            </w:pPr>
          </w:p>
        </w:tc>
        <w:tc>
          <w:tcPr>
            <w:tcW w:w="1283" w:type="dxa"/>
            <w:vAlign w:val="center"/>
          </w:tcPr>
          <w:p w14:paraId="0807C573">
            <w:pPr>
              <w:rPr>
                <w:rFonts w:hint="eastAsia" w:ascii="宋体" w:hAnsi="宋体" w:eastAsia="宋体" w:cs="宋体"/>
                <w:color w:val="auto"/>
                <w:sz w:val="21"/>
                <w:szCs w:val="21"/>
                <w:highlight w:val="none"/>
              </w:rPr>
            </w:pPr>
          </w:p>
        </w:tc>
        <w:tc>
          <w:tcPr>
            <w:tcW w:w="1368" w:type="dxa"/>
            <w:vAlign w:val="center"/>
          </w:tcPr>
          <w:p w14:paraId="2040F93C">
            <w:pPr>
              <w:rPr>
                <w:rFonts w:hint="eastAsia" w:ascii="宋体" w:hAnsi="宋体" w:eastAsia="宋体" w:cs="宋体"/>
                <w:color w:val="auto"/>
                <w:sz w:val="21"/>
                <w:szCs w:val="21"/>
                <w:highlight w:val="none"/>
              </w:rPr>
            </w:pPr>
          </w:p>
        </w:tc>
        <w:tc>
          <w:tcPr>
            <w:tcW w:w="960" w:type="dxa"/>
            <w:vAlign w:val="center"/>
          </w:tcPr>
          <w:p w14:paraId="5242D181">
            <w:pPr>
              <w:rPr>
                <w:rFonts w:hint="eastAsia" w:ascii="宋体" w:hAnsi="宋体" w:eastAsia="宋体" w:cs="宋体"/>
                <w:color w:val="auto"/>
                <w:sz w:val="21"/>
                <w:szCs w:val="21"/>
                <w:highlight w:val="none"/>
              </w:rPr>
            </w:pPr>
          </w:p>
        </w:tc>
        <w:tc>
          <w:tcPr>
            <w:tcW w:w="1176" w:type="dxa"/>
            <w:vAlign w:val="center"/>
          </w:tcPr>
          <w:p w14:paraId="763F103F">
            <w:pPr>
              <w:rPr>
                <w:rFonts w:hint="eastAsia" w:ascii="宋体" w:hAnsi="宋体" w:eastAsia="宋体" w:cs="宋体"/>
                <w:color w:val="auto"/>
                <w:sz w:val="21"/>
                <w:szCs w:val="21"/>
                <w:highlight w:val="none"/>
              </w:rPr>
            </w:pPr>
          </w:p>
        </w:tc>
      </w:tr>
      <w:bookmarkEnd w:id="489"/>
    </w:tbl>
    <w:p w14:paraId="0B154073">
      <w:pPr>
        <w:rPr>
          <w:rFonts w:hint="eastAsia" w:cs="仿宋_GB2312"/>
          <w:color w:val="auto"/>
          <w:szCs w:val="24"/>
          <w:highlight w:val="none"/>
        </w:rPr>
      </w:pPr>
    </w:p>
    <w:p w14:paraId="326D552A">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相关要求</w:t>
      </w:r>
      <w:r>
        <w:rPr>
          <w:rFonts w:hint="eastAsia" w:cs="仿宋_GB2312"/>
          <w:color w:val="auto"/>
          <w:sz w:val="21"/>
          <w:szCs w:val="21"/>
          <w:highlight w:val="none"/>
        </w:rPr>
        <w:t>提供相应的</w:t>
      </w:r>
      <w:r>
        <w:rPr>
          <w:rFonts w:hint="eastAsia" w:cs="仿宋_GB2312"/>
          <w:color w:val="auto"/>
          <w:sz w:val="21"/>
          <w:szCs w:val="21"/>
          <w:highlight w:val="none"/>
          <w:lang w:val="en-US" w:eastAsia="zh-CN"/>
        </w:rPr>
        <w:t>中标（成交）通知书、采购合同等</w:t>
      </w:r>
      <w:r>
        <w:rPr>
          <w:rFonts w:hint="eastAsia" w:cs="仿宋_GB2312"/>
          <w:color w:val="auto"/>
          <w:sz w:val="21"/>
          <w:szCs w:val="21"/>
          <w:highlight w:val="none"/>
        </w:rPr>
        <w:t>业绩证明资料。</w:t>
      </w:r>
    </w:p>
    <w:p w14:paraId="6EF3E071">
      <w:pPr>
        <w:rPr>
          <w:rFonts w:cs="仿宋_GB2312"/>
          <w:color w:val="auto"/>
          <w:szCs w:val="24"/>
          <w:highlight w:val="none"/>
        </w:rPr>
      </w:pPr>
    </w:p>
    <w:p w14:paraId="4F842B85">
      <w:pPr>
        <w:widowControl/>
        <w:spacing w:before="100" w:beforeAutospacing="1" w:after="100" w:afterAutospacing="1"/>
        <w:rPr>
          <w:rFonts w:cs="Arial"/>
          <w:color w:val="auto"/>
          <w:szCs w:val="21"/>
          <w:highlight w:val="none"/>
        </w:rPr>
      </w:pPr>
    </w:p>
    <w:p w14:paraId="0DADB9B8">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r>
        <w:rPr>
          <w:rFonts w:cs="仿宋_GB2312"/>
          <w:color w:val="auto"/>
          <w:szCs w:val="24"/>
          <w:highlight w:val="none"/>
        </w:rPr>
        <w:t xml:space="preserve"> </w:t>
      </w:r>
    </w:p>
    <w:p w14:paraId="0E22C109">
      <w:pPr>
        <w:ind w:firstLine="420"/>
        <w:rPr>
          <w:rFonts w:cs="仿宋_GB2312"/>
          <w:color w:val="auto"/>
          <w:szCs w:val="24"/>
          <w:highlight w:val="none"/>
        </w:rPr>
      </w:pPr>
      <w:r>
        <w:rPr>
          <w:rFonts w:hint="eastAsia" w:cs="仿宋_GB2312"/>
          <w:color w:val="auto"/>
          <w:szCs w:val="24"/>
          <w:highlight w:val="none"/>
        </w:rPr>
        <w:t>日      期：</w:t>
      </w:r>
    </w:p>
    <w:p w14:paraId="0B8E43B2">
      <w:pPr>
        <w:ind w:firstLine="420"/>
        <w:rPr>
          <w:rFonts w:cs="仿宋_GB2312"/>
          <w:color w:val="auto"/>
          <w:szCs w:val="24"/>
          <w:highlight w:val="none"/>
        </w:rPr>
      </w:pPr>
      <w:r>
        <w:rPr>
          <w:rFonts w:cs="仿宋_GB2312"/>
          <w:color w:val="auto"/>
          <w:szCs w:val="24"/>
          <w:highlight w:val="none"/>
        </w:rPr>
        <w:br w:type="page"/>
      </w:r>
    </w:p>
    <w:p w14:paraId="79ED6075">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490" w:name="_Toc13134"/>
      <w:r>
        <w:rPr>
          <w:rFonts w:hint="eastAsia" w:cstheme="majorBidi"/>
          <w:b/>
          <w:bCs/>
          <w:color w:val="auto"/>
          <w:kern w:val="2"/>
          <w:sz w:val="32"/>
          <w:szCs w:val="32"/>
          <w:highlight w:val="none"/>
          <w:lang w:val="en-US" w:eastAsia="zh-CN" w:bidi="ar-SA"/>
        </w:rPr>
        <w:t>八</w:t>
      </w:r>
      <w:r>
        <w:rPr>
          <w:rFonts w:hint="eastAsia" w:eastAsia="宋体" w:asciiTheme="majorHAnsi" w:hAnsiTheme="majorHAnsi" w:cstheme="majorBidi"/>
          <w:b/>
          <w:bCs/>
          <w:color w:val="auto"/>
          <w:kern w:val="2"/>
          <w:sz w:val="32"/>
          <w:szCs w:val="32"/>
          <w:highlight w:val="none"/>
          <w:lang w:val="en-US" w:eastAsia="zh-CN" w:bidi="ar-SA"/>
        </w:rPr>
        <w:t>、拟派项目团队</w:t>
      </w:r>
      <w:bookmarkEnd w:id="490"/>
    </w:p>
    <w:tbl>
      <w:tblPr>
        <w:tblStyle w:val="32"/>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40D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0C549F06">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083B87FC">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7E1E5D4B">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734E86D5">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77ED621B">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4DF4096B">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737940CB">
            <w:pPr>
              <w:pStyle w:val="53"/>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7297CB6D">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1249E4CF">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1BCB1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2CBF6BF">
            <w:pPr>
              <w:pStyle w:val="53"/>
              <w:jc w:val="center"/>
              <w:rPr>
                <w:rFonts w:hint="eastAsia" w:ascii="宋体" w:hAnsi="宋体" w:eastAsia="宋体" w:cs="宋体"/>
                <w:color w:val="auto"/>
                <w:sz w:val="21"/>
                <w:szCs w:val="21"/>
                <w:highlight w:val="none"/>
              </w:rPr>
            </w:pPr>
            <w:bookmarkStart w:id="491" w:name="_Toc100090784"/>
            <w:bookmarkStart w:id="492" w:name="_Toc99533292"/>
            <w:r>
              <w:rPr>
                <w:rFonts w:hint="eastAsia" w:ascii="宋体" w:hAnsi="宋体" w:eastAsia="宋体" w:cs="宋体"/>
                <w:color w:val="auto"/>
                <w:sz w:val="21"/>
                <w:szCs w:val="21"/>
                <w:highlight w:val="none"/>
              </w:rPr>
              <w:t>1</w:t>
            </w:r>
            <w:bookmarkEnd w:id="491"/>
            <w:bookmarkEnd w:id="492"/>
          </w:p>
        </w:tc>
        <w:tc>
          <w:tcPr>
            <w:tcW w:w="1267" w:type="dxa"/>
            <w:vAlign w:val="center"/>
          </w:tcPr>
          <w:p w14:paraId="25A3D83B">
            <w:pPr>
              <w:pStyle w:val="53"/>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AA41C27">
            <w:pPr>
              <w:pStyle w:val="53"/>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53D1DF39">
            <w:pPr>
              <w:pStyle w:val="53"/>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118AC3D">
            <w:pPr>
              <w:pStyle w:val="53"/>
              <w:jc w:val="center"/>
              <w:rPr>
                <w:rFonts w:hint="eastAsia" w:ascii="宋体" w:hAnsi="宋体" w:eastAsia="宋体" w:cs="宋体"/>
                <w:color w:val="auto"/>
                <w:sz w:val="21"/>
                <w:szCs w:val="21"/>
                <w:highlight w:val="none"/>
              </w:rPr>
            </w:pPr>
          </w:p>
        </w:tc>
        <w:tc>
          <w:tcPr>
            <w:tcW w:w="1860" w:type="dxa"/>
            <w:vAlign w:val="center"/>
          </w:tcPr>
          <w:p w14:paraId="636BB742">
            <w:pPr>
              <w:pStyle w:val="53"/>
              <w:jc w:val="center"/>
              <w:rPr>
                <w:rFonts w:hint="eastAsia" w:ascii="宋体" w:hAnsi="宋体" w:eastAsia="宋体" w:cs="宋体"/>
                <w:color w:val="auto"/>
                <w:sz w:val="21"/>
                <w:szCs w:val="21"/>
                <w:highlight w:val="none"/>
              </w:rPr>
            </w:pPr>
          </w:p>
        </w:tc>
        <w:tc>
          <w:tcPr>
            <w:tcW w:w="1356" w:type="dxa"/>
            <w:vAlign w:val="center"/>
          </w:tcPr>
          <w:p w14:paraId="4CBD336A">
            <w:pPr>
              <w:pStyle w:val="53"/>
              <w:jc w:val="center"/>
              <w:rPr>
                <w:rFonts w:hint="eastAsia" w:ascii="宋体" w:hAnsi="宋体" w:eastAsia="宋体" w:cs="宋体"/>
                <w:color w:val="auto"/>
                <w:sz w:val="21"/>
                <w:szCs w:val="21"/>
                <w:highlight w:val="none"/>
              </w:rPr>
            </w:pPr>
          </w:p>
        </w:tc>
        <w:tc>
          <w:tcPr>
            <w:tcW w:w="816" w:type="dxa"/>
            <w:vAlign w:val="center"/>
          </w:tcPr>
          <w:p w14:paraId="2CC0FEC2">
            <w:pPr>
              <w:pStyle w:val="53"/>
              <w:jc w:val="center"/>
              <w:rPr>
                <w:rFonts w:hint="eastAsia" w:ascii="宋体" w:hAnsi="宋体" w:eastAsia="宋体" w:cs="宋体"/>
                <w:color w:val="auto"/>
                <w:sz w:val="21"/>
                <w:szCs w:val="21"/>
                <w:highlight w:val="none"/>
              </w:rPr>
            </w:pPr>
          </w:p>
        </w:tc>
      </w:tr>
      <w:tr w14:paraId="1D08E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B0E748F">
            <w:pPr>
              <w:pStyle w:val="53"/>
              <w:jc w:val="center"/>
              <w:rPr>
                <w:rFonts w:hint="eastAsia" w:ascii="宋体" w:hAnsi="宋体" w:eastAsia="宋体" w:cs="宋体"/>
                <w:color w:val="auto"/>
                <w:sz w:val="21"/>
                <w:szCs w:val="21"/>
                <w:highlight w:val="none"/>
              </w:rPr>
            </w:pPr>
            <w:bookmarkStart w:id="493" w:name="_Toc100090785"/>
            <w:bookmarkStart w:id="494" w:name="_Toc99533293"/>
            <w:r>
              <w:rPr>
                <w:rFonts w:hint="eastAsia" w:ascii="宋体" w:hAnsi="宋体" w:eastAsia="宋体" w:cs="宋体"/>
                <w:color w:val="auto"/>
                <w:sz w:val="21"/>
                <w:szCs w:val="21"/>
                <w:highlight w:val="none"/>
              </w:rPr>
              <w:t>2</w:t>
            </w:r>
            <w:bookmarkEnd w:id="493"/>
            <w:bookmarkEnd w:id="494"/>
          </w:p>
        </w:tc>
        <w:tc>
          <w:tcPr>
            <w:tcW w:w="1267" w:type="dxa"/>
            <w:vAlign w:val="center"/>
          </w:tcPr>
          <w:p w14:paraId="0CA1C31C">
            <w:pPr>
              <w:pStyle w:val="53"/>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58A253D">
            <w:pPr>
              <w:pStyle w:val="53"/>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21897E06">
            <w:pPr>
              <w:pStyle w:val="53"/>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8E7D3BF">
            <w:pPr>
              <w:pStyle w:val="53"/>
              <w:jc w:val="center"/>
              <w:rPr>
                <w:rFonts w:hint="eastAsia" w:ascii="宋体" w:hAnsi="宋体" w:eastAsia="宋体" w:cs="宋体"/>
                <w:color w:val="auto"/>
                <w:sz w:val="21"/>
                <w:szCs w:val="21"/>
                <w:highlight w:val="none"/>
              </w:rPr>
            </w:pPr>
          </w:p>
        </w:tc>
        <w:tc>
          <w:tcPr>
            <w:tcW w:w="1860" w:type="dxa"/>
            <w:vAlign w:val="center"/>
          </w:tcPr>
          <w:p w14:paraId="6ED9245B">
            <w:pPr>
              <w:pStyle w:val="53"/>
              <w:jc w:val="center"/>
              <w:rPr>
                <w:rFonts w:hint="eastAsia" w:ascii="宋体" w:hAnsi="宋体" w:eastAsia="宋体" w:cs="宋体"/>
                <w:color w:val="auto"/>
                <w:sz w:val="21"/>
                <w:szCs w:val="21"/>
                <w:highlight w:val="none"/>
              </w:rPr>
            </w:pPr>
          </w:p>
        </w:tc>
        <w:tc>
          <w:tcPr>
            <w:tcW w:w="1356" w:type="dxa"/>
            <w:vAlign w:val="center"/>
          </w:tcPr>
          <w:p w14:paraId="29E4C40D">
            <w:pPr>
              <w:pStyle w:val="53"/>
              <w:jc w:val="center"/>
              <w:rPr>
                <w:rFonts w:hint="eastAsia" w:ascii="宋体" w:hAnsi="宋体" w:eastAsia="宋体" w:cs="宋体"/>
                <w:color w:val="auto"/>
                <w:sz w:val="21"/>
                <w:szCs w:val="21"/>
                <w:highlight w:val="none"/>
              </w:rPr>
            </w:pPr>
          </w:p>
        </w:tc>
        <w:tc>
          <w:tcPr>
            <w:tcW w:w="816" w:type="dxa"/>
            <w:vAlign w:val="center"/>
          </w:tcPr>
          <w:p w14:paraId="01D42DA2">
            <w:pPr>
              <w:pStyle w:val="53"/>
              <w:jc w:val="center"/>
              <w:rPr>
                <w:rFonts w:hint="eastAsia" w:ascii="宋体" w:hAnsi="宋体" w:eastAsia="宋体" w:cs="宋体"/>
                <w:color w:val="auto"/>
                <w:sz w:val="21"/>
                <w:szCs w:val="21"/>
                <w:highlight w:val="none"/>
              </w:rPr>
            </w:pPr>
          </w:p>
        </w:tc>
      </w:tr>
      <w:tr w14:paraId="67DE1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EA7677E">
            <w:pPr>
              <w:pStyle w:val="53"/>
              <w:jc w:val="center"/>
              <w:rPr>
                <w:rFonts w:hint="eastAsia" w:ascii="宋体" w:hAnsi="宋体" w:eastAsia="宋体" w:cs="宋体"/>
                <w:color w:val="auto"/>
                <w:sz w:val="21"/>
                <w:szCs w:val="21"/>
                <w:highlight w:val="none"/>
              </w:rPr>
            </w:pPr>
            <w:bookmarkStart w:id="495" w:name="_Toc99533294"/>
            <w:bookmarkStart w:id="496" w:name="_Toc100090786"/>
            <w:r>
              <w:rPr>
                <w:rFonts w:hint="eastAsia" w:ascii="宋体" w:hAnsi="宋体" w:eastAsia="宋体" w:cs="宋体"/>
                <w:color w:val="auto"/>
                <w:sz w:val="21"/>
                <w:szCs w:val="21"/>
                <w:highlight w:val="none"/>
              </w:rPr>
              <w:t>3</w:t>
            </w:r>
            <w:bookmarkEnd w:id="495"/>
            <w:bookmarkEnd w:id="496"/>
          </w:p>
        </w:tc>
        <w:tc>
          <w:tcPr>
            <w:tcW w:w="1267" w:type="dxa"/>
            <w:vAlign w:val="center"/>
          </w:tcPr>
          <w:p w14:paraId="6F0A6FFC">
            <w:pPr>
              <w:pStyle w:val="53"/>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67A03BFC">
            <w:pPr>
              <w:pStyle w:val="53"/>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61E7756">
            <w:pPr>
              <w:pStyle w:val="53"/>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9B25A70">
            <w:pPr>
              <w:pStyle w:val="53"/>
              <w:jc w:val="center"/>
              <w:rPr>
                <w:rFonts w:hint="eastAsia" w:ascii="宋体" w:hAnsi="宋体" w:eastAsia="宋体" w:cs="宋体"/>
                <w:color w:val="auto"/>
                <w:sz w:val="21"/>
                <w:szCs w:val="21"/>
                <w:highlight w:val="none"/>
              </w:rPr>
            </w:pPr>
          </w:p>
        </w:tc>
        <w:tc>
          <w:tcPr>
            <w:tcW w:w="1860" w:type="dxa"/>
            <w:vAlign w:val="center"/>
          </w:tcPr>
          <w:p w14:paraId="4AA6B6B3">
            <w:pPr>
              <w:pStyle w:val="53"/>
              <w:jc w:val="center"/>
              <w:rPr>
                <w:rFonts w:hint="eastAsia" w:ascii="宋体" w:hAnsi="宋体" w:eastAsia="宋体" w:cs="宋体"/>
                <w:color w:val="auto"/>
                <w:sz w:val="21"/>
                <w:szCs w:val="21"/>
                <w:highlight w:val="none"/>
              </w:rPr>
            </w:pPr>
          </w:p>
        </w:tc>
        <w:tc>
          <w:tcPr>
            <w:tcW w:w="1356" w:type="dxa"/>
            <w:vAlign w:val="center"/>
          </w:tcPr>
          <w:p w14:paraId="01EA6724">
            <w:pPr>
              <w:pStyle w:val="53"/>
              <w:jc w:val="center"/>
              <w:rPr>
                <w:rFonts w:hint="eastAsia" w:ascii="宋体" w:hAnsi="宋体" w:eastAsia="宋体" w:cs="宋体"/>
                <w:color w:val="auto"/>
                <w:sz w:val="21"/>
                <w:szCs w:val="21"/>
                <w:highlight w:val="none"/>
              </w:rPr>
            </w:pPr>
          </w:p>
        </w:tc>
        <w:tc>
          <w:tcPr>
            <w:tcW w:w="816" w:type="dxa"/>
            <w:vAlign w:val="center"/>
          </w:tcPr>
          <w:p w14:paraId="54149BC2">
            <w:pPr>
              <w:pStyle w:val="53"/>
              <w:jc w:val="center"/>
              <w:rPr>
                <w:rFonts w:hint="eastAsia" w:ascii="宋体" w:hAnsi="宋体" w:eastAsia="宋体" w:cs="宋体"/>
                <w:color w:val="auto"/>
                <w:sz w:val="21"/>
                <w:szCs w:val="21"/>
                <w:highlight w:val="none"/>
              </w:rPr>
            </w:pPr>
          </w:p>
        </w:tc>
      </w:tr>
      <w:tr w14:paraId="69470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B382454">
            <w:pPr>
              <w:pStyle w:val="53"/>
              <w:jc w:val="center"/>
              <w:rPr>
                <w:rFonts w:hint="eastAsia" w:ascii="宋体" w:hAnsi="宋体" w:eastAsia="宋体" w:cs="宋体"/>
                <w:color w:val="auto"/>
                <w:sz w:val="21"/>
                <w:szCs w:val="21"/>
                <w:highlight w:val="none"/>
              </w:rPr>
            </w:pPr>
            <w:bookmarkStart w:id="497" w:name="_Toc100090787"/>
            <w:bookmarkStart w:id="498" w:name="_Toc99533295"/>
            <w:r>
              <w:rPr>
                <w:rFonts w:hint="eastAsia" w:ascii="宋体" w:hAnsi="宋体" w:eastAsia="宋体" w:cs="宋体"/>
                <w:color w:val="auto"/>
                <w:sz w:val="21"/>
                <w:szCs w:val="21"/>
                <w:highlight w:val="none"/>
              </w:rPr>
              <w:t>4</w:t>
            </w:r>
            <w:bookmarkEnd w:id="497"/>
            <w:bookmarkEnd w:id="498"/>
          </w:p>
        </w:tc>
        <w:tc>
          <w:tcPr>
            <w:tcW w:w="1267" w:type="dxa"/>
            <w:vAlign w:val="center"/>
          </w:tcPr>
          <w:p w14:paraId="7E7CC235">
            <w:pPr>
              <w:pStyle w:val="53"/>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C7B533F">
            <w:pPr>
              <w:pStyle w:val="53"/>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B8702E">
            <w:pPr>
              <w:pStyle w:val="53"/>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59723943">
            <w:pPr>
              <w:pStyle w:val="53"/>
              <w:jc w:val="center"/>
              <w:rPr>
                <w:rFonts w:hint="eastAsia" w:ascii="宋体" w:hAnsi="宋体" w:eastAsia="宋体" w:cs="宋体"/>
                <w:color w:val="auto"/>
                <w:sz w:val="21"/>
                <w:szCs w:val="21"/>
                <w:highlight w:val="none"/>
              </w:rPr>
            </w:pPr>
          </w:p>
        </w:tc>
        <w:tc>
          <w:tcPr>
            <w:tcW w:w="1860" w:type="dxa"/>
            <w:vAlign w:val="center"/>
          </w:tcPr>
          <w:p w14:paraId="3108F734">
            <w:pPr>
              <w:pStyle w:val="53"/>
              <w:jc w:val="center"/>
              <w:rPr>
                <w:rFonts w:hint="eastAsia" w:ascii="宋体" w:hAnsi="宋体" w:eastAsia="宋体" w:cs="宋体"/>
                <w:color w:val="auto"/>
                <w:sz w:val="21"/>
                <w:szCs w:val="21"/>
                <w:highlight w:val="none"/>
              </w:rPr>
            </w:pPr>
          </w:p>
        </w:tc>
        <w:tc>
          <w:tcPr>
            <w:tcW w:w="1356" w:type="dxa"/>
            <w:vAlign w:val="center"/>
          </w:tcPr>
          <w:p w14:paraId="4677AD24">
            <w:pPr>
              <w:pStyle w:val="53"/>
              <w:jc w:val="center"/>
              <w:rPr>
                <w:rFonts w:hint="eastAsia" w:ascii="宋体" w:hAnsi="宋体" w:eastAsia="宋体" w:cs="宋体"/>
                <w:color w:val="auto"/>
                <w:sz w:val="21"/>
                <w:szCs w:val="21"/>
                <w:highlight w:val="none"/>
              </w:rPr>
            </w:pPr>
          </w:p>
        </w:tc>
        <w:tc>
          <w:tcPr>
            <w:tcW w:w="816" w:type="dxa"/>
            <w:vAlign w:val="center"/>
          </w:tcPr>
          <w:p w14:paraId="67FBD831">
            <w:pPr>
              <w:pStyle w:val="53"/>
              <w:jc w:val="center"/>
              <w:rPr>
                <w:rFonts w:hint="eastAsia" w:ascii="宋体" w:hAnsi="宋体" w:eastAsia="宋体" w:cs="宋体"/>
                <w:color w:val="auto"/>
                <w:sz w:val="21"/>
                <w:szCs w:val="21"/>
                <w:highlight w:val="none"/>
              </w:rPr>
            </w:pPr>
          </w:p>
        </w:tc>
      </w:tr>
      <w:tr w14:paraId="355A1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C3F8590">
            <w:pPr>
              <w:pStyle w:val="53"/>
              <w:jc w:val="center"/>
              <w:rPr>
                <w:rFonts w:hint="eastAsia" w:ascii="宋体" w:hAnsi="宋体" w:eastAsia="宋体" w:cs="宋体"/>
                <w:color w:val="auto"/>
                <w:sz w:val="21"/>
                <w:szCs w:val="21"/>
                <w:highlight w:val="none"/>
              </w:rPr>
            </w:pPr>
            <w:bookmarkStart w:id="499" w:name="_Toc100090788"/>
            <w:bookmarkStart w:id="500" w:name="_Toc99533296"/>
            <w:r>
              <w:rPr>
                <w:rFonts w:hint="eastAsia" w:ascii="宋体" w:hAnsi="宋体" w:eastAsia="宋体" w:cs="宋体"/>
                <w:color w:val="auto"/>
                <w:sz w:val="21"/>
                <w:szCs w:val="21"/>
                <w:highlight w:val="none"/>
              </w:rPr>
              <w:t>5</w:t>
            </w:r>
            <w:bookmarkEnd w:id="499"/>
            <w:bookmarkEnd w:id="500"/>
          </w:p>
        </w:tc>
        <w:tc>
          <w:tcPr>
            <w:tcW w:w="1267" w:type="dxa"/>
            <w:vAlign w:val="center"/>
          </w:tcPr>
          <w:p w14:paraId="12F9B75D">
            <w:pPr>
              <w:pStyle w:val="53"/>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5260CB79">
            <w:pPr>
              <w:pStyle w:val="53"/>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25AFC8F5">
            <w:pPr>
              <w:pStyle w:val="53"/>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D86AF63">
            <w:pPr>
              <w:pStyle w:val="53"/>
              <w:jc w:val="center"/>
              <w:rPr>
                <w:rFonts w:hint="eastAsia" w:ascii="宋体" w:hAnsi="宋体" w:eastAsia="宋体" w:cs="宋体"/>
                <w:color w:val="auto"/>
                <w:sz w:val="21"/>
                <w:szCs w:val="21"/>
                <w:highlight w:val="none"/>
              </w:rPr>
            </w:pPr>
          </w:p>
        </w:tc>
        <w:tc>
          <w:tcPr>
            <w:tcW w:w="1860" w:type="dxa"/>
            <w:vAlign w:val="center"/>
          </w:tcPr>
          <w:p w14:paraId="35C6AAB4">
            <w:pPr>
              <w:pStyle w:val="53"/>
              <w:jc w:val="center"/>
              <w:rPr>
                <w:rFonts w:hint="eastAsia" w:ascii="宋体" w:hAnsi="宋体" w:eastAsia="宋体" w:cs="宋体"/>
                <w:color w:val="auto"/>
                <w:sz w:val="21"/>
                <w:szCs w:val="21"/>
                <w:highlight w:val="none"/>
              </w:rPr>
            </w:pPr>
          </w:p>
        </w:tc>
        <w:tc>
          <w:tcPr>
            <w:tcW w:w="1356" w:type="dxa"/>
            <w:vAlign w:val="center"/>
          </w:tcPr>
          <w:p w14:paraId="71497CFA">
            <w:pPr>
              <w:pStyle w:val="53"/>
              <w:jc w:val="center"/>
              <w:rPr>
                <w:rFonts w:hint="eastAsia" w:ascii="宋体" w:hAnsi="宋体" w:eastAsia="宋体" w:cs="宋体"/>
                <w:color w:val="auto"/>
                <w:sz w:val="21"/>
                <w:szCs w:val="21"/>
                <w:highlight w:val="none"/>
              </w:rPr>
            </w:pPr>
          </w:p>
        </w:tc>
        <w:tc>
          <w:tcPr>
            <w:tcW w:w="816" w:type="dxa"/>
            <w:vAlign w:val="center"/>
          </w:tcPr>
          <w:p w14:paraId="0B092857">
            <w:pPr>
              <w:pStyle w:val="53"/>
              <w:jc w:val="center"/>
              <w:rPr>
                <w:rFonts w:hint="eastAsia" w:ascii="宋体" w:hAnsi="宋体" w:eastAsia="宋体" w:cs="宋体"/>
                <w:color w:val="auto"/>
                <w:sz w:val="21"/>
                <w:szCs w:val="21"/>
                <w:highlight w:val="none"/>
              </w:rPr>
            </w:pPr>
          </w:p>
        </w:tc>
      </w:tr>
      <w:tr w14:paraId="4993B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FD91A14">
            <w:pPr>
              <w:pStyle w:val="53"/>
              <w:jc w:val="center"/>
              <w:rPr>
                <w:rFonts w:hint="eastAsia" w:ascii="宋体" w:hAnsi="宋体" w:eastAsia="宋体" w:cs="宋体"/>
                <w:color w:val="auto"/>
                <w:sz w:val="21"/>
                <w:szCs w:val="21"/>
                <w:highlight w:val="none"/>
              </w:rPr>
            </w:pPr>
            <w:bookmarkStart w:id="501" w:name="_Toc99533297"/>
            <w:bookmarkStart w:id="502" w:name="_Toc100090789"/>
            <w:r>
              <w:rPr>
                <w:rFonts w:hint="eastAsia" w:ascii="宋体" w:hAnsi="宋体" w:eastAsia="宋体" w:cs="宋体"/>
                <w:color w:val="auto"/>
                <w:sz w:val="21"/>
                <w:szCs w:val="21"/>
                <w:highlight w:val="none"/>
              </w:rPr>
              <w:t>6</w:t>
            </w:r>
            <w:bookmarkEnd w:id="501"/>
            <w:bookmarkEnd w:id="502"/>
          </w:p>
        </w:tc>
        <w:tc>
          <w:tcPr>
            <w:tcW w:w="1267" w:type="dxa"/>
            <w:vAlign w:val="center"/>
          </w:tcPr>
          <w:p w14:paraId="126F9405">
            <w:pPr>
              <w:pStyle w:val="53"/>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5960E2E8">
            <w:pPr>
              <w:pStyle w:val="53"/>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7BB5E60">
            <w:pPr>
              <w:pStyle w:val="53"/>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C95F016">
            <w:pPr>
              <w:pStyle w:val="53"/>
              <w:jc w:val="center"/>
              <w:rPr>
                <w:rFonts w:hint="eastAsia" w:ascii="宋体" w:hAnsi="宋体" w:eastAsia="宋体" w:cs="宋体"/>
                <w:color w:val="auto"/>
                <w:sz w:val="21"/>
                <w:szCs w:val="21"/>
                <w:highlight w:val="none"/>
              </w:rPr>
            </w:pPr>
          </w:p>
        </w:tc>
        <w:tc>
          <w:tcPr>
            <w:tcW w:w="1860" w:type="dxa"/>
            <w:vAlign w:val="center"/>
          </w:tcPr>
          <w:p w14:paraId="5BFB7948">
            <w:pPr>
              <w:pStyle w:val="53"/>
              <w:jc w:val="center"/>
              <w:rPr>
                <w:rFonts w:hint="eastAsia" w:ascii="宋体" w:hAnsi="宋体" w:eastAsia="宋体" w:cs="宋体"/>
                <w:color w:val="auto"/>
                <w:sz w:val="21"/>
                <w:szCs w:val="21"/>
                <w:highlight w:val="none"/>
              </w:rPr>
            </w:pPr>
          </w:p>
        </w:tc>
        <w:tc>
          <w:tcPr>
            <w:tcW w:w="1356" w:type="dxa"/>
            <w:vAlign w:val="center"/>
          </w:tcPr>
          <w:p w14:paraId="29D2E0B4">
            <w:pPr>
              <w:pStyle w:val="53"/>
              <w:jc w:val="center"/>
              <w:rPr>
                <w:rFonts w:hint="eastAsia" w:ascii="宋体" w:hAnsi="宋体" w:eastAsia="宋体" w:cs="宋体"/>
                <w:color w:val="auto"/>
                <w:sz w:val="21"/>
                <w:szCs w:val="21"/>
                <w:highlight w:val="none"/>
              </w:rPr>
            </w:pPr>
          </w:p>
        </w:tc>
        <w:tc>
          <w:tcPr>
            <w:tcW w:w="816" w:type="dxa"/>
            <w:vAlign w:val="center"/>
          </w:tcPr>
          <w:p w14:paraId="48DB0B5E">
            <w:pPr>
              <w:pStyle w:val="53"/>
              <w:jc w:val="center"/>
              <w:rPr>
                <w:rFonts w:hint="eastAsia" w:ascii="宋体" w:hAnsi="宋体" w:eastAsia="宋体" w:cs="宋体"/>
                <w:color w:val="auto"/>
                <w:sz w:val="21"/>
                <w:szCs w:val="21"/>
                <w:highlight w:val="none"/>
              </w:rPr>
            </w:pPr>
          </w:p>
        </w:tc>
      </w:tr>
      <w:tr w14:paraId="6EF78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74E94C8">
            <w:pPr>
              <w:pStyle w:val="53"/>
              <w:jc w:val="center"/>
              <w:rPr>
                <w:rFonts w:hint="eastAsia" w:ascii="宋体" w:hAnsi="宋体" w:eastAsia="宋体" w:cs="宋体"/>
                <w:color w:val="auto"/>
                <w:sz w:val="21"/>
                <w:szCs w:val="21"/>
                <w:highlight w:val="none"/>
              </w:rPr>
            </w:pPr>
            <w:bookmarkStart w:id="503" w:name="_Toc100090790"/>
            <w:bookmarkStart w:id="504" w:name="_Toc99533298"/>
            <w:r>
              <w:rPr>
                <w:rFonts w:hint="eastAsia" w:ascii="宋体" w:hAnsi="宋体" w:eastAsia="宋体" w:cs="宋体"/>
                <w:color w:val="auto"/>
                <w:sz w:val="21"/>
                <w:szCs w:val="21"/>
                <w:highlight w:val="none"/>
              </w:rPr>
              <w:t>7</w:t>
            </w:r>
            <w:bookmarkEnd w:id="503"/>
            <w:bookmarkEnd w:id="504"/>
          </w:p>
        </w:tc>
        <w:tc>
          <w:tcPr>
            <w:tcW w:w="1267" w:type="dxa"/>
            <w:vAlign w:val="center"/>
          </w:tcPr>
          <w:p w14:paraId="19A6B875">
            <w:pPr>
              <w:pStyle w:val="53"/>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BCF644C">
            <w:pPr>
              <w:pStyle w:val="53"/>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26BAFF0E">
            <w:pPr>
              <w:pStyle w:val="53"/>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CBDA56C">
            <w:pPr>
              <w:pStyle w:val="53"/>
              <w:jc w:val="center"/>
              <w:rPr>
                <w:rFonts w:hint="eastAsia" w:ascii="宋体" w:hAnsi="宋体" w:eastAsia="宋体" w:cs="宋体"/>
                <w:color w:val="auto"/>
                <w:sz w:val="21"/>
                <w:szCs w:val="21"/>
                <w:highlight w:val="none"/>
              </w:rPr>
            </w:pPr>
          </w:p>
        </w:tc>
        <w:tc>
          <w:tcPr>
            <w:tcW w:w="1860" w:type="dxa"/>
            <w:vAlign w:val="center"/>
          </w:tcPr>
          <w:p w14:paraId="3D7E683F">
            <w:pPr>
              <w:pStyle w:val="53"/>
              <w:jc w:val="center"/>
              <w:rPr>
                <w:rFonts w:hint="eastAsia" w:ascii="宋体" w:hAnsi="宋体" w:eastAsia="宋体" w:cs="宋体"/>
                <w:color w:val="auto"/>
                <w:sz w:val="21"/>
                <w:szCs w:val="21"/>
                <w:highlight w:val="none"/>
              </w:rPr>
            </w:pPr>
          </w:p>
        </w:tc>
        <w:tc>
          <w:tcPr>
            <w:tcW w:w="1356" w:type="dxa"/>
            <w:vAlign w:val="center"/>
          </w:tcPr>
          <w:p w14:paraId="5DF82649">
            <w:pPr>
              <w:pStyle w:val="53"/>
              <w:jc w:val="center"/>
              <w:rPr>
                <w:rFonts w:hint="eastAsia" w:ascii="宋体" w:hAnsi="宋体" w:eastAsia="宋体" w:cs="宋体"/>
                <w:color w:val="auto"/>
                <w:sz w:val="21"/>
                <w:szCs w:val="21"/>
                <w:highlight w:val="none"/>
              </w:rPr>
            </w:pPr>
          </w:p>
        </w:tc>
        <w:tc>
          <w:tcPr>
            <w:tcW w:w="816" w:type="dxa"/>
            <w:vAlign w:val="center"/>
          </w:tcPr>
          <w:p w14:paraId="29B89906">
            <w:pPr>
              <w:pStyle w:val="53"/>
              <w:jc w:val="center"/>
              <w:rPr>
                <w:rFonts w:hint="eastAsia" w:ascii="宋体" w:hAnsi="宋体" w:eastAsia="宋体" w:cs="宋体"/>
                <w:color w:val="auto"/>
                <w:sz w:val="21"/>
                <w:szCs w:val="21"/>
                <w:highlight w:val="none"/>
              </w:rPr>
            </w:pPr>
          </w:p>
        </w:tc>
      </w:tr>
      <w:tr w14:paraId="53378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C6DF86E">
            <w:pPr>
              <w:pStyle w:val="53"/>
              <w:jc w:val="center"/>
              <w:rPr>
                <w:rFonts w:hint="eastAsia" w:ascii="宋体" w:hAnsi="宋体" w:eastAsia="宋体" w:cs="宋体"/>
                <w:color w:val="auto"/>
                <w:sz w:val="21"/>
                <w:szCs w:val="21"/>
                <w:highlight w:val="none"/>
              </w:rPr>
            </w:pPr>
            <w:bookmarkStart w:id="505" w:name="_Toc99533299"/>
            <w:bookmarkStart w:id="506" w:name="_Toc100090791"/>
            <w:r>
              <w:rPr>
                <w:rFonts w:hint="eastAsia" w:ascii="宋体" w:hAnsi="宋体" w:eastAsia="宋体" w:cs="宋体"/>
                <w:color w:val="auto"/>
                <w:sz w:val="21"/>
                <w:szCs w:val="21"/>
                <w:highlight w:val="none"/>
              </w:rPr>
              <w:t>8</w:t>
            </w:r>
            <w:bookmarkEnd w:id="505"/>
            <w:bookmarkEnd w:id="506"/>
          </w:p>
        </w:tc>
        <w:tc>
          <w:tcPr>
            <w:tcW w:w="1267" w:type="dxa"/>
            <w:vAlign w:val="center"/>
          </w:tcPr>
          <w:p w14:paraId="5DB55828">
            <w:pPr>
              <w:pStyle w:val="53"/>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11A8C6A">
            <w:pPr>
              <w:pStyle w:val="53"/>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5876FBE7">
            <w:pPr>
              <w:pStyle w:val="53"/>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65C36FB">
            <w:pPr>
              <w:pStyle w:val="53"/>
              <w:jc w:val="center"/>
              <w:rPr>
                <w:rFonts w:hint="eastAsia" w:ascii="宋体" w:hAnsi="宋体" w:eastAsia="宋体" w:cs="宋体"/>
                <w:color w:val="auto"/>
                <w:sz w:val="21"/>
                <w:szCs w:val="21"/>
                <w:highlight w:val="none"/>
              </w:rPr>
            </w:pPr>
          </w:p>
        </w:tc>
        <w:tc>
          <w:tcPr>
            <w:tcW w:w="1860" w:type="dxa"/>
            <w:vAlign w:val="center"/>
          </w:tcPr>
          <w:p w14:paraId="425238E2">
            <w:pPr>
              <w:pStyle w:val="53"/>
              <w:jc w:val="center"/>
              <w:rPr>
                <w:rFonts w:hint="eastAsia" w:ascii="宋体" w:hAnsi="宋体" w:eastAsia="宋体" w:cs="宋体"/>
                <w:color w:val="auto"/>
                <w:sz w:val="21"/>
                <w:szCs w:val="21"/>
                <w:highlight w:val="none"/>
              </w:rPr>
            </w:pPr>
          </w:p>
        </w:tc>
        <w:tc>
          <w:tcPr>
            <w:tcW w:w="1356" w:type="dxa"/>
            <w:vAlign w:val="center"/>
          </w:tcPr>
          <w:p w14:paraId="559827F5">
            <w:pPr>
              <w:pStyle w:val="53"/>
              <w:jc w:val="center"/>
              <w:rPr>
                <w:rFonts w:hint="eastAsia" w:ascii="宋体" w:hAnsi="宋体" w:eastAsia="宋体" w:cs="宋体"/>
                <w:color w:val="auto"/>
                <w:sz w:val="21"/>
                <w:szCs w:val="21"/>
                <w:highlight w:val="none"/>
              </w:rPr>
            </w:pPr>
          </w:p>
        </w:tc>
        <w:tc>
          <w:tcPr>
            <w:tcW w:w="816" w:type="dxa"/>
            <w:vAlign w:val="center"/>
          </w:tcPr>
          <w:p w14:paraId="2798D4D1">
            <w:pPr>
              <w:pStyle w:val="53"/>
              <w:jc w:val="center"/>
              <w:rPr>
                <w:rFonts w:hint="eastAsia" w:ascii="宋体" w:hAnsi="宋体" w:eastAsia="宋体" w:cs="宋体"/>
                <w:color w:val="auto"/>
                <w:sz w:val="21"/>
                <w:szCs w:val="21"/>
                <w:highlight w:val="none"/>
              </w:rPr>
            </w:pPr>
          </w:p>
        </w:tc>
      </w:tr>
      <w:tr w14:paraId="2A7BD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0856486">
            <w:pPr>
              <w:pStyle w:val="53"/>
              <w:jc w:val="center"/>
              <w:rPr>
                <w:rFonts w:hint="eastAsia" w:ascii="宋体" w:hAnsi="宋体" w:eastAsia="宋体" w:cs="宋体"/>
                <w:color w:val="auto"/>
                <w:sz w:val="21"/>
                <w:szCs w:val="21"/>
                <w:highlight w:val="none"/>
              </w:rPr>
            </w:pPr>
            <w:bookmarkStart w:id="507" w:name="_Toc99533300"/>
            <w:bookmarkStart w:id="508" w:name="_Toc100090792"/>
            <w:r>
              <w:rPr>
                <w:rFonts w:hint="eastAsia" w:ascii="宋体" w:hAnsi="宋体" w:eastAsia="宋体" w:cs="宋体"/>
                <w:color w:val="auto"/>
                <w:sz w:val="21"/>
                <w:szCs w:val="21"/>
                <w:highlight w:val="none"/>
              </w:rPr>
              <w:t>9</w:t>
            </w:r>
            <w:bookmarkEnd w:id="507"/>
            <w:bookmarkEnd w:id="508"/>
          </w:p>
        </w:tc>
        <w:tc>
          <w:tcPr>
            <w:tcW w:w="1267" w:type="dxa"/>
            <w:vAlign w:val="center"/>
          </w:tcPr>
          <w:p w14:paraId="6D63FA60">
            <w:pPr>
              <w:pStyle w:val="53"/>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5F0AB9CC">
            <w:pPr>
              <w:pStyle w:val="53"/>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A33A888">
            <w:pPr>
              <w:pStyle w:val="53"/>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53521831">
            <w:pPr>
              <w:pStyle w:val="53"/>
              <w:jc w:val="center"/>
              <w:rPr>
                <w:rFonts w:hint="eastAsia" w:ascii="宋体" w:hAnsi="宋体" w:eastAsia="宋体" w:cs="宋体"/>
                <w:color w:val="auto"/>
                <w:sz w:val="21"/>
                <w:szCs w:val="21"/>
                <w:highlight w:val="none"/>
              </w:rPr>
            </w:pPr>
          </w:p>
        </w:tc>
        <w:tc>
          <w:tcPr>
            <w:tcW w:w="1860" w:type="dxa"/>
            <w:vAlign w:val="center"/>
          </w:tcPr>
          <w:p w14:paraId="234F3129">
            <w:pPr>
              <w:pStyle w:val="53"/>
              <w:jc w:val="center"/>
              <w:rPr>
                <w:rFonts w:hint="eastAsia" w:ascii="宋体" w:hAnsi="宋体" w:eastAsia="宋体" w:cs="宋体"/>
                <w:color w:val="auto"/>
                <w:sz w:val="21"/>
                <w:szCs w:val="21"/>
                <w:highlight w:val="none"/>
              </w:rPr>
            </w:pPr>
          </w:p>
        </w:tc>
        <w:tc>
          <w:tcPr>
            <w:tcW w:w="1356" w:type="dxa"/>
            <w:vAlign w:val="center"/>
          </w:tcPr>
          <w:p w14:paraId="14AC7E1E">
            <w:pPr>
              <w:pStyle w:val="53"/>
              <w:jc w:val="center"/>
              <w:rPr>
                <w:rFonts w:hint="eastAsia" w:ascii="宋体" w:hAnsi="宋体" w:eastAsia="宋体" w:cs="宋体"/>
                <w:color w:val="auto"/>
                <w:sz w:val="21"/>
                <w:szCs w:val="21"/>
                <w:highlight w:val="none"/>
              </w:rPr>
            </w:pPr>
          </w:p>
        </w:tc>
        <w:tc>
          <w:tcPr>
            <w:tcW w:w="816" w:type="dxa"/>
            <w:vAlign w:val="center"/>
          </w:tcPr>
          <w:p w14:paraId="5AEBC5E6">
            <w:pPr>
              <w:pStyle w:val="53"/>
              <w:jc w:val="center"/>
              <w:rPr>
                <w:rFonts w:hint="eastAsia" w:ascii="宋体" w:hAnsi="宋体" w:eastAsia="宋体" w:cs="宋体"/>
                <w:color w:val="auto"/>
                <w:sz w:val="21"/>
                <w:szCs w:val="21"/>
                <w:highlight w:val="none"/>
              </w:rPr>
            </w:pPr>
          </w:p>
        </w:tc>
      </w:tr>
      <w:tr w14:paraId="1A974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352F6107">
            <w:pPr>
              <w:pStyle w:val="53"/>
              <w:jc w:val="center"/>
              <w:rPr>
                <w:rFonts w:hint="eastAsia" w:ascii="宋体" w:hAnsi="宋体" w:eastAsia="宋体" w:cs="宋体"/>
                <w:color w:val="auto"/>
                <w:sz w:val="21"/>
                <w:szCs w:val="21"/>
                <w:highlight w:val="none"/>
              </w:rPr>
            </w:pPr>
            <w:bookmarkStart w:id="509" w:name="_Toc100090793"/>
            <w:bookmarkStart w:id="510" w:name="_Toc99533301"/>
            <w:r>
              <w:rPr>
                <w:rFonts w:hint="eastAsia" w:ascii="宋体" w:hAnsi="宋体" w:eastAsia="宋体" w:cs="宋体"/>
                <w:color w:val="auto"/>
                <w:sz w:val="21"/>
                <w:szCs w:val="21"/>
                <w:highlight w:val="none"/>
              </w:rPr>
              <w:t>10</w:t>
            </w:r>
            <w:bookmarkEnd w:id="509"/>
            <w:bookmarkEnd w:id="510"/>
          </w:p>
        </w:tc>
        <w:tc>
          <w:tcPr>
            <w:tcW w:w="1267" w:type="dxa"/>
            <w:vAlign w:val="center"/>
          </w:tcPr>
          <w:p w14:paraId="73315468">
            <w:pPr>
              <w:pStyle w:val="53"/>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25CA96D5">
            <w:pPr>
              <w:pStyle w:val="53"/>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D8A95C">
            <w:pPr>
              <w:pStyle w:val="53"/>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53C158D">
            <w:pPr>
              <w:pStyle w:val="53"/>
              <w:jc w:val="center"/>
              <w:rPr>
                <w:rFonts w:hint="eastAsia" w:ascii="宋体" w:hAnsi="宋体" w:eastAsia="宋体" w:cs="宋体"/>
                <w:color w:val="auto"/>
                <w:sz w:val="21"/>
                <w:szCs w:val="21"/>
                <w:highlight w:val="none"/>
              </w:rPr>
            </w:pPr>
          </w:p>
        </w:tc>
        <w:tc>
          <w:tcPr>
            <w:tcW w:w="1860" w:type="dxa"/>
            <w:vAlign w:val="center"/>
          </w:tcPr>
          <w:p w14:paraId="00843D98">
            <w:pPr>
              <w:pStyle w:val="53"/>
              <w:jc w:val="center"/>
              <w:rPr>
                <w:rFonts w:hint="eastAsia" w:ascii="宋体" w:hAnsi="宋体" w:eastAsia="宋体" w:cs="宋体"/>
                <w:color w:val="auto"/>
                <w:sz w:val="21"/>
                <w:szCs w:val="21"/>
                <w:highlight w:val="none"/>
              </w:rPr>
            </w:pPr>
          </w:p>
        </w:tc>
        <w:tc>
          <w:tcPr>
            <w:tcW w:w="1356" w:type="dxa"/>
            <w:vAlign w:val="center"/>
          </w:tcPr>
          <w:p w14:paraId="017D5853">
            <w:pPr>
              <w:pStyle w:val="53"/>
              <w:jc w:val="center"/>
              <w:rPr>
                <w:rFonts w:hint="eastAsia" w:ascii="宋体" w:hAnsi="宋体" w:eastAsia="宋体" w:cs="宋体"/>
                <w:color w:val="auto"/>
                <w:sz w:val="21"/>
                <w:szCs w:val="21"/>
                <w:highlight w:val="none"/>
              </w:rPr>
            </w:pPr>
          </w:p>
        </w:tc>
        <w:tc>
          <w:tcPr>
            <w:tcW w:w="816" w:type="dxa"/>
            <w:vAlign w:val="center"/>
          </w:tcPr>
          <w:p w14:paraId="73BBC143">
            <w:pPr>
              <w:pStyle w:val="53"/>
              <w:jc w:val="center"/>
              <w:rPr>
                <w:rFonts w:hint="eastAsia" w:ascii="宋体" w:hAnsi="宋体" w:eastAsia="宋体" w:cs="宋体"/>
                <w:color w:val="auto"/>
                <w:sz w:val="21"/>
                <w:szCs w:val="21"/>
                <w:highlight w:val="none"/>
              </w:rPr>
            </w:pPr>
          </w:p>
        </w:tc>
      </w:tr>
    </w:tbl>
    <w:p w14:paraId="3FEC6AC0">
      <w:pPr>
        <w:rPr>
          <w:color w:val="auto"/>
          <w:highlight w:val="none"/>
        </w:rPr>
      </w:pPr>
      <w:r>
        <w:rPr>
          <w:color w:val="auto"/>
          <w:highlight w:val="none"/>
        </w:rPr>
        <w:br w:type="page"/>
      </w:r>
    </w:p>
    <w:p w14:paraId="71DDD3E4">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11" w:name="_Toc28083"/>
      <w:r>
        <w:rPr>
          <w:rFonts w:hint="eastAsia" w:cstheme="majorBidi"/>
          <w:b/>
          <w:bCs/>
          <w:color w:val="auto"/>
          <w:kern w:val="2"/>
          <w:sz w:val="32"/>
          <w:szCs w:val="32"/>
          <w:highlight w:val="none"/>
          <w:lang w:val="en-US" w:eastAsia="zh-CN" w:bidi="ar-SA"/>
        </w:rPr>
        <w:t>九</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511"/>
    </w:p>
    <w:p w14:paraId="2F4F61FB">
      <w:pPr>
        <w:rPr>
          <w:rFonts w:cs="仿宋_GB2312"/>
          <w:color w:val="auto"/>
          <w:szCs w:val="24"/>
          <w:highlight w:val="none"/>
        </w:rPr>
      </w:pPr>
      <w:r>
        <w:rPr>
          <w:rFonts w:hint="eastAsia" w:cs="仿宋_GB2312"/>
          <w:color w:val="auto"/>
          <w:szCs w:val="24"/>
          <w:highlight w:val="none"/>
        </w:rPr>
        <w:t xml:space="preserve">项目名称：                                         </w:t>
      </w:r>
    </w:p>
    <w:p w14:paraId="0819702A">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2"/>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976"/>
        <w:gridCol w:w="1758"/>
        <w:gridCol w:w="2157"/>
        <w:gridCol w:w="1935"/>
      </w:tblGrid>
      <w:tr w14:paraId="3B35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3" w:type="dxa"/>
            <w:vAlign w:val="center"/>
          </w:tcPr>
          <w:p w14:paraId="3EBCB5DE">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76" w:type="dxa"/>
            <w:vAlign w:val="center"/>
          </w:tcPr>
          <w:p w14:paraId="353FA301">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2EFC899E">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758" w:type="dxa"/>
            <w:vAlign w:val="center"/>
          </w:tcPr>
          <w:p w14:paraId="53416D66">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137AA18F">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2157" w:type="dxa"/>
            <w:vAlign w:val="center"/>
          </w:tcPr>
          <w:p w14:paraId="6B04A43A">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935" w:type="dxa"/>
            <w:vAlign w:val="center"/>
          </w:tcPr>
          <w:p w14:paraId="5B5AA77C">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12302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3" w:type="dxa"/>
            <w:vAlign w:val="center"/>
          </w:tcPr>
          <w:p w14:paraId="515F2DD1">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76" w:type="dxa"/>
            <w:vAlign w:val="center"/>
          </w:tcPr>
          <w:p w14:paraId="4ADC4CE8">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58" w:type="dxa"/>
            <w:vAlign w:val="center"/>
          </w:tcPr>
          <w:p w14:paraId="5324E13C">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157" w:type="dxa"/>
            <w:vAlign w:val="center"/>
          </w:tcPr>
          <w:p w14:paraId="471EACC7">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935" w:type="dxa"/>
            <w:vAlign w:val="center"/>
          </w:tcPr>
          <w:p w14:paraId="6DFE645D">
            <w:pPr>
              <w:pStyle w:val="53"/>
              <w:jc w:val="center"/>
              <w:rPr>
                <w:rFonts w:hint="eastAsia" w:ascii="宋体" w:hAnsi="宋体" w:eastAsia="宋体" w:cs="宋体"/>
                <w:color w:val="auto"/>
                <w:sz w:val="21"/>
                <w:szCs w:val="21"/>
                <w:highlight w:val="none"/>
              </w:rPr>
            </w:pPr>
          </w:p>
        </w:tc>
      </w:tr>
      <w:tr w14:paraId="1DD2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3" w:type="dxa"/>
            <w:vAlign w:val="center"/>
          </w:tcPr>
          <w:p w14:paraId="59C67813">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76" w:type="dxa"/>
            <w:vAlign w:val="center"/>
          </w:tcPr>
          <w:p w14:paraId="7AC31F04">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58" w:type="dxa"/>
            <w:vAlign w:val="center"/>
          </w:tcPr>
          <w:p w14:paraId="5009071F">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157" w:type="dxa"/>
            <w:vAlign w:val="center"/>
          </w:tcPr>
          <w:p w14:paraId="2AA6385E">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935" w:type="dxa"/>
            <w:vAlign w:val="center"/>
          </w:tcPr>
          <w:p w14:paraId="7435AE7E">
            <w:pPr>
              <w:pStyle w:val="53"/>
              <w:jc w:val="center"/>
              <w:rPr>
                <w:rFonts w:hint="eastAsia" w:ascii="宋体" w:hAnsi="宋体" w:eastAsia="宋体" w:cs="宋体"/>
                <w:color w:val="auto"/>
                <w:sz w:val="21"/>
                <w:szCs w:val="21"/>
                <w:highlight w:val="none"/>
              </w:rPr>
            </w:pPr>
          </w:p>
        </w:tc>
      </w:tr>
      <w:tr w14:paraId="4E722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6D729B14">
            <w:pPr>
              <w:pStyle w:val="53"/>
              <w:jc w:val="center"/>
              <w:rPr>
                <w:rFonts w:hint="eastAsia" w:ascii="宋体" w:hAnsi="宋体" w:eastAsia="宋体" w:cs="宋体"/>
                <w:color w:val="auto"/>
                <w:sz w:val="21"/>
                <w:szCs w:val="21"/>
                <w:highlight w:val="none"/>
              </w:rPr>
            </w:pPr>
          </w:p>
        </w:tc>
        <w:tc>
          <w:tcPr>
            <w:tcW w:w="1976" w:type="dxa"/>
            <w:vAlign w:val="center"/>
          </w:tcPr>
          <w:p w14:paraId="081A26BA">
            <w:pPr>
              <w:pStyle w:val="53"/>
              <w:jc w:val="center"/>
              <w:rPr>
                <w:rFonts w:hint="eastAsia" w:ascii="宋体" w:hAnsi="宋体" w:eastAsia="宋体" w:cs="宋体"/>
                <w:color w:val="auto"/>
                <w:sz w:val="21"/>
                <w:szCs w:val="21"/>
                <w:highlight w:val="none"/>
              </w:rPr>
            </w:pPr>
          </w:p>
        </w:tc>
        <w:tc>
          <w:tcPr>
            <w:tcW w:w="1758" w:type="dxa"/>
            <w:vAlign w:val="center"/>
          </w:tcPr>
          <w:p w14:paraId="7499881F">
            <w:pPr>
              <w:pStyle w:val="53"/>
              <w:jc w:val="center"/>
              <w:rPr>
                <w:rFonts w:hint="eastAsia" w:ascii="宋体" w:hAnsi="宋体" w:eastAsia="宋体" w:cs="宋体"/>
                <w:color w:val="auto"/>
                <w:sz w:val="21"/>
                <w:szCs w:val="21"/>
                <w:highlight w:val="none"/>
              </w:rPr>
            </w:pPr>
          </w:p>
        </w:tc>
        <w:tc>
          <w:tcPr>
            <w:tcW w:w="2157" w:type="dxa"/>
            <w:vAlign w:val="center"/>
          </w:tcPr>
          <w:p w14:paraId="0A078DDC">
            <w:pPr>
              <w:pStyle w:val="53"/>
              <w:jc w:val="center"/>
              <w:rPr>
                <w:rFonts w:hint="eastAsia" w:ascii="宋体" w:hAnsi="宋体" w:eastAsia="宋体" w:cs="宋体"/>
                <w:color w:val="auto"/>
                <w:sz w:val="21"/>
                <w:szCs w:val="21"/>
                <w:highlight w:val="none"/>
              </w:rPr>
            </w:pPr>
          </w:p>
        </w:tc>
        <w:tc>
          <w:tcPr>
            <w:tcW w:w="1935" w:type="dxa"/>
            <w:vAlign w:val="center"/>
          </w:tcPr>
          <w:p w14:paraId="13E3D18C">
            <w:pPr>
              <w:pStyle w:val="53"/>
              <w:jc w:val="center"/>
              <w:rPr>
                <w:rFonts w:hint="eastAsia" w:ascii="宋体" w:hAnsi="宋体" w:eastAsia="宋体" w:cs="宋体"/>
                <w:color w:val="auto"/>
                <w:sz w:val="21"/>
                <w:szCs w:val="21"/>
                <w:highlight w:val="none"/>
              </w:rPr>
            </w:pPr>
          </w:p>
        </w:tc>
      </w:tr>
      <w:tr w14:paraId="4096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40BB563A">
            <w:pPr>
              <w:pStyle w:val="53"/>
              <w:jc w:val="center"/>
              <w:rPr>
                <w:rFonts w:hint="eastAsia" w:ascii="宋体" w:hAnsi="宋体" w:eastAsia="宋体" w:cs="宋体"/>
                <w:color w:val="auto"/>
                <w:sz w:val="21"/>
                <w:szCs w:val="21"/>
                <w:highlight w:val="none"/>
              </w:rPr>
            </w:pPr>
          </w:p>
        </w:tc>
        <w:tc>
          <w:tcPr>
            <w:tcW w:w="1976" w:type="dxa"/>
            <w:vAlign w:val="center"/>
          </w:tcPr>
          <w:p w14:paraId="6FD80D1D">
            <w:pPr>
              <w:pStyle w:val="53"/>
              <w:jc w:val="center"/>
              <w:rPr>
                <w:rFonts w:hint="eastAsia" w:ascii="宋体" w:hAnsi="宋体" w:eastAsia="宋体" w:cs="宋体"/>
                <w:color w:val="auto"/>
                <w:sz w:val="21"/>
                <w:szCs w:val="21"/>
                <w:highlight w:val="none"/>
              </w:rPr>
            </w:pPr>
          </w:p>
        </w:tc>
        <w:tc>
          <w:tcPr>
            <w:tcW w:w="1758" w:type="dxa"/>
            <w:vAlign w:val="center"/>
          </w:tcPr>
          <w:p w14:paraId="47D65BAA">
            <w:pPr>
              <w:pStyle w:val="53"/>
              <w:jc w:val="center"/>
              <w:rPr>
                <w:rFonts w:hint="eastAsia" w:ascii="宋体" w:hAnsi="宋体" w:eastAsia="宋体" w:cs="宋体"/>
                <w:color w:val="auto"/>
                <w:sz w:val="21"/>
                <w:szCs w:val="21"/>
                <w:highlight w:val="none"/>
              </w:rPr>
            </w:pPr>
          </w:p>
        </w:tc>
        <w:tc>
          <w:tcPr>
            <w:tcW w:w="2157" w:type="dxa"/>
            <w:vAlign w:val="center"/>
          </w:tcPr>
          <w:p w14:paraId="70D9BE9F">
            <w:pPr>
              <w:pStyle w:val="53"/>
              <w:jc w:val="center"/>
              <w:rPr>
                <w:rFonts w:hint="eastAsia" w:ascii="宋体" w:hAnsi="宋体" w:eastAsia="宋体" w:cs="宋体"/>
                <w:color w:val="auto"/>
                <w:sz w:val="21"/>
                <w:szCs w:val="21"/>
                <w:highlight w:val="none"/>
              </w:rPr>
            </w:pPr>
          </w:p>
        </w:tc>
        <w:tc>
          <w:tcPr>
            <w:tcW w:w="1935" w:type="dxa"/>
            <w:vAlign w:val="center"/>
          </w:tcPr>
          <w:p w14:paraId="5AF05474">
            <w:pPr>
              <w:pStyle w:val="53"/>
              <w:jc w:val="center"/>
              <w:rPr>
                <w:rFonts w:hint="eastAsia" w:ascii="宋体" w:hAnsi="宋体" w:eastAsia="宋体" w:cs="宋体"/>
                <w:color w:val="auto"/>
                <w:sz w:val="21"/>
                <w:szCs w:val="21"/>
                <w:highlight w:val="none"/>
              </w:rPr>
            </w:pPr>
          </w:p>
        </w:tc>
      </w:tr>
      <w:tr w14:paraId="6697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6FB56F61">
            <w:pPr>
              <w:pStyle w:val="53"/>
              <w:jc w:val="center"/>
              <w:rPr>
                <w:rFonts w:hint="eastAsia" w:ascii="宋体" w:hAnsi="宋体" w:eastAsia="宋体" w:cs="宋体"/>
                <w:color w:val="auto"/>
                <w:sz w:val="21"/>
                <w:szCs w:val="21"/>
                <w:highlight w:val="none"/>
              </w:rPr>
            </w:pPr>
          </w:p>
        </w:tc>
        <w:tc>
          <w:tcPr>
            <w:tcW w:w="1976" w:type="dxa"/>
            <w:vAlign w:val="center"/>
          </w:tcPr>
          <w:p w14:paraId="71A59D10">
            <w:pPr>
              <w:pStyle w:val="53"/>
              <w:jc w:val="center"/>
              <w:rPr>
                <w:rFonts w:hint="eastAsia" w:ascii="宋体" w:hAnsi="宋体" w:eastAsia="宋体" w:cs="宋体"/>
                <w:color w:val="auto"/>
                <w:sz w:val="21"/>
                <w:szCs w:val="21"/>
                <w:highlight w:val="none"/>
              </w:rPr>
            </w:pPr>
          </w:p>
        </w:tc>
        <w:tc>
          <w:tcPr>
            <w:tcW w:w="1758" w:type="dxa"/>
            <w:vAlign w:val="center"/>
          </w:tcPr>
          <w:p w14:paraId="15A522F5">
            <w:pPr>
              <w:pStyle w:val="53"/>
              <w:jc w:val="center"/>
              <w:rPr>
                <w:rFonts w:hint="eastAsia" w:ascii="宋体" w:hAnsi="宋体" w:eastAsia="宋体" w:cs="宋体"/>
                <w:color w:val="auto"/>
                <w:sz w:val="21"/>
                <w:szCs w:val="21"/>
                <w:highlight w:val="none"/>
              </w:rPr>
            </w:pPr>
          </w:p>
        </w:tc>
        <w:tc>
          <w:tcPr>
            <w:tcW w:w="2157" w:type="dxa"/>
            <w:vAlign w:val="center"/>
          </w:tcPr>
          <w:p w14:paraId="08BD9EAC">
            <w:pPr>
              <w:pStyle w:val="53"/>
              <w:jc w:val="center"/>
              <w:rPr>
                <w:rFonts w:hint="eastAsia" w:ascii="宋体" w:hAnsi="宋体" w:eastAsia="宋体" w:cs="宋体"/>
                <w:color w:val="auto"/>
                <w:sz w:val="21"/>
                <w:szCs w:val="21"/>
                <w:highlight w:val="none"/>
              </w:rPr>
            </w:pPr>
          </w:p>
        </w:tc>
        <w:tc>
          <w:tcPr>
            <w:tcW w:w="1935" w:type="dxa"/>
            <w:vAlign w:val="center"/>
          </w:tcPr>
          <w:p w14:paraId="0115C40E">
            <w:pPr>
              <w:pStyle w:val="53"/>
              <w:jc w:val="center"/>
              <w:rPr>
                <w:rFonts w:hint="eastAsia" w:ascii="宋体" w:hAnsi="宋体" w:eastAsia="宋体" w:cs="宋体"/>
                <w:color w:val="auto"/>
                <w:sz w:val="21"/>
                <w:szCs w:val="21"/>
                <w:highlight w:val="none"/>
              </w:rPr>
            </w:pPr>
          </w:p>
        </w:tc>
      </w:tr>
      <w:tr w14:paraId="297B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2FCFE7D0">
            <w:pPr>
              <w:pStyle w:val="53"/>
              <w:jc w:val="center"/>
              <w:rPr>
                <w:rFonts w:hint="eastAsia" w:ascii="宋体" w:hAnsi="宋体" w:eastAsia="宋体" w:cs="宋体"/>
                <w:color w:val="auto"/>
                <w:sz w:val="21"/>
                <w:szCs w:val="21"/>
                <w:highlight w:val="none"/>
              </w:rPr>
            </w:pPr>
          </w:p>
        </w:tc>
        <w:tc>
          <w:tcPr>
            <w:tcW w:w="1976" w:type="dxa"/>
            <w:vAlign w:val="center"/>
          </w:tcPr>
          <w:p w14:paraId="72713B5C">
            <w:pPr>
              <w:pStyle w:val="53"/>
              <w:jc w:val="center"/>
              <w:rPr>
                <w:rFonts w:hint="eastAsia" w:ascii="宋体" w:hAnsi="宋体" w:eastAsia="宋体" w:cs="宋体"/>
                <w:color w:val="auto"/>
                <w:sz w:val="21"/>
                <w:szCs w:val="21"/>
                <w:highlight w:val="none"/>
              </w:rPr>
            </w:pPr>
          </w:p>
        </w:tc>
        <w:tc>
          <w:tcPr>
            <w:tcW w:w="1758" w:type="dxa"/>
            <w:vAlign w:val="center"/>
          </w:tcPr>
          <w:p w14:paraId="6C397155">
            <w:pPr>
              <w:pStyle w:val="53"/>
              <w:jc w:val="center"/>
              <w:rPr>
                <w:rFonts w:hint="eastAsia" w:ascii="宋体" w:hAnsi="宋体" w:eastAsia="宋体" w:cs="宋体"/>
                <w:color w:val="auto"/>
                <w:sz w:val="21"/>
                <w:szCs w:val="21"/>
                <w:highlight w:val="none"/>
              </w:rPr>
            </w:pPr>
          </w:p>
        </w:tc>
        <w:tc>
          <w:tcPr>
            <w:tcW w:w="2157" w:type="dxa"/>
            <w:vAlign w:val="center"/>
          </w:tcPr>
          <w:p w14:paraId="7C34D5E2">
            <w:pPr>
              <w:pStyle w:val="53"/>
              <w:jc w:val="center"/>
              <w:rPr>
                <w:rFonts w:hint="eastAsia" w:ascii="宋体" w:hAnsi="宋体" w:eastAsia="宋体" w:cs="宋体"/>
                <w:color w:val="auto"/>
                <w:sz w:val="21"/>
                <w:szCs w:val="21"/>
                <w:highlight w:val="none"/>
              </w:rPr>
            </w:pPr>
          </w:p>
        </w:tc>
        <w:tc>
          <w:tcPr>
            <w:tcW w:w="1935" w:type="dxa"/>
            <w:vAlign w:val="center"/>
          </w:tcPr>
          <w:p w14:paraId="6FC86308">
            <w:pPr>
              <w:pStyle w:val="53"/>
              <w:jc w:val="center"/>
              <w:rPr>
                <w:rFonts w:hint="eastAsia" w:ascii="宋体" w:hAnsi="宋体" w:eastAsia="宋体" w:cs="宋体"/>
                <w:color w:val="auto"/>
                <w:sz w:val="21"/>
                <w:szCs w:val="21"/>
                <w:highlight w:val="none"/>
              </w:rPr>
            </w:pPr>
          </w:p>
        </w:tc>
      </w:tr>
      <w:tr w14:paraId="7A86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3E2F3459">
            <w:pPr>
              <w:pStyle w:val="53"/>
              <w:jc w:val="center"/>
              <w:rPr>
                <w:rFonts w:hint="eastAsia" w:ascii="宋体" w:hAnsi="宋体" w:eastAsia="宋体" w:cs="宋体"/>
                <w:color w:val="auto"/>
                <w:sz w:val="21"/>
                <w:szCs w:val="21"/>
                <w:highlight w:val="none"/>
              </w:rPr>
            </w:pPr>
          </w:p>
        </w:tc>
        <w:tc>
          <w:tcPr>
            <w:tcW w:w="1976" w:type="dxa"/>
            <w:vAlign w:val="center"/>
          </w:tcPr>
          <w:p w14:paraId="57F4957C">
            <w:pPr>
              <w:pStyle w:val="53"/>
              <w:jc w:val="center"/>
              <w:rPr>
                <w:rFonts w:hint="eastAsia" w:ascii="宋体" w:hAnsi="宋体" w:eastAsia="宋体" w:cs="宋体"/>
                <w:color w:val="auto"/>
                <w:sz w:val="21"/>
                <w:szCs w:val="21"/>
                <w:highlight w:val="none"/>
              </w:rPr>
            </w:pPr>
          </w:p>
        </w:tc>
        <w:tc>
          <w:tcPr>
            <w:tcW w:w="1758" w:type="dxa"/>
            <w:vAlign w:val="center"/>
          </w:tcPr>
          <w:p w14:paraId="6CCA74A8">
            <w:pPr>
              <w:pStyle w:val="53"/>
              <w:jc w:val="center"/>
              <w:rPr>
                <w:rFonts w:hint="eastAsia" w:ascii="宋体" w:hAnsi="宋体" w:eastAsia="宋体" w:cs="宋体"/>
                <w:color w:val="auto"/>
                <w:sz w:val="21"/>
                <w:szCs w:val="21"/>
                <w:highlight w:val="none"/>
              </w:rPr>
            </w:pPr>
          </w:p>
        </w:tc>
        <w:tc>
          <w:tcPr>
            <w:tcW w:w="2157" w:type="dxa"/>
            <w:vAlign w:val="center"/>
          </w:tcPr>
          <w:p w14:paraId="2571EBB6">
            <w:pPr>
              <w:pStyle w:val="53"/>
              <w:jc w:val="center"/>
              <w:rPr>
                <w:rFonts w:hint="eastAsia" w:ascii="宋体" w:hAnsi="宋体" w:eastAsia="宋体" w:cs="宋体"/>
                <w:color w:val="auto"/>
                <w:sz w:val="21"/>
                <w:szCs w:val="21"/>
                <w:highlight w:val="none"/>
              </w:rPr>
            </w:pPr>
          </w:p>
        </w:tc>
        <w:tc>
          <w:tcPr>
            <w:tcW w:w="1935" w:type="dxa"/>
            <w:vAlign w:val="center"/>
          </w:tcPr>
          <w:p w14:paraId="50BDFC89">
            <w:pPr>
              <w:pStyle w:val="53"/>
              <w:jc w:val="center"/>
              <w:rPr>
                <w:rFonts w:hint="eastAsia" w:ascii="宋体" w:hAnsi="宋体" w:eastAsia="宋体" w:cs="宋体"/>
                <w:color w:val="auto"/>
                <w:sz w:val="21"/>
                <w:szCs w:val="21"/>
                <w:highlight w:val="none"/>
              </w:rPr>
            </w:pPr>
          </w:p>
        </w:tc>
      </w:tr>
      <w:tr w14:paraId="3A621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761B1C8F">
            <w:pPr>
              <w:pStyle w:val="53"/>
              <w:jc w:val="center"/>
              <w:rPr>
                <w:rFonts w:hint="eastAsia" w:ascii="宋体" w:hAnsi="宋体" w:eastAsia="宋体" w:cs="宋体"/>
                <w:color w:val="auto"/>
                <w:sz w:val="21"/>
                <w:szCs w:val="21"/>
                <w:highlight w:val="none"/>
              </w:rPr>
            </w:pPr>
          </w:p>
        </w:tc>
        <w:tc>
          <w:tcPr>
            <w:tcW w:w="1976" w:type="dxa"/>
            <w:vAlign w:val="center"/>
          </w:tcPr>
          <w:p w14:paraId="205AD983">
            <w:pPr>
              <w:pStyle w:val="53"/>
              <w:jc w:val="center"/>
              <w:rPr>
                <w:rFonts w:hint="eastAsia" w:ascii="宋体" w:hAnsi="宋体" w:eastAsia="宋体" w:cs="宋体"/>
                <w:color w:val="auto"/>
                <w:sz w:val="21"/>
                <w:szCs w:val="21"/>
                <w:highlight w:val="none"/>
              </w:rPr>
            </w:pPr>
          </w:p>
        </w:tc>
        <w:tc>
          <w:tcPr>
            <w:tcW w:w="1758" w:type="dxa"/>
            <w:vAlign w:val="center"/>
          </w:tcPr>
          <w:p w14:paraId="0BDFABE8">
            <w:pPr>
              <w:pStyle w:val="53"/>
              <w:jc w:val="center"/>
              <w:rPr>
                <w:rFonts w:hint="eastAsia" w:ascii="宋体" w:hAnsi="宋体" w:eastAsia="宋体" w:cs="宋体"/>
                <w:color w:val="auto"/>
                <w:sz w:val="21"/>
                <w:szCs w:val="21"/>
                <w:highlight w:val="none"/>
              </w:rPr>
            </w:pPr>
          </w:p>
        </w:tc>
        <w:tc>
          <w:tcPr>
            <w:tcW w:w="2157" w:type="dxa"/>
            <w:vAlign w:val="center"/>
          </w:tcPr>
          <w:p w14:paraId="41F060B4">
            <w:pPr>
              <w:pStyle w:val="53"/>
              <w:jc w:val="center"/>
              <w:rPr>
                <w:rFonts w:hint="eastAsia" w:ascii="宋体" w:hAnsi="宋体" w:eastAsia="宋体" w:cs="宋体"/>
                <w:color w:val="auto"/>
                <w:sz w:val="21"/>
                <w:szCs w:val="21"/>
                <w:highlight w:val="none"/>
              </w:rPr>
            </w:pPr>
          </w:p>
        </w:tc>
        <w:tc>
          <w:tcPr>
            <w:tcW w:w="1935" w:type="dxa"/>
            <w:vAlign w:val="center"/>
          </w:tcPr>
          <w:p w14:paraId="1AEE4601">
            <w:pPr>
              <w:pStyle w:val="53"/>
              <w:jc w:val="center"/>
              <w:rPr>
                <w:rFonts w:hint="eastAsia" w:ascii="宋体" w:hAnsi="宋体" w:eastAsia="宋体" w:cs="宋体"/>
                <w:color w:val="auto"/>
                <w:sz w:val="21"/>
                <w:szCs w:val="21"/>
                <w:highlight w:val="none"/>
              </w:rPr>
            </w:pPr>
          </w:p>
        </w:tc>
      </w:tr>
      <w:tr w14:paraId="085A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39DA80E6">
            <w:pPr>
              <w:pStyle w:val="53"/>
              <w:jc w:val="center"/>
              <w:rPr>
                <w:rFonts w:hint="eastAsia" w:ascii="宋体" w:hAnsi="宋体" w:eastAsia="宋体" w:cs="宋体"/>
                <w:color w:val="auto"/>
                <w:sz w:val="21"/>
                <w:szCs w:val="21"/>
                <w:highlight w:val="none"/>
              </w:rPr>
            </w:pPr>
          </w:p>
        </w:tc>
        <w:tc>
          <w:tcPr>
            <w:tcW w:w="1976" w:type="dxa"/>
            <w:vAlign w:val="center"/>
          </w:tcPr>
          <w:p w14:paraId="63E63794">
            <w:pPr>
              <w:pStyle w:val="53"/>
              <w:jc w:val="center"/>
              <w:rPr>
                <w:rFonts w:hint="eastAsia" w:ascii="宋体" w:hAnsi="宋体" w:eastAsia="宋体" w:cs="宋体"/>
                <w:color w:val="auto"/>
                <w:sz w:val="21"/>
                <w:szCs w:val="21"/>
                <w:highlight w:val="none"/>
              </w:rPr>
            </w:pPr>
          </w:p>
        </w:tc>
        <w:tc>
          <w:tcPr>
            <w:tcW w:w="1758" w:type="dxa"/>
            <w:vAlign w:val="center"/>
          </w:tcPr>
          <w:p w14:paraId="407BB725">
            <w:pPr>
              <w:pStyle w:val="53"/>
              <w:jc w:val="center"/>
              <w:rPr>
                <w:rFonts w:hint="eastAsia" w:ascii="宋体" w:hAnsi="宋体" w:eastAsia="宋体" w:cs="宋体"/>
                <w:color w:val="auto"/>
                <w:sz w:val="21"/>
                <w:szCs w:val="21"/>
                <w:highlight w:val="none"/>
              </w:rPr>
            </w:pPr>
          </w:p>
        </w:tc>
        <w:tc>
          <w:tcPr>
            <w:tcW w:w="2157" w:type="dxa"/>
            <w:vAlign w:val="center"/>
          </w:tcPr>
          <w:p w14:paraId="595766C1">
            <w:pPr>
              <w:pStyle w:val="53"/>
              <w:jc w:val="center"/>
              <w:rPr>
                <w:rFonts w:hint="eastAsia" w:ascii="宋体" w:hAnsi="宋体" w:eastAsia="宋体" w:cs="宋体"/>
                <w:color w:val="auto"/>
                <w:sz w:val="21"/>
                <w:szCs w:val="21"/>
                <w:highlight w:val="none"/>
              </w:rPr>
            </w:pPr>
          </w:p>
        </w:tc>
        <w:tc>
          <w:tcPr>
            <w:tcW w:w="1935" w:type="dxa"/>
            <w:vAlign w:val="center"/>
          </w:tcPr>
          <w:p w14:paraId="777F46B2">
            <w:pPr>
              <w:pStyle w:val="53"/>
              <w:jc w:val="center"/>
              <w:rPr>
                <w:rFonts w:hint="eastAsia" w:ascii="宋体" w:hAnsi="宋体" w:eastAsia="宋体" w:cs="宋体"/>
                <w:color w:val="auto"/>
                <w:sz w:val="21"/>
                <w:szCs w:val="21"/>
                <w:highlight w:val="none"/>
              </w:rPr>
            </w:pPr>
          </w:p>
        </w:tc>
      </w:tr>
      <w:tr w14:paraId="32FF0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3" w:type="dxa"/>
            <w:vAlign w:val="center"/>
          </w:tcPr>
          <w:p w14:paraId="40529E22">
            <w:pPr>
              <w:pStyle w:val="53"/>
              <w:jc w:val="center"/>
              <w:rPr>
                <w:rFonts w:hint="eastAsia" w:ascii="宋体" w:hAnsi="宋体" w:eastAsia="宋体" w:cs="宋体"/>
                <w:color w:val="auto"/>
                <w:sz w:val="21"/>
                <w:szCs w:val="21"/>
                <w:highlight w:val="none"/>
              </w:rPr>
            </w:pPr>
          </w:p>
        </w:tc>
        <w:tc>
          <w:tcPr>
            <w:tcW w:w="1976" w:type="dxa"/>
            <w:vAlign w:val="center"/>
          </w:tcPr>
          <w:p w14:paraId="4C5C8E40">
            <w:pPr>
              <w:pStyle w:val="53"/>
              <w:jc w:val="center"/>
              <w:rPr>
                <w:rFonts w:hint="eastAsia" w:ascii="宋体" w:hAnsi="宋体" w:eastAsia="宋体" w:cs="宋体"/>
                <w:color w:val="auto"/>
                <w:sz w:val="21"/>
                <w:szCs w:val="21"/>
                <w:highlight w:val="none"/>
              </w:rPr>
            </w:pPr>
          </w:p>
        </w:tc>
        <w:tc>
          <w:tcPr>
            <w:tcW w:w="1758" w:type="dxa"/>
            <w:vAlign w:val="center"/>
          </w:tcPr>
          <w:p w14:paraId="2A836D2C">
            <w:pPr>
              <w:pStyle w:val="53"/>
              <w:jc w:val="center"/>
              <w:rPr>
                <w:rFonts w:hint="eastAsia" w:ascii="宋体" w:hAnsi="宋体" w:eastAsia="宋体" w:cs="宋体"/>
                <w:color w:val="auto"/>
                <w:sz w:val="21"/>
                <w:szCs w:val="21"/>
                <w:highlight w:val="none"/>
              </w:rPr>
            </w:pPr>
          </w:p>
        </w:tc>
        <w:tc>
          <w:tcPr>
            <w:tcW w:w="2157" w:type="dxa"/>
            <w:vAlign w:val="center"/>
          </w:tcPr>
          <w:p w14:paraId="5CC2D4D2">
            <w:pPr>
              <w:pStyle w:val="53"/>
              <w:jc w:val="center"/>
              <w:rPr>
                <w:rFonts w:hint="eastAsia" w:ascii="宋体" w:hAnsi="宋体" w:eastAsia="宋体" w:cs="宋体"/>
                <w:color w:val="auto"/>
                <w:sz w:val="21"/>
                <w:szCs w:val="21"/>
                <w:highlight w:val="none"/>
              </w:rPr>
            </w:pPr>
          </w:p>
        </w:tc>
        <w:tc>
          <w:tcPr>
            <w:tcW w:w="1935" w:type="dxa"/>
            <w:vAlign w:val="center"/>
          </w:tcPr>
          <w:p w14:paraId="3760B5C3">
            <w:pPr>
              <w:pStyle w:val="53"/>
              <w:jc w:val="center"/>
              <w:rPr>
                <w:rFonts w:hint="eastAsia" w:ascii="宋体" w:hAnsi="宋体" w:eastAsia="宋体" w:cs="宋体"/>
                <w:color w:val="auto"/>
                <w:sz w:val="21"/>
                <w:szCs w:val="21"/>
                <w:highlight w:val="none"/>
              </w:rPr>
            </w:pPr>
          </w:p>
        </w:tc>
      </w:tr>
      <w:tr w14:paraId="5366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3" w:type="dxa"/>
            <w:vAlign w:val="center"/>
          </w:tcPr>
          <w:p w14:paraId="37D433BC">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76" w:type="dxa"/>
            <w:vAlign w:val="center"/>
          </w:tcPr>
          <w:p w14:paraId="2C1B4A43">
            <w:pPr>
              <w:pStyle w:val="53"/>
              <w:jc w:val="center"/>
              <w:rPr>
                <w:rFonts w:hint="eastAsia" w:ascii="宋体" w:hAnsi="宋体" w:eastAsia="宋体" w:cs="宋体"/>
                <w:color w:val="auto"/>
                <w:sz w:val="21"/>
                <w:szCs w:val="21"/>
                <w:highlight w:val="none"/>
              </w:rPr>
            </w:pPr>
            <w:r>
              <w:rPr>
                <w:rFonts w:hint="eastAsia" w:cs="宋体"/>
                <w:color w:val="auto"/>
                <w:sz w:val="21"/>
                <w:szCs w:val="21"/>
                <w:highlight w:val="none"/>
                <w:lang w:eastAsia="zh-CN"/>
              </w:rPr>
              <w:t>…</w:t>
            </w:r>
          </w:p>
        </w:tc>
        <w:tc>
          <w:tcPr>
            <w:tcW w:w="1758" w:type="dxa"/>
            <w:vAlign w:val="center"/>
          </w:tcPr>
          <w:p w14:paraId="43AA81C6">
            <w:pPr>
              <w:pStyle w:val="5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157" w:type="dxa"/>
            <w:vAlign w:val="center"/>
          </w:tcPr>
          <w:p w14:paraId="344E27E0">
            <w:pPr>
              <w:pStyle w:val="53"/>
              <w:jc w:val="center"/>
              <w:rPr>
                <w:rFonts w:hint="eastAsia" w:ascii="宋体" w:hAnsi="宋体" w:eastAsia="宋体" w:cs="宋体"/>
                <w:color w:val="auto"/>
                <w:sz w:val="21"/>
                <w:szCs w:val="21"/>
                <w:highlight w:val="none"/>
              </w:rPr>
            </w:pPr>
            <w:r>
              <w:rPr>
                <w:rFonts w:hint="eastAsia" w:cs="宋体"/>
                <w:color w:val="auto"/>
                <w:sz w:val="21"/>
                <w:szCs w:val="21"/>
                <w:highlight w:val="none"/>
                <w:lang w:eastAsia="zh-CN"/>
              </w:rPr>
              <w:t>…</w:t>
            </w:r>
          </w:p>
        </w:tc>
        <w:tc>
          <w:tcPr>
            <w:tcW w:w="1935" w:type="dxa"/>
            <w:vAlign w:val="center"/>
          </w:tcPr>
          <w:p w14:paraId="53838C3E">
            <w:pPr>
              <w:pStyle w:val="53"/>
              <w:jc w:val="center"/>
              <w:rPr>
                <w:rFonts w:hint="eastAsia" w:ascii="宋体" w:hAnsi="宋体" w:eastAsia="宋体" w:cs="宋体"/>
                <w:color w:val="auto"/>
                <w:sz w:val="21"/>
                <w:szCs w:val="21"/>
                <w:highlight w:val="none"/>
              </w:rPr>
            </w:pPr>
          </w:p>
        </w:tc>
      </w:tr>
    </w:tbl>
    <w:p w14:paraId="278A898E">
      <w:pPr>
        <w:ind w:firstLine="420" w:firstLineChars="200"/>
        <w:rPr>
          <w:rFonts w:hint="eastAsia" w:cs="仿宋_GB2312"/>
          <w:color w:val="auto"/>
          <w:sz w:val="21"/>
          <w:szCs w:val="21"/>
          <w:highlight w:val="none"/>
        </w:rPr>
      </w:pPr>
    </w:p>
    <w:p w14:paraId="05C3DA7B">
      <w:pPr>
        <w:ind w:firstLine="420" w:firstLineChars="200"/>
        <w:rPr>
          <w:rFonts w:cs="仿宋_GB2312"/>
          <w:color w:val="auto"/>
          <w:sz w:val="21"/>
          <w:szCs w:val="21"/>
          <w:highlight w:val="none"/>
        </w:rPr>
      </w:pPr>
      <w:r>
        <w:rPr>
          <w:rFonts w:hint="eastAsia" w:cs="仿宋_GB2312"/>
          <w:color w:val="auto"/>
          <w:sz w:val="21"/>
          <w:szCs w:val="21"/>
          <w:highlight w:val="none"/>
        </w:rPr>
        <w:t>说明：投标人应按照招标文件“第三章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r>
        <w:rPr>
          <w:rFonts w:hint="eastAsia" w:cs="仿宋_GB2312"/>
          <w:color w:val="auto"/>
          <w:sz w:val="21"/>
          <w:szCs w:val="21"/>
          <w:highlight w:val="none"/>
          <w:lang w:val="en-US" w:eastAsia="zh-CN"/>
        </w:rPr>
        <w:t>“响应/正偏离/负偏离”应据实填写“响应”、“正偏离”或“负偏离”</w:t>
      </w:r>
      <w:r>
        <w:rPr>
          <w:rFonts w:hint="eastAsia" w:cs="仿宋_GB2312"/>
          <w:color w:val="auto"/>
          <w:sz w:val="21"/>
          <w:szCs w:val="21"/>
          <w:highlight w:val="none"/>
        </w:rPr>
        <w:t>。</w:t>
      </w:r>
    </w:p>
    <w:p w14:paraId="610EBB56">
      <w:pPr>
        <w:ind w:firstLine="480" w:firstLineChars="200"/>
        <w:rPr>
          <w:rFonts w:cs="仿宋_GB2312"/>
          <w:color w:val="auto"/>
          <w:szCs w:val="24"/>
          <w:highlight w:val="none"/>
        </w:rPr>
      </w:pPr>
    </w:p>
    <w:p w14:paraId="02DDFDE4">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cs="宋体"/>
          <w:color w:val="auto"/>
          <w:kern w:val="0"/>
          <w:sz w:val="24"/>
          <w:szCs w:val="24"/>
          <w:highlight w:val="none"/>
          <w:lang w:eastAsia="zh-CN"/>
        </w:rPr>
        <w:t>）</w:t>
      </w:r>
      <w:r>
        <w:rPr>
          <w:rFonts w:hint="eastAsia" w:cs="仿宋_GB2312"/>
          <w:color w:val="auto"/>
          <w:szCs w:val="24"/>
          <w:highlight w:val="none"/>
        </w:rPr>
        <w:t>：</w:t>
      </w:r>
    </w:p>
    <w:p w14:paraId="13FB98C0">
      <w:pPr>
        <w:ind w:firstLine="420"/>
        <w:rPr>
          <w:rFonts w:cs="仿宋_GB2312"/>
          <w:color w:val="auto"/>
          <w:szCs w:val="24"/>
          <w:highlight w:val="none"/>
        </w:rPr>
      </w:pPr>
      <w:r>
        <w:rPr>
          <w:rFonts w:hint="eastAsia" w:cs="仿宋_GB2312"/>
          <w:color w:val="auto"/>
          <w:szCs w:val="24"/>
          <w:highlight w:val="none"/>
        </w:rPr>
        <w:t>日      期：</w:t>
      </w:r>
    </w:p>
    <w:p w14:paraId="42EC7885">
      <w:pPr>
        <w:ind w:firstLine="420"/>
        <w:rPr>
          <w:rFonts w:cs="仿宋_GB2312"/>
          <w:color w:val="auto"/>
          <w:szCs w:val="24"/>
          <w:highlight w:val="none"/>
        </w:rPr>
      </w:pPr>
    </w:p>
    <w:p w14:paraId="4E2BC9C4">
      <w:pPr>
        <w:ind w:firstLine="420"/>
        <w:rPr>
          <w:rFonts w:cs="仿宋_GB2312"/>
          <w:color w:val="auto"/>
          <w:szCs w:val="24"/>
          <w:highlight w:val="none"/>
        </w:rPr>
      </w:pPr>
    </w:p>
    <w:p w14:paraId="04E77827">
      <w:pPr>
        <w:ind w:firstLine="420"/>
        <w:rPr>
          <w:rFonts w:hint="eastAsia" w:cs="仿宋_GB2312"/>
          <w:color w:val="auto"/>
          <w:szCs w:val="24"/>
          <w:highlight w:val="none"/>
          <w:lang w:val="en-US" w:eastAsia="zh-CN"/>
        </w:rPr>
      </w:pPr>
      <w:r>
        <w:rPr>
          <w:rFonts w:hint="eastAsia" w:cs="仿宋_GB2312"/>
          <w:color w:val="auto"/>
          <w:sz w:val="21"/>
          <w:szCs w:val="21"/>
          <w:highlight w:val="none"/>
          <w:lang w:val="en-US" w:eastAsia="zh-CN"/>
        </w:rPr>
        <w:t>备注：投标人在本表中须标注技术响应的实际数值或内容，照搬照抄采购文件内容、不注明实际响应内容者</w:t>
      </w:r>
      <w:r>
        <w:rPr>
          <w:rFonts w:hint="eastAsia" w:cs="仿宋_GB2312"/>
          <w:b/>
          <w:bCs/>
          <w:color w:val="auto"/>
          <w:sz w:val="21"/>
          <w:szCs w:val="21"/>
          <w:highlight w:val="none"/>
          <w:lang w:val="en-US" w:eastAsia="zh-CN"/>
        </w:rPr>
        <w:t>视为未响应</w:t>
      </w:r>
      <w:r>
        <w:rPr>
          <w:rFonts w:hint="eastAsia" w:cs="仿宋_GB2312"/>
          <w:color w:val="auto"/>
          <w:sz w:val="21"/>
          <w:szCs w:val="21"/>
          <w:highlight w:val="none"/>
          <w:lang w:val="en-US" w:eastAsia="zh-CN"/>
        </w:rPr>
        <w:t>。</w:t>
      </w:r>
    </w:p>
    <w:p w14:paraId="16F021D4">
      <w:pPr>
        <w:ind w:firstLine="420"/>
        <w:rPr>
          <w:rFonts w:cs="仿宋_GB2312"/>
          <w:color w:val="auto"/>
          <w:szCs w:val="24"/>
          <w:highlight w:val="none"/>
        </w:rPr>
      </w:pPr>
      <w:r>
        <w:rPr>
          <w:rFonts w:cs="仿宋_GB2312"/>
          <w:color w:val="auto"/>
          <w:szCs w:val="24"/>
          <w:highlight w:val="none"/>
        </w:rPr>
        <w:br w:type="page"/>
      </w:r>
    </w:p>
    <w:p w14:paraId="0750ECF4">
      <w:pPr>
        <w:pStyle w:val="19"/>
        <w:spacing w:line="360" w:lineRule="auto"/>
        <w:jc w:val="center"/>
        <w:rPr>
          <w:rFonts w:hint="eastAsia" w:ascii="方正小标宋_GBK" w:hAnsi="方正小标宋_GBK" w:eastAsia="方正小标宋_GBK" w:cs="方正小标宋_GBK"/>
          <w:bCs/>
          <w:color w:val="auto"/>
          <w:sz w:val="36"/>
          <w:szCs w:val="36"/>
          <w:highlight w:val="none"/>
          <w:lang w:val="en-US" w:eastAsia="zh-CN"/>
        </w:rPr>
      </w:pPr>
    </w:p>
    <w:p w14:paraId="062E6178">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12" w:name="_Toc9988"/>
      <w:r>
        <w:rPr>
          <w:rFonts w:hint="eastAsia" w:cstheme="majorBidi"/>
          <w:b/>
          <w:bCs/>
          <w:color w:val="auto"/>
          <w:kern w:val="2"/>
          <w:sz w:val="32"/>
          <w:szCs w:val="32"/>
          <w:highlight w:val="none"/>
          <w:lang w:val="en-US" w:eastAsia="zh-CN" w:bidi="ar-SA"/>
        </w:rPr>
        <w:t>十</w:t>
      </w:r>
      <w:r>
        <w:rPr>
          <w:rFonts w:hint="eastAsia" w:eastAsia="宋体" w:asciiTheme="majorHAnsi" w:hAnsiTheme="majorHAnsi" w:cstheme="majorBidi"/>
          <w:b/>
          <w:bCs/>
          <w:color w:val="auto"/>
          <w:kern w:val="2"/>
          <w:sz w:val="32"/>
          <w:szCs w:val="32"/>
          <w:highlight w:val="none"/>
          <w:lang w:val="en-US" w:eastAsia="zh-CN" w:bidi="ar-SA"/>
        </w:rPr>
        <w:t>、技术方案</w:t>
      </w:r>
      <w:bookmarkEnd w:id="512"/>
    </w:p>
    <w:p w14:paraId="22FC3F60">
      <w:pPr>
        <w:pStyle w:val="41"/>
        <w:rPr>
          <w:rFonts w:hint="eastAsia"/>
          <w:color w:val="auto"/>
          <w:highlight w:val="none"/>
        </w:rPr>
      </w:pPr>
      <w:r>
        <w:rPr>
          <w:rFonts w:hint="eastAsia"/>
          <w:color w:val="auto"/>
          <w:highlight w:val="none"/>
        </w:rPr>
        <w:t>投标人应按照招标文件的要求，提供详细的服务方案，包括文字描述或图表显示。格式自拟。</w:t>
      </w:r>
    </w:p>
    <w:p w14:paraId="37A00DA0">
      <w:pPr>
        <w:pStyle w:val="41"/>
        <w:rPr>
          <w:color w:val="auto"/>
          <w:highlight w:val="none"/>
        </w:rPr>
      </w:pPr>
      <w:r>
        <w:rPr>
          <w:color w:val="auto"/>
          <w:highlight w:val="none"/>
        </w:rPr>
        <w:br w:type="page"/>
      </w:r>
    </w:p>
    <w:p w14:paraId="74F1984D">
      <w:pPr>
        <w:ind w:firstLine="420"/>
        <w:rPr>
          <w:rFonts w:hint="eastAsia" w:cs="仿宋_GB2312"/>
          <w:color w:val="auto"/>
          <w:sz w:val="21"/>
          <w:szCs w:val="21"/>
          <w:highlight w:val="none"/>
          <w:lang w:val="en-US" w:eastAsia="zh-CN"/>
        </w:rPr>
      </w:pPr>
    </w:p>
    <w:p w14:paraId="41360603">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513" w:name="_Toc19458"/>
      <w:r>
        <w:rPr>
          <w:rFonts w:hint="eastAsia" w:eastAsia="宋体" w:asciiTheme="majorHAnsi" w:hAnsiTheme="majorHAnsi" w:cstheme="majorBidi"/>
          <w:b/>
          <w:bCs/>
          <w:color w:val="auto"/>
          <w:kern w:val="2"/>
          <w:sz w:val="32"/>
          <w:szCs w:val="32"/>
          <w:highlight w:val="none"/>
          <w:lang w:val="en-US" w:eastAsia="zh-CN" w:bidi="ar-SA"/>
        </w:rPr>
        <w:t>十</w:t>
      </w:r>
      <w:r>
        <w:rPr>
          <w:rFonts w:hint="eastAsia" w:cstheme="majorBidi"/>
          <w:b/>
          <w:bCs/>
          <w:color w:val="auto"/>
          <w:kern w:val="2"/>
          <w:sz w:val="32"/>
          <w:szCs w:val="32"/>
          <w:highlight w:val="none"/>
          <w:lang w:val="en-US" w:eastAsia="zh-CN" w:bidi="ar-SA"/>
        </w:rPr>
        <w:t>一</w:t>
      </w:r>
      <w:r>
        <w:rPr>
          <w:rFonts w:hint="eastAsia" w:eastAsia="宋体" w:asciiTheme="majorHAnsi" w:hAnsiTheme="majorHAnsi" w:cstheme="majorBidi"/>
          <w:b/>
          <w:bCs/>
          <w:color w:val="auto"/>
          <w:kern w:val="2"/>
          <w:sz w:val="32"/>
          <w:szCs w:val="32"/>
          <w:highlight w:val="none"/>
          <w:lang w:val="en-US" w:eastAsia="zh-CN" w:bidi="ar-SA"/>
        </w:rPr>
        <w:t>、其他文件</w:t>
      </w:r>
      <w:bookmarkEnd w:id="513"/>
    </w:p>
    <w:p w14:paraId="2972767B">
      <w:pPr>
        <w:pStyle w:val="41"/>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28C82E18">
      <w:pPr>
        <w:pStyle w:val="41"/>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3"/>
        <w:tblW w:w="8292"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2841"/>
        <w:gridCol w:w="2743"/>
      </w:tblGrid>
      <w:tr w14:paraId="58A1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487C1D3A">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0FF93F20">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7F495BC4">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58B5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0AFF252">
            <w:pPr>
              <w:pStyle w:val="41"/>
              <w:rPr>
                <w:rFonts w:hint="eastAsia" w:ascii="宋体" w:hAnsi="宋体" w:eastAsia="宋体" w:cs="宋体"/>
                <w:color w:val="auto"/>
                <w:sz w:val="24"/>
                <w:szCs w:val="24"/>
                <w:highlight w:val="none"/>
                <w:vertAlign w:val="baseline"/>
                <w:lang w:val="en-US" w:eastAsia="zh-CN"/>
              </w:rPr>
            </w:pPr>
          </w:p>
        </w:tc>
        <w:tc>
          <w:tcPr>
            <w:tcW w:w="2841" w:type="dxa"/>
          </w:tcPr>
          <w:p w14:paraId="3C95DCFA">
            <w:pPr>
              <w:pStyle w:val="41"/>
              <w:rPr>
                <w:rFonts w:hint="eastAsia" w:ascii="宋体" w:hAnsi="宋体" w:eastAsia="宋体" w:cs="宋体"/>
                <w:color w:val="auto"/>
                <w:sz w:val="24"/>
                <w:szCs w:val="24"/>
                <w:highlight w:val="none"/>
                <w:vertAlign w:val="baseline"/>
                <w:lang w:val="en-US" w:eastAsia="zh-CN"/>
              </w:rPr>
            </w:pPr>
          </w:p>
        </w:tc>
        <w:tc>
          <w:tcPr>
            <w:tcW w:w="2743" w:type="dxa"/>
          </w:tcPr>
          <w:p w14:paraId="7F881AB3">
            <w:pPr>
              <w:pStyle w:val="41"/>
              <w:rPr>
                <w:rFonts w:hint="eastAsia" w:ascii="宋体" w:hAnsi="宋体" w:eastAsia="宋体" w:cs="宋体"/>
                <w:color w:val="auto"/>
                <w:sz w:val="24"/>
                <w:szCs w:val="24"/>
                <w:highlight w:val="none"/>
                <w:vertAlign w:val="baseline"/>
                <w:lang w:val="en-US" w:eastAsia="zh-CN"/>
              </w:rPr>
            </w:pPr>
          </w:p>
        </w:tc>
      </w:tr>
      <w:tr w14:paraId="7DB8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C8742E5">
            <w:pPr>
              <w:pStyle w:val="41"/>
              <w:rPr>
                <w:rFonts w:hint="eastAsia" w:ascii="宋体" w:hAnsi="宋体" w:eastAsia="宋体" w:cs="宋体"/>
                <w:color w:val="auto"/>
                <w:sz w:val="24"/>
                <w:szCs w:val="24"/>
                <w:highlight w:val="none"/>
                <w:vertAlign w:val="baseline"/>
                <w:lang w:val="en-US" w:eastAsia="zh-CN"/>
              </w:rPr>
            </w:pPr>
          </w:p>
        </w:tc>
        <w:tc>
          <w:tcPr>
            <w:tcW w:w="2841" w:type="dxa"/>
          </w:tcPr>
          <w:p w14:paraId="7CA58EF9">
            <w:pPr>
              <w:pStyle w:val="41"/>
              <w:rPr>
                <w:rFonts w:hint="eastAsia" w:ascii="宋体" w:hAnsi="宋体" w:eastAsia="宋体" w:cs="宋体"/>
                <w:color w:val="auto"/>
                <w:sz w:val="24"/>
                <w:szCs w:val="24"/>
                <w:highlight w:val="none"/>
                <w:vertAlign w:val="baseline"/>
                <w:lang w:val="en-US" w:eastAsia="zh-CN"/>
              </w:rPr>
            </w:pPr>
          </w:p>
        </w:tc>
        <w:tc>
          <w:tcPr>
            <w:tcW w:w="2743" w:type="dxa"/>
          </w:tcPr>
          <w:p w14:paraId="5E247203">
            <w:pPr>
              <w:pStyle w:val="41"/>
              <w:rPr>
                <w:rFonts w:hint="eastAsia" w:ascii="宋体" w:hAnsi="宋体" w:eastAsia="宋体" w:cs="宋体"/>
                <w:color w:val="auto"/>
                <w:sz w:val="24"/>
                <w:szCs w:val="24"/>
                <w:highlight w:val="none"/>
                <w:vertAlign w:val="baseline"/>
                <w:lang w:val="en-US" w:eastAsia="zh-CN"/>
              </w:rPr>
            </w:pPr>
          </w:p>
        </w:tc>
      </w:tr>
      <w:tr w14:paraId="4B45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3AD5CBD">
            <w:pPr>
              <w:pStyle w:val="41"/>
              <w:rPr>
                <w:rFonts w:hint="eastAsia" w:ascii="宋体" w:hAnsi="宋体" w:eastAsia="宋体" w:cs="宋体"/>
                <w:color w:val="auto"/>
                <w:sz w:val="24"/>
                <w:szCs w:val="24"/>
                <w:highlight w:val="none"/>
                <w:vertAlign w:val="baseline"/>
                <w:lang w:val="en-US" w:eastAsia="zh-CN"/>
              </w:rPr>
            </w:pPr>
          </w:p>
        </w:tc>
        <w:tc>
          <w:tcPr>
            <w:tcW w:w="2841" w:type="dxa"/>
          </w:tcPr>
          <w:p w14:paraId="0E21D5B5">
            <w:pPr>
              <w:pStyle w:val="41"/>
              <w:rPr>
                <w:rFonts w:hint="eastAsia" w:ascii="宋体" w:hAnsi="宋体" w:eastAsia="宋体" w:cs="宋体"/>
                <w:color w:val="auto"/>
                <w:sz w:val="24"/>
                <w:szCs w:val="24"/>
                <w:highlight w:val="none"/>
                <w:vertAlign w:val="baseline"/>
                <w:lang w:val="en-US" w:eastAsia="zh-CN"/>
              </w:rPr>
            </w:pPr>
          </w:p>
        </w:tc>
        <w:tc>
          <w:tcPr>
            <w:tcW w:w="2743" w:type="dxa"/>
          </w:tcPr>
          <w:p w14:paraId="18572FC5">
            <w:pPr>
              <w:pStyle w:val="41"/>
              <w:rPr>
                <w:rFonts w:hint="eastAsia" w:ascii="宋体" w:hAnsi="宋体" w:eastAsia="宋体" w:cs="宋体"/>
                <w:color w:val="auto"/>
                <w:sz w:val="24"/>
                <w:szCs w:val="24"/>
                <w:highlight w:val="none"/>
                <w:vertAlign w:val="baseline"/>
                <w:lang w:val="en-US" w:eastAsia="zh-CN"/>
              </w:rPr>
            </w:pPr>
          </w:p>
        </w:tc>
      </w:tr>
      <w:tr w14:paraId="3F7E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4ED650B9">
            <w:pPr>
              <w:pStyle w:val="41"/>
              <w:rPr>
                <w:rFonts w:hint="eastAsia" w:ascii="宋体" w:hAnsi="宋体" w:eastAsia="宋体" w:cs="宋体"/>
                <w:color w:val="auto"/>
                <w:sz w:val="24"/>
                <w:szCs w:val="24"/>
                <w:highlight w:val="none"/>
                <w:vertAlign w:val="baseline"/>
                <w:lang w:val="en-US" w:eastAsia="zh-CN"/>
              </w:rPr>
            </w:pPr>
          </w:p>
        </w:tc>
        <w:tc>
          <w:tcPr>
            <w:tcW w:w="2841" w:type="dxa"/>
          </w:tcPr>
          <w:p w14:paraId="7233FEEB">
            <w:pPr>
              <w:pStyle w:val="41"/>
              <w:rPr>
                <w:rFonts w:hint="eastAsia" w:ascii="宋体" w:hAnsi="宋体" w:eastAsia="宋体" w:cs="宋体"/>
                <w:color w:val="auto"/>
                <w:sz w:val="24"/>
                <w:szCs w:val="24"/>
                <w:highlight w:val="none"/>
                <w:vertAlign w:val="baseline"/>
                <w:lang w:val="en-US" w:eastAsia="zh-CN"/>
              </w:rPr>
            </w:pPr>
          </w:p>
        </w:tc>
        <w:tc>
          <w:tcPr>
            <w:tcW w:w="2743" w:type="dxa"/>
          </w:tcPr>
          <w:p w14:paraId="68462371">
            <w:pPr>
              <w:pStyle w:val="41"/>
              <w:rPr>
                <w:rFonts w:hint="eastAsia" w:ascii="宋体" w:hAnsi="宋体" w:eastAsia="宋体" w:cs="宋体"/>
                <w:color w:val="auto"/>
                <w:sz w:val="24"/>
                <w:szCs w:val="24"/>
                <w:highlight w:val="none"/>
                <w:vertAlign w:val="baseline"/>
                <w:lang w:val="en-US" w:eastAsia="zh-CN"/>
              </w:rPr>
            </w:pPr>
          </w:p>
        </w:tc>
      </w:tr>
    </w:tbl>
    <w:p w14:paraId="77BB4A1A">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6453F725">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51%以上绝对所有权的性；绝对所有权拥有者可以是一个人，也可以是多人合计计算。</w:t>
      </w:r>
    </w:p>
    <w:p w14:paraId="63369137">
      <w:pPr>
        <w:pStyle w:val="41"/>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50167123">
      <w:pPr>
        <w:pStyle w:val="41"/>
        <w:rPr>
          <w:rFonts w:hint="eastAsia"/>
          <w:color w:val="auto"/>
          <w:sz w:val="28"/>
          <w:szCs w:val="28"/>
          <w:highlight w:val="none"/>
          <w:lang w:val="en-US" w:eastAsia="zh-CN"/>
        </w:rPr>
      </w:pPr>
    </w:p>
    <w:p w14:paraId="0CB872C8">
      <w:pPr>
        <w:pStyle w:val="41"/>
        <w:rPr>
          <w:rFonts w:hint="eastAsia"/>
          <w:color w:val="auto"/>
          <w:sz w:val="24"/>
          <w:szCs w:val="24"/>
          <w:highlight w:val="none"/>
          <w:lang w:val="en-US" w:eastAsia="zh-CN"/>
        </w:rPr>
      </w:pPr>
      <w:r>
        <w:rPr>
          <w:rFonts w:hint="eastAsia"/>
          <w:color w:val="auto"/>
          <w:sz w:val="24"/>
          <w:szCs w:val="24"/>
          <w:highlight w:val="none"/>
          <w:lang w:val="en-US" w:eastAsia="zh-CN"/>
        </w:rPr>
        <w:t>1.2其它商务、技术资料和证明材料</w:t>
      </w:r>
    </w:p>
    <w:p w14:paraId="518CD247">
      <w:pPr>
        <w:pStyle w:val="41"/>
        <w:ind w:left="0" w:leftChars="0" w:firstLine="0" w:firstLineChars="0"/>
        <w:rPr>
          <w:rFonts w:hint="eastAsia"/>
          <w:b/>
          <w:bCs/>
          <w:color w:val="auto"/>
          <w:sz w:val="24"/>
          <w:szCs w:val="24"/>
          <w:highlight w:val="none"/>
          <w:lang w:eastAsia="zh-CN"/>
        </w:rPr>
      </w:pPr>
    </w:p>
    <w:p w14:paraId="64B0ABD6">
      <w:pPr>
        <w:pStyle w:val="41"/>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4BEB474B">
      <w:pPr>
        <w:pStyle w:val="41"/>
        <w:rPr>
          <w:rFonts w:hint="eastAsia"/>
          <w:color w:val="auto"/>
          <w:highlight w:val="none"/>
        </w:rPr>
      </w:pPr>
    </w:p>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CAD884C-6639-43EE-A040-70F5F1D6DA2D}"/>
  </w:font>
  <w:font w:name="Arial">
    <w:panose1 w:val="020B0604020202020204"/>
    <w:charset w:val="01"/>
    <w:family w:val="swiss"/>
    <w:pitch w:val="default"/>
    <w:sig w:usb0="E0002EFF" w:usb1="C000785B" w:usb2="00000009" w:usb3="00000000" w:csb0="400001FF" w:csb1="FFFF0000"/>
    <w:embedRegular r:id="rId2" w:fontKey="{D8611829-6E54-4303-B788-045B0CB075BD}"/>
  </w:font>
  <w:font w:name="黑体">
    <w:panose1 w:val="02010609060101010101"/>
    <w:charset w:val="86"/>
    <w:family w:val="auto"/>
    <w:pitch w:val="default"/>
    <w:sig w:usb0="800002BF" w:usb1="38CF7CFA" w:usb2="00000016" w:usb3="00000000" w:csb0="00040001" w:csb1="00000000"/>
    <w:embedRegular r:id="rId3" w:fontKey="{8F5985C4-56D4-4C78-BE6A-E26CC2A74D0D}"/>
  </w:font>
  <w:font w:name="Courier New">
    <w:panose1 w:val="02070309020205020404"/>
    <w:charset w:val="01"/>
    <w:family w:val="modern"/>
    <w:pitch w:val="default"/>
    <w:sig w:usb0="E0002EFF" w:usb1="C0007843" w:usb2="00000009" w:usb3="00000000" w:csb0="400001FF" w:csb1="FFFF0000"/>
    <w:embedRegular r:id="rId4" w:fontKey="{FBB0647D-4FFC-4558-BA9E-CB935434C68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272EAE56-0304-41A7-9BAE-D99F79B3BCDC}"/>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swiss"/>
    <w:pitch w:val="default"/>
    <w:sig w:usb0="00000001" w:usb1="080E0000" w:usb2="00000000" w:usb3="00000000" w:csb0="00040000" w:csb1="00000000"/>
    <w:embedRegular r:id="rId6" w:fontKey="{A70D3E9D-89BB-449A-88D0-5285165B8FE9}"/>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decorative"/>
    <w:pitch w:val="default"/>
    <w:sig w:usb0="E1002EFF" w:usb1="C000605B" w:usb2="00000029" w:usb3="00000000" w:csb0="200101FF" w:csb1="20280000"/>
    <w:embedRegular r:id="rId7" w:fontKey="{EF8D5B80-CF65-4198-B616-A7FF818AA179}"/>
  </w:font>
  <w:font w:name="方正小标宋_GBK">
    <w:panose1 w:val="03000509000000000000"/>
    <w:charset w:val="86"/>
    <w:family w:val="auto"/>
    <w:pitch w:val="default"/>
    <w:sig w:usb0="00000001" w:usb1="080E0000" w:usb2="00000000" w:usb3="00000000" w:csb0="00040000" w:csb1="00000000"/>
    <w:embedRegular r:id="rId8" w:fontKey="{7C9EE5C2-FA7C-42C5-B322-EBED7010F12F}"/>
  </w:font>
  <w:font w:name="微软雅黑">
    <w:panose1 w:val="020B0503020204020204"/>
    <w:charset w:val="86"/>
    <w:family w:val="auto"/>
    <w:pitch w:val="default"/>
    <w:sig w:usb0="80000287" w:usb1="2ACF3C50" w:usb2="00000016" w:usb3="00000000" w:csb0="0004001F" w:csb1="00000000"/>
    <w:embedRegular r:id="rId9" w:fontKey="{2E31FE48-0CD8-4D0A-B12D-CB84128551FB}"/>
  </w:font>
  <w:font w:name="DejaVuSans">
    <w:altName w:val="Segoe Print"/>
    <w:panose1 w:val="00000000000000000000"/>
    <w:charset w:val="00"/>
    <w:family w:val="auto"/>
    <w:pitch w:val="default"/>
    <w:sig w:usb0="00000000" w:usb1="00000000" w:usb2="00000000" w:usb3="00000000" w:csb0="00000000" w:csb1="00000000"/>
    <w:embedRegular r:id="rId10" w:fontKey="{966923A1-7A04-45E5-BC66-92C6B4AC5F0C}"/>
  </w:font>
  <w:font w:name="Segoe Print">
    <w:panose1 w:val="02000600000000000000"/>
    <w:charset w:val="00"/>
    <w:family w:val="auto"/>
    <w:pitch w:val="default"/>
    <w:sig w:usb0="0000028F" w:usb1="00000000" w:usb2="00000000" w:usb3="00000000" w:csb0="2000009F" w:csb1="47010000"/>
  </w:font>
  <w:font w:name="MS PGothic">
    <w:panose1 w:val="020B0600070205080204"/>
    <w:charset w:val="80"/>
    <w:family w:val="auto"/>
    <w:pitch w:val="default"/>
    <w:sig w:usb0="E00002FF" w:usb1="6AC7FDFB" w:usb2="08000012" w:usb3="00000000" w:csb0="4002009F" w:csb1="DFD70000"/>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3CD72">
    <w:pPr>
      <w:pStyle w:val="2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3298"/>
                            <w:showingPlcHdr/>
                          </w:sdtPr>
                          <w:sdtContent>
                            <w:p w14:paraId="62A89E47">
                              <w:pPr>
                                <w:pStyle w:val="21"/>
                                <w:jc w:val="center"/>
                              </w:pPr>
                              <w:r>
                                <w:rPr>
                                  <w:rFonts w:hint="eastAsia"/>
                                  <w:lang w:eastAsia="zh-CN"/>
                                </w:rPr>
                                <w:t xml:space="preserve">     </w:t>
                              </w:r>
                            </w:p>
                          </w:sdtContent>
                        </w:sdt>
                        <w:p w14:paraId="0807929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id w:val="147453298"/>
                      <w:showingPlcHdr/>
                    </w:sdtPr>
                    <w:sdtContent>
                      <w:p w14:paraId="62A89E47">
                        <w:pPr>
                          <w:pStyle w:val="21"/>
                          <w:jc w:val="center"/>
                        </w:pPr>
                        <w:r>
                          <w:rPr>
                            <w:rFonts w:hint="eastAsia"/>
                            <w:lang w:eastAsia="zh-CN"/>
                          </w:rPr>
                          <w:t xml:space="preserve">     </w:t>
                        </w:r>
                      </w:p>
                    </w:sdtContent>
                  </w:sdt>
                  <w:p w14:paraId="08079297"/>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24849">
    <w:pPr>
      <w:pStyle w:val="21"/>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B457BB">
                          <w:pPr>
                            <w:pStyle w:val="21"/>
                            <w:keepNext w:val="0"/>
                            <w:keepLines w:val="0"/>
                            <w:pageBreakBefore w:val="0"/>
                            <w:widowControl w:val="0"/>
                            <w:kinsoku/>
                            <w:wordWrap/>
                            <w:overflowPunct/>
                            <w:topLinePunct w:val="0"/>
                            <w:bidi w:val="0"/>
                            <w:adjustRightInd/>
                            <w:snapToGrid w:val="0"/>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5B457BB">
                    <w:pPr>
                      <w:pStyle w:val="21"/>
                      <w:keepNext w:val="0"/>
                      <w:keepLines w:val="0"/>
                      <w:pageBreakBefore w:val="0"/>
                      <w:widowControl w:val="0"/>
                      <w:kinsoku/>
                      <w:wordWrap/>
                      <w:overflowPunct/>
                      <w:topLinePunct w:val="0"/>
                      <w:bidi w:val="0"/>
                      <w:adjustRightInd/>
                      <w:snapToGrid w:val="0"/>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0416"/>
                            <w:showingPlcHdr/>
                          </w:sdtPr>
                          <w:sdtContent>
                            <w:p w14:paraId="10271143">
                              <w:pPr>
                                <w:pStyle w:val="21"/>
                                <w:jc w:val="center"/>
                              </w:pPr>
                              <w:r>
                                <w:rPr>
                                  <w:rFonts w:hint="eastAsia"/>
                                  <w:lang w:eastAsia="zh-CN"/>
                                </w:rPr>
                                <w:t xml:space="preserve">     </w:t>
                              </w:r>
                            </w:p>
                          </w:sdtContent>
                        </w:sdt>
                        <w:p w14:paraId="0F8BDF9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sdt>
                    <w:sdtPr>
                      <w:id w:val="147480416"/>
                      <w:showingPlcHdr/>
                    </w:sdtPr>
                    <w:sdtContent>
                      <w:p w14:paraId="10271143">
                        <w:pPr>
                          <w:pStyle w:val="21"/>
                          <w:jc w:val="center"/>
                        </w:pPr>
                        <w:r>
                          <w:rPr>
                            <w:rFonts w:hint="eastAsia"/>
                            <w:lang w:eastAsia="zh-CN"/>
                          </w:rPr>
                          <w:t xml:space="preserve">     </w:t>
                        </w:r>
                      </w:p>
                    </w:sdtContent>
                  </w:sdt>
                  <w:p w14:paraId="0F8BDF94"/>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A11E8">
    <w:pPr>
      <w:pStyle w:val="2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548"/>
                          </w:sdtPr>
                          <w:sdtContent>
                            <w:p w14:paraId="33C1B72C">
                              <w:pPr>
                                <w:pStyle w:val="21"/>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15998CE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147461548"/>
                    </w:sdtPr>
                    <w:sdtContent>
                      <w:p w14:paraId="33C1B72C">
                        <w:pPr>
                          <w:pStyle w:val="21"/>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15998CE9"/>
                </w:txbxContent>
              </v:textbox>
            </v:shape>
          </w:pict>
        </mc:Fallback>
      </mc:AlternateContent>
    </w:r>
  </w:p>
  <w:p w14:paraId="520896E4">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4870D">
    <w:pPr>
      <w:pStyle w:val="21"/>
      <w:jc w:val="center"/>
    </w:pPr>
    <w:r>
      <w:fldChar w:fldCharType="begin"/>
    </w:r>
    <w:r>
      <w:instrText xml:space="preserve">PAGE   \* MERGEFORMAT</w:instrText>
    </w:r>
    <w:r>
      <w:fldChar w:fldCharType="separate"/>
    </w:r>
    <w:r>
      <w:rPr>
        <w:lang w:val="zh-CN"/>
      </w:rPr>
      <w:t>2</w:t>
    </w:r>
    <w:r>
      <w:rPr>
        <w:lang w:val="zh-CN"/>
      </w:rPr>
      <w:fldChar w:fldCharType="end"/>
    </w:r>
  </w:p>
  <w:p w14:paraId="23AE5F29">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ECD3C">
    <w:pPr>
      <w:pStyle w:val="2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2CB31614">
                              <w:pPr>
                                <w:pStyle w:val="21"/>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FDFFA85"/>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78428888"/>
                    </w:sdtPr>
                    <w:sdtContent>
                      <w:p w14:paraId="2CB31614">
                        <w:pPr>
                          <w:pStyle w:val="21"/>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FDFFA85"/>
                </w:txbxContent>
              </v:textbox>
            </v:shape>
          </w:pict>
        </mc:Fallback>
      </mc:AlternateContent>
    </w:r>
  </w:p>
  <w:p w14:paraId="0920E365">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99215">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B4924">
    <w:pPr>
      <w:pStyle w:val="22"/>
    </w:pPr>
    <w:r>
      <w:rPr>
        <w:rFonts w:hint="eastAsia"/>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47B6378"/>
    <w:multiLevelType w:val="multilevel"/>
    <w:tmpl w:val="447B6378"/>
    <w:lvl w:ilvl="0" w:tentative="0">
      <w:start w:val="1"/>
      <w:numFmt w:val="decimal"/>
      <w:pStyle w:val="43"/>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56161EB"/>
    <w:rsid w:val="068D34CF"/>
    <w:rsid w:val="0AB8680D"/>
    <w:rsid w:val="0D3E694A"/>
    <w:rsid w:val="0E7D02EC"/>
    <w:rsid w:val="0F34300F"/>
    <w:rsid w:val="11755A50"/>
    <w:rsid w:val="11857627"/>
    <w:rsid w:val="144D6659"/>
    <w:rsid w:val="150F1F18"/>
    <w:rsid w:val="16ED5AD9"/>
    <w:rsid w:val="1A246A13"/>
    <w:rsid w:val="1BDB2B53"/>
    <w:rsid w:val="1D3E3860"/>
    <w:rsid w:val="1F615A66"/>
    <w:rsid w:val="247F39C5"/>
    <w:rsid w:val="25EA2DE2"/>
    <w:rsid w:val="26556B48"/>
    <w:rsid w:val="2670014D"/>
    <w:rsid w:val="285872FC"/>
    <w:rsid w:val="2A513FF1"/>
    <w:rsid w:val="2CC13B1C"/>
    <w:rsid w:val="312F2ACB"/>
    <w:rsid w:val="334D04B3"/>
    <w:rsid w:val="34253971"/>
    <w:rsid w:val="349E7A40"/>
    <w:rsid w:val="36745D9F"/>
    <w:rsid w:val="36B477BC"/>
    <w:rsid w:val="3B783AC3"/>
    <w:rsid w:val="3DD22EB0"/>
    <w:rsid w:val="3E5D522E"/>
    <w:rsid w:val="3F2D2CCF"/>
    <w:rsid w:val="3FC01EDD"/>
    <w:rsid w:val="402848EB"/>
    <w:rsid w:val="404B3E9C"/>
    <w:rsid w:val="4056719A"/>
    <w:rsid w:val="41EB6684"/>
    <w:rsid w:val="46363E48"/>
    <w:rsid w:val="4B70160B"/>
    <w:rsid w:val="4BCB4330"/>
    <w:rsid w:val="4BD37C1D"/>
    <w:rsid w:val="50E93BDA"/>
    <w:rsid w:val="52110374"/>
    <w:rsid w:val="521430EF"/>
    <w:rsid w:val="5357141C"/>
    <w:rsid w:val="58AD5672"/>
    <w:rsid w:val="58C86475"/>
    <w:rsid w:val="5A64703E"/>
    <w:rsid w:val="5C287E7D"/>
    <w:rsid w:val="5CD64792"/>
    <w:rsid w:val="605B55DE"/>
    <w:rsid w:val="612C5289"/>
    <w:rsid w:val="61C51806"/>
    <w:rsid w:val="62E31043"/>
    <w:rsid w:val="647C664B"/>
    <w:rsid w:val="69651E8E"/>
    <w:rsid w:val="697459C2"/>
    <w:rsid w:val="6A661361"/>
    <w:rsid w:val="6E8354DD"/>
    <w:rsid w:val="71800B76"/>
    <w:rsid w:val="731147FF"/>
    <w:rsid w:val="733623B9"/>
    <w:rsid w:val="74CF1EAE"/>
    <w:rsid w:val="766905FD"/>
    <w:rsid w:val="76EC6D47"/>
    <w:rsid w:val="77A2768F"/>
    <w:rsid w:val="77BD56EF"/>
    <w:rsid w:val="781249DF"/>
    <w:rsid w:val="7B7617AD"/>
    <w:rsid w:val="7E3F6DCA"/>
    <w:rsid w:val="7E850F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2"/>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6"/>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9"/>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50"/>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4">
    <w:name w:val="Default Paragraph Font"/>
    <w:unhideWhenUsed/>
    <w:qFormat/>
    <w:uiPriority w:val="1"/>
  </w:style>
  <w:style w:type="table" w:default="1" w:styleId="32">
    <w:name w:val="Normal Table"/>
    <w:unhideWhenUsed/>
    <w:qFormat/>
    <w:uiPriority w:val="99"/>
    <w:tblPr>
      <w:tblCellMar>
        <w:top w:w="0" w:type="dxa"/>
        <w:left w:w="108" w:type="dxa"/>
        <w:bottom w:w="0" w:type="dxa"/>
        <w:right w:w="108" w:type="dxa"/>
      </w:tblCellMar>
    </w:tblPr>
  </w:style>
  <w:style w:type="paragraph" w:styleId="7">
    <w:name w:val="List Number 2"/>
    <w:basedOn w:val="1"/>
    <w:unhideWhenUsed/>
    <w:qFormat/>
    <w:uiPriority w:val="99"/>
    <w:pPr>
      <w:numPr>
        <w:ilvl w:val="0"/>
        <w:numId w:val="1"/>
      </w:numPr>
    </w:pPr>
  </w:style>
  <w:style w:type="paragraph" w:styleId="8">
    <w:name w:val="Normal (Web)"/>
    <w:basedOn w:val="1"/>
    <w:qFormat/>
    <w:uiPriority w:val="99"/>
    <w:pPr>
      <w:widowControl/>
      <w:spacing w:before="100" w:beforeAutospacing="1" w:after="100" w:afterAutospacing="1"/>
    </w:pPr>
    <w:rPr>
      <w:rFonts w:cs="宋体"/>
      <w:color w:val="000000"/>
      <w:kern w:val="0"/>
      <w:szCs w:val="24"/>
    </w:rPr>
  </w:style>
  <w:style w:type="paragraph" w:styleId="9">
    <w:name w:val="toc 7"/>
    <w:basedOn w:val="1"/>
    <w:next w:val="1"/>
    <w:unhideWhenUsed/>
    <w:qFormat/>
    <w:uiPriority w:val="39"/>
    <w:pPr>
      <w:ind w:left="1440"/>
    </w:pPr>
    <w:rPr>
      <w:rFonts w:asciiTheme="minorHAnsi" w:eastAsiaTheme="minorHAnsi"/>
      <w:sz w:val="18"/>
      <w:szCs w:val="18"/>
    </w:rPr>
  </w:style>
  <w:style w:type="paragraph" w:styleId="10">
    <w:name w:val="Normal Indent"/>
    <w:basedOn w:val="1"/>
    <w:unhideWhenUsed/>
    <w:qFormat/>
    <w:uiPriority w:val="0"/>
    <w:pPr>
      <w:ind w:firstLine="420" w:firstLineChars="200"/>
    </w:pPr>
    <w:rPr>
      <w:rFonts w:ascii="Calibri" w:hAnsi="Calibri"/>
      <w:szCs w:val="22"/>
    </w:rPr>
  </w:style>
  <w:style w:type="paragraph" w:styleId="11">
    <w:name w:val="List Bullet"/>
    <w:basedOn w:val="1"/>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47"/>
    <w:qFormat/>
    <w:uiPriority w:val="0"/>
    <w:pPr>
      <w:spacing w:line="240" w:lineRule="auto"/>
    </w:pPr>
    <w:rPr>
      <w:rFonts w:eastAsiaTheme="minorEastAsia"/>
      <w:sz w:val="21"/>
      <w:szCs w:val="24"/>
    </w:rPr>
  </w:style>
  <w:style w:type="paragraph" w:styleId="13">
    <w:name w:val="index 6"/>
    <w:basedOn w:val="1"/>
    <w:next w:val="1"/>
    <w:qFormat/>
    <w:uiPriority w:val="0"/>
    <w:pPr>
      <w:ind w:left="2100"/>
    </w:pPr>
  </w:style>
  <w:style w:type="paragraph" w:styleId="14">
    <w:name w:val="Body Text"/>
    <w:basedOn w:val="1"/>
    <w:next w:val="15"/>
    <w:link w:val="51"/>
    <w:qFormat/>
    <w:uiPriority w:val="99"/>
    <w:pPr>
      <w:spacing w:after="120" w:line="240" w:lineRule="auto"/>
      <w:jc w:val="both"/>
    </w:pPr>
    <w:rPr>
      <w:rFonts w:eastAsiaTheme="minorEastAsia"/>
      <w:sz w:val="21"/>
      <w:szCs w:val="24"/>
    </w:rPr>
  </w:style>
  <w:style w:type="paragraph" w:customStyle="1" w:styleId="15">
    <w:name w:val="Default"/>
    <w:qFormat/>
    <w:uiPriority w:val="0"/>
    <w:pPr>
      <w:widowControl w:val="0"/>
      <w:autoSpaceDE w:val="0"/>
      <w:autoSpaceDN w:val="0"/>
      <w:adjustRightInd w:val="0"/>
    </w:pPr>
    <w:rPr>
      <w:rFonts w:ascii="黑体" w:hAnsi="Times New Roman" w:eastAsia="黑体" w:cs="Times New Roman"/>
      <w:sz w:val="21"/>
      <w:szCs w:val="22"/>
      <w:lang w:val="en-US" w:eastAsia="zh-CN" w:bidi="ar-SA"/>
    </w:rPr>
  </w:style>
  <w:style w:type="paragraph" w:styleId="16">
    <w:name w:val="Body Text Indent"/>
    <w:basedOn w:val="1"/>
    <w:unhideWhenUsed/>
    <w:qFormat/>
    <w:uiPriority w:val="0"/>
    <w:pPr>
      <w:ind w:firstLine="630"/>
    </w:pPr>
    <w:rPr>
      <w:rFonts w:eastAsia="仿宋_GB2312"/>
      <w:kern w:val="0"/>
      <w:sz w:val="32"/>
      <w:szCs w:val="20"/>
    </w:rPr>
  </w:style>
  <w:style w:type="paragraph" w:styleId="17">
    <w:name w:val="toc 5"/>
    <w:basedOn w:val="1"/>
    <w:next w:val="1"/>
    <w:unhideWhenUsed/>
    <w:qFormat/>
    <w:uiPriority w:val="39"/>
    <w:pPr>
      <w:ind w:left="960"/>
    </w:pPr>
    <w:rPr>
      <w:rFonts w:asciiTheme="minorHAnsi" w:eastAsiaTheme="minorHAnsi"/>
      <w:sz w:val="18"/>
      <w:szCs w:val="18"/>
    </w:rPr>
  </w:style>
  <w:style w:type="paragraph" w:styleId="18">
    <w:name w:val="toc 3"/>
    <w:basedOn w:val="1"/>
    <w:next w:val="1"/>
    <w:unhideWhenUsed/>
    <w:qFormat/>
    <w:uiPriority w:val="39"/>
    <w:pPr>
      <w:ind w:left="480"/>
    </w:pPr>
    <w:rPr>
      <w:rFonts w:asciiTheme="minorHAnsi" w:eastAsiaTheme="minorHAnsi"/>
      <w:i/>
      <w:iCs/>
      <w:sz w:val="20"/>
      <w:szCs w:val="20"/>
    </w:rPr>
  </w:style>
  <w:style w:type="paragraph" w:styleId="19">
    <w:name w:val="Plain Text"/>
    <w:basedOn w:val="1"/>
    <w:unhideWhenUsed/>
    <w:qFormat/>
    <w:uiPriority w:val="0"/>
    <w:rPr>
      <w:rFonts w:ascii="宋体" w:hAnsi="Courier New"/>
      <w:kern w:val="0"/>
      <w:sz w:val="20"/>
      <w:szCs w:val="20"/>
    </w:rPr>
  </w:style>
  <w:style w:type="paragraph" w:styleId="20">
    <w:name w:val="toc 8"/>
    <w:basedOn w:val="1"/>
    <w:next w:val="1"/>
    <w:unhideWhenUsed/>
    <w:qFormat/>
    <w:uiPriority w:val="39"/>
    <w:pPr>
      <w:ind w:left="1680"/>
    </w:pPr>
    <w:rPr>
      <w:rFonts w:asciiTheme="minorHAnsi" w:eastAsiaTheme="minorHAnsi"/>
      <w:sz w:val="18"/>
      <w:szCs w:val="18"/>
    </w:rPr>
  </w:style>
  <w:style w:type="paragraph" w:styleId="21">
    <w:name w:val="footer"/>
    <w:basedOn w:val="1"/>
    <w:link w:val="45"/>
    <w:unhideWhenUsed/>
    <w:qFormat/>
    <w:uiPriority w:val="99"/>
    <w:pPr>
      <w:tabs>
        <w:tab w:val="center" w:pos="4153"/>
        <w:tab w:val="right" w:pos="8306"/>
      </w:tabs>
      <w:snapToGrid w:val="0"/>
      <w:spacing w:line="240" w:lineRule="auto"/>
    </w:pPr>
    <w:rPr>
      <w:sz w:val="18"/>
      <w:szCs w:val="18"/>
    </w:rPr>
  </w:style>
  <w:style w:type="paragraph" w:styleId="22">
    <w:name w:val="header"/>
    <w:basedOn w:val="1"/>
    <w:link w:val="4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3">
    <w:name w:val="toc 1"/>
    <w:basedOn w:val="1"/>
    <w:next w:val="1"/>
    <w:unhideWhenUsed/>
    <w:qFormat/>
    <w:uiPriority w:val="39"/>
    <w:pPr>
      <w:spacing w:before="120" w:after="120"/>
    </w:pPr>
    <w:rPr>
      <w:rFonts w:asciiTheme="minorHAnsi" w:eastAsiaTheme="minorHAnsi"/>
      <w:b/>
      <w:bCs/>
      <w:caps/>
      <w:sz w:val="20"/>
      <w:szCs w:val="20"/>
    </w:rPr>
  </w:style>
  <w:style w:type="paragraph" w:styleId="24">
    <w:name w:val="toc 4"/>
    <w:basedOn w:val="1"/>
    <w:next w:val="1"/>
    <w:unhideWhenUsed/>
    <w:qFormat/>
    <w:uiPriority w:val="39"/>
    <w:pPr>
      <w:ind w:left="720"/>
    </w:pPr>
    <w:rPr>
      <w:rFonts w:asciiTheme="minorHAnsi" w:eastAsiaTheme="minorHAnsi"/>
      <w:sz w:val="18"/>
      <w:szCs w:val="18"/>
    </w:rPr>
  </w:style>
  <w:style w:type="paragraph" w:styleId="25">
    <w:name w:val="footnote text"/>
    <w:basedOn w:val="1"/>
    <w:qFormat/>
    <w:uiPriority w:val="0"/>
    <w:pPr>
      <w:widowControl/>
      <w:jc w:val="left"/>
    </w:pPr>
    <w:rPr>
      <w:kern w:val="0"/>
      <w:sz w:val="20"/>
      <w:szCs w:val="20"/>
      <w:lang w:val="de-DE"/>
    </w:rPr>
  </w:style>
  <w:style w:type="paragraph" w:styleId="26">
    <w:name w:val="toc 6"/>
    <w:basedOn w:val="1"/>
    <w:next w:val="1"/>
    <w:unhideWhenUsed/>
    <w:qFormat/>
    <w:uiPriority w:val="39"/>
    <w:pPr>
      <w:ind w:left="1200"/>
    </w:pPr>
    <w:rPr>
      <w:rFonts w:asciiTheme="minorHAnsi" w:eastAsiaTheme="minorHAnsi"/>
      <w:sz w:val="18"/>
      <w:szCs w:val="18"/>
    </w:rPr>
  </w:style>
  <w:style w:type="paragraph" w:styleId="27">
    <w:name w:val="toc 2"/>
    <w:basedOn w:val="1"/>
    <w:next w:val="1"/>
    <w:unhideWhenUsed/>
    <w:qFormat/>
    <w:uiPriority w:val="39"/>
    <w:pPr>
      <w:ind w:left="240"/>
    </w:pPr>
    <w:rPr>
      <w:rFonts w:asciiTheme="minorHAnsi" w:eastAsiaTheme="minorHAnsi"/>
      <w:smallCaps/>
      <w:sz w:val="20"/>
      <w:szCs w:val="20"/>
    </w:rPr>
  </w:style>
  <w:style w:type="paragraph" w:styleId="28">
    <w:name w:val="toc 9"/>
    <w:basedOn w:val="1"/>
    <w:next w:val="1"/>
    <w:unhideWhenUsed/>
    <w:qFormat/>
    <w:uiPriority w:val="39"/>
    <w:pPr>
      <w:ind w:left="1920"/>
    </w:pPr>
    <w:rPr>
      <w:rFonts w:asciiTheme="minorHAnsi" w:eastAsiaTheme="minorHAnsi"/>
      <w:sz w:val="18"/>
      <w:szCs w:val="18"/>
    </w:rPr>
  </w:style>
  <w:style w:type="paragraph" w:styleId="29">
    <w:name w:val="annotation subject"/>
    <w:basedOn w:val="12"/>
    <w:next w:val="12"/>
    <w:link w:val="55"/>
    <w:unhideWhenUsed/>
    <w:qFormat/>
    <w:uiPriority w:val="99"/>
    <w:pPr>
      <w:spacing w:line="360" w:lineRule="auto"/>
    </w:pPr>
    <w:rPr>
      <w:rFonts w:eastAsia="宋体"/>
      <w:b/>
      <w:bCs/>
      <w:sz w:val="24"/>
      <w:szCs w:val="22"/>
    </w:rPr>
  </w:style>
  <w:style w:type="paragraph" w:styleId="30">
    <w:name w:val="Body Text First Indent"/>
    <w:basedOn w:val="14"/>
    <w:qFormat/>
    <w:uiPriority w:val="0"/>
    <w:pPr>
      <w:spacing w:after="120" w:afterLines="0"/>
      <w:ind w:firstLine="420" w:firstLineChars="100"/>
    </w:pPr>
    <w:rPr>
      <w:rFonts w:ascii="Times New Roman" w:hAnsi="Times New Roman" w:cs="Times New Roman"/>
      <w:sz w:val="21"/>
    </w:rPr>
  </w:style>
  <w:style w:type="paragraph" w:styleId="31">
    <w:name w:val="Body Text First Indent 2"/>
    <w:basedOn w:val="16"/>
    <w:next w:val="1"/>
    <w:qFormat/>
    <w:uiPriority w:val="0"/>
    <w:pPr>
      <w:snapToGrid/>
      <w:spacing w:after="120" w:line="240" w:lineRule="auto"/>
      <w:ind w:left="420" w:leftChars="200" w:right="0" w:firstLine="420" w:firstLineChars="200"/>
    </w:pPr>
    <w:rPr>
      <w:rFonts w:ascii="Times New Roman" w:eastAsia="宋体"/>
      <w:spacing w:val="0"/>
      <w:sz w:val="21"/>
      <w:szCs w:val="24"/>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Hyperlink"/>
    <w:basedOn w:val="34"/>
    <w:unhideWhenUsed/>
    <w:qFormat/>
    <w:uiPriority w:val="99"/>
    <w:rPr>
      <w:color w:val="0563C1" w:themeColor="hyperlink"/>
      <w:u w:val="single"/>
      <w14:textFill>
        <w14:solidFill>
          <w14:schemeClr w14:val="hlink"/>
        </w14:solidFill>
      </w14:textFill>
    </w:rPr>
  </w:style>
  <w:style w:type="character" w:styleId="38">
    <w:name w:val="annotation reference"/>
    <w:basedOn w:val="34"/>
    <w:qFormat/>
    <w:uiPriority w:val="0"/>
    <w:rPr>
      <w:sz w:val="21"/>
      <w:szCs w:val="21"/>
    </w:rPr>
  </w:style>
  <w:style w:type="character" w:styleId="39">
    <w:name w:val="HTML Sample"/>
    <w:basedOn w:val="34"/>
    <w:qFormat/>
    <w:uiPriority w:val="0"/>
    <w:rPr>
      <w:rFonts w:ascii="Courier New" w:hAnsi="Courier New"/>
    </w:rPr>
  </w:style>
  <w:style w:type="paragraph" w:customStyle="1" w:styleId="4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1">
    <w:name w:val="正文缩进2"/>
    <w:basedOn w:val="1"/>
    <w:qFormat/>
    <w:uiPriority w:val="0"/>
    <w:pPr>
      <w:wordWrap w:val="0"/>
      <w:ind w:firstLine="480"/>
    </w:pPr>
    <w:rPr>
      <w:iCs/>
      <w:shd w:val="clear" w:color="auto" w:fill="FFFFFF" w:themeFill="background1"/>
      <w:lang w:val="zh-CN"/>
    </w:rPr>
  </w:style>
  <w:style w:type="character" w:customStyle="1" w:styleId="42">
    <w:name w:val="标题 1 字符"/>
    <w:basedOn w:val="34"/>
    <w:link w:val="2"/>
    <w:qFormat/>
    <w:uiPriority w:val="9"/>
    <w:rPr>
      <w:rFonts w:eastAsia="黑体"/>
      <w:b/>
      <w:bCs/>
      <w:kern w:val="44"/>
      <w:sz w:val="44"/>
      <w:szCs w:val="44"/>
    </w:rPr>
  </w:style>
  <w:style w:type="paragraph" w:customStyle="1" w:styleId="43">
    <w:name w:val="List Paragraph"/>
    <w:basedOn w:val="1"/>
    <w:qFormat/>
    <w:uiPriority w:val="34"/>
    <w:pPr>
      <w:numPr>
        <w:ilvl w:val="0"/>
        <w:numId w:val="2"/>
      </w:numPr>
    </w:pPr>
  </w:style>
  <w:style w:type="character" w:customStyle="1" w:styleId="44">
    <w:name w:val="页眉 字符"/>
    <w:basedOn w:val="34"/>
    <w:link w:val="22"/>
    <w:qFormat/>
    <w:uiPriority w:val="99"/>
    <w:rPr>
      <w:rFonts w:eastAsia="宋体"/>
      <w:sz w:val="18"/>
      <w:szCs w:val="18"/>
    </w:rPr>
  </w:style>
  <w:style w:type="character" w:customStyle="1" w:styleId="45">
    <w:name w:val="页脚 字符"/>
    <w:basedOn w:val="34"/>
    <w:link w:val="21"/>
    <w:qFormat/>
    <w:uiPriority w:val="99"/>
    <w:rPr>
      <w:rFonts w:eastAsia="宋体"/>
      <w:sz w:val="18"/>
      <w:szCs w:val="18"/>
    </w:rPr>
  </w:style>
  <w:style w:type="character" w:customStyle="1" w:styleId="46">
    <w:name w:val="标题 2 字符"/>
    <w:basedOn w:val="34"/>
    <w:link w:val="3"/>
    <w:qFormat/>
    <w:uiPriority w:val="0"/>
    <w:rPr>
      <w:rFonts w:eastAsia="宋体" w:asciiTheme="majorHAnsi" w:hAnsiTheme="majorHAnsi" w:cstheme="majorBidi"/>
      <w:b/>
      <w:bCs/>
      <w:sz w:val="32"/>
      <w:szCs w:val="32"/>
    </w:rPr>
  </w:style>
  <w:style w:type="character" w:customStyle="1" w:styleId="47">
    <w:name w:val="批注文字 字符"/>
    <w:basedOn w:val="34"/>
    <w:link w:val="12"/>
    <w:qFormat/>
    <w:uiPriority w:val="0"/>
    <w:rPr>
      <w:szCs w:val="24"/>
    </w:rPr>
  </w:style>
  <w:style w:type="paragraph" w:customStyle="1" w:styleId="48">
    <w:name w:val="Char1 Char Char Char"/>
    <w:basedOn w:val="1"/>
    <w:qFormat/>
    <w:uiPriority w:val="0"/>
    <w:pPr>
      <w:adjustRightInd w:val="0"/>
      <w:jc w:val="both"/>
    </w:pPr>
    <w:rPr>
      <w:rFonts w:ascii="Times New Roman" w:hAnsi="Times New Roman" w:cs="Times New Roman"/>
      <w:kern w:val="0"/>
      <w:szCs w:val="20"/>
    </w:rPr>
  </w:style>
  <w:style w:type="character" w:customStyle="1" w:styleId="49">
    <w:name w:val="标题 3 字符"/>
    <w:basedOn w:val="34"/>
    <w:link w:val="4"/>
    <w:qFormat/>
    <w:uiPriority w:val="9"/>
    <w:rPr>
      <w:rFonts w:eastAsia="宋体"/>
      <w:b/>
      <w:bCs/>
      <w:sz w:val="30"/>
      <w:szCs w:val="32"/>
    </w:rPr>
  </w:style>
  <w:style w:type="character" w:customStyle="1" w:styleId="50">
    <w:name w:val="标题 4 字符"/>
    <w:basedOn w:val="34"/>
    <w:link w:val="5"/>
    <w:qFormat/>
    <w:uiPriority w:val="9"/>
    <w:rPr>
      <w:rFonts w:eastAsia="宋体" w:asciiTheme="majorHAnsi" w:hAnsiTheme="majorHAnsi" w:cstheme="majorBidi"/>
      <w:b/>
      <w:bCs/>
      <w:sz w:val="28"/>
      <w:szCs w:val="28"/>
    </w:rPr>
  </w:style>
  <w:style w:type="character" w:customStyle="1" w:styleId="51">
    <w:name w:val="正文文本 字符"/>
    <w:basedOn w:val="34"/>
    <w:link w:val="14"/>
    <w:qFormat/>
    <w:uiPriority w:val="99"/>
    <w:rPr>
      <w:szCs w:val="24"/>
    </w:rPr>
  </w:style>
  <w:style w:type="paragraph" w:customStyle="1" w:styleId="52">
    <w:name w:val="样式"/>
    <w:basedOn w:val="1"/>
    <w:qFormat/>
    <w:uiPriority w:val="0"/>
    <w:pPr>
      <w:autoSpaceDE w:val="0"/>
      <w:autoSpaceDN w:val="0"/>
      <w:snapToGrid w:val="0"/>
      <w:spacing w:before="120" w:after="120"/>
      <w:jc w:val="both"/>
    </w:pPr>
    <w:rPr>
      <w:rFonts w:hAnsi="Times New Roman" w:cs="Times New Roman"/>
      <w:kern w:val="0"/>
      <w:szCs w:val="20"/>
    </w:rPr>
  </w:style>
  <w:style w:type="paragraph" w:customStyle="1" w:styleId="53">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4">
    <w:name w:val="未处理的提及1"/>
    <w:basedOn w:val="34"/>
    <w:unhideWhenUsed/>
    <w:qFormat/>
    <w:uiPriority w:val="99"/>
    <w:rPr>
      <w:color w:val="605E5C"/>
      <w:shd w:val="clear" w:color="auto" w:fill="E1DFDD"/>
    </w:rPr>
  </w:style>
  <w:style w:type="character" w:customStyle="1" w:styleId="55">
    <w:name w:val="批注主题 字符"/>
    <w:basedOn w:val="47"/>
    <w:link w:val="29"/>
    <w:semiHidden/>
    <w:qFormat/>
    <w:uiPriority w:val="99"/>
    <w:rPr>
      <w:rFonts w:ascii="宋体" w:hAnsi="宋体" w:cstheme="minorBidi"/>
      <w:b/>
      <w:bCs/>
      <w:kern w:val="2"/>
      <w:sz w:val="24"/>
      <w:szCs w:val="22"/>
    </w:rPr>
  </w:style>
  <w:style w:type="character" w:customStyle="1" w:styleId="56">
    <w:name w:val="未处理的提及2"/>
    <w:basedOn w:val="34"/>
    <w:unhideWhenUsed/>
    <w:qFormat/>
    <w:uiPriority w:val="99"/>
    <w:rPr>
      <w:color w:val="605E5C"/>
      <w:shd w:val="clear" w:color="auto" w:fill="E1DFDD"/>
    </w:rPr>
  </w:style>
  <w:style w:type="paragraph" w:customStyle="1" w:styleId="57">
    <w:name w:val="正文_2"/>
    <w:qFormat/>
    <w:uiPriority w:val="0"/>
    <w:pPr>
      <w:widowControl w:val="0"/>
      <w:jc w:val="both"/>
    </w:pPr>
    <w:rPr>
      <w:rFonts w:ascii="Calibri" w:hAnsi="Calibri" w:eastAsia="宋体" w:cs="Times New Roman"/>
      <w:lang w:val="en-US" w:eastAsia="zh-CN" w:bidi="ar-SA"/>
    </w:rPr>
  </w:style>
  <w:style w:type="paragraph" w:customStyle="1" w:styleId="58">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5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正文_2_0_0"/>
    <w:qFormat/>
    <w:uiPriority w:val="99"/>
    <w:pPr>
      <w:widowControl w:val="0"/>
      <w:jc w:val="both"/>
    </w:pPr>
    <w:rPr>
      <w:rFonts w:ascii="Calibri" w:hAnsi="Calibri" w:eastAsia="宋体" w:cs="Times New Roman"/>
      <w:lang w:val="en-US" w:eastAsia="zh-CN" w:bidi="ar-SA"/>
    </w:rPr>
  </w:style>
  <w:style w:type="paragraph" w:customStyle="1" w:styleId="61">
    <w:name w:val="正文_1_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2">
    <w:name w:val="Normal Indent1"/>
    <w:basedOn w:val="1"/>
    <w:qFormat/>
    <w:uiPriority w:val="0"/>
    <w:pPr>
      <w:ind w:firstLine="420" w:firstLineChars="200"/>
    </w:pPr>
  </w:style>
  <w:style w:type="paragraph" w:customStyle="1" w:styleId="63">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4">
    <w:name w:val="Normal_22"/>
    <w:qFormat/>
    <w:uiPriority w:val="0"/>
    <w:rPr>
      <w:rFonts w:ascii="Times New Roman" w:hAnsi="Times New Roman" w:eastAsia="Times New Roman" w:cs="Times New Roman"/>
      <w:sz w:val="24"/>
      <w:szCs w:val="24"/>
      <w:lang w:bidi="ar-SA"/>
    </w:rPr>
  </w:style>
  <w:style w:type="paragraph" w:customStyle="1" w:styleId="65">
    <w:name w:val="正文_6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66">
    <w:name w:val="正文_0_0_0 Char"/>
    <w:link w:val="67"/>
    <w:qFormat/>
    <w:locked/>
    <w:uiPriority w:val="0"/>
    <w:rPr>
      <w:rFonts w:ascii="Calibri" w:hAnsi="Calibri" w:cs="Calibri"/>
      <w:kern w:val="2"/>
      <w:sz w:val="28"/>
      <w:szCs w:val="22"/>
      <w:lang w:val="en-US" w:eastAsia="zh-CN" w:bidi="ar-SA"/>
    </w:rPr>
  </w:style>
  <w:style w:type="paragraph" w:customStyle="1" w:styleId="67">
    <w:name w:val="正文_0_0_0_0_0"/>
    <w:link w:val="66"/>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8">
    <w:name w:val="正文文本_0_1"/>
    <w:basedOn w:val="69"/>
    <w:qFormat/>
    <w:uiPriority w:val="99"/>
    <w:pPr>
      <w:spacing w:after="120"/>
    </w:pPr>
    <w:rPr>
      <w:rFonts w:ascii="Calibri" w:hAnsi="Calibri" w:eastAsia="宋体"/>
      <w:kern w:val="0"/>
      <w:sz w:val="24"/>
      <w:szCs w:val="20"/>
    </w:rPr>
  </w:style>
  <w:style w:type="paragraph" w:customStyle="1" w:styleId="69">
    <w:name w:val="正文_6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Table Paragraph_1"/>
    <w:basedOn w:val="69"/>
    <w:qFormat/>
    <w:uiPriority w:val="0"/>
    <w:pPr>
      <w:jc w:val="left"/>
    </w:pPr>
    <w:rPr>
      <w:rFonts w:ascii="Calibri" w:hAnsi="Calibri" w:eastAsia="宋体"/>
      <w:kern w:val="0"/>
      <w:sz w:val="22"/>
      <w:lang w:eastAsia="en-US"/>
    </w:rPr>
  </w:style>
  <w:style w:type="paragraph" w:customStyle="1" w:styleId="71">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正文1"/>
    <w:qFormat/>
    <w:uiPriority w:val="0"/>
    <w:pPr>
      <w:widowControl w:val="0"/>
      <w:jc w:val="both"/>
    </w:pPr>
    <w:rPr>
      <w:rFonts w:ascii="Calibri" w:hAnsi="Calibri" w:eastAsia="宋体" w:cs="Times New Roman"/>
      <w:lang w:val="en-US" w:eastAsia="zh-CN" w:bidi="ar-SA"/>
    </w:rPr>
  </w:style>
  <w:style w:type="paragraph" w:customStyle="1" w:styleId="73">
    <w:name w:val="列出段落1"/>
    <w:basedOn w:val="1"/>
    <w:qFormat/>
    <w:uiPriority w:val="0"/>
    <w:pPr>
      <w:ind w:firstLine="420" w:firstLineChars="200"/>
    </w:pPr>
    <w:rPr>
      <w:szCs w:val="21"/>
    </w:rPr>
  </w:style>
  <w:style w:type="paragraph" w:customStyle="1" w:styleId="74">
    <w:name w:val="xl31"/>
    <w:basedOn w:val="1"/>
    <w:qFormat/>
    <w:uiPriority w:val="0"/>
    <w:pPr>
      <w:widowControl/>
      <w:spacing w:before="100" w:beforeAutospacing="1" w:after="100" w:afterAutospacing="1"/>
      <w:jc w:val="center"/>
    </w:pPr>
    <w:rPr>
      <w:b/>
      <w:bCs/>
      <w:kern w:val="0"/>
      <w:sz w:val="28"/>
      <w:szCs w:val="28"/>
    </w:rPr>
  </w:style>
  <w:style w:type="paragraph" w:customStyle="1" w:styleId="75">
    <w:name w:val="正文2"/>
    <w:basedOn w:val="1"/>
    <w:qFormat/>
    <w:uiPriority w:val="0"/>
    <w:pPr>
      <w:spacing w:before="156" w:line="360" w:lineRule="auto"/>
      <w:ind w:firstLine="510" w:firstLineChars="200"/>
    </w:pPr>
    <w:rPr>
      <w:sz w:val="24"/>
      <w:szCs w:val="20"/>
    </w:rPr>
  </w:style>
  <w:style w:type="paragraph" w:customStyle="1" w:styleId="76">
    <w:name w:val="Char Char Char Char Char Char Char1 Char"/>
    <w:basedOn w:val="1"/>
    <w:qFormat/>
    <w:uiPriority w:val="0"/>
    <w:rPr>
      <w:rFonts w:ascii="Arial" w:hAnsi="Arial" w:eastAsia="宋体" w:cs="Arial"/>
      <w:sz w:val="24"/>
    </w:rPr>
  </w:style>
  <w:style w:type="paragraph" w:customStyle="1" w:styleId="77">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7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9">
    <w:name w:val="Table Text"/>
    <w:basedOn w:val="1"/>
    <w:semiHidden/>
    <w:qFormat/>
    <w:uiPriority w:val="0"/>
    <w:rPr>
      <w:rFonts w:ascii="仿宋" w:hAnsi="仿宋" w:eastAsia="仿宋" w:cs="仿宋"/>
      <w:sz w:val="23"/>
      <w:szCs w:val="23"/>
      <w:lang w:val="en-US" w:eastAsia="en-US" w:bidi="ar-SA"/>
    </w:rPr>
  </w:style>
  <w:style w:type="table" w:customStyle="1" w:styleId="80">
    <w:name w:val="Table Normal"/>
    <w:unhideWhenUsed/>
    <w:qFormat/>
    <w:uiPriority w:val="0"/>
    <w:tblPr>
      <w:tblCellMar>
        <w:top w:w="0" w:type="dxa"/>
        <w:left w:w="0" w:type="dxa"/>
        <w:bottom w:w="0" w:type="dxa"/>
        <w:right w:w="0" w:type="dxa"/>
      </w:tblCellMar>
    </w:tblPr>
  </w:style>
  <w:style w:type="paragraph" w:customStyle="1" w:styleId="81">
    <w:name w:val="正文缩进1"/>
    <w:basedOn w:val="1"/>
    <w:qFormat/>
    <w:uiPriority w:val="0"/>
    <w:pPr>
      <w:ind w:firstLine="420"/>
    </w:pPr>
  </w:style>
  <w:style w:type="character" w:customStyle="1" w:styleId="82">
    <w:name w:val="font81"/>
    <w:basedOn w:val="34"/>
    <w:qFormat/>
    <w:uiPriority w:val="0"/>
    <w:rPr>
      <w:rFonts w:hint="eastAsia" w:ascii="宋体" w:hAnsi="宋体" w:eastAsia="宋体" w:cs="宋体"/>
      <w:b/>
      <w:bCs/>
      <w:color w:val="000000"/>
      <w:sz w:val="21"/>
      <w:szCs w:val="21"/>
      <w:u w:val="none"/>
    </w:rPr>
  </w:style>
  <w:style w:type="character" w:customStyle="1" w:styleId="83">
    <w:name w:val="font91"/>
    <w:basedOn w:val="34"/>
    <w:qFormat/>
    <w:uiPriority w:val="0"/>
    <w:rPr>
      <w:rFonts w:hint="eastAsia" w:ascii="宋体" w:hAnsi="宋体" w:eastAsia="宋体" w:cs="宋体"/>
      <w:color w:val="000000"/>
      <w:sz w:val="21"/>
      <w:szCs w:val="21"/>
      <w:u w:val="none"/>
    </w:rPr>
  </w:style>
  <w:style w:type="character" w:customStyle="1" w:styleId="84">
    <w:name w:val="NormalCharacter"/>
    <w:qFormat/>
    <w:uiPriority w:val="0"/>
    <w:rPr>
      <w:kern w:val="2"/>
      <w:sz w:val="21"/>
      <w:lang w:val="en-US" w:eastAsia="zh-CN" w:bidi="ar-SA"/>
    </w:rPr>
  </w:style>
  <w:style w:type="paragraph" w:customStyle="1" w:styleId="85">
    <w:name w:val="标题 11"/>
    <w:basedOn w:val="1"/>
    <w:qFormat/>
    <w:uiPriority w:val="0"/>
    <w:pPr>
      <w:keepNext/>
      <w:keepLines/>
      <w:spacing w:before="340" w:after="330" w:line="576" w:lineRule="auto"/>
      <w:outlineLvl w:val="0"/>
    </w:pPr>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b2067f7c-4959-41db-9a50-09f37c425cef</errorID>
      <errorWord>:</errorWord>
      <group>L1_Format</group>
      <groupName>格式问题</groupName>
      <ability>L2_HalfPunc</ability>
      <abilityName>全半角检查</abilityName>
      <candidateList>
        <item>：</item>
      </candidateList>
      <explain>文本全半角错误。</explain>
      <paraID>2191B161</paraID>
      <start>4</start>
      <end>5</end>
      <status>modified</status>
      <modifiedWord>：</modifiedWord>
      <trackRevisions>false</trackRevisions>
    </reviewItem>
    <reviewItem>
      <errorID>19127d20-0b41-46cf-ae52-dcac5aa11f54</errorID>
      <errorWord>:</errorWord>
      <group>L1_Format</group>
      <groupName>格式问题</groupName>
      <ability>L2_HalfPunc</ability>
      <abilityName>全半角检查</abilityName>
      <candidateList>
        <item>：</item>
      </candidateList>
      <explain>文本全半角错误。</explain>
      <paraID>2191B161</paraID>
      <start>37</start>
      <end>38</end>
      <status>modified</status>
      <modifiedWord>：</modifiedWord>
      <trackRevisions>false</trackRevisions>
    </reviewItem>
    <reviewItem>
      <errorID>1cd4bf25-15b1-4655-ab4a-8db5b2153046</errorID>
      <errorWord>:</errorWord>
      <group>L1_Format</group>
      <groupName>格式问题</groupName>
      <ability>L2_HalfPunc</ability>
      <abilityName>全半角检查</abilityName>
      <candidateList>
        <item>：</item>
      </candidateList>
      <explain>文本全半角错误。</explain>
      <paraID>2191B161</paraID>
      <start>48</start>
      <end>49</end>
      <status>modified</status>
      <modifiedWord>：</modifiedWord>
      <trackRevisions>false</trackRevisions>
    </reviewItem>
    <reviewItem>
      <errorID>58c87233-2c05-40ae-8d34-22d509e13b09</errorID>
      <errorWord>,</errorWord>
      <group>L1_Format</group>
      <groupName>格式问题</groupName>
      <ability>L2_HalfPunc</ability>
      <abilityName>全半角检查</abilityName>
      <candidateList>
        <item>，</item>
      </candidateList>
      <explain>文本全半角错误。</explain>
      <paraID>6CC060D9</paraID>
      <start>26</start>
      <end>27</end>
      <status>modified</status>
      <modifiedWord>，</modifiedWord>
      <trackRevisions>false</trackRevisions>
    </reviewItem>
    <reviewItem>
      <errorID>92748bd7-a632-4764-8255-c88f81010ddd</errorID>
      <errorWord>上午00:00</errorWord>
      <group>L1_Knowledge</group>
      <groupName>知识性问题</groupName>
      <ability>L2_Time</ability>
      <abilityName>日期时间</abilityName>
      <candidateList/>
      <explain>时间与前缀不匹配，可能的时间前缀有“下午、晚上、凌晨、午夜”。</explain>
      <paraID>6CC060D9</paraID>
      <start>29</start>
      <end>36</end>
      <status>unmodified</status>
      <modifiedWord/>
      <trackRevisions>false</trackRevisions>
    </reviewItem>
    <reviewItem>
      <errorID>6968f107-acb5-4e4b-9a8e-e7525f361df6</errorID>
      <errorWord>登陆</errorWord>
      <group>L1_Word</group>
      <groupName>字词问题</groupName>
      <ability>L2_Typo</ability>
      <abilityName>字词错误</abilityName>
      <candidateList>
        <item>登录</item>
      </candidateList>
      <explain>存在发音相同字词的误用。</explain>
      <paraID>1B4969B4</paraID>
      <start>5</start>
      <end>7</end>
      <status>modified</status>
      <modifiedWord>登录</modifiedWord>
      <trackRevisions>false</trackRevisions>
    </reviewItem>
    <reviewItem>
      <errorID>275c471a-281b-4a3f-8184-feb0b023300a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3D51BA84</paraID>
      <start>0</start>
      <end>2</end>
      <status>modified</status>
      <modifiedWord>1.</modifiedWord>
      <trackRevisions>false</trackRevisions>
    </reviewItem>
    <reviewItem>
      <errorID>6ba3c675-bf1a-49c3-9fe3-0b87b427f015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4DBFF5BE</paraID>
      <start>0</start>
      <end>2</end>
      <status>modified</status>
      <modifiedWord>2.</modifiedWord>
      <trackRevisions>false</trackRevisions>
    </reviewItem>
    <reviewItem>
      <errorID>cf2b8b0f-9fb9-4e44-9268-6bed3c8d7f3b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5625993C</paraID>
      <start>0</start>
      <end>2</end>
      <status>modified</status>
      <modifiedWord>3.</modifiedWord>
      <trackRevisions>false</trackRevisions>
    </reviewItem>
    <reviewItem>
      <errorID>a6470666-c828-4220-a797-0daa7a3c0284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2B7AC8C5</paraID>
      <start>0</start>
      <end>2</end>
      <status>modified</status>
      <modifiedWord>4.</modifiedWord>
      <trackRevisions>false</trackRevisions>
    </reviewItem>
    <reviewItem>
      <errorID>b97afd1a-7041-44db-a2bb-356f44d52521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32085D4A</paraID>
      <start>0</start>
      <end>2</end>
      <status>modified</status>
      <modifiedWord>5.</modifiedWord>
      <trackRevisions>false</trackRevisions>
    </reviewItem>
    <reviewItem>
      <errorID>4c4f6b18-ac64-437a-baeb-3e43d148a6ec</errorID>
      <errorWord>参</errorWord>
      <group>L1_Word</group>
      <groupName>字词问题</groupName>
      <ability>L2_Typo</ability>
      <abilityName>字词错误</abilityName>
      <candidateList>
        <item>参与</item>
      </candidateList>
      <explain>（参预）cānyù〈动〉参加（事务的计划、讨论、处理）：～其事｜他曾～这个规划的制订工作。</explain>
      <paraID>32085D4A</paraID>
      <start>245</start>
      <end>247</end>
      <status>modified</status>
      <modifiedWord>参与</modifiedWord>
      <trackRevisions>false</trackRevisions>
    </reviewItem>
    <reviewItem>
      <errorID>62c29315-ab1d-4e5b-9285-ba68ab2d11a0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75526C44</paraID>
      <start>0</start>
      <end>2</end>
      <status>modified</status>
      <modifiedWord>1.</modifiedWord>
      <trackRevisions>false</trackRevisions>
    </reviewItem>
    <reviewItem>
      <errorID>22c3d876-7116-49ba-a9df-4e7029ffbd67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21C2C087</paraID>
      <start>0</start>
      <end>2</end>
      <status>modified</status>
      <modifiedWord>2.</modifiedWord>
      <trackRevisions>false</trackRevisions>
    </reviewItem>
    <reviewItem>
      <errorID>bd270f4e-bac5-47c2-9bbc-96a99169da6c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449E8A86</paraID>
      <start>0</start>
      <end>2</end>
      <status>modified</status>
      <modifiedWord>3.</modifiedWord>
      <trackRevisions>false</trackRevisions>
    </reviewItem>
    <reviewItem>
      <errorID>cf8d939b-fed4-4178-8703-1bc4b6bc5a53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5BFE0A36</paraID>
      <start>0</start>
      <end>2</end>
      <status>modified</status>
      <modifiedWord>4.</modifiedWord>
      <trackRevisions>false</trackRevisions>
    </reviewItem>
    <reviewItem>
      <errorID>883887bb-153c-47c3-aec8-4edd48a47bf2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5BFE0A36</paraID>
      <start>68</start>
      <end>75</end>
      <status>modified</status>
      <modifiedWord>10%～20%</modifiedWord>
      <trackRevisions>false</trackRevisions>
    </reviewItem>
    <reviewItem>
      <errorID>12579b8f-8a56-4abe-a666-07e21d810bce</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5BFE0A36</paraID>
      <start>81</start>
      <end>86</end>
      <status>modified</status>
      <modifiedWord>3%～5%</modifiedWord>
      <trackRevisions>false</trackRevisions>
    </reviewItem>
    <reviewItem>
      <errorID>acacc8e8-205f-4e8b-8bf1-9af4f6468fd9</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5BFE0A36</paraID>
      <start>172</start>
      <end>177</end>
      <status>modified</status>
      <modifiedWord>3%～5%</modifiedWord>
      <trackRevisions>false</trackRevisions>
    </reviewItem>
    <reviewItem>
      <errorID>6fdc3a65-e866-405f-a352-6b8973ba09b7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45DB134E</paraID>
      <start>0</start>
      <end>2</end>
      <status>modified</status>
      <modifiedWord>5.</modifiedWord>
      <trackRevisions>false</trackRevisions>
    </reviewItem>
    <reviewItem>
      <errorID>ba0a9fae-8bbe-4881-aca1-23fc70d1fd00</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45DB134E</paraID>
      <start>114</start>
      <end>119</end>
      <status>modified</status>
      <modifiedWord>4%～6%</modifiedWord>
      <trackRevisions>false</trackRevisions>
    </reviewItem>
    <reviewItem>
      <errorID>c51ef7e7-91c4-4c37-8c3d-092f46a8f707</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45DB134E</paraID>
      <start>125</start>
      <end>130</end>
      <status>modified</status>
      <modifiedWord>1%～2%</modifiedWord>
      <trackRevisions>false</trackRevisions>
    </reviewItem>
    <reviewItem>
      <errorID>3668a87a-1a15-49c5-af85-52c6db829b7b</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45DB134E</paraID>
      <start>216</start>
      <end>221</end>
      <status>modified</status>
      <modifiedWord>1%～2%</modifiedWord>
      <trackRevisions>false</trackRevisions>
    </reviewItem>
    <reviewItem>
      <errorID>6b826cea-d0aa-41c2-b0f8-880634191b75</errorID>
      <errorWord>：</errorWord>
      <group>L1_Format</group>
      <groupName>格式问题</groupName>
      <ability>L2_HalfPunc</ability>
      <abilityName>全半角检查</abilityName>
      <candidateList>
        <item>:</item>
      </candidateList>
      <explain>文本全半角错误。</explain>
      <paraID>2AF8F167</paraID>
      <start>3</start>
      <end>4</end>
      <status>modified</status>
      <modifiedWord>:</modifiedWord>
      <trackRevisions>false</trackRevisions>
    </reviewItem>
    <reviewItem>
      <errorID>162a3008-d492-4851-be2c-d69f66373dbe</errorID>
      <errorWord>位</errorWord>
      <group>L1_Word</group>
      <groupName>字词问题</groupName>
      <ability>L2_Typo</ability>
      <abilityName>字词错误</abilityName>
      <candidateList>
        <item>位在</item>
      </candidateList>
      <explain/>
      <paraID>1104377F</paraID>
      <start>3</start>
      <end>5</end>
      <status>modified</status>
      <modifiedWord>位在</modifiedWord>
      <trackRevisions>false</trackRevisions>
    </reviewItem>
    <reviewItem>
      <errorID>68c99537-9d68-4f5a-838e-62d480071d69</errorID>
      <errorWord>法律、法规</errorWord>
      <group>L1_Word</group>
      <groupName>字词问题</groupName>
      <ability>L2_Typo</ability>
      <abilityName>字词错误</abilityName>
      <candidateList>
        <item>法律法规</item>
      </candidateList>
      <explain/>
      <paraID>1EEC7A3C</paraID>
      <start>42</start>
      <end>46</end>
      <status>modified</status>
      <modifiedWord>法律法规</modifiedWord>
      <trackRevisions>false</trackRevisions>
    </reviewItem>
    <reviewItem>
      <errorID>432d9ede-5d3b-4011-aaea-a824394e7b2e</errorID>
      <errorWord>：</errorWord>
      <group>L1_Word</group>
      <groupName>字词问题</groupName>
      <ability>L2_Typo</ability>
      <abilityName>字词错误</abilityName>
      <candidateList>
        <item>：以</item>
      </candidateList>
      <explain/>
      <paraID>558809BC</paraID>
      <start>4</start>
      <end>6</end>
      <status>modified</status>
      <modifiedWord>：以</modifiedWord>
      <trackRevisions>false</trackRevisions>
    </reviewItem>
    <reviewItem>
      <errorID>84d92f81-b0e7-4a5f-baa4-602e21ab9193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541098BC</paraID>
      <start>0</start>
      <end>2</end>
      <status>modified</status>
      <modifiedWord>1.</modifiedWord>
      <trackRevisions>false</trackRevisions>
    </reviewItem>
    <reviewItem>
      <errorID>18cf541d-30ba-4121-8570-97488ed73429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38A96639</paraID>
      <start>0</start>
      <end>2</end>
      <status>modified</status>
      <modifiedWord>2.</modifiedWord>
      <trackRevisions>false</trackRevisions>
    </reviewItem>
    <reviewItem>
      <errorID>a0478384-52e5-46d4-a807-1bd1ad1a75ee</errorID>
      <errorWord>截止12</errorWord>
      <group>L1_Word</group>
      <groupName>字词问题</groupName>
      <ability>L2_Typo</ability>
      <abilityName>字词错误</abilityName>
      <candidateList>
        <item>截至12</item>
      </candidateList>
      <explain/>
      <paraID>38A96639</paraID>
      <start>18</start>
      <end>22</end>
      <status>modified</status>
      <modifiedWord>截至12</modifiedWord>
      <trackRevisions>false</trackRevisions>
    </reviewItem>
    <reviewItem>
      <errorID>e56afa16-76e4-46f7-b735-08daaf0cc976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6D93CECE</paraID>
      <start>0</start>
      <end>2</end>
      <status>modified</status>
      <modifiedWord>3.</modifiedWord>
      <trackRevisions>false</trackRevisions>
    </reviewItem>
    <reviewItem>
      <errorID>b7dfe1a8-3a41-4183-9c82-1ce7426ff765</errorID>
      <errorWord>（2026）2号</errorWord>
      <group>L1_Knowledge</group>
      <groupName>知识性问题</groupName>
      <ability>L2_Knowledge</ability>
      <abilityName>其他知识</abilityName>
      <candidateList>
        <item>〔2026〕2号</item>
      </candidateList>
      <explain>发文字号格式错误。</explain>
      <paraID>6D93CECE</paraID>
      <start>14</start>
      <end>22</end>
      <status>modified</status>
      <modifiedWord>〔2026〕2号</modifiedWord>
      <trackRevisions>false</trackRevisions>
    </reviewItem>
    <reviewItem>
      <errorID>0c52025a-0dec-4b0c-a5b0-c70426639613</errorID>
      <errorWord>&lt;</errorWord>
      <group>L1_Format</group>
      <groupName>格式问题</groupName>
      <ability>L2_HalfPunc</ability>
      <abilityName>全半角检查</abilityName>
      <candidateList>
        <item>〈</item>
      </candidateList>
      <explain>文本全半角错误。</explain>
      <paraID>7DCABEC1</paraID>
      <start>49</start>
      <end>50</end>
      <status>modified</status>
      <modifiedWord>〈</modifiedWord>
      <trackRevisions>false</trackRevisions>
    </reviewItem>
    <reviewItem>
      <errorID>45bd4c0e-de13-4211-8dcf-e9b059d0a2df</errorID>
      <errorWord>&lt;</errorWord>
      <group>L1_Format</group>
      <groupName>格式问题</groupName>
      <ability>L2_HalfPunc</ability>
      <abilityName>全半角检查</abilityName>
      <candidateList>
        <item>〈</item>
      </candidateList>
      <explain>文本全半角错误。</explain>
      <paraID>57102034</paraID>
      <start>49</start>
      <end>50</end>
      <status>modified</status>
      <modifiedWord>〈</modifiedWord>
      <trackRevisions>false</trackRevisions>
    </reviewItem>
    <reviewItem>
      <errorID>3cc50e06-39bf-4e58-97a9-95d7f16052f3</errorID>
      <errorWord>&lt;</errorWord>
      <group>L1_Format</group>
      <groupName>格式问题</groupName>
      <ability>L2_HalfPunc</ability>
      <abilityName>全半角检查</abilityName>
      <candidateList>
        <item>〈</item>
      </candidateList>
      <explain>文本全半角错误。</explain>
      <paraID>36379F9A</paraID>
      <start>34</start>
      <end>35</end>
      <status>modified</status>
      <modifiedWord>〈</modifiedWord>
      <trackRevisions>false</trackRevisions>
    </reviewItem>
    <reviewItem>
      <errorID>d01fb720-010c-49d6-8887-60528288759f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234848B1</paraID>
      <start>0</start>
      <end>2</end>
      <status>modified</status>
      <modifiedWord>5.</modifiedWord>
      <trackRevisions>false</trackRevisions>
    </reviewItem>
    <reviewItem>
      <errorID>26d11b48-0865-4a2b-89a6-a9dcc6810459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23A5026B</paraID>
      <start>0</start>
      <end>2</end>
      <status>modified</status>
      <modifiedWord>6.</modifiedWord>
      <trackRevisions>false</trackRevisions>
    </reviewItem>
    <reviewItem>
      <errorID>8a8be130-26a1-4b06-bfdb-e2c997366001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D1EB66</paraID>
      <start>0</start>
      <end>2</end>
      <status>modified</status>
      <modifiedWord>7.</modifiedWord>
      <trackRevisions>false</trackRevisions>
    </reviewItem>
    <reviewItem>
      <errorID>b7eee47d-c119-4148-8374-9c5217c54a1b</errorID>
      <errorWord>（</errorWord>
      <group>L1_Punc</group>
      <groupName>标点问题</groupName>
      <ability>L2_Punc</ability>
      <abilityName>标点符号检查</abilityName>
      <candidateList/>
      <explain>同一形式括号套用。</explain>
      <paraID>  D1EB66</paraID>
      <start>82</start>
      <end>83</end>
      <status>unmodified</status>
      <modifiedWord/>
      <trackRevisions>false</trackRevisions>
    </reviewItem>
    <reviewItem>
      <errorID>fcea6dfe-21bc-4a3b-b96e-a697eecd5087</errorID>
      <errorWord>）</errorWord>
      <group>L1_Punc</group>
      <groupName>标点问题</groupName>
      <ability>L2_Punc</ability>
      <abilityName>标点符号检查</abilityName>
      <candidateList/>
      <explain>同一形式括号套用。</explain>
      <paraID>  D1EB66</paraID>
      <start>115</start>
      <end>116</end>
      <status>unmodified</status>
      <modifiedWord/>
      <trackRevisions>false</trackRevisions>
    </reviewItem>
    <reviewItem>
      <errorID>07ef3ce3-4e04-4925-9c70-8f01ce4ba187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3ACCA370</paraID>
      <start>0</start>
      <end>2</end>
      <status>modified</status>
      <modifiedWord>8.</modifiedWord>
      <trackRevisions>false</trackRevisions>
    </reviewItem>
    <reviewItem>
      <errorID>704aaba0-275f-4ea0-8670-b7de2d52927c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58215C0D</paraID>
      <start>0</start>
      <end>2</end>
      <status>modified</status>
      <modifiedWord>9.</modifiedWord>
      <trackRevisions>false</trackRevisions>
    </reviewItem>
    <reviewItem>
      <errorID>31d6f57a-e988-4ada-b2ea-8b38645efbc7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35EFC00B</paraID>
      <start>0</start>
      <end>3</end>
      <status>modified</status>
      <modifiedWord>10.</modifiedWord>
      <trackRevisions>false</trackRevisions>
    </reviewItem>
    <reviewItem>
      <errorID>7c0c24bd-0385-4d15-849f-4d0282a08d47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3A527C23</paraID>
      <start>0</start>
      <end>3</end>
      <status>modified</status>
      <modifiedWord>11.</modifiedWord>
      <trackRevisions>false</trackRevisions>
    </reviewItem>
    <reviewItem>
      <errorID>e1775221-c0c8-4010-92bb-0a02cf2b3136</errorID>
      <errorWord>:</errorWord>
      <group>L1_Format</group>
      <groupName>格式问题</groupName>
      <ability>L2_HalfPunc</ability>
      <abilityName>全半角检查</abilityName>
      <candidateList>
        <item>：</item>
      </candidateList>
      <explain>文本全半角错误。</explain>
      <paraID>403E713D</paraID>
      <start>2</start>
      <end>3</end>
      <status>modified</status>
      <modifiedWord>：</modifiedWord>
      <trackRevisions>false</trackRevisions>
    </reviewItem>
    <reviewItem>
      <errorID>63f24c85-499d-4be4-aa02-d6d608ada81a</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42902205</paraID>
      <start>80</start>
      <end>82</end>
      <status>modified</status>
      <modifiedWord>其他</modifiedWord>
      <trackRevisions>false</trackRevisions>
    </reviewItem>
    <reviewItem>
      <errorID>0f15a708-2663-4c4e-a3b2-c38c01fc76f6</errorID>
      <errorWord>其它</errorWord>
      <group>L1_Word</group>
      <groupName>字词问题</groupName>
      <ability>L2_Alias</ability>
      <abilityName>也作/曾用词</abilityName>
      <candidateList>
        <item>其他</item>
      </candidateList>
      <explain>词汇[其它]为不规范表述或旧称，其规范书面表述为[其他]。</explain>
      <paraID>553ACBE9</paraID>
      <start>54</start>
      <end>56</end>
      <status>modified</status>
      <modifiedWord>其他</modifiedWord>
      <trackRevisions>false</trackRevisions>
    </reviewItem>
    <reviewItem>
      <errorID>83e2e095-3062-4fc9-8bb9-895c47ac2769</errorID>
      <errorWord>其它</errorWord>
      <group>L1_Word</group>
      <groupName>字词问题</groupName>
      <ability>L2_Alias</ability>
      <abilityName>也作/曾用词</abilityName>
      <candidateList>
        <item>其他</item>
      </candidateList>
      <explain>词汇[其它]为不规范表述或旧称，其规范书面表述为[其他]。</explain>
      <paraID>553ACBE9</paraID>
      <start>82</start>
      <end>84</end>
      <status>modified</status>
      <modifiedWord>其他</modifiedWord>
      <trackRevisions>false</trackRevisions>
    </reviewItem>
    <reviewItem>
      <errorID>6771faa9-38cc-4796-b97d-59a6eafd7ace</errorID>
      <errorWord>法律、法规</errorWord>
      <group>L1_Word</group>
      <groupName>字词问题</groupName>
      <ability>L2_Typo</ability>
      <abilityName>字词错误</abilityName>
      <candidateList>
        <item>法律法规</item>
      </candidateList>
      <explain/>
      <paraID>621609D1</paraID>
      <start>28</start>
      <end>32</end>
      <status>modified</status>
      <modifiedWord>法律法规</modifiedWord>
      <trackRevisions>false</trackRevisions>
    </reviewItem>
    <reviewItem>
      <errorID>ae4030e0-9c66-4c0d-ab3b-a85351cdad48</errorID>
      <errorWord>法律、法规</errorWord>
      <group>L1_Word</group>
      <groupName>字词问题</groupName>
      <ability>L2_Typo</ability>
      <abilityName>字词错误</abilityName>
      <candidateList>
        <item>法律法规</item>
      </candidateList>
      <explain/>
      <paraID>30BC6C21</paraID>
      <start>64</start>
      <end>68</end>
      <status>modified</status>
      <modifiedWord>法律法规</modifiedWord>
      <trackRevisions>false</trackRevisions>
    </reviewItem>
    <reviewItem>
      <errorID>68741197-9a7b-4b3a-80d0-4ecbf81fa3e8</errorID>
      <errorWord>其它</errorWord>
      <group>L1_Word</group>
      <groupName>字词问题</groupName>
      <ability>L2_Alias</ability>
      <abilityName>也作/曾用词</abilityName>
      <candidateList>
        <item>其他</item>
      </candidateList>
      <explain>词汇[其它]为不规范表述或旧称，其规范书面表述为[其他]。</explain>
      <paraID> 18BB09B</paraID>
      <start>81</start>
      <end>83</end>
      <status>modified</status>
      <modifiedWord>其他</modifiedWord>
      <trackRevisions>false</trackRevisions>
    </reviewItem>
    <reviewItem>
      <errorID>5bd9396d-aadd-44e3-951b-37de46e85b98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 D0F6F36</paraID>
      <start>118</start>
      <end>120</end>
      <status>modified</status>
      <modifiedWord>账号</modifiedWord>
      <trackRevisions>false</trackRevisions>
    </reviewItem>
    <reviewItem>
      <errorID>3363afbf-8579-4671-b573-cdad659b78b8</errorID>
      <errorWord>--</errorWord>
      <group>L1_Punc</group>
      <groupName>标点问题</groupName>
      <ability>L2_Punc</ability>
      <abilityName>标点符号检查</abilityName>
      <candidateList>
        <item>——</item>
      </candidateList>
      <explain>破折号或连接号疑似使用错误。</explain>
      <paraID>3E20605D</paraID>
      <start>326</start>
      <end>328</end>
      <status>modified</status>
      <modifiedWord>——</modifiedWord>
      <trackRevisions>false</trackRevisions>
    </reviewItem>
    <reviewItem>
      <errorID>42bbade1-8bc2-4d4e-a8d4-26c4ac584fc2</errorID>
      <errorWord>(</errorWord>
      <group>L1_Format</group>
      <groupName>格式问题</groupName>
      <ability>L2_HalfPunc</ability>
      <abilityName>全半角检查</abilityName>
      <candidateList>
        <item>（</item>
      </candidateList>
      <explain>文本全半角错误。</explain>
      <paraID>63A7FA2D</paraID>
      <start>178</start>
      <end>179</end>
      <status>modified</status>
      <modifiedWord>（</modifiedWord>
      <trackRevisions>false</trackRevisions>
    </reviewItem>
    <reviewItem>
      <errorID>fe2656c8-838c-44e5-8f29-a55efe221df0</errorID>
      <errorWord>)</errorWord>
      <group>L1_Format</group>
      <groupName>格式问题</groupName>
      <ability>L2_HalfPunc</ability>
      <abilityName>全半角检查</abilityName>
      <candidateList>
        <item>）</item>
      </candidateList>
      <explain>文本全半角错误。</explain>
      <paraID>63A7FA2D</paraID>
      <start>190</start>
      <end>191</end>
      <status>modified</status>
      <modifiedWord>）</modifiedWord>
      <trackRevisions>false</trackRevisions>
    </reviewItem>
    <reviewItem>
      <errorID>5d70ec3e-62f5-4d2a-bfe1-a0500d21b6b1</errorID>
      <errorWord>其它</errorWord>
      <group>L1_Word</group>
      <groupName>字词问题</groupName>
      <ability>L2_Alias</ability>
      <abilityName>也作/曾用词</abilityName>
      <candidateList>
        <item>其他</item>
      </candidateList>
      <explain>词汇[其它]为不规范表述或旧称，其规范书面表述为[其他]。</explain>
      <paraID>179F357A</paraID>
      <start>59</start>
      <end>61</end>
      <status>modified</status>
      <modifiedWord>其他</modifiedWord>
      <trackRevisions>false</trackRevisions>
    </reviewItem>
    <reviewItem>
      <errorID>9c33222f-e4a5-4ef5-86c6-b494abf778a0</errorID>
      <errorWord>其它</errorWord>
      <group>L1_Word</group>
      <groupName>字词问题</groupName>
      <ability>L2_Alias</ability>
      <abilityName>也作/曾用词</abilityName>
      <candidateList>
        <item>其他</item>
      </candidateList>
      <explain>词汇[其它]为不规范表述或旧称，其规范书面表述为[其他]。</explain>
      <paraID>6A7D5D14</paraID>
      <start>151</start>
      <end>153</end>
      <status>modified</status>
      <modifiedWord>其他</modifiedWord>
      <trackRevisions>false</trackRevisions>
    </reviewItem>
    <reviewItem>
      <errorID>af425a64-3c9b-4f54-ad24-ff19321097b4</errorID>
      <errorWord>,</errorWord>
      <group>L1_Format</group>
      <groupName>格式问题</groupName>
      <ability>L2_HalfPunc</ability>
      <abilityName>全半角检查</abilityName>
      <candidateList>
        <item>，</item>
      </candidateList>
      <explain>文本全半角错误。</explain>
      <paraID>4CB5A521</paraID>
      <start>91</start>
      <end>92</end>
      <status>modified</status>
      <modifiedWord>，</modifiedWord>
      <trackRevisions>false</trackRevisions>
    </reviewItem>
    <reviewItem>
      <errorID>57a3ad4e-c278-4e21-8383-3d7ed65030e7</errorID>
      <errorWord>做</errorWord>
      <group>L1_Word</group>
      <groupName>字词问题</groupName>
      <ability>L2_Typo</ability>
      <abilityName>字词错误</abilityName>
      <candidateList>
        <item>作</item>
      </candidateList>
      <explain>存在发音相同字词的误用。</explain>
      <paraID>43B7527D</paraID>
      <start>65</start>
      <end>66</end>
      <status>modified</status>
      <modifiedWord>作</modifiedWord>
      <trackRevisions>false</trackRevisions>
    </reviewItem>
    <reviewItem>
      <errorID>30b179b6-42fa-4d1a-8948-e32c57d161eb</errorID>
      <errorWord>,</errorWord>
      <group>L1_Format</group>
      <groupName>格式问题</groupName>
      <ability>L2_HalfPunc</ability>
      <abilityName>全半角检查</abilityName>
      <candidateList>
        <item>，</item>
      </candidateList>
      <explain>文本全半角错误。</explain>
      <paraID> 6BE5F5A</paraID>
      <start>35</start>
      <end>36</end>
      <status>modified</status>
      <modifiedWord>，</modifiedWord>
      <trackRevisions>false</trackRevisions>
    </reviewItem>
    <reviewItem>
      <errorID>f48941ac-613a-4148-a264-95524d3e9f7e</errorID>
      <errorWord>”</errorWord>
      <group>L1_Punc</group>
      <groupName>标点问题</groupName>
      <ability>L2_Punc</ability>
      <abilityName>标点符号检查</abilityName>
      <candidateList>
        <item>“</item>
      </candidateList>
      <explain>注意检查双引号的方向是否正确。</explain>
      <paraID>259AA692</paraID>
      <start>63</start>
      <end>64</end>
      <status>modified</status>
      <modifiedWord>“</modifiedWord>
      <trackRevisions>false</trackRevisions>
    </reviewItem>
    <reviewItem>
      <errorID>80de66b9-d4a6-4ce7-a219-3e859b3f7e7b</errorID>
      <errorWord>,</errorWord>
      <group>L1_Format</group>
      <groupName>格式问题</groupName>
      <ability>L2_HalfPunc</ability>
      <abilityName>全半角检查</abilityName>
      <candidateList>
        <item>，</item>
      </candidateList>
      <explain>文本全半角错误。</explain>
      <paraID>48CC78FE</paraID>
      <start>10</start>
      <end>11</end>
      <status>modified</status>
      <modifiedWord>，</modifiedWord>
      <trackRevisions>false</trackRevisions>
    </reviewItem>
    <reviewItem>
      <errorID>6b78a8cf-d323-414c-ae34-a4a1dc4b75ab</errorID>
      <errorWord>(</errorWord>
      <group>L1_Format</group>
      <groupName>格式问题</groupName>
      <ability>L2_HalfPunc</ability>
      <abilityName>全半角检查</abilityName>
      <candidateList>
        <item>（</item>
      </candidateList>
      <explain>文本全半角错误。</explain>
      <paraID>4AB1B63C</paraID>
      <start>40</start>
      <end>41</end>
      <status>modified</status>
      <modifiedWord>（</modifiedWord>
      <trackRevisions>false</trackRevisions>
    </reviewItem>
    <reviewItem>
      <errorID>630bc497-6e13-4da6-b0cc-9bb05621515f</errorID>
      <errorWord>)</errorWord>
      <group>L1_Format</group>
      <groupName>格式问题</groupName>
      <ability>L2_HalfPunc</ability>
      <abilityName>全半角检查</abilityName>
      <candidateList>
        <item>）</item>
      </candidateList>
      <explain>文本全半角错误。</explain>
      <paraID>4AB1B63C</paraID>
      <start>64</start>
      <end>65</end>
      <status>modified</status>
      <modifiedWord>）</modifiedWord>
      <trackRevisions>false</trackRevisions>
    </reviewItem>
    <reviewItem>
      <errorID>40b51a88-b041-4622-887e-1fef74720639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3FAB2123</paraID>
      <start>154</start>
      <end>156</end>
      <status>modified</status>
      <modifiedWord>》《</modifiedWord>
      <trackRevisions>false</trackRevisions>
    </reviewItem>
    <reviewItem>
      <errorID>0b54fe5b-dd8b-450d-8499-041248964321</errorID>
      <errorWord>&lt;</errorWord>
      <group>L1_Format</group>
      <groupName>格式问题</groupName>
      <ability>L2_HalfPunc</ability>
      <abilityName>全半角检查</abilityName>
      <candidateList>
        <item>〈</item>
      </candidateList>
      <explain>文本全半角错误。</explain>
      <paraID>24E1F0DA</paraID>
      <start>21</start>
      <end>22</end>
      <status>modified</status>
      <modifiedWord>〈</modifiedWord>
      <trackRevisions>false</trackRevisions>
    </reviewItem>
    <reviewItem>
      <errorID>d4614b72-019d-428b-918d-1bd4e32bbd18</errorID>
      <errorWord>&gt;的通知》</errorWord>
      <group>L1_Punc</group>
      <groupName>标点问题</groupName>
      <ability>L2_Punc</ability>
      <abilityName>标点符号检查</abilityName>
      <candidateList>
        <item>〉的通知》</item>
      </candidateList>
      <explain/>
      <paraID>24E1F0DA</paraID>
      <start>38</start>
      <end>43</end>
      <status>modified</status>
      <modifiedWord>〉的通知》</modifiedWord>
      <trackRevisions>false</trackRevisions>
    </reviewItem>
    <reviewItem>
      <errorID>c86e450d-d662-4918-92fc-b6945bf6d9f5</errorID>
      <errorWord>&lt;</errorWord>
      <group>L1_Format</group>
      <groupName>格式问题</groupName>
      <ability>L2_HalfPunc</ability>
      <abilityName>全半角检查</abilityName>
      <candidateList>
        <item>〈</item>
      </candidateList>
      <explain>文本全半角错误。</explain>
      <paraID>4B117054</paraID>
      <start>162</start>
      <end>163</end>
      <status>modified</status>
      <modifiedWord>〈</modifiedWord>
      <trackRevisions>false</trackRevisions>
    </reviewItem>
    <reviewItem>
      <errorID>2b851c10-89e2-4901-8af4-0dc416636e4d</errorID>
      <errorWord>&gt;</errorWord>
      <group>L1_Format</group>
      <groupName>格式问题</groupName>
      <ability>L2_HalfPunc</ability>
      <abilityName>全半角检查</abilityName>
      <candidateList>
        <item>〉</item>
      </candidateList>
      <explain>文本全半角错误。</explain>
      <paraID>4B117054</paraID>
      <start>180</start>
      <end>181</end>
      <status>modified</status>
      <modifiedWord>〉</modifiedWord>
      <trackRevisions>false</trackRevisions>
    </reviewItem>
    <reviewItem>
      <errorID>a63de637-9903-4f89-b2ab-0130f8ff3e99</errorID>
      <errorWord>(</errorWord>
      <group>L1_Format</group>
      <groupName>格式问题</groupName>
      <ability>L2_HalfPunc</ability>
      <abilityName>全半角检查</abilityName>
      <candidateList>
        <item>（</item>
      </candidateList>
      <explain>文本全半角错误。</explain>
      <paraID>4B117054</paraID>
      <start>282</start>
      <end>283</end>
      <status>modified</status>
      <modifiedWord>（</modifiedWord>
      <trackRevisions>false</trackRevisions>
    </reviewItem>
    <reviewItem>
      <errorID>23277a3e-a98f-492f-bca5-b25ec72232ae</errorID>
      <errorWord>)</errorWord>
      <group>L1_Format</group>
      <groupName>格式问题</groupName>
      <ability>L2_HalfPunc</ability>
      <abilityName>全半角检查</abilityName>
      <candidateList>
        <item>）</item>
      </candidateList>
      <explain>文本全半角错误。</explain>
      <paraID>4B117054</paraID>
      <start>285</start>
      <end>286</end>
      <status>modified</status>
      <modifiedWord>）</modifiedWord>
      <trackRevisions>false</trackRevisions>
    </reviewItem>
    <reviewItem>
      <errorID>e4bfdcaa-0c85-42d3-99df-ab12a8221b4d</errorID>
      <errorWord>(</errorWord>
      <group>L1_Format</group>
      <groupName>格式问题</groupName>
      <ability>L2_HalfPunc</ability>
      <abilityName>全半角检查</abilityName>
      <candidateList>
        <item>（</item>
      </candidateList>
      <explain>文本全半角错误。</explain>
      <paraID>5A2F67C9</paraID>
      <start>86</start>
      <end>87</end>
      <status>modified</status>
      <modifiedWord>（</modifiedWord>
      <trackRevisions>false</trackRevisions>
    </reviewItem>
    <reviewItem>
      <errorID>00862917-8ac6-4594-b379-b049d447ac0a</errorID>
      <errorWord>)</errorWord>
      <group>L1_Format</group>
      <groupName>格式问题</groupName>
      <ability>L2_HalfPunc</ability>
      <abilityName>全半角检查</abilityName>
      <candidateList>
        <item>）</item>
      </candidateList>
      <explain>文本全半角错误。</explain>
      <paraID>5A2F67C9</paraID>
      <start>89</start>
      <end>90</end>
      <status>modified</status>
      <modifiedWord>）</modifiedWord>
      <trackRevisions>false</trackRevisions>
    </reviewItem>
    <reviewItem>
      <errorID>dcf151c2-25f1-42a1-a5d3-e1bdaf064dec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3DBCEE7D</paraID>
      <start>48</start>
      <end>50</end>
      <status>modified</status>
      <modifiedWord>》《</modifiedWord>
      <trackRevisions>false</trackRevisions>
    </reviewItem>
    <reviewItem>
      <errorID>f155e1e3-87e8-4a3e-b538-10c1c64d1db4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5E55EA28</paraID>
      <start>41</start>
      <end>43</end>
      <status>modified</status>
      <modifiedWord>》《</modifiedWord>
      <trackRevisions>false</trackRevisions>
    </reviewItem>
    <reviewItem>
      <errorID>21dacb55-266f-4f23-be1a-a1b65071191c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5E55EA28</paraID>
      <start>59</start>
      <end>61</end>
      <status>modified</status>
      <modifiedWord>》《</modifiedWord>
      <trackRevisions>false</trackRevisions>
    </reviewItem>
    <reviewItem>
      <errorID>e06753b3-f3ef-4a84-ab13-57f65b3c370d</errorID>
      <errorWord>场地场地</errorWord>
      <group>L1_Word</group>
      <groupName>字词问题</groupName>
      <ability>L2_Typo</ability>
      <abilityName>字词错误</abilityName>
      <candidateList>
        <item>场地</item>
      </candidateList>
      <explain/>
      <paraID>54F33304</paraID>
      <start>38</start>
      <end>40</end>
      <status>modified</status>
      <modifiedWord>场地</modifiedWord>
      <trackRevisions>false</trackRevisions>
    </reviewItem>
    <reviewItem>
      <errorID>a33109f9-ccdc-4643-8832-a17f4f62ac8c</errorID>
      <errorWord>叶鲁番市</errorWord>
      <group>L1_Knowledge</group>
      <groupName>知识性问题</groupName>
      <ability>L2_Location</ability>
      <abilityName>地名检查</abilityName>
      <candidateList>
        <item>吐鲁番市</item>
      </candidateList>
      <explain>地名表述错误</explain>
      <paraID>54F33304</paraID>
      <start>216</start>
      <end>220</end>
      <status>modified</status>
      <modifiedWord>吐鲁番市</modifiedWord>
      <trackRevisions>false</trackRevisions>
    </reviewItem>
    <reviewItem>
      <errorID>2445948b-9579-487d-b78a-9d602d44e7ab</errorID>
      <errorWord>少</errorWord>
      <group>L1_Word</group>
      <groupName>字词问题</groupName>
      <ability>L2_Typo</ability>
      <abilityName>字词错误</abilityName>
      <candidateList>
        <item>少于</item>
      </candidateList>
      <explain/>
      <paraID>3D490B6A</paraID>
      <start>235</start>
      <end>237</end>
      <status>modified</status>
      <modifiedWord>少于</modifiedWord>
      <trackRevisions>false</trackRevisions>
    </reviewItem>
    <reviewItem>
      <errorID>51e3f34c-1fcf-4e42-aaf7-675ad0f875d2</errorID>
      <errorWord>、</errorWord>
      <group>L1_Word</group>
      <groupName>字词问题</groupName>
      <ability>L2_Typo</ability>
      <abilityName>字词错误</abilityName>
      <candidateList>
        <item>、具</item>
      </candidateList>
      <explain/>
      <paraID>5DADCB2C</paraID>
      <start>47</start>
      <end>49</end>
      <status>modified</status>
      <modifiedWord>、具</modifiedWord>
      <trackRevisions>false</trackRevisions>
    </reviewItem>
    <reviewItem>
      <errorID>0abe8001-83b8-4631-b5ae-dc34acd18581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2550AE3E</paraID>
      <start>72</start>
      <end>73</end>
      <status>modified</status>
      <modifiedWord>—</modifiedWord>
      <trackRevisions>false</trackRevisions>
    </reviewItem>
    <reviewItem>
      <errorID>d19433ca-9f3f-4ab3-9545-1d3fddf7e67a</errorID>
      <errorWord>(</errorWord>
      <group>L1_Format</group>
      <groupName>格式问题</groupName>
      <ability>L2_HalfPunc</ability>
      <abilityName>全半角检查</abilityName>
      <candidateList>
        <item>（</item>
      </candidateList>
      <explain>文本全半角错误。</explain>
      <paraID>3B25E0B8</paraID>
      <start>16</start>
      <end>17</end>
      <status>modified</status>
      <modifiedWord>（</modifiedWord>
      <trackRevisions>false</trackRevisions>
    </reviewItem>
    <reviewItem>
      <errorID>3764d7c8-b7a2-4b1f-a241-db5d3477d5e3</errorID>
      <errorWord>)</errorWord>
      <group>L1_Format</group>
      <groupName>格式问题</groupName>
      <ability>L2_HalfPunc</ability>
      <abilityName>全半角检查</abilityName>
      <candidateList>
        <item>）</item>
      </candidateList>
      <explain>文本全半角错误。</explain>
      <paraID>3B25E0B8</paraID>
      <start>27</start>
      <end>28</end>
      <status>modified</status>
      <modifiedWord>）</modifiedWord>
      <trackRevisions>false</trackRevisions>
    </reviewItem>
    <reviewItem>
      <errorID>25300f88-7426-4499-bc0b-f047e89bd61c</errorID>
      <errorWord>障</errorWord>
      <group>L1_Word</group>
      <groupName>字词问题</groupName>
      <ability>L2_Typo</ability>
      <abilityName>字词错误</abilityName>
      <candidateList>
        <item>障员</item>
      </candidateList>
      <explain/>
      <paraID>7846735F</paraID>
      <start>67</start>
      <end>69</end>
      <status>modified</status>
      <modifiedWord>障员</modifiedWord>
      <trackRevisions>false</trackRevisions>
    </reviewItem>
    <reviewItem>
      <errorID>dfc17680-a61b-48d3-9af3-7b861b7ab4f2</errorID>
      <errorWord>需具备</errorWord>
      <group>L1_Word</group>
      <groupName>字词问题</groupName>
      <ability>L2_Typo</ability>
      <abilityName>字词错误</abilityName>
      <candidateList>
        <item>须具备</item>
      </candidateList>
      <explain/>
      <paraID>7846735F</paraID>
      <start>112</start>
      <end>115</end>
      <status>modified</status>
      <modifiedWord>须具备</modifiedWord>
      <trackRevisions>false</trackRevisions>
    </reviewItem>
    <reviewItem>
      <errorID>269c2364-f6b8-4c46-b2fb-2aa5eb809b51</errorID>
      <errorWord>需具备</errorWord>
      <group>L1_Word</group>
      <groupName>字词问题</groupName>
      <ability>L2_Typo</ability>
      <abilityName>字词错误</abilityName>
      <candidateList>
        <item>须具备</item>
      </candidateList>
      <explain/>
      <paraID>7ED40717</paraID>
      <start>19</start>
      <end>22</end>
      <status>modified</status>
      <modifiedWord>须具备</modifiedWord>
      <trackRevisions>false</trackRevisions>
    </reviewItem>
    <reviewItem>
      <errorID>8185a7d9-1327-4aef-9e3b-fa36e61d5329</errorID>
      <errorWord>（十）、</errorWord>
      <group>L1_Format</group>
      <groupName>格式问题</groupName>
      <ability>L2_Ordinal</ability>
      <abilityName>序号格式</abilityName>
      <candidateList>
        <item>（十）</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600EFC73</paraID>
      <start>0</start>
      <end>3</end>
      <status>modified</status>
      <modifiedWord>（十）</modifiedWord>
      <trackRevisions>false</trackRevisions>
    </reviewItem>
    <reviewItem>
      <errorID>c398aa42-4b65-4bb6-832e-dcb636da194e</errorID>
      <errorWord>(十一)、</errorWord>
      <group>L1_Format</group>
      <groupName>格式问题</groupName>
      <ability>L2_Ordinal</ability>
      <abilityName>序号格式</abilityName>
      <candidateList>
        <item>（十一）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7C6F5CF6</paraID>
      <start>0</start>
      <end>4</end>
      <status>modified</status>
      <modifiedWord>（十一）</modifiedWord>
      <trackRevisions>false</trackRevisions>
    </reviewItem>
    <reviewItem>
      <errorID>bec63adb-db0d-47a8-ab9f-22a464581185</errorID>
      <errorWord>（十二）、</errorWord>
      <group>L1_Format</group>
      <groupName>格式问题</groupName>
      <ability>L2_Ordinal</ability>
      <abilityName>序号格式</abilityName>
      <candidateList>
        <item>（十二）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B3C2408</paraID>
      <start>0</start>
      <end>4</end>
      <status>modified</status>
      <modifiedWord>（十二）</modifiedWord>
      <trackRevisions>false</trackRevisions>
    </reviewItem>
    <reviewItem>
      <errorID>edcd5536-e443-4744-855c-3e206a3d8cc7</errorID>
      <errorWord>（十三）、</errorWord>
      <group>L1_Format</group>
      <groupName>格式问题</groupName>
      <ability>L2_Ordinal</ability>
      <abilityName>序号格式</abilityName>
      <candidateList>
        <item>（十三）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6FA0BF05</paraID>
      <start>0</start>
      <end>4</end>
      <status>modified</status>
      <modifiedWord>（十三）</modifiedWord>
      <trackRevisions>false</trackRevisions>
    </reviewItem>
    <reviewItem>
      <errorID>8e343415-7a51-47f8-b08f-2ede5d1b1b5d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7211872C</paraID>
      <start>27</start>
      <end>29</end>
      <status>modified</status>
      <modifiedWord>》《</modifiedWord>
      <trackRevisions>false</trackRevisions>
    </reviewItem>
    <reviewItem>
      <errorID>44cfb205-b909-46d1-8bdb-4e31fcbb3d08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7211872C</paraID>
      <start>47</start>
      <end>49</end>
      <status>modified</status>
      <modifiedWord>》《</modifiedWord>
      <trackRevisions>false</trackRevisions>
    </reviewItem>
    <reviewItem>
      <errorID>fd71750b-46af-40e9-8587-c7a0d7b256a2</errorID>
      <errorWord>（十四）、</errorWord>
      <group>L1_Format</group>
      <groupName>格式问题</groupName>
      <ability>L2_Ordinal</ability>
      <abilityName>序号格式</abilityName>
      <candidateList>
        <item>（十四）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43C94116</paraID>
      <start>0</start>
      <end>4</end>
      <status>modified</status>
      <modifiedWord>（十四）</modifiedWord>
      <trackRevisions>false</trackRevisions>
    </reviewItem>
    <reviewItem>
      <errorID>82c90642-766a-4d7c-aa1e-7093f359cb6a</errorID>
      <errorWord>）；</errorWord>
      <group>L1_Format</group>
      <groupName>格式问题</groupName>
      <ability>L2_HalfPunc</ability>
      <abilityName>全半角检查</abilityName>
      <candidateList>
        <item>);</item>
      </candidateList>
      <explain>文本全半角错误。</explain>
      <paraID>252269E6</paraID>
      <start>39</start>
      <end>41</end>
      <status>modified</status>
      <modifiedWord>);</modifiedWord>
      <trackRevisions>false</trackRevisions>
    </reviewItem>
    <reviewItem>
      <errorID>df904ab6-08b9-471f-97dc-af4976c248df</errorID>
      <errorWord>(</errorWord>
      <group>L1_Format</group>
      <groupName>格式问题</groupName>
      <ability>L2_HalfPunc</ability>
      <abilityName>全半角检查</abilityName>
      <candidateList>
        <item>（</item>
      </candidateList>
      <explain>文本全半角错误。</explain>
      <paraID> 942BD9B</paraID>
      <start>11</start>
      <end>12</end>
      <status>modified</status>
      <modifiedWord>（</modifiedWord>
      <trackRevisions>false</trackRevisions>
    </reviewItem>
    <reviewItem>
      <errorID>2d03e396-7abc-4d60-ac87-85d031f6c614</errorID>
      <errorWord>)</errorWord>
      <group>L1_Format</group>
      <groupName>格式问题</groupName>
      <ability>L2_HalfPunc</ability>
      <abilityName>全半角检查</abilityName>
      <candidateList>
        <item>）</item>
      </candidateList>
      <explain>文本全半角错误。</explain>
      <paraID> 942BD9B</paraID>
      <start>17</start>
      <end>18</end>
      <status>modified</status>
      <modifiedWord>）</modifiedWord>
      <trackRevisions>false</trackRevisions>
    </reviewItem>
    <reviewItem>
      <errorID>5af07380-bd07-472f-a845-6add4c0118ac</errorID>
      <errorWord>详</errorWord>
      <group>L1_Word</group>
      <groupName>字词问题</groupName>
      <ability>L2_Typo</ability>
      <abilityName>字词错误</abilityName>
      <candidateList>
        <item>详见</item>
      </candidateList>
      <explain/>
      <paraID>5B626FF4</paraID>
      <start>97</start>
      <end>99</end>
      <status>modified</status>
      <modifiedWord>详见</modifiedWord>
      <trackRevisions>false</trackRevisions>
    </reviewItem>
    <reviewItem>
      <errorID>04d4b470-f9c5-4e7e-b8a3-5da500ccd09e</errorID>
      <errorWord>(</errorWord>
      <group>L1_Format</group>
      <groupName>格式问题</groupName>
      <ability>L2_HalfPunc</ability>
      <abilityName>全半角检查</abilityName>
      <candidateList>
        <item>（</item>
      </candidateList>
      <explain>文本全半角错误。</explain>
      <paraID>4643D821</paraID>
      <start>7</start>
      <end>8</end>
      <status>modified</status>
      <modifiedWord>（</modifiedWord>
      <trackRevisions>false</trackRevisions>
    </reviewItem>
    <reviewItem>
      <errorID>fed77f0a-0149-427b-9cf0-8c974b6d4d42</errorID>
      <errorWord>)</errorWord>
      <group>L1_Format</group>
      <groupName>格式问题</groupName>
      <ability>L2_HalfPunc</ability>
      <abilityName>全半角检查</abilityName>
      <candidateList>
        <item>）</item>
      </candidateList>
      <explain>文本全半角错误。</explain>
      <paraID>4643D821</paraID>
      <start>18</start>
      <end>19</end>
      <status>modified</status>
      <modifiedWord>）</modifiedWord>
      <trackRevisions>false</trackRevisions>
    </reviewItem>
    <reviewItem>
      <errorID>9fb69af0-4f9b-40d9-80ae-2fc9785ae9a0</errorID>
      <errorWord>&lt;</errorWord>
      <group>L1_Format</group>
      <groupName>格式问题</groupName>
      <ability>L2_HalfPunc</ability>
      <abilityName>全半角检查</abilityName>
      <candidateList>
        <item>〈</item>
      </candidateList>
      <explain>文本全半角错误。</explain>
      <paraID>616311B4</paraID>
      <start>50</start>
      <end>51</end>
      <status>modified</status>
      <modifiedWord>〈</modifiedWord>
      <trackRevisions>false</trackRevisions>
    </reviewItem>
    <reviewItem>
      <errorID>8c94f97a-fe20-4f04-bb6c-750fb71b51b2</errorID>
      <errorWord>&lt;</errorWord>
      <group>L1_Format</group>
      <groupName>格式问题</groupName>
      <ability>L2_HalfPunc</ability>
      <abilityName>全半角检查</abilityName>
      <candidateList>
        <item>〈</item>
      </candidateList>
      <explain>文本全半角错误。</explain>
      <paraID>75AF2EBF</paraID>
      <start>50</start>
      <end>51</end>
      <status>modified</status>
      <modifiedWord>〈</modifiedWord>
      <trackRevisions>false</trackRevisions>
    </reviewItem>
    <reviewItem>
      <errorID>6ad33ab7-da66-4c04-bd26-f865f7aa0a62</errorID>
      <errorWord>&lt;</errorWord>
      <group>L1_Format</group>
      <groupName>格式问题</groupName>
      <ability>L2_HalfPunc</ability>
      <abilityName>全半角检查</abilityName>
      <candidateList>
        <item>〈</item>
      </candidateList>
      <explain>文本全半角错误。</explain>
      <paraID>3A1192EB</paraID>
      <start>35</start>
      <end>36</end>
      <status>modified</status>
      <modifiedWord>〈</modifiedWord>
      <trackRevisions>false</trackRevisions>
    </reviewItem>
    <reviewItem>
      <errorID>982ad936-c317-46ab-8e4a-8475a73eef7a</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40A6E68A</paraID>
      <start>64</start>
      <end>71</end>
      <status>modified</status>
      <modifiedWord>10%—20%</modifiedWord>
      <trackRevisions>false</trackRevisions>
    </reviewItem>
    <reviewItem>
      <errorID>be300389-5ab4-4d6b-9c34-24cfb8350660</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40A6E68A</paraID>
      <start>192</start>
      <end>197</end>
      <status>modified</status>
      <modifiedWord>4%—6%</modifiedWord>
      <trackRevisions>false</trackRevisions>
    </reviewItem>
    <reviewItem>
      <errorID>1bb060b2-537a-41e8-9ab2-8468d5d2f66f</errorID>
      <errorWord>,</errorWord>
      <group>L1_Format</group>
      <groupName>格式问题</groupName>
      <ability>L2_HalfPunc</ability>
      <abilityName>全半角检查</abilityName>
      <candidateList>
        <item>，</item>
      </candidateList>
      <explain>文本全半角错误。</explain>
      <paraID>678049D1</paraID>
      <start>8</start>
      <end>9</end>
      <status>modified</status>
      <modifiedWord>，</modifiedWord>
      <trackRevisions>false</trackRevisions>
    </reviewItem>
    <reviewItem>
      <errorID>76147243-ca15-4a1d-9904-ee8a87608d11</errorID>
      <errorWord>,</errorWord>
      <group>L1_Format</group>
      <groupName>格式问题</groupName>
      <ability>L2_HalfPunc</ability>
      <abilityName>全半角检查</abilityName>
      <candidateList>
        <item>，</item>
      </candidateList>
      <explain>文本全半角错误。</explain>
      <paraID> 19D7CFE</paraID>
      <start>35</start>
      <end>36</end>
      <status>modified</status>
      <modifiedWord>，</modifiedWord>
      <trackRevisions>false</trackRevisions>
    </reviewItem>
    <reviewItem>
      <errorID>96e9016d-207d-451c-87b9-68634d7c1260</errorID>
      <errorWord>法律、法规</errorWord>
      <group>L1_Word</group>
      <groupName>字词问题</groupName>
      <ability>L2_Typo</ability>
      <abilityName>字词错误</abilityName>
      <candidateList>
        <item>法律法规</item>
      </candidateList>
      <explain/>
      <paraID>64771416</paraID>
      <start>5</start>
      <end>9</end>
      <status>modified</status>
      <modifiedWord>法律法规</modifiedWord>
      <trackRevisions>false</trackRevisions>
    </reviewItem>
    <reviewItem>
      <errorID>180b3468-34d0-4298-b578-eaebaf3d21ce</errorID>
      <errorWord>法律、法规</errorWord>
      <group>L1_Word</group>
      <groupName>字词问题</groupName>
      <ability>L2_Typo</ability>
      <abilityName>字词错误</abilityName>
      <candidateList>
        <item>法律法规</item>
      </candidateList>
      <explain/>
      <paraID>6EA28AD3</paraID>
      <start>4</start>
      <end>8</end>
      <status>modified</status>
      <modifiedWord>法律法规</modifiedWord>
      <trackRevisions>false</trackRevisions>
    </reviewItem>
    <reviewItem>
      <errorID>d36502d2-34e1-4a86-a755-815c64d99724</errorID>
      <errorWord>法律、法规</errorWord>
      <group>L1_Word</group>
      <groupName>字词问题</groupName>
      <ability>L2_Typo</ability>
      <abilityName>字词错误</abilityName>
      <candidateList>
        <item>法律法规</item>
      </candidateList>
      <explain/>
      <paraID>6A83BB82</paraID>
      <start>4</start>
      <end>8</end>
      <status>modified</status>
      <modifiedWord>法律法规</modifiedWord>
      <trackRevisions>false</trackRevisions>
    </reviewItem>
    <reviewItem>
      <errorID>56249fcd-add7-4589-8e95-3beef7d2c420</errorID>
      <errorWord>,</errorWord>
      <group>L1_Format</group>
      <groupName>格式问题</groupName>
      <ability>L2_HalfPunc</ability>
      <abilityName>全半角检查</abilityName>
      <candidateList>
        <item>，</item>
      </candidateList>
      <explain>文本全半角错误。</explain>
      <paraID>2320BC33</paraID>
      <start>4</start>
      <end>5</end>
      <status>modified</status>
      <modifiedWord>，</modifiedWord>
      <trackRevisions>false</trackRevisions>
    </reviewItem>
    <reviewItem>
      <errorID>c25be82b-e23b-4034-88c7-1113e8d856c1</errorID>
      <errorWord>,</errorWord>
      <group>L1_Format</group>
      <groupName>格式问题</groupName>
      <ability>L2_HalfPunc</ability>
      <abilityName>全半角检查</abilityName>
      <candidateList>
        <item>，</item>
      </candidateList>
      <explain>文本全半角错误。</explain>
      <paraID> C8F393A</paraID>
      <start>31</start>
      <end>32</end>
      <status>modified</status>
      <modifiedWord>，</modifiedWord>
      <trackRevisions>false</trackRevisions>
    </reviewItem>
    <reviewItem>
      <errorID>7f0aaa20-6971-4e34-b3b3-32bb2be846d7</errorID>
      <errorWord>法律、法规</errorWord>
      <group>L1_Word</group>
      <groupName>字词问题</groupName>
      <ability>L2_Typo</ability>
      <abilityName>字词错误</abilityName>
      <candidateList>
        <item>法律法规</item>
      </candidateList>
      <explain/>
      <paraID>2B0D5F76</paraID>
      <start>2</start>
      <end>6</end>
      <status>modified</status>
      <modifiedWord>法律法规</modifiedWord>
      <trackRevisions>false</trackRevisions>
    </reviewItem>
    <reviewItem>
      <errorID>c8b54870-1c85-4be4-813a-efe84eb5f800</errorID>
      <errorWord>-</errorWord>
      <group>L1_Format</group>
      <groupName>格式问题</groupName>
      <ability>L2_HalfPunc</ability>
      <abilityName>全半角检查</abilityName>
      <candidateList>
        <item>－</item>
      </candidateList>
      <explain>文本全半角错误。</explain>
      <paraID>57E69487</paraID>
      <start>6</start>
      <end>7</end>
      <status>modified</status>
      <modifiedWord>－</modifiedWord>
      <trackRevisions>false</trackRevisions>
    </reviewItem>
    <reviewItem>
      <errorID>759d9d68-ced7-48f9-8e86-3b38d6a50b9f</errorID>
      <errorWord>(</errorWord>
      <group>L1_Format</group>
      <groupName>格式问题</groupName>
      <ability>L2_HalfPunc</ability>
      <abilityName>全半角检查</abilityName>
      <candidateList>
        <item>（</item>
      </candidateList>
      <explain>文本全半角错误。</explain>
      <paraID>1D24DC16</paraID>
      <start>4</start>
      <end>5</end>
      <status>modified</status>
      <modifiedWord>（</modifiedWord>
      <trackRevisions>false</trackRevisions>
    </reviewItem>
    <reviewItem>
      <errorID>ec3faad9-d668-4c32-b6f0-3adc4ec79768</errorID>
      <errorWord>)</errorWord>
      <group>L1_Format</group>
      <groupName>格式问题</groupName>
      <ability>L2_HalfPunc</ability>
      <abilityName>全半角检查</abilityName>
      <candidateList>
        <item>）</item>
      </candidateList>
      <explain>文本全半角错误。</explain>
      <paraID>1D24DC16</paraID>
      <start>11</start>
      <end>12</end>
      <status>modified</status>
      <modifiedWord>）</modifiedWord>
      <trackRevisions>false</trackRevisions>
    </reviewItem>
    <reviewItem>
      <errorID>0cd275e6-9813-4e90-a1b5-71e5fe3988a5</errorID>
      <errorWord>(</errorWord>
      <group>L1_Format</group>
      <groupName>格式问题</groupName>
      <ability>L2_HalfPunc</ability>
      <abilityName>全半角检查</abilityName>
      <candidateList>
        <item>（</item>
      </candidateList>
      <explain>文本全半角错误。</explain>
      <paraID>1AA224B7</paraID>
      <start>6</start>
      <end>7</end>
      <status>modified</status>
      <modifiedWord>（</modifiedWord>
      <trackRevisions>false</trackRevisions>
    </reviewItem>
    <reviewItem>
      <errorID>04881dc7-f88c-4b77-9f2d-8cb207a72b7c</errorID>
      <errorWord>-</errorWord>
      <group>L1_Format</group>
      <groupName>格式问题</groupName>
      <ability>L2_HalfPunc</ability>
      <abilityName>全半角检查</abilityName>
      <candidateList>
        <item>－</item>
      </candidateList>
      <explain>文本全半角错误。</explain>
      <paraID>1AA224B7</paraID>
      <start>16</start>
      <end>17</end>
      <status>modified</status>
      <modifiedWord>－</modifiedWord>
      <trackRevisions>false</trackRevisions>
    </reviewItem>
    <reviewItem>
      <errorID>53f6041c-5920-417b-bca6-9d67a93b6af4</errorID>
      <errorWord>)</errorWord>
      <group>L1_Format</group>
      <groupName>格式问题</groupName>
      <ability>L2_HalfPunc</ability>
      <abilityName>全半角检查</abilityName>
      <candidateList>
        <item>）</item>
      </candidateList>
      <explain>文本全半角错误。</explain>
      <paraID>1AA224B7</paraID>
      <start>19</start>
      <end>20</end>
      <status>modified</status>
      <modifiedWord>）</modifiedWord>
      <trackRevisions>false</trackRevisions>
    </reviewItem>
    <reviewItem>
      <errorID>7f4b6dfe-a92f-4d57-89e8-e1a41b666071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1AA224B7</paraID>
      <start>50</start>
      <end>51</end>
      <status>ignored</status>
      <modifiedWord/>
      <trackRevisions>false</trackRevisions>
    </reviewItem>
    <reviewItem>
      <errorID>16d368e4-9b5e-4386-8b10-952c4e528ffe</errorID>
      <errorWord>(</errorWord>
      <group>L1_Format</group>
      <groupName>格式问题</groupName>
      <ability>L2_HalfPunc</ability>
      <abilityName>全半角检查</abilityName>
      <candidateList>
        <item>（</item>
      </candidateList>
      <explain>文本全半角错误。</explain>
      <paraID>42BE7F7B</paraID>
      <start>20</start>
      <end>21</end>
      <status>modified</status>
      <modifiedWord>（</modifiedWord>
      <trackRevisions>false</trackRevisions>
    </reviewItem>
    <reviewItem>
      <errorID>a8cddcb8-d14b-407b-bdce-415b30841753</errorID>
      <errorWord>)</errorWord>
      <group>L1_Format</group>
      <groupName>格式问题</groupName>
      <ability>L2_HalfPunc</ability>
      <abilityName>全半角检查</abilityName>
      <candidateList>
        <item>）</item>
      </candidateList>
      <explain>文本全半角错误。</explain>
      <paraID>42BE7F7B</paraID>
      <start>37</start>
      <end>38</end>
      <status>modified</status>
      <modifiedWord>）</modifiedWord>
      <trackRevisions>false</trackRevisions>
    </reviewItem>
    <reviewItem>
      <errorID>4d6506a1-5c23-4a55-b4c4-d0d771c1356b</errorID>
      <errorWord>,</errorWord>
      <group>L1_Format</group>
      <groupName>格式问题</groupName>
      <ability>L2_HalfPunc</ability>
      <abilityName>全半角检查</abilityName>
      <candidateList>
        <item>，</item>
      </candidateList>
      <explain>文本全半角错误。</explain>
      <paraID>42BE7F7B</paraID>
      <start>88</start>
      <end>89</end>
      <status>modified</status>
      <modifiedWord>，</modifiedWord>
      <trackRevisions>false</trackRevisions>
    </reviewItem>
    <reviewItem>
      <errorID>4496667a-f07c-4d46-b947-54734da352e0</errorID>
      <errorWord>(</errorWord>
      <group>L1_Format</group>
      <groupName>格式问题</groupName>
      <ability>L2_HalfPunc</ability>
      <abilityName>全半角检查</abilityName>
      <candidateList>
        <item>（</item>
      </candidateList>
      <explain>文本全半角错误。</explain>
      <paraID>42BE7F7B</paraID>
      <start>139</start>
      <end>140</end>
      <status>modified</status>
      <modifiedWord>（</modifiedWord>
      <trackRevisions>false</trackRevisions>
    </reviewItem>
    <reviewItem>
      <errorID>51e1f149-ac4f-45fd-ba1f-80049ce0baa8</errorID>
      <errorWord>)</errorWord>
      <group>L1_Format</group>
      <groupName>格式问题</groupName>
      <ability>L2_HalfPunc</ability>
      <abilityName>全半角检查</abilityName>
      <candidateList>
        <item>）</item>
      </candidateList>
      <explain>文本全半角错误。</explain>
      <paraID>42BE7F7B</paraID>
      <start>183</start>
      <end>184</end>
      <status>modified</status>
      <modifiedWord>）</modifiedWord>
      <trackRevisions>false</trackRevisions>
    </reviewItem>
    <reviewItem>
      <errorID>ea9901d5-6c49-419e-9902-444623b22c4d</errorID>
      <errorWord>:</errorWord>
      <group>L1_Format</group>
      <groupName>格式问题</groupName>
      <ability>L2_HalfPunc</ability>
      <abilityName>全半角检查</abilityName>
      <candidateList>
        <item>：</item>
      </candidateList>
      <explain>文本全半角错误。</explain>
      <paraID>7854550A</paraID>
      <start>71</start>
      <end>72</end>
      <status>modified</status>
      <modifiedWord>：</modifiedWord>
      <trackRevisions>false</trackRevisions>
    </reviewItem>
    <reviewItem>
      <errorID>713eb67f-9ff3-49d1-ba81-ad02d333533d</errorID>
      <errorWord>(</errorWord>
      <group>L1_Format</group>
      <groupName>格式问题</groupName>
      <ability>L2_HalfPunc</ability>
      <abilityName>全半角检查</abilityName>
      <candidateList>
        <item>（</item>
      </candidateList>
      <explain>文本全半角错误。</explain>
      <paraID>7854550A</paraID>
      <start>101</start>
      <end>102</end>
      <status>modified</status>
      <modifiedWord>（</modifiedWord>
      <trackRevisions>false</trackRevisions>
    </reviewItem>
    <reviewItem>
      <errorID>ea6759df-385a-4b4c-baff-d1de81df274c</errorID>
      <errorWord>)</errorWord>
      <group>L1_Format</group>
      <groupName>格式问题</groupName>
      <ability>L2_HalfPunc</ability>
      <abilityName>全半角检查</abilityName>
      <candidateList>
        <item>）</item>
      </candidateList>
      <explain>文本全半角错误。</explain>
      <paraID>7854550A</paraID>
      <start>105</start>
      <end>106</end>
      <status>modified</status>
      <modifiedWord>）</modifiedWord>
      <trackRevisions>false</trackRevisions>
    </reviewItem>
    <reviewItem>
      <errorID>f8902fc9-f9fc-4f49-8988-6f408f91caad</errorID>
      <errorWord>(</errorWord>
      <group>L1_Format</group>
      <groupName>格式问题</groupName>
      <ability>L2_HalfPunc</ability>
      <abilityName>全半角检查</abilityName>
      <candidateList>
        <item>（</item>
      </candidateList>
      <explain>文本全半角错误。</explain>
      <paraID>14EB9658</paraID>
      <start>24</start>
      <end>25</end>
      <status>modified</status>
      <modifiedWord>（</modifiedWord>
      <trackRevisions>false</trackRevisions>
    </reviewItem>
    <reviewItem>
      <errorID>07949275-ba99-42ab-83fa-a02049856127</errorID>
      <errorWord>)</errorWord>
      <group>L1_Format</group>
      <groupName>格式问题</groupName>
      <ability>L2_HalfPunc</ability>
      <abilityName>全半角检查</abilityName>
      <candidateList>
        <item>）</item>
      </candidateList>
      <explain>文本全半角错误。</explain>
      <paraID>14EB9658</paraID>
      <start>27</start>
      <end>28</end>
      <status>modified</status>
      <modifiedWord>）</modifiedWord>
      <trackRevisions>false</trackRevisions>
    </reviewItem>
    <reviewItem>
      <errorID>241917e3-15b6-473c-9976-ed728afee324</errorID>
      <errorWord>(</errorWord>
      <group>L1_Format</group>
      <groupName>格式问题</groupName>
      <ability>L2_HalfPunc</ability>
      <abilityName>全半角检查</abilityName>
      <candidateList>
        <item>（</item>
      </candidateList>
      <explain>文本全半角错误。</explain>
      <paraID>212A4C0E</paraID>
      <start>24</start>
      <end>25</end>
      <status>modified</status>
      <modifiedWord>（</modifiedWord>
      <trackRevisions>false</trackRevisions>
    </reviewItem>
    <reviewItem>
      <errorID>6db16f91-7ced-4ac3-84ef-132b5040cc31</errorID>
      <errorWord>)</errorWord>
      <group>L1_Format</group>
      <groupName>格式问题</groupName>
      <ability>L2_HalfPunc</ability>
      <abilityName>全半角检查</abilityName>
      <candidateList>
        <item>）</item>
      </candidateList>
      <explain>文本全半角错误。</explain>
      <paraID>212A4C0E</paraID>
      <start>29</start>
      <end>30</end>
      <status>modified</status>
      <modifiedWord>）</modifiedWord>
      <trackRevisions>false</trackRevisions>
    </reviewItem>
    <reviewItem>
      <errorID>0a2106e1-f878-4698-8e57-9d16edc6ea75</errorID>
      <errorWord>(</errorWord>
      <group>L1_Format</group>
      <groupName>格式问题</groupName>
      <ability>L2_HalfPunc</ability>
      <abilityName>全半角检查</abilityName>
      <candidateList>
        <item>（</item>
      </candidateList>
      <explain>文本全半角错误。</explain>
      <paraID>212A4C0E</paraID>
      <start>121</start>
      <end>122</end>
      <status>modified</status>
      <modifiedWord>（</modifiedWord>
      <trackRevisions>false</trackRevisions>
    </reviewItem>
    <reviewItem>
      <errorID>239fa720-8518-455a-ba60-b4a90f996fd0</errorID>
      <errorWord>)</errorWord>
      <group>L1_Format</group>
      <groupName>格式问题</groupName>
      <ability>L2_HalfPunc</ability>
      <abilityName>全半角检查</abilityName>
      <candidateList>
        <item>）</item>
      </candidateList>
      <explain>文本全半角错误。</explain>
      <paraID>212A4C0E</paraID>
      <start>125</start>
      <end>126</end>
      <status>modified</status>
      <modifiedWord>）</modifiedWord>
      <trackRevisions>false</trackRevisions>
    </reviewItem>
    <reviewItem>
      <errorID>367f7650-0862-4d0d-bc91-e3799a8e0c70</errorID>
      <errorWord>(</errorWord>
      <group>L1_Format</group>
      <groupName>格式问题</groupName>
      <ability>L2_HalfPunc</ability>
      <abilityName>全半角检查</abilityName>
      <candidateList>
        <item>（</item>
      </candidateList>
      <explain>文本全半角错误。</explain>
      <paraID>212A4C0E</paraID>
      <start>138</start>
      <end>139</end>
      <status>modified</status>
      <modifiedWord>（</modifiedWord>
      <trackRevisions>false</trackRevisions>
    </reviewItem>
    <reviewItem>
      <errorID>471c2832-1921-436a-a812-e6f3c3707e5c</errorID>
      <errorWord>:</errorWord>
      <group>L1_Format</group>
      <groupName>格式问题</groupName>
      <ability>L2_HalfPunc</ability>
      <abilityName>全半角检查</abilityName>
      <candidateList>
        <item>：</item>
      </candidateList>
      <explain>文本全半角错误。</explain>
      <paraID>212A4C0E</paraID>
      <start>148</start>
      <end>149</end>
      <status>unmodified</status>
      <modifiedWord/>
      <trackRevisions>false</trackRevisions>
    </reviewItem>
    <reviewItem>
      <errorID>d5d41475-a9b3-4029-a38a-cabc75334ec8</errorID>
      <errorWord>)</errorWord>
      <group>L1_Format</group>
      <groupName>格式问题</groupName>
      <ability>L2_HalfPunc</ability>
      <abilityName>全半角检查</abilityName>
      <candidateList>
        <item>）</item>
      </candidateList>
      <explain>文本全半角错误。</explain>
      <paraID>212A4C0E</paraID>
      <start>215</start>
      <end>216</end>
      <status>modified</status>
      <modifiedWord>）</modifiedWord>
      <trackRevisions>false</trackRevisions>
    </reviewItem>
    <reviewItem>
      <errorID>5ef2cbb9-253a-48c5-a60a-97679d0a6f08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3F06F191</paraID>
      <start>0</start>
      <end>2</end>
      <status>modified</status>
      <modifiedWord>1.</modifiedWord>
      <trackRevisions>false</trackRevisions>
    </reviewItem>
    <reviewItem>
      <errorID>68d4a8da-48d6-497d-8b2a-6ab93c921ddf</errorID>
      <errorWord>(</errorWord>
      <group>L1_Format</group>
      <groupName>格式问题</groupName>
      <ability>L2_HalfPunc</ability>
      <abilityName>全半角检查</abilityName>
      <candidateList>
        <item>（</item>
      </candidateList>
      <explain>文本全半角错误。</explain>
      <paraID>3F06F191</paraID>
      <start>18</start>
      <end>19</end>
      <status>modified</status>
      <modifiedWord>（</modifiedWord>
      <trackRevisions>false</trackRevisions>
    </reviewItem>
    <reviewItem>
      <errorID>2852525b-24d1-459f-84c3-f8f8d96897d7</errorID>
      <errorWord>)</errorWord>
      <group>L1_Format</group>
      <groupName>格式问题</groupName>
      <ability>L2_HalfPunc</ability>
      <abilityName>全半角检查</abilityName>
      <candidateList>
        <item>）</item>
      </candidateList>
      <explain>文本全半角错误。</explain>
      <paraID>3F06F191</paraID>
      <start>23</start>
      <end>24</end>
      <status>modified</status>
      <modifiedWord>）</modifiedWord>
      <trackRevisions>false</trackRevisions>
    </reviewItem>
    <reviewItem>
      <errorID>3ea19b11-ede8-4271-9e0b-91fed48b739b</errorID>
      <errorWord>;</errorWord>
      <group>L1_Format</group>
      <groupName>格式问题</groupName>
      <ability>L2_HalfPunc</ability>
      <abilityName>全半角检查</abilityName>
      <candidateList>
        <item>；</item>
      </candidateList>
      <explain>文本全半角错误。</explain>
      <paraID>3F06F191</paraID>
      <start>32</start>
      <end>33</end>
      <status>modified</status>
      <modifiedWord>；</modifiedWord>
      <trackRevisions>false</trackRevisions>
    </reviewItem>
    <reviewItem>
      <errorID>0af6da1c-976d-4b9a-a58d-1433bdcbba25</errorID>
      <errorWord>,</errorWord>
      <group>L1_Format</group>
      <groupName>格式问题</groupName>
      <ability>L2_HalfPunc</ability>
      <abilityName>全半角检查</abilityName>
      <candidateList>
        <item>，</item>
      </candidateList>
      <explain>文本全半角错误。</explain>
      <paraID>3F06F191</paraID>
      <start>88</start>
      <end>89</end>
      <status>modified</status>
      <modifiedWord>，</modifiedWord>
      <trackRevisions>false</trackRevisions>
    </reviewItem>
    <reviewItem>
      <errorID>6f27919c-a64b-4999-88cb-a7a498d37083</errorID>
      <errorWord>(</errorWord>
      <group>L1_Format</group>
      <groupName>格式问题</groupName>
      <ability>L2_HalfPunc</ability>
      <abilityName>全半角检查</abilityName>
      <candidateList>
        <item>（</item>
      </candidateList>
      <explain>文本全半角错误。</explain>
      <paraID>3F06F191</paraID>
      <start>98</start>
      <end>99</end>
      <status>modified</status>
      <modifiedWord>（</modifiedWord>
      <trackRevisions>false</trackRevisions>
    </reviewItem>
    <reviewItem>
      <errorID>e8d6cbe4-2529-453f-b371-a4467a2aafe6</errorID>
      <errorWord>)</errorWord>
      <group>L1_Format</group>
      <groupName>格式问题</groupName>
      <ability>L2_HalfPunc</ability>
      <abilityName>全半角检查</abilityName>
      <candidateList>
        <item>）</item>
      </candidateList>
      <explain>文本全半角错误。</explain>
      <paraID>3F06F191</paraID>
      <start>102</start>
      <end>103</end>
      <status>modified</status>
      <modifiedWord>）</modifiedWord>
      <trackRevisions>false</trackRevisions>
    </reviewItem>
    <reviewItem>
      <errorID>1eeff24e-e43a-424a-86bb-ce454448b892</errorID>
      <errorWord>(</errorWord>
      <group>L1_Format</group>
      <groupName>格式问题</groupName>
      <ability>L2_HalfPunc</ability>
      <abilityName>全半角检查</abilityName>
      <candidateList>
        <item>（</item>
      </candidateList>
      <explain>文本全半角错误。</explain>
      <paraID>3F06F191</paraID>
      <start>113</start>
      <end>114</end>
      <status>modified</status>
      <modifiedWord>（</modifiedWord>
      <trackRevisions>false</trackRevisions>
    </reviewItem>
    <reviewItem>
      <errorID>ceb609cb-731d-473c-b748-4d9eedfd8821</errorID>
      <errorWord>:</errorWord>
      <group>L1_Format</group>
      <groupName>格式问题</groupName>
      <ability>L2_HalfPunc</ability>
      <abilityName>全半角检查</abilityName>
      <candidateList>
        <item>：</item>
      </candidateList>
      <explain>文本全半角错误。</explain>
      <paraID>3F06F191</paraID>
      <start>123</start>
      <end>124</end>
      <status>modified</status>
      <modifiedWord>：</modifiedWord>
      <trackRevisions>false</trackRevisions>
    </reviewItem>
    <reviewItem>
      <errorID>47ab8e6a-fe5b-4c86-a656-1cc68499aaa7</errorID>
      <errorWord>)</errorWord>
      <group>L1_Format</group>
      <groupName>格式问题</groupName>
      <ability>L2_HalfPunc</ability>
      <abilityName>全半角检查</abilityName>
      <candidateList>
        <item>）</item>
      </candidateList>
      <explain>文本全半角错误。</explain>
      <paraID>3F06F191</paraID>
      <start>190</start>
      <end>191</end>
      <status>modified</status>
      <modifiedWord>）</modifiedWord>
      <trackRevisions>false</trackRevisions>
    </reviewItem>
    <reviewItem>
      <errorID>b8c065a6-1842-4ffb-9e69-b3ca5fc0304c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72CD6359</paraID>
      <start>0</start>
      <end>2</end>
      <status>modified</status>
      <modifiedWord>2.</modifiedWord>
      <trackRevisions>false</trackRevisions>
    </reviewItem>
    <reviewItem>
      <errorID>79544208-44c9-44a3-b17f-85309ce5069b</errorID>
      <errorWord>:</errorWord>
      <group>L1_Format</group>
      <groupName>格式问题</groupName>
      <ability>L2_HalfPunc</ability>
      <abilityName>全半角检查</abilityName>
      <candidateList>
        <item>：</item>
      </candidateList>
      <explain>文本全半角错误。</explain>
      <paraID>72CD6359</paraID>
      <start>8</start>
      <end>9</end>
      <status>modified</status>
      <modifiedWord>：</modifiedWord>
      <trackRevisions>false</trackRevisions>
    </reviewItem>
    <reviewItem>
      <errorID>c2f71f82-143f-4854-bd02-37230b657001</errorID>
      <errorWord>,</errorWord>
      <group>L1_Format</group>
      <groupName>格式问题</groupName>
      <ability>L2_HalfPunc</ability>
      <abilityName>全半角检查</abilityName>
      <candidateList>
        <item>，</item>
      </candidateList>
      <explain>文本全半角错误。</explain>
      <paraID>72CD6359</paraID>
      <start>32</start>
      <end>33</end>
      <status>modified</status>
      <modifiedWord>，</modifiedWord>
      <trackRevisions>false</trackRevisions>
    </reviewItem>
    <reviewItem>
      <errorID>0b25d374-fad6-4421-ba67-88773769177d</errorID>
      <errorWord>,</errorWord>
      <group>L1_Format</group>
      <groupName>格式问题</groupName>
      <ability>L2_HalfPunc</ability>
      <abilityName>全半角检查</abilityName>
      <candidateList>
        <item>，</item>
      </candidateList>
      <explain>文本全半角错误。</explain>
      <paraID>72CD6359</paraID>
      <start>53</start>
      <end>54</end>
      <status>modified</status>
      <modifiedWord>，</modifiedWord>
      <trackRevisions>false</trackRevisions>
    </reviewItem>
    <reviewItem>
      <errorID>6ce2a2ff-60e3-48b9-8fcb-0ace4424de8a</errorID>
      <errorWord>(</errorWord>
      <group>L1_Format</group>
      <groupName>格式问题</groupName>
      <ability>L2_HalfPunc</ability>
      <abilityName>全半角检查</abilityName>
      <candidateList>
        <item>（</item>
      </candidateList>
      <explain>文本全半角错误。</explain>
      <paraID>6B67BC80</paraID>
      <start>122</start>
      <end>123</end>
      <status>modified</status>
      <modifiedWord>（</modifiedWord>
      <trackRevisions>false</trackRevisions>
    </reviewItem>
    <reviewItem>
      <errorID>c54d4f4c-2471-4c76-949d-5693b5edde20</errorID>
      <errorWord>)</errorWord>
      <group>L1_Format</group>
      <groupName>格式问题</groupName>
      <ability>L2_HalfPunc</ability>
      <abilityName>全半角检查</abilityName>
      <candidateList>
        <item>）</item>
      </candidateList>
      <explain>文本全半角错误。</explain>
      <paraID>6B67BC80</paraID>
      <start>126</start>
      <end>127</end>
      <status>modified</status>
      <modifiedWord>）</modifiedWord>
      <trackRevisions>false</trackRevisions>
    </reviewItem>
    <reviewItem>
      <errorID>397952b9-2526-422f-b3d0-c5a2663b0173</errorID>
      <errorWord>(</errorWord>
      <group>L1_Format</group>
      <groupName>格式问题</groupName>
      <ability>L2_HalfPunc</ability>
      <abilityName>全半角检查</abilityName>
      <candidateList>
        <item>（</item>
      </candidateList>
      <explain>文本全半角错误。</explain>
      <paraID>6B67BC80</paraID>
      <start>137</start>
      <end>138</end>
      <status>modified</status>
      <modifiedWord>（</modifiedWord>
      <trackRevisions>false</trackRevisions>
    </reviewItem>
    <reviewItem>
      <errorID>d4221c4b-8958-426e-a353-23aefa16c7de</errorID>
      <errorWord>:</errorWord>
      <group>L1_Format</group>
      <groupName>格式问题</groupName>
      <ability>L2_HalfPunc</ability>
      <abilityName>全半角检查</abilityName>
      <candidateList>
        <item>：</item>
      </candidateList>
      <explain>文本全半角错误。</explain>
      <paraID>6B67BC80</paraID>
      <start>147</start>
      <end>148</end>
      <status>modified</status>
      <modifiedWord>：</modifiedWord>
      <trackRevisions>false</trackRevisions>
    </reviewItem>
    <reviewItem>
      <errorID>4607bbf8-5543-44d8-afa7-5a492d243edd</errorID>
      <errorWord>)</errorWord>
      <group>L1_Format</group>
      <groupName>格式问题</groupName>
      <ability>L2_HalfPunc</ability>
      <abilityName>全半角检查</abilityName>
      <candidateList>
        <item>）</item>
      </candidateList>
      <explain>文本全半角错误。</explain>
      <paraID>6B67BC80</paraID>
      <start>195</start>
      <end>196</end>
      <status>modified</status>
      <modifiedWord>）</modifiedWord>
      <trackRevisions>false</trackRevisions>
    </reviewItem>
    <reviewItem>
      <errorID>914b7b8d-abcb-4efe-bcbc-7fbab6df4598</errorID>
      <errorWord>,</errorWord>
      <group>L1_Format</group>
      <groupName>格式问题</groupName>
      <ability>L2_HalfPunc</ability>
      <abilityName>全半角检查</abilityName>
      <candidateList>
        <item>，</item>
      </candidateList>
      <explain>文本全半角错误。</explain>
      <paraID>46C968F5</paraID>
      <start>11</start>
      <end>12</end>
      <status>modified</status>
      <modifiedWord>，</modifiedWord>
      <trackRevisions>false</trackRevisions>
    </reviewItem>
    <reviewItem>
      <errorID>c7e10960-c354-48e4-8a3e-b1147ede453a</errorID>
      <errorWord>,</errorWord>
      <group>L1_Format</group>
      <groupName>格式问题</groupName>
      <ability>L2_HalfPunc</ability>
      <abilityName>全半角检查</abilityName>
      <candidateList>
        <item>，</item>
      </candidateList>
      <explain>文本全半角错误。</explain>
      <paraID>46C968F5</paraID>
      <start>20</start>
      <end>21</end>
      <status>modified</status>
      <modifiedWord>，</modifiedWord>
      <trackRevisions>false</trackRevisions>
    </reviewItem>
    <reviewItem>
      <errorID>c6b1ed04-6dcb-4b7b-9e9c-ac2e2abc4655</errorID>
      <errorWord>,</errorWord>
      <group>L1_Format</group>
      <groupName>格式问题</groupName>
      <ability>L2_HalfPunc</ability>
      <abilityName>全半角检查</abilityName>
      <candidateList>
        <item>，</item>
      </candidateList>
      <explain>文本全半角错误。</explain>
      <paraID>46C968F5</paraID>
      <start>44</start>
      <end>45</end>
      <status>modified</status>
      <modifiedWord>，</modifiedWord>
      <trackRevisions>false</trackRevisions>
    </reviewItem>
    <reviewItem>
      <errorID>f4a99369-4d9b-4145-bb9e-1f36390a1a6d</errorID>
      <errorWord>成</errorWord>
      <group>L1_Word</group>
      <groupName>字词问题</groupName>
      <ability>L2_Typo</ability>
      <abilityName>字词错误</abilityName>
      <candidateList>
        <item>成后</item>
      </candidateList>
      <explain/>
      <paraID>3A0D727C</paraID>
      <start>35</start>
      <end>37</end>
      <status>modified</status>
      <modifiedWord>成后</modifiedWord>
      <trackRevisions>false</trackRevisions>
    </reviewItem>
    <reviewItem>
      <errorID>5ebe1ea0-5fd3-4404-914b-475e7f3c27e4</errorID>
      <errorWord>晰</errorWord>
      <group>L1_Word</group>
      <groupName>字词问题</groupName>
      <ability>L2_Typo</ability>
      <abilityName>字词错误</abilityName>
      <candidateList>
        <item>晰地</item>
      </candidateList>
      <explain/>
      <paraID>68BFDD18</paraID>
      <start>52</start>
      <end>54</end>
      <status>modified</status>
      <modifiedWord>晰地</modifiedWord>
      <trackRevisions>false</trackRevisions>
    </reviewItem>
    <reviewItem>
      <errorID>c9bf20be-117d-43b4-b22d-decd3b23f1cf</errorID>
      <errorWord>个</errorWord>
      <group>L1_Word</group>
      <groupName>字词问题</groupName>
      <ability>L2_Typo</ability>
      <abilityName>字词错误</abilityName>
      <candidateList>
        <item/>
      </candidateList>
      <explain/>
      <paraID>417C6F9C</paraID>
      <start>34</start>
      <end>35</end>
      <status>ignored</status>
      <modifiedWord/>
      <trackRevisions>false</trackRevisions>
    </reviewItem>
    <reviewItem>
      <errorID>b8d97fd4-9440-4b40-838b-0ad29d9ebb4b</errorID>
      <errorWord>需具备</errorWord>
      <group>L1_Word</group>
      <groupName>字词问题</groupName>
      <ability>L2_Typo</ability>
      <abilityName>字词错误</abilityName>
      <candidateList>
        <item>须具备</item>
      </candidateList>
      <explain/>
      <paraID>67E439EA</paraID>
      <start>20</start>
      <end>23</end>
      <status>modified</status>
      <modifiedWord>须具备</modifiedWord>
      <trackRevisions>false</trackRevisions>
    </reviewItem>
    <reviewItem>
      <errorID>352fc88b-5890-426b-b0ac-762b8f2c1510</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6F2BCD42</paraID>
      <start>106</start>
      <end>108</end>
      <status>modified</status>
      <modifiedWord>其间</modifiedWord>
      <trackRevisions>false</trackRevisions>
    </reviewItem>
    <reviewItem>
      <errorID>c1432648-ee71-46be-a3df-7764fe988929</errorID>
      <errorWord>障</errorWord>
      <group>L1_Word</group>
      <groupName>字词问题</groupName>
      <ability>L2_Typo</ability>
      <abilityName>字词错误</abilityName>
      <candidateList>
        <item>障员</item>
      </candidateList>
      <explain/>
      <paraID> 8134BCC</paraID>
      <start>62</start>
      <end>64</end>
      <status>modified</status>
      <modifiedWord>障员</modifiedWord>
      <trackRevisions>false</trackRevisions>
    </reviewItem>
    <reviewItem>
      <errorID>11982b7c-805d-41af-9710-19d96260dc18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212D0AF7</paraID>
      <start>0</start>
      <end>2</end>
      <status>modified</status>
      <modifiedWord>1.</modifiedWord>
      <trackRevisions>false</trackRevisions>
    </reviewItem>
    <reviewItem>
      <errorID>b872d737-a49b-4e53-a62a-e50cfd146098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77D10618</paraID>
      <start>0</start>
      <end>2</end>
      <status>modified</status>
      <modifiedWord>2.</modifiedWord>
      <trackRevisions>false</trackRevisions>
    </reviewItem>
    <reviewItem>
      <errorID>1a734633-58f4-4174-98ee-9766ffd4e4be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7F472804</paraID>
      <start>0</start>
      <end>2</end>
      <status>modified</status>
      <modifiedWord>3.</modifiedWord>
      <trackRevisions>false</trackRevisions>
    </reviewItem>
    <reviewItem>
      <errorID>49d3b8b2-f705-43d9-adc4-79368680ee32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76B1F6B7</paraID>
      <start>0</start>
      <end>2</end>
      <status>modified</status>
      <modifiedWord>4.</modifiedWord>
      <trackRevisions>false</trackRevisions>
    </reviewItem>
    <reviewItem>
      <errorID>6fa1f6a4-d66a-4a31-95c4-c0fa3b582ccd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17795BE9</paraID>
      <start>0</start>
      <end>2</end>
      <status>modified</status>
      <modifiedWord>5.</modifiedWord>
      <trackRevisions>false</trackRevisions>
    </reviewItem>
    <reviewItem>
      <errorID>0b1dc59b-2cc3-4448-820b-c96a93d05113</errorID>
      <errorWord>;</errorWord>
      <group>L1_Format</group>
      <groupName>格式问题</groupName>
      <ability>L2_HalfPunc</ability>
      <abilityName>全半角检查</abilityName>
      <candidateList>
        <item>；</item>
      </candidateList>
      <explain>文本全半角错误。</explain>
      <paraID>6F4ADBC6</paraID>
      <start>16</start>
      <end>17</end>
      <status>modified</status>
      <modifiedWord>；</modifiedWord>
      <trackRevisions>false</trackRevisions>
    </reviewItem>
    <reviewItem>
      <errorID>c43331f4-d572-47f1-a831-57719347b45d</errorID>
      <errorWord>;</errorWord>
      <group>L1_Format</group>
      <groupName>格式问题</groupName>
      <ability>L2_HalfPunc</ability>
      <abilityName>全半角检查</abilityName>
      <candidateList>
        <item>；</item>
      </candidateList>
      <explain>文本全半角错误。</explain>
      <paraID>3DD43C9C</paraID>
      <start>22</start>
      <end>23</end>
      <status>modified</status>
      <modifiedWord>；</modifiedWord>
      <trackRevisions>false</trackRevisions>
    </reviewItem>
    <reviewItem>
      <errorID>f1d6bf32-0cd4-4875-b76f-9f6f9666ea97</errorID>
      <errorWord>;</errorWord>
      <group>L1_Format</group>
      <groupName>格式问题</groupName>
      <ability>L2_HalfPunc</ability>
      <abilityName>全半角检查</abilityName>
      <candidateList>
        <item>；</item>
      </candidateList>
      <explain>文本全半角错误。</explain>
      <paraID>5713179C</paraID>
      <start>22</start>
      <end>23</end>
      <status>modified</status>
      <modifiedWord>；</modifiedWord>
      <trackRevisions>false</trackRevisions>
    </reviewItem>
    <reviewItem>
      <errorID>6a675769-a609-423e-a16c-3d0864e817e3</errorID>
      <errorWord>;</errorWord>
      <group>L1_Format</group>
      <groupName>格式问题</groupName>
      <ability>L2_HalfPunc</ability>
      <abilityName>全半角检查</abilityName>
      <candidateList>
        <item>；</item>
      </candidateList>
      <explain>文本全半角错误。</explain>
      <paraID>744F3B75</paraID>
      <start>22</start>
      <end>23</end>
      <status>modified</status>
      <modifiedWord>；</modifiedWord>
      <trackRevisions>false</trackRevisions>
    </reviewItem>
    <reviewItem>
      <errorID>88aabe40-e178-4d08-b3ba-6505b6e44398</errorID>
      <errorWord>;</errorWord>
      <group>L1_Format</group>
      <groupName>格式问题</groupName>
      <ability>L2_HalfPunc</ability>
      <abilityName>全半角检查</abilityName>
      <candidateList>
        <item>；</item>
      </candidateList>
      <explain>文本全半角错误。</explain>
      <paraID>6C4E3DF4</paraID>
      <start>30</start>
      <end>31</end>
      <status>modified</status>
      <modifiedWord>；</modifiedWord>
      <trackRevisions>false</trackRevisions>
    </reviewItem>
    <reviewItem>
      <errorID>e118c86e-2bf3-4413-b8df-0036b390fb03</errorID>
      <errorWord>七</errorWord>
      <group>L1_Word</group>
      <groupName>字词问题</groupName>
      <ability>L2_Typo</ability>
      <abilityName>字词错误</abilityName>
      <candidateList>
        <item>七条</item>
      </candidateList>
      <explain/>
      <paraID> 648154F</paraID>
      <start>107</start>
      <end>109</end>
      <status>modified</status>
      <modifiedWord>七条</modifiedWord>
      <trackRevisions>false</trackRevisions>
    </reviewItem>
    <reviewItem>
      <errorID>20d227bc-4cdb-4fb4-84ed-f2187818b22a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705C0B00</paraID>
      <start>10</start>
      <end>11</end>
      <status>modified</status>
      <modifiedWord>或</modifiedWord>
      <trackRevisions>false</trackRevisions>
    </reviewItem>
    <reviewItem>
      <errorID>17513ac9-a872-413f-b3d7-9c6febbbc89a</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705C0B00</paraID>
      <start>13</start>
      <end>14</end>
      <status>modified</status>
      <modifiedWord>或</modifiedWord>
      <trackRevisions>false</trackRevisions>
    </reviewItem>
    <reviewItem>
      <errorID>1d59124a-bfb5-4e70-99b0-3f6478e3fb90</errorID>
      <errorWord>相应</errorWord>
      <group>L1_Word</group>
      <groupName>字词问题</groupName>
      <ability>L2_Typo</ability>
      <abilityName>字词错误</abilityName>
      <candidateList>
        <item>响应</item>
      </candidateList>
      <explain>存在发音相同字词的误用。</explain>
      <paraID>39E115CC</paraID>
      <start>69</start>
      <end>71</end>
      <status>modified</status>
      <modifiedWord>响应</modifiedWord>
      <trackRevisions>false</trackRevisions>
    </reviewItem>
    <reviewItem>
      <errorID>cd69677b-5115-4e60-b76c-bab6cf3011de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253586F5</paraID>
      <start>0</start>
      <end>2</end>
      <status>modified</status>
      <modifiedWord>1.</modifiedWord>
      <trackRevisions>false</trackRevisions>
    </reviewItem>
    <reviewItem>
      <errorID>5ddb0b09-c675-44c0-b0a4-0e6a9f44885c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7ACA423A</paraID>
      <start>0</start>
      <end>2</end>
      <status>modified</status>
      <modifiedWord>2.</modifiedWord>
      <trackRevisions>false</trackRevisions>
    </reviewItem>
    <reviewItem>
      <errorID>11cc32f6-1d90-4e4a-b25b-edf32cc368fa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45F41F32</paraID>
      <start>0</start>
      <end>2</end>
      <status>modified</status>
      <modifiedWord>1.</modifiedWord>
      <trackRevisions>false</trackRevisions>
    </reviewItem>
    <reviewItem>
      <errorID>f66f1b6d-e885-4cf2-a294-8a5400b4c433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50A11D6F</paraID>
      <start>0</start>
      <end>2</end>
      <status>modified</status>
      <modifiedWord>2.</modifiedWord>
      <trackRevisions>false</trackRevisions>
    </reviewItem>
    <reviewItem>
      <errorID>47de8fa2-9b39-4df7-978c-438af708fb95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6F788B7F</paraID>
      <start>0</start>
      <end>2</end>
      <status>modified</status>
      <modifiedWord>3.</modifiedWord>
      <trackRevisions>false</trackRevisions>
    </reviewItem>
    <reviewItem>
      <errorID>6941ab92-7ba4-4f0a-b368-fdd61b1524fb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44316F66</paraID>
      <start>0</start>
      <end>2</end>
      <status>modified</status>
      <modifiedWord>4.</modifiedWord>
      <trackRevisions>false</trackRevisions>
    </reviewItem>
    <reviewItem>
      <errorID>359bd246-9b77-4a34-9512-56fff471db35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358BFE71</paraID>
      <start>0</start>
      <end>2</end>
      <status>modified</status>
      <modifiedWord>5.</modifiedWord>
      <trackRevisions>false</trackRevisions>
    </reviewItem>
    <reviewItem>
      <errorID>def484b9-cf74-418e-b1f1-a3bd83623ae4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806E4D6</paraID>
      <start>0</start>
      <end>2</end>
      <status>modified</status>
      <modifiedWord>6.</modifiedWord>
      <trackRevisions>false</trackRevisions>
    </reviewItem>
    <reviewItem>
      <errorID>812a125d-695b-4e44-a505-564e934c388b</errorID>
      <errorWord>)</errorWord>
      <group>L1_Format</group>
      <groupName>格式问题</groupName>
      <ability>L2_HalfPunc</ability>
      <abilityName>全半角检查</abilityName>
      <candidateList>
        <item>）</item>
      </candidateList>
      <explain>文本全半角错误。</explain>
      <paraID>5A402B39</paraID>
      <start>11</start>
      <end>12</end>
      <status>modified</status>
      <modifiedWord>）</modifiedWord>
      <trackRevisions>false</trackRevisions>
    </reviewItem>
    <reviewItem>
      <errorID>fec3bdb4-97ba-46d8-8088-f21bf25632a3</errorID>
      <errorWord>)</errorWord>
      <group>L1_Format</group>
      <groupName>格式问题</groupName>
      <ability>L2_HalfPunc</ability>
      <abilityName>全半角检查</abilityName>
      <candidateList>
        <item>）</item>
      </candidateList>
      <explain>文本全半角错误。</explain>
      <paraID>38DDDFF7</paraID>
      <start>11</start>
      <end>12</end>
      <status>modified</status>
      <modifiedWord>）</modifiedWord>
      <trackRevisions>false</trackRevisions>
    </reviewItem>
    <reviewItem>
      <errorID>f6de6619-0341-4537-a36f-2a57768a5c14</errorID>
      <errorWord>。】</errorWord>
      <group>L1_Punc</group>
      <groupName>标点问题</groupName>
      <ability>L2_Punc</ability>
      <abilityName>标点符号检查</abilityName>
      <candidateList>
        <item>】</item>
      </candidateList>
      <explain/>
      <paraID>14539810</paraID>
      <start>59</start>
      <end>60</end>
      <status>modified</status>
      <modifiedWord>】</modifiedWord>
      <trackRevisions>false</trackRevisions>
    </reviewItem>
    <reviewItem>
      <errorID>5ff2b913-7bb9-4e3f-983d-f9145089056b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11EDF0D1</paraID>
      <start>0</start>
      <end>2</end>
      <status>modified</status>
      <modifiedWord>1.</modifiedWord>
      <trackRevisions>false</trackRevisions>
    </reviewItem>
    <reviewItem>
      <errorID>76f84823-5ccc-4bb0-bcc3-6caa4f2dbcb5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286E8E0C</paraID>
      <start>0</start>
      <end>2</end>
      <status>modified</status>
      <modifiedWord>2.</modifiedWord>
      <trackRevisions>false</trackRevisions>
    </reviewItem>
    <reviewItem>
      <errorID>b4414a7a-a745-47da-a2f1-8639df58cbf9</errorID>
      <errorWord>)</errorWord>
      <group>L1_Format</group>
      <groupName>格式问题</groupName>
      <ability>L2_HalfPunc</ability>
      <abilityName>全半角检查</abilityName>
      <candidateList>
        <item>）</item>
      </candidateList>
      <explain>文本全半角错误。</explain>
      <paraID>2FB3456A</paraID>
      <start>50</start>
      <end>51</end>
      <status>modified</status>
      <modifiedWord>）</modifiedWord>
      <trackRevisions>false</trackRevisions>
    </reviewItem>
    <reviewItem>
      <errorID>5453d4cf-3b2c-4545-9dc6-087d8574d290</errorID>
      <errorWord>)</errorWord>
      <group>L1_Format</group>
      <groupName>格式问题</groupName>
      <ability>L2_HalfPunc</ability>
      <abilityName>全半角检查</abilityName>
      <candidateList>
        <item>）</item>
      </candidateList>
      <explain>文本全半角错误。</explain>
      <paraID>533AC1B8</paraID>
      <start>10</start>
      <end>11</end>
      <status>modified</status>
      <modifiedWord>）</modifiedWord>
      <trackRevisions>false</trackRevisions>
    </reviewItem>
    <reviewItem>
      <errorID>b5951269-d16e-4279-9559-d3b0db31570b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299FEA05</paraID>
      <start>0</start>
      <end>2</end>
      <status>modified</status>
      <modifiedWord>1.</modifiedWord>
      <trackRevisions>false</trackRevisions>
    </reviewItem>
    <reviewItem>
      <errorID>23cd0d5c-a4c5-47f8-9129-14076163971f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47A4F34C</paraID>
      <start>0</start>
      <end>2</end>
      <status>modified</status>
      <modifiedWord>2.</modifiedWord>
      <trackRevisions>false</trackRevisions>
    </reviewItem>
    <reviewItem>
      <errorID>b785d558-d5b1-40b4-8268-0a271e67d6b6</errorID>
      <errorWord>)</errorWord>
      <group>L1_Format</group>
      <groupName>格式问题</groupName>
      <ability>L2_HalfPunc</ability>
      <abilityName>全半角检查</abilityName>
      <candidateList>
        <item>）</item>
      </candidateList>
      <explain>文本全半角错误。</explain>
      <paraID>255F04CC</paraID>
      <start>8</start>
      <end>9</end>
      <status>modified</status>
      <modifiedWord>）</modifiedWord>
      <trackRevisions>false</trackRevisions>
    </reviewItem>
    <reviewItem>
      <errorID>cf75d39f-157d-4505-b642-1f42a3c76083</errorID>
      <errorWord>)</errorWord>
      <group>L1_Format</group>
      <groupName>格式问题</groupName>
      <ability>L2_HalfPunc</ability>
      <abilityName>全半角检查</abilityName>
      <candidateList>
        <item>）</item>
      </candidateList>
      <explain>文本全半角错误。</explain>
      <paraID> A7F54AA</paraID>
      <start>8</start>
      <end>9</end>
      <status>modified</status>
      <modifiedWord>）</modifiedWord>
      <trackRevisions>false</trackRevisions>
    </reviewItem>
    <reviewItem>
      <errorID>2f972771-404c-4965-bc4d-c159f862a357</errorID>
      <errorWord>二○一一</errorWord>
      <group>L1_Knowledge</group>
      <groupName>知识性问题</groupName>
      <ability>L2_Knowledge</ability>
      <abilityName>其他知识</abilityName>
      <candidateList>
        <item>二〇一一</item>
      </candidateList>
      <explain/>
      <paraID>3734F147</paraID>
      <start>0</start>
      <end>4</end>
      <status>modified</status>
      <modifiedWord>二〇一一</modifiedWord>
      <trackRevisions>false</trackRevisions>
    </reviewItem>
    <reviewItem>
      <errorID>69bb537c-c346-4a17-8743-1f7603932915</errorID>
      <errorWord>(</errorWord>
      <group>L1_Format</group>
      <groupName>格式问题</groupName>
      <ability>L2_HalfPunc</ability>
      <abilityName>全半角检查</abilityName>
      <candidateList>
        <item>（</item>
      </candidateList>
      <explain>文本全半角错误。</explain>
      <paraID>7FAFC6A1</paraID>
      <start>46</start>
      <end>47</end>
      <status>modified</status>
      <modifiedWord>（</modifiedWord>
      <trackRevisions>false</trackRevisions>
    </reviewItem>
    <reviewItem>
      <errorID>c4b8b4e0-f4f6-4649-aa8b-b1c2f96b41d8</errorID>
      <errorWord>)</errorWord>
      <group>L1_Format</group>
      <groupName>格式问题</groupName>
      <ability>L2_HalfPunc</ability>
      <abilityName>全半角检查</abilityName>
      <candidateList>
        <item>）</item>
      </candidateList>
      <explain>文本全半角错误。</explain>
      <paraID>7FAFC6A1</paraID>
      <start>58</start>
      <end>59</end>
      <status>modified</status>
      <modifiedWord>）</modifiedWord>
      <trackRevisions>false</trackRevisions>
    </reviewItem>
    <reviewItem>
      <errorID>a5359343-2bd8-421e-80b6-545fab14dac2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6BF7F4C9</paraID>
      <start>23</start>
      <end>25</end>
      <status>modified</status>
      <modifiedWord>》《</modifiedWord>
      <trackRevisions>false</trackRevisions>
    </reviewItem>
    <reviewItem>
      <errorID>e65773fe-c72c-44a6-b1a4-5a91885b2eb9</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2CCD29E7</paraID>
      <start>10</start>
      <end>22</end>
      <status>unmodified</status>
      <modifiedWord/>
      <trackRevisions>false</trackRevisions>
    </reviewItem>
    <reviewItem>
      <errorID>ad6f1b19-8e93-4b34-b6f5-627b1b92c5c8</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 BADF22E</paraID>
      <start>11</start>
      <end>22</end>
      <status>unmodified</status>
      <modifiedWord/>
      <trackRevisions>false</trackRevisions>
    </reviewItem>
    <reviewItem>
      <errorID>7826030c-8292-4536-8b68-f5e556ae9765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1AB1D856</paraID>
      <start>19</start>
      <end>21</end>
      <status>modified</status>
      <modifiedWord>》《</modifiedWord>
      <trackRevisions>false</trackRevisions>
    </reviewItem>
    <reviewItem>
      <errorID>9c14d8a8-3a4c-447f-bb4c-c19fc9563c2b</errorID>
      <errorWord>。、</errorWord>
      <group>L1_Punc</group>
      <groupName>标点问题</groupName>
      <ability>L2_Punc</ability>
      <abilityName>标点符号检查</abilityName>
      <candidateList>
        <item>。</item>
      </candidateList>
      <explain/>
      <paraID>471D4D54</paraID>
      <start>88</start>
      <end>89</end>
      <status>modified</status>
      <modifiedWord>。</modifiedWord>
      <trackRevisions>false</trackRevisions>
    </reviewItem>
    <reviewItem>
      <errorID>068ed204-9251-420d-90d7-815469f80de7</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289786F0</paraID>
      <start>0</start>
      <end>3</end>
      <status>modified</status>
      <modifiedWord>（八）</modifiedWord>
      <trackRevisions>false</trackRevisions>
    </reviewItem>
    <reviewItem>
      <errorID>06d40fb0-4b66-4e38-8e4a-35d6e33c74bd</errorID>
      <errorWord>:</errorWord>
      <group>L1_Format</group>
      <groupName>格式问题</groupName>
      <ability>L2_HalfPunc</ability>
      <abilityName>全半角检查</abilityName>
      <candidateList>
        <item>：</item>
      </candidateList>
      <explain>文本全半角错误。</explain>
      <paraID>1C350969</paraID>
      <start>1</start>
      <end>2</end>
      <status>modified</status>
      <modifiedWord>：</modifiedWord>
      <trackRevisions>false</trackRevisions>
    </reviewItem>
    <reviewItem>
      <errorID>15914f85-e94a-4500-afa4-73c1c9fbb005</errorID>
      <errorWord>)</errorWord>
      <group>L1_Format</group>
      <groupName>格式问题</groupName>
      <ability>L2_HalfPunc</ability>
      <abilityName>全半角检查</abilityName>
      <candidateList>
        <item>）</item>
      </candidateList>
      <explain>文本全半角错误。</explain>
      <paraID>318B5E61</paraID>
      <start>8</start>
      <end>9</end>
      <status>modified</status>
      <modifiedWord>）</modifiedWord>
      <trackRevisions>false</trackRevisions>
    </reviewItem>
    <reviewItem>
      <errorID>90635a45-8083-4a3b-b1a4-d5f8a9556ae7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51360868</paraID>
      <start>6</start>
      <end>8</end>
      <status>modified</status>
      <modifiedWord>2.</modifiedWord>
      <trackRevisions>false</trackRevisions>
    </reviewItem>
    <reviewItem>
      <errorID>d616a8d0-b9d2-460a-954d-c7a7f9f3c651</errorID>
      <errorWord>)</errorWord>
      <group>L1_Format</group>
      <groupName>格式问题</groupName>
      <ability>L2_HalfPunc</ability>
      <abilityName>全半角检查</abilityName>
      <candidateList>
        <item>）</item>
      </candidateList>
      <explain>文本全半角错误。</explain>
      <paraID>6CD3B5C8</paraID>
      <start>8</start>
      <end>9</end>
      <status>modified</status>
      <modifiedWord>）</modifiedWord>
      <trackRevisions>false</trackRevisions>
    </reviewItem>
    <reviewItem>
      <errorID>cd1710d0-fc3f-4d58-86a9-1250d07dbb05</errorID>
      <errorWord>,</errorWord>
      <group>L1_Format</group>
      <groupName>格式问题</groupName>
      <ability>L2_HalfPunc</ability>
      <abilityName>全半角检查</abilityName>
      <candidateList>
        <item>，</item>
      </candidateList>
      <explain>文本全半角错误。</explain>
      <paraID>6128545C</paraID>
      <start>13</start>
      <end>14</end>
      <status>modified</status>
      <modifiedWord>，</modifiedWord>
      <trackRevisions>false</trackRevisions>
    </reviewItem>
    <reviewItem>
      <errorID>bcecf19e-69de-465c-9a89-1c762f1e79a1</errorID>
      <errorWord>,</errorWord>
      <group>L1_Format</group>
      <groupName>格式问题</groupName>
      <ability>L2_HalfPunc</ability>
      <abilityName>全半角检查</abilityName>
      <candidateList>
        <item>，</item>
      </candidateList>
      <explain>文本全半角错误。</explain>
      <paraID>6128545C</paraID>
      <start>28</start>
      <end>29</end>
      <status>modified</status>
      <modifiedWord>，</modifiedWord>
      <trackRevisions>false</trackRevisions>
    </reviewItem>
    <reviewItem>
      <errorID>a8489e9e-d90d-47f6-b667-37d3d11df75c</errorID>
      <errorWord>,</errorWord>
      <group>L1_Format</group>
      <groupName>格式问题</groupName>
      <ability>L2_HalfPunc</ability>
      <abilityName>全半角检查</abilityName>
      <candidateList>
        <item>，</item>
      </candidateList>
      <explain>文本全半角错误。</explain>
      <paraID>6EDFB4E4</paraID>
      <start>31</start>
      <end>32</end>
      <status>modified</status>
      <modifiedWord>，</modifiedWord>
      <trackRevisions>false</trackRevisions>
    </reviewItem>
    <reviewItem>
      <errorID>271039b0-ff06-4f76-8705-873ad64a8c0c</errorID>
      <errorWord>,</errorWord>
      <group>L1_Format</group>
      <groupName>格式问题</groupName>
      <ability>L2_HalfPunc</ability>
      <abilityName>全半角检查</abilityName>
      <candidateList>
        <item>，</item>
      </candidateList>
      <explain>文本全半角错误。</explain>
      <paraID>4AD94CE7</paraID>
      <start>22</start>
      <end>23</end>
      <status>modified</status>
      <modifiedWord>，</modifiedWord>
      <trackRevisions>false</trackRevisions>
    </reviewItem>
    <reviewItem>
      <errorID>7756246c-3a0a-498a-bd46-94c55ae3e12d</errorID>
      <errorWord>,</errorWord>
      <group>L1_Format</group>
      <groupName>格式问题</groupName>
      <ability>L2_HalfPunc</ability>
      <abilityName>全半角检查</abilityName>
      <candidateList>
        <item>，</item>
      </candidateList>
      <explain>文本全半角错误。</explain>
      <paraID>4B347B3B</paraID>
      <start>55</start>
      <end>56</end>
      <status>modified</status>
      <modifiedWord>，</modifiedWord>
      <trackRevisions>false</trackRevisions>
    </reviewItem>
    <reviewItem>
      <errorID>7ea659fd-0737-4ef1-91d1-1ce60b0afcb7</errorID>
      <errorWord>)</errorWord>
      <group>L1_Format</group>
      <groupName>格式问题</groupName>
      <ability>L2_HalfPunc</ability>
      <abilityName>全半角检查</abilityName>
      <candidateList>
        <item>）</item>
      </candidateList>
      <explain>文本全半角错误。</explain>
      <paraID>61001167</paraID>
      <start>8</start>
      <end>9</end>
      <status>modified</status>
      <modifiedWord>）</modifiedWord>
      <trackRevisions>false</trackRevisions>
    </reviewItem>
    <reviewItem>
      <errorID>ed7ff393-77cf-452f-86a8-2a29c1f40d57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1DCEE496</paraID>
      <start>12</start>
      <end>13</end>
      <status>modified</status>
      <modifiedWord>或</modifiedWord>
      <trackRevisions>false</trackRevisions>
    </reviewItem>
    <reviewItem>
      <errorID>89a55612-24c3-4e42-93f3-71690dfe3431</errorID>
      <errorWord>其它</errorWord>
      <group>L1_Word</group>
      <groupName>字词问题</groupName>
      <ability>L2_Alias</ability>
      <abilityName>也作/曾用词</abilityName>
      <candidateList>
        <item>其他</item>
      </candidateList>
      <explain>词汇[其它]为不规范表述或旧称，其规范书面表述为[其他]。</explain>
      <paraID>469D9BCC</paraID>
      <start>9</start>
      <end>11</end>
      <status>modified</status>
      <modifiedWord>其他</modifiedWord>
      <trackRevisions>false</trackRevisions>
    </reviewItem>
    <reviewItem>
      <errorID>8cebe64a-d865-4e79-bb05-5530af6d0e24</errorID>
      <errorWord>)</errorWord>
      <group>L1_Format</group>
      <groupName>格式问题</groupName>
      <ability>L2_HalfPunc</ability>
      <abilityName>全半角检查</abilityName>
      <candidateList>
        <item>）</item>
      </candidateList>
      <explain>文本全半角错误。</explain>
      <paraID>79D62F29</paraID>
      <start>8</start>
      <end>9</end>
      <status>modified</status>
      <modifiedWord>）</modifiedWord>
      <trackRevisions>false</trackRevisions>
    </reviewItem>
    <reviewItem>
      <errorID>e76e7d28-50ec-4031-a1c3-5a97601396a6</errorID>
      <errorWord>(</errorWord>
      <group>L1_Format</group>
      <groupName>格式问题</groupName>
      <ability>L2_HalfPunc</ability>
      <abilityName>全半角检查</abilityName>
      <candidateList>
        <item>（</item>
      </candidateList>
      <explain>文本全半角错误。</explain>
      <paraID>73B477EC</paraID>
      <start>5</start>
      <end>6</end>
      <status>modified</status>
      <modifiedWord>（</modifiedWord>
      <trackRevisions>false</trackRevisions>
    </reviewItem>
    <reviewItem>
      <errorID>dae23a4a-a16b-485f-8293-4e0b807532e2</errorID>
      <errorWord>)</errorWord>
      <group>L1_Format</group>
      <groupName>格式问题</groupName>
      <ability>L2_HalfPunc</ability>
      <abilityName>全半角检查</abilityName>
      <candidateList>
        <item>）</item>
      </candidateList>
      <explain>文本全半角错误。</explain>
      <paraID>73B477EC</paraID>
      <start>8</start>
      <end>9</end>
      <status>modified</status>
      <modifiedWord>）</modifiedWord>
      <trackRevisions>false</trackRevisions>
    </reviewItem>
    <reviewItem>
      <errorID>a6bd4004-e387-46bf-b130-ea25bafb9ade</errorID>
      <errorWord>)</errorWord>
      <group>L1_Format</group>
      <groupName>格式问题</groupName>
      <ability>L2_HalfPunc</ability>
      <abilityName>全半角检查</abilityName>
      <candidateList>
        <item>）</item>
      </candidateList>
      <explain>文本全半角错误。</explain>
      <paraID>59FE3012</paraID>
      <start>14</start>
      <end>15</end>
      <status>modified</status>
      <modifiedWord>）</modifiedWord>
      <trackRevisions>false</trackRevisions>
    </reviewItem>
    <reviewItem>
      <errorID>cb878f42-3b40-42ed-80f1-4fd0a474cca3</errorID>
      <errorWord>)</errorWord>
      <group>L1_Format</group>
      <groupName>格式问题</groupName>
      <ability>L2_HalfPunc</ability>
      <abilityName>全半角检查</abilityName>
      <candidateList>
        <item>）</item>
      </candidateList>
      <explain>文本全半角错误。</explain>
      <paraID>42580858</paraID>
      <start>8</start>
      <end>9</end>
      <status>modified</status>
      <modifiedWord>）</modifiedWord>
      <trackRevisions>false</trackRevisions>
    </reviewItem>
    <reviewItem>
      <errorID>4b3fdadb-c674-4869-a1cd-58ad3adb3f15</errorID>
      <errorWord>)</errorWord>
      <group>L1_Format</group>
      <groupName>格式问题</groupName>
      <ability>L2_HalfPunc</ability>
      <abilityName>全半角检查</abilityName>
      <candidateList>
        <item>）</item>
      </candidateList>
      <explain>文本全半角错误。</explain>
      <paraID>699B8E5B</paraID>
      <start>8</start>
      <end>9</end>
      <status>modified</status>
      <modifiedWord>）</modifiedWord>
      <trackRevisions>false</trackRevisions>
    </reviewItem>
    <reviewItem>
      <errorID>cb978f00-2888-401a-bd9a-b9dd9fe4a4ba</errorID>
      <errorWord>)</errorWord>
      <group>L1_Format</group>
      <groupName>格式问题</groupName>
      <ability>L2_HalfPunc</ability>
      <abilityName>全半角检查</abilityName>
      <candidateList>
        <item>）</item>
      </candidateList>
      <explain>文本全半角错误。</explain>
      <paraID>5E956CA9</paraID>
      <start>8</start>
      <end>9</end>
      <status>modified</status>
      <modifiedWord>）</modifiedWord>
      <trackRevisions>false</trackRevisions>
    </reviewItem>
    <reviewItem>
      <errorID>28ebddba-30fb-44ed-9bd6-6342b1cdd47c</errorID>
      <errorWord>…………</errorWord>
      <group>L1_Punc</group>
      <groupName>标点问题</groupName>
      <ability>L2_Punc</ability>
      <abilityName>标点符号检查</abilityName>
      <candidateList>
        <item>…</item>
      </candidateList>
      <explain/>
      <paraID>497B550E</paraID>
      <start>0</start>
      <end>1</end>
      <status>modified</status>
      <modifiedWord>…</modifiedWord>
      <trackRevisions>false</trackRevisions>
    </reviewItem>
    <reviewItem>
      <errorID>d94e8684-cb7c-4450-85ef-ceac9f8b25b4</errorID>
      <errorWord>…………</errorWord>
      <group>L1_Punc</group>
      <groupName>标点问题</groupName>
      <ability>L2_Punc</ability>
      <abilityName>标点符号检查</abilityName>
      <candidateList>
        <item>…</item>
      </candidateList>
      <explain/>
      <paraID>33BF33A3</paraID>
      <start>0</start>
      <end>1</end>
      <status>modified</status>
      <modifiedWord>…</modifiedWord>
      <trackRevisions>false</trackRevisions>
    </reviewItem>
    <reviewItem>
      <errorID>e18158f6-0bae-4118-af64-27a02681d63f</errorID>
      <errorWord>)</errorWord>
      <group>L1_Format</group>
      <groupName>格式问题</groupName>
      <ability>L2_HalfPunc</ability>
      <abilityName>全半角检查</abilityName>
      <candidateList>
        <item>）</item>
      </candidateList>
      <explain>文本全半角错误。</explain>
      <paraID>1F9D713D</paraID>
      <start>8</start>
      <end>9</end>
      <status>modified</status>
      <modifiedWord>）</modifiedWord>
      <trackRevisions>false</trackRevisions>
    </reviewItem>
    <reviewItem>
      <errorID>5f7433cd-7e2a-434a-86a6-78331550c72d</errorID>
      <errorWord>)</errorWord>
      <group>L1_Format</group>
      <groupName>格式问题</groupName>
      <ability>L2_HalfPunc</ability>
      <abilityName>全半角检查</abilityName>
      <candidateList>
        <item>）</item>
      </candidateList>
      <explain>文本全半角错误。</explain>
      <paraID> DADB9B8</paraID>
      <start>8</start>
      <end>9</end>
      <status>modified</status>
      <modifiedWord>）</modifiedWord>
      <trackRevisions>false</trackRevisions>
    </reviewItem>
    <reviewItem>
      <errorID>62a42b17-d0ce-4be5-b25e-10d7331953db</errorID>
      <errorWord>…………</errorWord>
      <group>L1_Punc</group>
      <groupName>标点问题</groupName>
      <ability>L2_Punc</ability>
      <abilityName>标点符号检查</abilityName>
      <candidateList>
        <item>…</item>
      </candidateList>
      <explain/>
      <paraID>2C1B4A43</paraID>
      <start>0</start>
      <end>1</end>
      <status>modified</status>
      <modifiedWord>…</modifiedWord>
      <trackRevisions>false</trackRevisions>
    </reviewItem>
    <reviewItem>
      <errorID>cbe6486a-1b30-4cb3-a8ef-bc63045377b6</errorID>
      <errorWord>…………</errorWord>
      <group>L1_Punc</group>
      <groupName>标点问题</groupName>
      <ability>L2_Punc</ability>
      <abilityName>标点符号检查</abilityName>
      <candidateList>
        <item>…</item>
      </candidateList>
      <explain/>
      <paraID>344E27E0</paraID>
      <start>0</start>
      <end>1</end>
      <status>modified</status>
      <modifiedWord>…</modifiedWord>
      <trackRevisions>false</trackRevisions>
    </reviewItem>
    <reviewItem>
      <errorID>96b3c1d5-aa7a-4378-8e35-7612e476cbf7</errorID>
      <errorWord>)</errorWord>
      <group>L1_Format</group>
      <groupName>格式问题</groupName>
      <ability>L2_HalfPunc</ability>
      <abilityName>全半角检查</abilityName>
      <candidateList>
        <item>）</item>
      </candidateList>
      <explain>文本全半角错误。</explain>
      <paraID> 2DDFDE4</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7aff09-4072-4d54-ba85-b817b0b45a15}">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37232</Words>
  <Characters>39347</Characters>
  <Lines>328</Lines>
  <Paragraphs>92</Paragraphs>
  <TotalTime>36</TotalTime>
  <ScaleCrop>false</ScaleCrop>
  <LinksUpToDate>false</LinksUpToDate>
  <CharactersWithSpaces>39883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2024-01-02T13:57:00Z</dcterms:created>
  <dc:creator>admin</dc:creator>
  <cp:lastModifiedBy>Administrator</cp:lastModifiedBy>
  <cp:lastPrinted>2024-12-28T17:34:00Z</cp:lastPrinted>
  <dcterms:modified xsi:type="dcterms:W3CDTF">2026-04-21T08:29:17Z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E066F05F3C4B46848FB543780ABF69FF_13</vt:lpwstr>
  </property>
  <property fmtid="{D5CDD505-2E9C-101B-9397-08002B2CF9AE}" pid="4" name="KSOTemplateDocerSaveRecord">
    <vt:lpwstr>eyJoZGlkIjoiOWM1NDI3YmY5MWJjZjA4MjI2ZWVkYWI1NWNmMTg1ZWEiLCJ1c2VySWQiOiIxMjgzNDYyODczIn0=</vt:lpwstr>
  </property>
</Properties>
</file>