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7D69">
      <w:pPr>
        <w:pStyle w:val="5"/>
        <w:keepNext w:val="0"/>
        <w:keepLines w:val="0"/>
        <w:pageBreakBefore w:val="0"/>
        <w:widowControl w:val="0"/>
        <w:kinsoku/>
        <w:wordWrap/>
        <w:overflowPunct/>
        <w:topLinePunct w:val="0"/>
        <w:autoSpaceDE w:val="0"/>
        <w:autoSpaceDN w:val="0"/>
        <w:bidi w:val="0"/>
        <w:adjustRightInd w:val="0"/>
        <w:snapToGrid/>
        <w:spacing w:line="720" w:lineRule="auto"/>
        <w:ind w:firstLine="0"/>
        <w:jc w:val="center"/>
        <w:textAlignment w:val="auto"/>
        <w:rPr>
          <w:rFonts w:hint="eastAsia" w:ascii="宋体" w:hAnsi="宋体" w:eastAsia="宋体" w:cs="宋体"/>
          <w:b/>
          <w:color w:val="000000"/>
          <w:sz w:val="48"/>
          <w:szCs w:val="72"/>
          <w:highlight w:val="none"/>
          <w:lang w:eastAsia="zh-CN"/>
        </w:rPr>
      </w:pPr>
      <w:r>
        <w:rPr>
          <w:rFonts w:hint="eastAsia" w:hAnsi="宋体" w:cs="宋体"/>
          <w:b/>
          <w:color w:val="000000"/>
          <w:sz w:val="48"/>
          <w:szCs w:val="72"/>
          <w:highlight w:val="none"/>
          <w:lang w:eastAsia="zh-CN"/>
        </w:rPr>
        <w:t>喀什市空天信息产业园220KV输变电工程项目（地质勘查和工程测量）</w:t>
      </w:r>
    </w:p>
    <w:p w14:paraId="7A584404">
      <w:pPr>
        <w:pStyle w:val="5"/>
        <w:keepNext w:val="0"/>
        <w:keepLines w:val="0"/>
        <w:pageBreakBefore w:val="0"/>
        <w:widowControl w:val="0"/>
        <w:kinsoku/>
        <w:wordWrap/>
        <w:overflowPunct/>
        <w:topLinePunct w:val="0"/>
        <w:autoSpaceDE w:val="0"/>
        <w:autoSpaceDN w:val="0"/>
        <w:bidi w:val="0"/>
        <w:adjustRightInd w:val="0"/>
        <w:snapToGrid/>
        <w:spacing w:line="720" w:lineRule="auto"/>
        <w:ind w:firstLine="0"/>
        <w:jc w:val="center"/>
        <w:textAlignment w:val="auto"/>
        <w:rPr>
          <w:rFonts w:hint="default" w:ascii="宋体" w:hAnsi="宋体" w:eastAsia="宋体" w:cs="宋体"/>
          <w:b/>
          <w:color w:val="000000"/>
          <w:sz w:val="48"/>
          <w:szCs w:val="72"/>
          <w:highlight w:val="none"/>
          <w:lang w:val="en-US" w:eastAsia="zh-CN"/>
        </w:rPr>
      </w:pPr>
      <w:r>
        <w:rPr>
          <w:rFonts w:hint="eastAsia" w:ascii="宋体" w:hAnsi="宋体" w:eastAsia="宋体" w:cs="宋体"/>
          <w:b/>
          <w:color w:val="000000"/>
          <w:sz w:val="48"/>
          <w:szCs w:val="72"/>
          <w:highlight w:val="none"/>
          <w:lang w:eastAsia="zh-CN"/>
        </w:rPr>
        <w:t>项目编号：</w:t>
      </w:r>
      <w:r>
        <w:rPr>
          <w:rFonts w:hint="eastAsia" w:hAnsi="宋体" w:cs="宋体"/>
          <w:b/>
          <w:color w:val="000000"/>
          <w:sz w:val="48"/>
          <w:szCs w:val="72"/>
          <w:highlight w:val="none"/>
          <w:lang w:val="en-US" w:eastAsia="zh-CN"/>
        </w:rPr>
        <w:t>XJZYH-2026-025</w:t>
      </w:r>
    </w:p>
    <w:p w14:paraId="7C7E375A">
      <w:pPr>
        <w:pStyle w:val="49"/>
        <w:rPr>
          <w:rFonts w:hint="eastAsia"/>
          <w:highlight w:val="none"/>
        </w:rPr>
      </w:pPr>
    </w:p>
    <w:p w14:paraId="34814461">
      <w:pPr>
        <w:pStyle w:val="49"/>
        <w:rPr>
          <w:rFonts w:hint="eastAsia"/>
          <w:highlight w:val="none"/>
        </w:rPr>
      </w:pPr>
    </w:p>
    <w:p w14:paraId="62CE64DF">
      <w:pPr>
        <w:pStyle w:val="49"/>
        <w:rPr>
          <w:rFonts w:hint="eastAsia"/>
          <w:highlight w:val="none"/>
        </w:rPr>
      </w:pPr>
    </w:p>
    <w:p w14:paraId="2A1B8AE4">
      <w:pPr>
        <w:pStyle w:val="5"/>
        <w:spacing w:line="720" w:lineRule="auto"/>
        <w:jc w:val="center"/>
        <w:rPr>
          <w:rFonts w:hint="eastAsia" w:hAnsi="宋体" w:cs="宋体"/>
          <w:b/>
          <w:color w:val="000000"/>
          <w:sz w:val="72"/>
          <w:szCs w:val="72"/>
          <w:highlight w:val="none"/>
        </w:rPr>
      </w:pPr>
      <w:r>
        <w:rPr>
          <w:rFonts w:hint="eastAsia" w:hAnsi="宋体" w:cs="宋体"/>
          <w:b/>
          <w:color w:val="000000"/>
          <w:sz w:val="72"/>
          <w:szCs w:val="72"/>
          <w:highlight w:val="none"/>
        </w:rPr>
        <w:t>磋</w:t>
      </w:r>
    </w:p>
    <w:p w14:paraId="1C3D7219">
      <w:pPr>
        <w:pStyle w:val="5"/>
        <w:spacing w:line="720" w:lineRule="auto"/>
        <w:jc w:val="center"/>
        <w:rPr>
          <w:rFonts w:hint="eastAsia" w:hAnsi="宋体" w:cs="宋体"/>
          <w:b/>
          <w:color w:val="000000"/>
          <w:sz w:val="72"/>
          <w:szCs w:val="72"/>
          <w:highlight w:val="none"/>
        </w:rPr>
      </w:pPr>
      <w:r>
        <w:rPr>
          <w:rFonts w:hint="eastAsia" w:hAnsi="宋体" w:cs="宋体"/>
          <w:b/>
          <w:color w:val="000000"/>
          <w:sz w:val="72"/>
          <w:szCs w:val="72"/>
          <w:highlight w:val="none"/>
        </w:rPr>
        <w:t>商</w:t>
      </w:r>
    </w:p>
    <w:p w14:paraId="1AC0B8B9">
      <w:pPr>
        <w:pStyle w:val="5"/>
        <w:spacing w:line="720" w:lineRule="auto"/>
        <w:jc w:val="center"/>
        <w:rPr>
          <w:rFonts w:hint="eastAsia" w:hAnsi="宋体" w:cs="宋体"/>
          <w:b/>
          <w:color w:val="000000"/>
          <w:sz w:val="72"/>
          <w:szCs w:val="72"/>
          <w:highlight w:val="none"/>
        </w:rPr>
      </w:pPr>
      <w:r>
        <w:rPr>
          <w:rFonts w:hint="eastAsia" w:hAnsi="宋体" w:cs="宋体"/>
          <w:b/>
          <w:color w:val="000000"/>
          <w:sz w:val="72"/>
          <w:szCs w:val="72"/>
          <w:highlight w:val="none"/>
        </w:rPr>
        <w:t>文</w:t>
      </w:r>
    </w:p>
    <w:p w14:paraId="4CFC8191">
      <w:pPr>
        <w:pStyle w:val="5"/>
        <w:spacing w:line="720" w:lineRule="auto"/>
        <w:jc w:val="center"/>
        <w:rPr>
          <w:rFonts w:hint="eastAsia"/>
          <w:highlight w:val="none"/>
        </w:rPr>
      </w:pPr>
      <w:r>
        <w:rPr>
          <w:rFonts w:hint="eastAsia" w:hAnsi="宋体" w:cs="宋体"/>
          <w:b/>
          <w:color w:val="000000"/>
          <w:sz w:val="72"/>
          <w:szCs w:val="72"/>
          <w:highlight w:val="none"/>
        </w:rPr>
        <w:t>件</w:t>
      </w:r>
    </w:p>
    <w:p w14:paraId="2DE1A7C7">
      <w:pPr>
        <w:pStyle w:val="29"/>
        <w:rPr>
          <w:rFonts w:hint="eastAsia"/>
          <w:highlight w:val="none"/>
        </w:rPr>
      </w:pPr>
    </w:p>
    <w:p w14:paraId="45F43DEE">
      <w:pPr>
        <w:pStyle w:val="29"/>
        <w:rPr>
          <w:rFonts w:hint="eastAsia"/>
          <w:highlight w:val="none"/>
        </w:rPr>
      </w:pPr>
    </w:p>
    <w:p w14:paraId="61F8BC9B">
      <w:pPr>
        <w:pStyle w:val="29"/>
        <w:rPr>
          <w:rFonts w:hint="eastAsia"/>
          <w:highlight w:val="none"/>
        </w:rPr>
      </w:pPr>
    </w:p>
    <w:p w14:paraId="08A152C9">
      <w:pPr>
        <w:pStyle w:val="29"/>
        <w:rPr>
          <w:rFonts w:hint="eastAsia"/>
          <w:highlight w:val="none"/>
        </w:rPr>
      </w:pPr>
    </w:p>
    <w:p w14:paraId="1CD9F082">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 xml:space="preserve">招   标  </w:t>
      </w:r>
      <w:r>
        <w:rPr>
          <w:rFonts w:hint="eastAsia" w:ascii="宋体" w:hAnsi="宋体" w:cs="宋体"/>
          <w:b/>
          <w:bCs/>
          <w:color w:val="000000"/>
          <w:sz w:val="30"/>
          <w:highlight w:val="none"/>
          <w:lang w:eastAsia="zh-CN"/>
        </w:rPr>
        <w:t xml:space="preserve"> 人：喀什市科学技术局</w:t>
      </w:r>
    </w:p>
    <w:p w14:paraId="69A4ED4B">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采购代理机构：</w:t>
      </w:r>
      <w:r>
        <w:rPr>
          <w:rFonts w:hint="eastAsia" w:ascii="宋体" w:hAnsi="宋体" w:cs="宋体"/>
          <w:b/>
          <w:bCs/>
          <w:color w:val="000000"/>
          <w:sz w:val="30"/>
          <w:highlight w:val="none"/>
          <w:lang w:eastAsia="zh-CN"/>
        </w:rPr>
        <w:t>新疆泽煜航项目管理有限公司</w:t>
      </w:r>
    </w:p>
    <w:p w14:paraId="629AA22A">
      <w:pPr>
        <w:spacing w:line="360" w:lineRule="auto"/>
        <w:ind w:left="2108" w:hanging="2100" w:hangingChars="700"/>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代理机构地址：</w:t>
      </w:r>
      <w:r>
        <w:rPr>
          <w:rFonts w:hint="eastAsia" w:ascii="宋体" w:hAnsi="宋体" w:cs="宋体"/>
          <w:b/>
          <w:bCs/>
          <w:color w:val="000000"/>
          <w:sz w:val="30"/>
          <w:highlight w:val="none"/>
          <w:lang w:eastAsia="zh-CN"/>
        </w:rPr>
        <w:t>喀什市西泓世嘉二期3号楼1单元9楼</w:t>
      </w:r>
    </w:p>
    <w:p w14:paraId="38279FB8">
      <w:pPr>
        <w:spacing w:line="360" w:lineRule="auto"/>
        <w:jc w:val="left"/>
        <w:rPr>
          <w:rFonts w:hint="eastAsia" w:ascii="宋体" w:hAnsi="宋体" w:eastAsia="宋体" w:cs="宋体"/>
          <w:b/>
          <w:bCs/>
          <w:color w:val="000000"/>
          <w:sz w:val="30"/>
          <w:szCs w:val="30"/>
          <w:highlight w:val="none"/>
          <w:u w:val="single"/>
          <w:lang w:eastAsia="zh-CN"/>
        </w:rPr>
      </w:pPr>
      <w:r>
        <w:rPr>
          <w:rFonts w:hint="eastAsia" w:ascii="宋体" w:hAnsi="宋体" w:cs="宋体"/>
          <w:b/>
          <w:bCs/>
          <w:color w:val="000000"/>
          <w:sz w:val="30"/>
          <w:szCs w:val="30"/>
          <w:highlight w:val="none"/>
        </w:rPr>
        <w:t>联   系   人：</w:t>
      </w:r>
      <w:r>
        <w:rPr>
          <w:rFonts w:hint="eastAsia" w:ascii="宋体" w:hAnsi="宋体" w:cs="宋体"/>
          <w:b/>
          <w:bCs/>
          <w:color w:val="000000"/>
          <w:sz w:val="30"/>
          <w:highlight w:val="none"/>
          <w:lang w:eastAsia="zh-CN"/>
        </w:rPr>
        <w:t>江帆</w:t>
      </w:r>
    </w:p>
    <w:p w14:paraId="238376D0">
      <w:pPr>
        <w:spacing w:line="360" w:lineRule="auto"/>
        <w:jc w:val="left"/>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联  系 电 话：</w:t>
      </w:r>
      <w:r>
        <w:rPr>
          <w:rFonts w:hint="eastAsia" w:ascii="宋体" w:hAnsi="宋体" w:cs="宋体"/>
          <w:b/>
          <w:bCs/>
          <w:color w:val="000000"/>
          <w:sz w:val="30"/>
          <w:highlight w:val="none"/>
          <w:lang w:eastAsia="zh-CN"/>
        </w:rPr>
        <w:t>15509989039</w:t>
      </w:r>
    </w:p>
    <w:p w14:paraId="244C7C41">
      <w:pPr>
        <w:pStyle w:val="29"/>
        <w:rPr>
          <w:rFonts w:hint="eastAsia"/>
          <w:highlight w:val="none"/>
        </w:rPr>
      </w:pPr>
    </w:p>
    <w:p w14:paraId="5CC3ED3F">
      <w:pPr>
        <w:spacing w:line="600" w:lineRule="exact"/>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发  出 日 期：</w:t>
      </w:r>
      <w:r>
        <w:rPr>
          <w:rFonts w:hint="eastAsia" w:ascii="宋体" w:hAnsi="宋体" w:cs="宋体"/>
          <w:b/>
          <w:bCs/>
          <w:color w:val="000000"/>
          <w:sz w:val="30"/>
          <w:szCs w:val="30"/>
          <w:highlight w:val="none"/>
          <w:u w:val="none"/>
        </w:rPr>
        <w:t>202</w:t>
      </w:r>
      <w:r>
        <w:rPr>
          <w:rFonts w:hint="eastAsia" w:ascii="宋体" w:hAnsi="宋体" w:cs="宋体"/>
          <w:b/>
          <w:bCs/>
          <w:color w:val="000000"/>
          <w:sz w:val="30"/>
          <w:szCs w:val="30"/>
          <w:highlight w:val="none"/>
          <w:u w:val="none"/>
          <w:lang w:val="en-US" w:eastAsia="zh-CN"/>
        </w:rPr>
        <w:t>6</w:t>
      </w:r>
      <w:r>
        <w:rPr>
          <w:rFonts w:hint="eastAsia" w:ascii="宋体" w:hAnsi="宋体" w:cs="宋体"/>
          <w:b/>
          <w:bCs/>
          <w:color w:val="000000"/>
          <w:sz w:val="30"/>
          <w:szCs w:val="30"/>
          <w:highlight w:val="none"/>
          <w:u w:val="none"/>
        </w:rPr>
        <w:t>年</w:t>
      </w:r>
      <w:r>
        <w:rPr>
          <w:rFonts w:hint="eastAsia" w:ascii="宋体" w:hAnsi="宋体" w:cs="宋体"/>
          <w:b/>
          <w:bCs/>
          <w:color w:val="000000"/>
          <w:sz w:val="30"/>
          <w:szCs w:val="30"/>
          <w:highlight w:val="none"/>
          <w:u w:val="none"/>
          <w:lang w:val="en-US" w:eastAsia="zh-CN"/>
        </w:rPr>
        <w:t>05</w:t>
      </w:r>
      <w:r>
        <w:rPr>
          <w:rFonts w:hint="eastAsia" w:ascii="宋体" w:hAnsi="宋体" w:cs="宋体"/>
          <w:b/>
          <w:bCs/>
          <w:color w:val="000000"/>
          <w:sz w:val="30"/>
          <w:szCs w:val="30"/>
          <w:highlight w:val="none"/>
          <w:u w:val="none"/>
        </w:rPr>
        <w:t>月</w:t>
      </w:r>
    </w:p>
    <w:p w14:paraId="7612937F">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13D2E2B5">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1986D96B">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40DDFCB6">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71542BC5">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1E71155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28FC5923">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638ED813">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6DF33051">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0E93463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738CB000">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6AD3CC4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710743AC">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1C03C536">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2243EBE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p>
    <w:p w14:paraId="323B6BB1">
      <w:pPr>
        <w:pStyle w:val="51"/>
        <w:keepNext w:val="0"/>
        <w:keepLines w:val="0"/>
        <w:pageBreakBefore w:val="0"/>
        <w:widowControl w:val="0"/>
        <w:kinsoku/>
        <w:overflowPunct/>
        <w:bidi w:val="0"/>
        <w:rPr>
          <w:rFonts w:hint="eastAsia" w:ascii="宋体" w:hAnsi="宋体" w:eastAsia="宋体" w:cs="宋体"/>
          <w:b/>
          <w:color w:val="auto"/>
          <w:sz w:val="52"/>
          <w:highlight w:val="none"/>
        </w:rPr>
      </w:pPr>
    </w:p>
    <w:p w14:paraId="404B9874">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307FA2D2">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8AF80D4">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B826BA">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1671EA">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0C4C631">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791B03">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C721226">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二 </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kern w:val="0"/>
          <w:sz w:val="24"/>
          <w:szCs w:val="24"/>
          <w:highlight w:val="none"/>
        </w:rPr>
        <w:fldChar w:fldCharType="end"/>
      </w:r>
    </w:p>
    <w:p w14:paraId="63D1B388">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808880">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151BAEB">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9080DB">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三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FD8E75">
      <w:pPr>
        <w:pStyle w:val="17"/>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BBB8F5">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54F776">
      <w:pPr>
        <w:pStyle w:val="17"/>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w:t>
      </w:r>
      <w:r>
        <w:rPr>
          <w:rFonts w:hint="eastAsia" w:ascii="宋体" w:hAnsi="宋体" w:cs="宋体"/>
          <w:b/>
          <w:bCs/>
          <w:color w:val="auto"/>
          <w:sz w:val="24"/>
          <w:szCs w:val="32"/>
          <w:highlight w:val="none"/>
          <w:lang w:eastAsia="zh-CN"/>
        </w:rPr>
        <w:t>磋商文件</w:t>
      </w:r>
      <w:r>
        <w:rPr>
          <w:rFonts w:hint="eastAsia" w:ascii="宋体" w:hAnsi="宋体" w:eastAsia="宋体" w:cs="宋体"/>
          <w:b/>
          <w:bCs/>
          <w:color w:val="auto"/>
          <w:sz w:val="24"/>
          <w:szCs w:val="32"/>
          <w:highlight w:val="none"/>
        </w:rPr>
        <w:t>规定的技术文件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p>
    <w:p w14:paraId="259373C9">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10B528B">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C702055">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p>
    <w:p w14:paraId="0684244A">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11077A3">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四 </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5DAED75">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FC20D5A">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7FB7168B">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文件的接收、修改与撤回</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362CF0E1">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CBDC87">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D509B1">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70F0BEFE">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符合性审查与澄清</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42A22DED">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D26E92">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5B339F">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27FE80">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04439E8D">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677C0330">
      <w:pPr>
        <w:pStyle w:val="33"/>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w:t>
      </w:r>
      <w:r>
        <w:rPr>
          <w:rFonts w:hint="eastAsia" w:ascii="宋体" w:hAnsi="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确定中标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04D889AD">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1CB8D1">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64BAA4E4">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4DC640">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29.成交通知书和结果通知书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C67C4D">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1A3FC55B">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5CE9CADF">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3BEC5A57">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0AA31837">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2769CBA1">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3F1C2659">
      <w:pPr>
        <w:pStyle w:val="17"/>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6B21D14">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第2章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4</w:t>
      </w:r>
    </w:p>
    <w:p w14:paraId="7A03C102">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5</w:t>
      </w:r>
    </w:p>
    <w:p w14:paraId="5638A125">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7</w:t>
      </w:r>
    </w:p>
    <w:p w14:paraId="7613995D">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第5章 </w:t>
      </w:r>
      <w:r>
        <w:rPr>
          <w:rFonts w:hint="eastAsia" w:ascii="宋体" w:hAnsi="宋体" w:cs="宋体"/>
          <w:b/>
          <w:bCs/>
          <w:color w:val="auto"/>
          <w:sz w:val="24"/>
          <w:szCs w:val="32"/>
          <w:highlight w:val="none"/>
          <w:lang w:eastAsia="zh-CN"/>
        </w:rPr>
        <w:t>服务需求一览表及项目要求</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7D30487E">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w:t>
      </w:r>
    </w:p>
    <w:p w14:paraId="3ACE41ED">
      <w:pPr>
        <w:pStyle w:val="26"/>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51</w:t>
      </w:r>
      <w:r>
        <w:rPr>
          <w:rFonts w:hint="eastAsia" w:ascii="宋体" w:hAnsi="宋体" w:eastAsia="宋体" w:cs="宋体"/>
          <w:b/>
          <w:bCs/>
          <w:color w:val="auto"/>
          <w:kern w:val="0"/>
          <w:sz w:val="24"/>
          <w:szCs w:val="24"/>
          <w:highlight w:val="none"/>
        </w:rPr>
        <w:fldChar w:fldCharType="end"/>
      </w:r>
    </w:p>
    <w:p w14:paraId="0513A222">
      <w:pPr>
        <w:pStyle w:val="26"/>
        <w:keepNext w:val="0"/>
        <w:keepLines w:val="0"/>
        <w:pageBreakBefore w:val="0"/>
        <w:widowControl w:val="0"/>
        <w:tabs>
          <w:tab w:val="right" w:leader="dot" w:pos="8312"/>
        </w:tabs>
        <w:kinsoku/>
        <w:overflowPunct/>
        <w:bidi w:val="0"/>
        <w:rPr>
          <w:rFonts w:hint="eastAsia" w:ascii="宋体" w:hAnsi="宋体" w:eastAsia="宋体" w:cs="宋体"/>
          <w:color w:val="auto"/>
          <w:kern w:val="0"/>
          <w:sz w:val="24"/>
          <w:szCs w:val="24"/>
          <w:highlight w:val="none"/>
        </w:rPr>
      </w:pPr>
    </w:p>
    <w:p w14:paraId="4F079277">
      <w:pPr>
        <w:keepNext w:val="0"/>
        <w:keepLines w:val="0"/>
        <w:pageBreakBefore w:val="0"/>
        <w:widowControl w:val="0"/>
        <w:kinsoku/>
        <w:overflowPunct/>
        <w:bidi w:val="0"/>
        <w:rPr>
          <w:rFonts w:hint="eastAsia" w:ascii="宋体" w:hAnsi="宋体" w:eastAsia="宋体" w:cs="宋体"/>
          <w:color w:val="auto"/>
          <w:highlight w:val="none"/>
        </w:rPr>
      </w:pPr>
    </w:p>
    <w:p w14:paraId="41F70CCB">
      <w:pPr>
        <w:bidi w:val="0"/>
        <w:rPr>
          <w:rFonts w:hint="eastAsia" w:ascii="Times New Roman" w:hAnsi="Times New Roman" w:eastAsia="宋体" w:cs="Times New Roman"/>
          <w:kern w:val="2"/>
          <w:sz w:val="21"/>
          <w:szCs w:val="24"/>
          <w:highlight w:val="none"/>
          <w:lang w:val="en-US" w:eastAsia="zh-CN" w:bidi="ar-SA"/>
        </w:rPr>
      </w:pPr>
    </w:p>
    <w:p w14:paraId="2A75A136">
      <w:pPr>
        <w:bidi w:val="0"/>
        <w:rPr>
          <w:rFonts w:hint="eastAsia"/>
          <w:highlight w:val="none"/>
          <w:lang w:val="en-US" w:eastAsia="zh-CN"/>
        </w:rPr>
      </w:pPr>
    </w:p>
    <w:p w14:paraId="23939FC8">
      <w:pPr>
        <w:bidi w:val="0"/>
        <w:rPr>
          <w:rFonts w:hint="eastAsia"/>
          <w:highlight w:val="none"/>
          <w:lang w:val="en-US" w:eastAsia="zh-CN"/>
        </w:rPr>
      </w:pPr>
    </w:p>
    <w:p w14:paraId="459D919B">
      <w:pPr>
        <w:bidi w:val="0"/>
        <w:rPr>
          <w:rFonts w:hint="eastAsia"/>
          <w:highlight w:val="none"/>
          <w:lang w:val="en-US" w:eastAsia="zh-CN"/>
        </w:rPr>
      </w:pPr>
    </w:p>
    <w:p w14:paraId="477018FB">
      <w:pPr>
        <w:bidi w:val="0"/>
        <w:rPr>
          <w:rFonts w:hint="eastAsia"/>
          <w:highlight w:val="none"/>
          <w:lang w:val="en-US" w:eastAsia="zh-CN"/>
        </w:rPr>
      </w:pPr>
    </w:p>
    <w:p w14:paraId="7AA4D80C">
      <w:pPr>
        <w:bidi w:val="0"/>
        <w:rPr>
          <w:rFonts w:hint="eastAsia"/>
          <w:highlight w:val="none"/>
          <w:lang w:val="en-US" w:eastAsia="zh-CN"/>
        </w:rPr>
      </w:pPr>
    </w:p>
    <w:p w14:paraId="510B3F38">
      <w:pPr>
        <w:tabs>
          <w:tab w:val="right" w:pos="8504"/>
        </w:tabs>
        <w:bidi w:val="0"/>
        <w:jc w:val="left"/>
        <w:rPr>
          <w:rFonts w:hint="eastAsia"/>
          <w:highlight w:val="none"/>
          <w:lang w:val="en-US" w:eastAsia="zh-CN"/>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highlight w:val="none"/>
          <w:lang w:val="en-US" w:eastAsia="zh-CN"/>
        </w:rPr>
        <w:tab/>
      </w:r>
    </w:p>
    <w:p w14:paraId="0FD5ADA9">
      <w:pPr>
        <w:pStyle w:val="2"/>
        <w:keepNext w:val="0"/>
        <w:keepLines w:val="0"/>
        <w:pageBreakBefore w:val="0"/>
        <w:widowControl w:val="0"/>
        <w:numPr>
          <w:ilvl w:val="0"/>
          <w:numId w:val="0"/>
        </w:numPr>
        <w:tabs>
          <w:tab w:val="left" w:pos="0"/>
        </w:tabs>
        <w:kinsoku/>
        <w:overflowPunct/>
        <w:bidi w:val="0"/>
        <w:spacing w:before="0" w:after="0" w:line="240" w:lineRule="atLeas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2782"/>
      <w:bookmarkStart w:id="1" w:name="_Toc515647756"/>
      <w:bookmarkStart w:id="2" w:name="_Toc17230"/>
      <w:bookmarkStart w:id="3" w:name="_Toc216582804"/>
      <w:bookmarkStart w:id="4" w:name="_Toc25817"/>
      <w:r>
        <w:rPr>
          <w:rFonts w:hint="eastAsia" w:hAnsi="宋体" w:cs="宋体"/>
          <w:color w:val="auto"/>
          <w:kern w:val="0"/>
          <w:szCs w:val="21"/>
          <w:highlight w:val="none"/>
          <w:lang w:val="en-US" w:eastAsia="zh-CN"/>
        </w:rPr>
        <w:t xml:space="preserve">第1章  </w:t>
      </w:r>
      <w:r>
        <w:rPr>
          <w:rFonts w:hint="eastAsia" w:ascii="宋体" w:hAnsi="宋体" w:eastAsia="宋体" w:cs="宋体"/>
          <w:color w:val="auto"/>
          <w:sz w:val="32"/>
          <w:szCs w:val="20"/>
          <w:highlight w:val="none"/>
        </w:rPr>
        <w:t>投标人须知</w:t>
      </w:r>
      <w:bookmarkEnd w:id="0"/>
      <w:bookmarkEnd w:id="1"/>
      <w:bookmarkEnd w:id="2"/>
      <w:bookmarkEnd w:id="3"/>
      <w:bookmarkEnd w:id="4"/>
    </w:p>
    <w:p w14:paraId="3FC3928E">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highlight w:val="none"/>
        </w:rPr>
      </w:pPr>
      <w:bookmarkStart w:id="5" w:name="_Toc515647757"/>
      <w:bookmarkStart w:id="6" w:name="_Toc520356143"/>
      <w:bookmarkStart w:id="7" w:name="_Toc216582805"/>
      <w:bookmarkStart w:id="8" w:name="_Toc21215"/>
      <w:bookmarkStart w:id="9" w:name="_Toc210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6AB48196">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11" w:name="_Toc520356144"/>
      <w:bookmarkStart w:id="12" w:name="_Toc32189"/>
      <w:bookmarkStart w:id="13" w:name="_Toc5999"/>
      <w:bookmarkStart w:id="14" w:name="_Toc515647758"/>
      <w:bookmarkStart w:id="15" w:name="_Toc32623"/>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456CDE6B">
      <w:pPr>
        <w:numPr>
          <w:ilvl w:val="1"/>
          <w:numId w:val="0"/>
        </w:numPr>
        <w:tabs>
          <w:tab w:val="left" w:pos="0"/>
        </w:tabs>
        <w:spacing w:line="240" w:lineRule="atLeast"/>
        <w:ind w:left="840" w:hanging="840" w:hangingChars="350"/>
        <w:rPr>
          <w:rFonts w:hint="eastAsia" w:ascii="宋体" w:hAnsi="宋体" w:cs="宋体"/>
          <w:color w:val="000000"/>
          <w:sz w:val="24"/>
          <w:highlight w:val="none"/>
        </w:rPr>
      </w:pPr>
      <w:bookmarkStart w:id="16" w:name="_Toc5286"/>
      <w:bookmarkStart w:id="17" w:name="_Toc4322"/>
      <w:bookmarkStart w:id="18" w:name="_Toc12139"/>
      <w:bookmarkStart w:id="19" w:name="_Toc515647759"/>
      <w:r>
        <w:rPr>
          <w:rFonts w:hint="eastAsia" w:ascii="宋体" w:hAnsi="宋体" w:cs="宋体"/>
          <w:color w:val="000000"/>
          <w:sz w:val="24"/>
          <w:highlight w:val="none"/>
        </w:rPr>
        <w:t>1.1    采购人：是指依法开展政府采购活动的国家机关、事业单位、团体组织。</w:t>
      </w:r>
    </w:p>
    <w:p w14:paraId="1B96F661">
      <w:pPr>
        <w:tabs>
          <w:tab w:val="left" w:pos="0"/>
        </w:tabs>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w:t>
      </w:r>
    </w:p>
    <w:p w14:paraId="36E86B37">
      <w:pPr>
        <w:numPr>
          <w:ilvl w:val="1"/>
          <w:numId w:val="0"/>
        </w:numPr>
        <w:tabs>
          <w:tab w:val="left" w:pos="0"/>
        </w:tabs>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    采购代理机构：是指在集中采购机构或从事采购代理业务的社会中介机构。本项目的采购代理机构见</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w:t>
      </w:r>
    </w:p>
    <w:p w14:paraId="0DC2159F">
      <w:pPr>
        <w:numPr>
          <w:ilvl w:val="1"/>
          <w:numId w:val="0"/>
        </w:num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1.3    </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：是指向采购人提供服务、工程或者服务的法人、非法人组织或者自然人。本项目的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及其服务须满足以下条件：</w:t>
      </w:r>
    </w:p>
    <w:p w14:paraId="5D8AEE36">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w:t>
      </w:r>
    </w:p>
    <w:p w14:paraId="0AB09AB9">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条件的规定，遵守本项目采购人本级和上级财政部门政府采购的有关规定。</w:t>
      </w:r>
    </w:p>
    <w:p w14:paraId="7A87A456">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w:t>
      </w:r>
    </w:p>
    <w:p w14:paraId="10948C70">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中规定的其他要求。</w:t>
      </w:r>
    </w:p>
    <w:p w14:paraId="03F3A675">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中写明允许采购进口产品，</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应保证所投产品可履行合法报通关手续进入中国关境内。若</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中未写明允许采购进口产品，如</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所投产品为进口产品，其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09333D29">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1.3.6  若</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中写明专门面向中小企业采购的，如</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为非中小企业且所投产品为非中小企业产品，其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733B096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rPr>
        <w:t>本项目不允许联合体投标。</w:t>
      </w:r>
    </w:p>
    <w:p w14:paraId="482F2A44">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，其相关</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254B5652">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1.6    为本项目提供过整体设计、规范编制或者项目管理、监理、检测等要求的</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，不得再参加本项目上述服务以外的其他采购活动。否则其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3B9E5715">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w:t>
      </w:r>
      <w:r>
        <w:rPr>
          <w:rFonts w:hint="eastAsia" w:ascii="宋体" w:hAnsi="宋体" w:cs="宋体"/>
          <w:color w:val="000000"/>
          <w:sz w:val="24"/>
          <w:highlight w:val="none"/>
        </w:rPr>
        <w:tab/>
      </w:r>
      <w:r>
        <w:rPr>
          <w:rFonts w:hint="eastAsia" w:ascii="宋体" w:hAnsi="宋体" w:eastAsia="宋体" w:cs="宋体"/>
          <w:color w:val="000000"/>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000000"/>
          <w:sz w:val="24"/>
          <w:highlight w:val="none"/>
          <w:lang w:eastAsia="zh-CN"/>
        </w:rPr>
        <w:t>投</w:t>
      </w:r>
      <w:r>
        <w:rPr>
          <w:rFonts w:hint="eastAsia" w:ascii="宋体" w:hAnsi="宋体" w:cs="宋体"/>
          <w:b/>
          <w:bCs/>
          <w:color w:val="000000"/>
          <w:sz w:val="24"/>
          <w:highlight w:val="none"/>
          <w:lang w:eastAsia="zh-CN"/>
        </w:rPr>
        <w:t>标无效</w:t>
      </w:r>
      <w:r>
        <w:rPr>
          <w:rFonts w:hint="eastAsia" w:ascii="宋体" w:hAnsi="宋体" w:cs="宋体"/>
          <w:color w:val="000000"/>
          <w:sz w:val="24"/>
          <w:highlight w:val="none"/>
        </w:rPr>
        <w:t>。</w:t>
      </w:r>
    </w:p>
    <w:p w14:paraId="27A63D5A">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2.资金来源</w:t>
      </w:r>
      <w:bookmarkEnd w:id="16"/>
      <w:bookmarkEnd w:id="17"/>
      <w:bookmarkEnd w:id="18"/>
      <w:bookmarkEnd w:id="19"/>
    </w:p>
    <w:p w14:paraId="3B76A2D8">
      <w:pPr>
        <w:spacing w:line="240" w:lineRule="atLeast"/>
        <w:ind w:left="840" w:hanging="840" w:hangingChars="350"/>
        <w:rPr>
          <w:rFonts w:hint="eastAsia" w:ascii="宋体" w:hAnsi="宋体" w:cs="宋体"/>
          <w:color w:val="000000"/>
          <w:sz w:val="24"/>
          <w:highlight w:val="none"/>
        </w:rPr>
      </w:pPr>
      <w:bookmarkStart w:id="20" w:name="_Toc15936"/>
      <w:bookmarkStart w:id="21" w:name="_Toc20526"/>
      <w:bookmarkStart w:id="22" w:name="_Toc515647760"/>
      <w:bookmarkStart w:id="23" w:name="_Toc13828"/>
      <w:bookmarkStart w:id="24" w:name="_Toc520356145"/>
      <w:r>
        <w:rPr>
          <w:rFonts w:hint="eastAsia" w:ascii="宋体" w:hAnsi="宋体" w:cs="宋体"/>
          <w:color w:val="000000"/>
          <w:sz w:val="24"/>
          <w:highlight w:val="none"/>
        </w:rPr>
        <w:t>2.1</w:t>
      </w:r>
      <w:r>
        <w:rPr>
          <w:rFonts w:hint="eastAsia" w:ascii="宋体" w:hAnsi="宋体" w:cs="宋体"/>
          <w:color w:val="000000"/>
          <w:sz w:val="24"/>
          <w:highlight w:val="none"/>
        </w:rPr>
        <w:tab/>
      </w:r>
      <w:r>
        <w:rPr>
          <w:rFonts w:hint="eastAsia" w:ascii="宋体" w:hAnsi="宋体" w:cs="宋体"/>
          <w:color w:val="000000"/>
          <w:sz w:val="24"/>
          <w:highlight w:val="none"/>
        </w:rPr>
        <w:t>本项目的采购人已获得足以支付本次招标后所签订的合同项下的资金（包括财政性资金和本项目采购中无法与财政性资金分割的非财政性资金）。</w:t>
      </w:r>
    </w:p>
    <w:p w14:paraId="6D1662BB">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w:t>
      </w:r>
    </w:p>
    <w:p w14:paraId="6BFC5427">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2.3    </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报价超过</w:t>
      </w:r>
      <w:r>
        <w:rPr>
          <w:rFonts w:hint="eastAsia" w:ascii="宋体" w:hAnsi="宋体" w:cs="宋体"/>
          <w:color w:val="000000"/>
          <w:sz w:val="24"/>
          <w:highlight w:val="none"/>
          <w:lang w:val="en-US" w:eastAsia="zh-CN"/>
        </w:rPr>
        <w:t>磋商文件</w:t>
      </w:r>
      <w:r>
        <w:rPr>
          <w:rFonts w:hint="eastAsia" w:ascii="宋体" w:hAnsi="宋体" w:cs="宋体"/>
          <w:color w:val="000000"/>
          <w:sz w:val="24"/>
          <w:highlight w:val="none"/>
        </w:rPr>
        <w:t>规定的预算金额或者分项、分包最高限价的，其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0947172C">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3.投标费用</w:t>
      </w:r>
      <w:bookmarkEnd w:id="20"/>
      <w:bookmarkEnd w:id="21"/>
      <w:bookmarkEnd w:id="22"/>
      <w:bookmarkEnd w:id="23"/>
      <w:bookmarkEnd w:id="24"/>
    </w:p>
    <w:p w14:paraId="589BAC45">
      <w:pPr>
        <w:spacing w:line="240" w:lineRule="atLeast"/>
        <w:ind w:left="840" w:hanging="840" w:hangingChars="350"/>
        <w:rPr>
          <w:rFonts w:hint="eastAsia" w:ascii="宋体" w:hAnsi="宋体" w:cs="宋体"/>
          <w:color w:val="000000"/>
          <w:sz w:val="24"/>
          <w:highlight w:val="none"/>
        </w:rPr>
      </w:pPr>
      <w:bookmarkStart w:id="25" w:name="_Toc6116"/>
      <w:bookmarkStart w:id="26" w:name="_Toc32665"/>
      <w:bookmarkStart w:id="27" w:name="_Toc4463"/>
      <w:bookmarkStart w:id="28" w:name="_Toc515647761"/>
      <w:r>
        <w:rPr>
          <w:rFonts w:hint="eastAsia" w:ascii="宋体" w:hAnsi="宋体" w:cs="宋体"/>
          <w:color w:val="000000"/>
          <w:sz w:val="24"/>
          <w:highlight w:val="none"/>
        </w:rPr>
        <w:t>3.1</w:t>
      </w:r>
      <w:r>
        <w:rPr>
          <w:rFonts w:hint="eastAsia" w:ascii="宋体" w:hAnsi="宋体" w:cs="宋体"/>
          <w:color w:val="000000"/>
          <w:sz w:val="24"/>
          <w:highlight w:val="none"/>
        </w:rPr>
        <w:tab/>
      </w:r>
      <w:r>
        <w:rPr>
          <w:rFonts w:hint="eastAsia" w:ascii="宋体" w:hAnsi="宋体" w:cs="宋体"/>
          <w:color w:val="000000"/>
          <w:sz w:val="24"/>
          <w:highlight w:val="none"/>
        </w:rPr>
        <w:t>不论</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的结果如何，</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应承担所有与准备和参加</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有关的费用。</w:t>
      </w:r>
    </w:p>
    <w:p w14:paraId="705FE698">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4.适用法律</w:t>
      </w:r>
      <w:bookmarkEnd w:id="25"/>
      <w:bookmarkEnd w:id="26"/>
      <w:bookmarkEnd w:id="27"/>
      <w:bookmarkEnd w:id="28"/>
    </w:p>
    <w:p w14:paraId="31D1149B">
      <w:pPr>
        <w:spacing w:line="240" w:lineRule="atLeast"/>
        <w:ind w:left="840" w:hanging="840" w:hangingChars="350"/>
        <w:rPr>
          <w:rFonts w:hint="eastAsia" w:ascii="宋体" w:hAnsi="宋体" w:eastAsia="宋体" w:cs="宋体"/>
          <w:color w:val="auto"/>
          <w:sz w:val="28"/>
          <w:highlight w:val="none"/>
        </w:rPr>
      </w:pPr>
      <w:bookmarkStart w:id="29" w:name="_Toc28572"/>
      <w:bookmarkStart w:id="30" w:name="_Toc216582806"/>
      <w:bookmarkStart w:id="31" w:name="_Toc515647762"/>
      <w:bookmarkStart w:id="32" w:name="_Toc520356146"/>
      <w:bookmarkStart w:id="33" w:name="_Toc21566"/>
      <w:bookmarkStart w:id="34" w:name="_Toc4365"/>
      <w:r>
        <w:rPr>
          <w:rFonts w:hint="eastAsia" w:ascii="宋体" w:hAnsi="宋体" w:cs="宋体"/>
          <w:color w:val="000000"/>
          <w:sz w:val="24"/>
          <w:highlight w:val="none"/>
        </w:rPr>
        <w:t>4.1    本项目采购人、采购代理机构、</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w:t>
      </w:r>
      <w:r>
        <w:rPr>
          <w:rFonts w:hint="eastAsia" w:ascii="宋体" w:hAnsi="宋体" w:cs="宋体"/>
          <w:color w:val="000000"/>
          <w:sz w:val="24"/>
          <w:highlight w:val="none"/>
          <w:lang w:eastAsia="zh-CN"/>
        </w:rPr>
        <w:t>磋商小组</w:t>
      </w:r>
      <w:r>
        <w:rPr>
          <w:rFonts w:hint="eastAsia" w:ascii="宋体" w:hAnsi="宋体" w:cs="宋体"/>
          <w:color w:val="000000"/>
          <w:sz w:val="24"/>
          <w:highlight w:val="none"/>
        </w:rPr>
        <w:t>的相关行为均受《中华人民共和国政府采购法》《中华人民共和国政府采购法实施条例》及本项目本级和上级财政部门政府采购有关规定的约束，其权利受到上述法律法规的保护。</w:t>
      </w:r>
    </w:p>
    <w:p w14:paraId="54C04F23">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二   </w:t>
      </w:r>
      <w:bookmarkEnd w:id="29"/>
      <w:bookmarkEnd w:id="30"/>
      <w:bookmarkEnd w:id="31"/>
      <w:bookmarkEnd w:id="32"/>
      <w:bookmarkEnd w:id="33"/>
      <w:bookmarkEnd w:id="34"/>
      <w:r>
        <w:rPr>
          <w:rFonts w:hint="eastAsia" w:ascii="宋体" w:hAnsi="宋体" w:eastAsia="宋体" w:cs="宋体"/>
          <w:color w:val="auto"/>
          <w:sz w:val="28"/>
          <w:highlight w:val="none"/>
          <w:lang w:eastAsia="zh-CN"/>
        </w:rPr>
        <w:t>磋商文件</w:t>
      </w:r>
    </w:p>
    <w:p w14:paraId="0E062E09">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35" w:name="_Toc515647763"/>
      <w:bookmarkStart w:id="36" w:name="_Toc520356147"/>
      <w:bookmarkStart w:id="37" w:name="_Toc14084"/>
      <w:bookmarkStart w:id="38" w:name="_Toc4671"/>
      <w:bookmarkStart w:id="39" w:name="_Toc25743"/>
      <w:r>
        <w:rPr>
          <w:rFonts w:hint="eastAsia" w:ascii="宋体" w:hAnsi="宋体" w:eastAsia="宋体" w:cs="宋体"/>
          <w:color w:val="auto"/>
          <w:highlight w:val="none"/>
          <w:u w:val="none"/>
        </w:rPr>
        <w:t>5.</w:t>
      </w:r>
      <w:r>
        <w:rPr>
          <w:rFonts w:hint="eastAsia" w:hAnsi="宋体" w:cs="宋体"/>
          <w:color w:val="auto"/>
          <w:highlight w:val="none"/>
          <w:u w:val="none"/>
          <w:lang w:val="en-US" w:eastAsia="zh-CN"/>
        </w:rPr>
        <w:t>磋商</w:t>
      </w:r>
      <w:r>
        <w:rPr>
          <w:rFonts w:hint="eastAsia" w:ascii="宋体" w:hAnsi="宋体" w:eastAsia="宋体" w:cs="宋体"/>
          <w:color w:val="auto"/>
          <w:highlight w:val="none"/>
          <w:u w:val="none"/>
        </w:rPr>
        <w:t>文件构成</w:t>
      </w:r>
      <w:bookmarkEnd w:id="35"/>
      <w:bookmarkEnd w:id="36"/>
      <w:bookmarkEnd w:id="37"/>
      <w:bookmarkEnd w:id="38"/>
      <w:bookmarkEnd w:id="39"/>
    </w:p>
    <w:p w14:paraId="566A6CBB">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5.1    磋商文件分为7章，内容如下：</w:t>
      </w:r>
    </w:p>
    <w:p w14:paraId="27C0F542">
      <w:pPr>
        <w:tabs>
          <w:tab w:val="left" w:pos="0"/>
        </w:tabs>
        <w:spacing w:line="240" w:lineRule="atLeast"/>
        <w:ind w:left="840" w:leftChars="400"/>
        <w:rPr>
          <w:rFonts w:hint="eastAsia" w:ascii="宋体" w:hAnsi="宋体" w:cs="宋体"/>
          <w:color w:val="000000"/>
          <w:sz w:val="24"/>
          <w:highlight w:val="none"/>
        </w:rPr>
      </w:pPr>
      <w:r>
        <w:rPr>
          <w:rFonts w:hint="eastAsia" w:ascii="宋体" w:hAnsi="宋体" w:cs="宋体"/>
          <w:color w:val="000000"/>
          <w:sz w:val="24"/>
          <w:highlight w:val="none"/>
        </w:rPr>
        <w:t>第1章 投标人须知</w:t>
      </w:r>
    </w:p>
    <w:p w14:paraId="1EDDB266">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第2章 响应文件格式</w:t>
      </w:r>
    </w:p>
    <w:p w14:paraId="4CC0472B">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第3章 磋商邀请</w:t>
      </w:r>
    </w:p>
    <w:p w14:paraId="7B6AC8D0">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第4章 投标人须知资料表</w:t>
      </w:r>
    </w:p>
    <w:p w14:paraId="2DA3E963">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第5章 服务需求一览表及项目要求</w:t>
      </w:r>
    </w:p>
    <w:p w14:paraId="490C9CDC">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第6章 评审方法和标准</w:t>
      </w:r>
    </w:p>
    <w:p w14:paraId="37926C3E">
      <w:pPr>
        <w:spacing w:line="240" w:lineRule="atLeast"/>
        <w:ind w:left="960" w:leftChars="400" w:hanging="120" w:hangingChars="50"/>
        <w:rPr>
          <w:rFonts w:hint="eastAsia" w:ascii="宋体" w:hAnsi="宋体" w:cs="宋体"/>
          <w:color w:val="000000"/>
          <w:sz w:val="24"/>
          <w:highlight w:val="none"/>
        </w:rPr>
      </w:pPr>
      <w:r>
        <w:rPr>
          <w:rFonts w:hint="eastAsia" w:ascii="宋体" w:hAnsi="宋体" w:cs="宋体"/>
          <w:color w:val="000000"/>
          <w:sz w:val="24"/>
          <w:highlight w:val="none"/>
        </w:rPr>
        <w:t>第7章 政府采购合同</w:t>
      </w:r>
    </w:p>
    <w:p w14:paraId="61C9F151">
      <w:pPr>
        <w:spacing w:line="240" w:lineRule="atLeast"/>
        <w:ind w:left="840" w:hanging="840" w:hangingChars="350"/>
        <w:rPr>
          <w:rFonts w:hint="eastAsia" w:ascii="宋体" w:hAnsi="宋体" w:cs="宋体"/>
          <w:color w:val="000000"/>
          <w:sz w:val="24"/>
          <w:highlight w:val="none"/>
        </w:rPr>
      </w:pPr>
      <w:bookmarkStart w:id="40" w:name="_Toc520356148"/>
      <w:bookmarkStart w:id="41" w:name="_Toc515904805"/>
      <w:bookmarkStart w:id="42" w:name="_Toc9232"/>
      <w:bookmarkStart w:id="43" w:name="_Toc1922"/>
      <w:bookmarkStart w:id="44" w:name="_Toc26044"/>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14:paraId="3F35D879">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5.3    </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应认真阅读</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所有的事项、格式、条款和技术规范等。如</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没有按照</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要求提交全部资料，或者</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没有对</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在各方面都做出实质性响应，可能导致其</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51D4983E">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6.</w:t>
      </w:r>
      <w:r>
        <w:rPr>
          <w:rFonts w:hint="eastAsia" w:hAnsi="宋体" w:cs="宋体"/>
          <w:color w:val="auto"/>
          <w:sz w:val="24"/>
          <w:szCs w:val="20"/>
          <w:highlight w:val="none"/>
          <w:u w:val="none"/>
          <w:lang w:val="en-US" w:eastAsia="zh-CN"/>
        </w:rPr>
        <w:t>磋商</w:t>
      </w:r>
      <w:r>
        <w:rPr>
          <w:rFonts w:hint="eastAsia" w:ascii="宋体" w:hAnsi="宋体" w:eastAsia="宋体" w:cs="宋体"/>
          <w:color w:val="auto"/>
          <w:sz w:val="24"/>
          <w:szCs w:val="20"/>
          <w:highlight w:val="none"/>
          <w:u w:val="none"/>
        </w:rPr>
        <w:t>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62019D81">
      <w:pPr>
        <w:pStyle w:val="5"/>
        <w:ind w:left="840" w:hanging="840" w:hangingChars="350"/>
        <w:rPr>
          <w:rFonts w:hint="eastAsia" w:hAnsi="宋体" w:cs="宋体"/>
          <w:color w:val="000000"/>
          <w:szCs w:val="24"/>
          <w:highlight w:val="none"/>
        </w:rPr>
      </w:pPr>
      <w:bookmarkStart w:id="45" w:name="_Toc515904806"/>
      <w:bookmarkStart w:id="46" w:name="_Toc520356149"/>
      <w:bookmarkStart w:id="47" w:name="_Ref467378678"/>
      <w:bookmarkStart w:id="48" w:name="_Toc25635"/>
      <w:bookmarkStart w:id="49" w:name="_Toc12448"/>
      <w:bookmarkStart w:id="50" w:name="_Toc14569"/>
      <w:r>
        <w:rPr>
          <w:rFonts w:hint="eastAsia" w:hAnsi="宋体" w:cs="宋体"/>
          <w:color w:val="000000"/>
          <w:szCs w:val="24"/>
          <w:highlight w:val="none"/>
        </w:rPr>
        <w:t>6.1    为了保证对磋商文件的澄清和修改满足法律的时限要求，任何要求对磋商文件进行澄清的供应商，均应在磋商截止期</w:t>
      </w:r>
      <w:r>
        <w:rPr>
          <w:rFonts w:hint="eastAsia" w:hAnsi="宋体" w:cs="宋体"/>
          <w:color w:val="000000"/>
          <w:szCs w:val="24"/>
          <w:highlight w:val="none"/>
          <w:lang w:val="en-US" w:eastAsia="zh-CN"/>
        </w:rPr>
        <w:t>五</w:t>
      </w:r>
      <w:r>
        <w:rPr>
          <w:rFonts w:hint="eastAsia" w:hAnsi="宋体" w:cs="宋体"/>
          <w:color w:val="000000"/>
          <w:szCs w:val="24"/>
          <w:highlight w:val="none"/>
        </w:rPr>
        <w:t>日前，以书面形式将澄清要求通知采购代理机构。</w:t>
      </w:r>
    </w:p>
    <w:p w14:paraId="5469E4D2">
      <w:pPr>
        <w:pStyle w:val="5"/>
        <w:ind w:left="840" w:hanging="840" w:hangingChars="350"/>
        <w:rPr>
          <w:rFonts w:hint="eastAsia" w:hAnsi="宋体" w:cs="宋体"/>
          <w:color w:val="000000"/>
          <w:szCs w:val="24"/>
          <w:highlight w:val="none"/>
        </w:rPr>
      </w:pPr>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采购人可主动地或在解答供应商提出的澄清问题时对磋商文件进行澄清或修改。采购代理机构将以发布澄清（更正）公告的方式，澄清或修改磋商文件，澄清或修改内容作为磋商文件的组成部分。</w:t>
      </w:r>
    </w:p>
    <w:p w14:paraId="24ED6A4C">
      <w:pPr>
        <w:pStyle w:val="5"/>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w:t>
      </w:r>
      <w:r>
        <w:rPr>
          <w:rFonts w:hint="eastAsia" w:hAnsi="宋体" w:cs="宋体"/>
          <w:color w:val="000000"/>
          <w:szCs w:val="24"/>
          <w:highlight w:val="none"/>
          <w:lang w:val="en-US" w:eastAsia="zh-CN"/>
        </w:rPr>
        <w:t>响应</w:t>
      </w:r>
      <w:r>
        <w:rPr>
          <w:rFonts w:hint="eastAsia" w:hAnsi="宋体" w:cs="宋体"/>
          <w:color w:val="000000"/>
          <w:szCs w:val="24"/>
          <w:highlight w:val="none"/>
        </w:rPr>
        <w:t>文件编制的，采购代理机构将以书面形式通知所有购买磋商文件的潜在</w:t>
      </w:r>
      <w:r>
        <w:rPr>
          <w:rFonts w:hint="eastAsia" w:hAnsi="宋体" w:cs="宋体"/>
          <w:color w:val="000000"/>
          <w:szCs w:val="24"/>
          <w:highlight w:val="none"/>
          <w:lang w:val="en-US" w:eastAsia="zh-CN"/>
        </w:rPr>
        <w:t>投标人</w:t>
      </w:r>
      <w:r>
        <w:rPr>
          <w:rFonts w:hint="eastAsia" w:hAnsi="宋体" w:cs="宋体"/>
          <w:color w:val="000000"/>
          <w:szCs w:val="24"/>
          <w:highlight w:val="none"/>
        </w:rPr>
        <w:t>，并对其具有约束力。供应商在收到上述通知后，应及时向采购代理机构回函确认。</w:t>
      </w:r>
    </w:p>
    <w:p w14:paraId="36D621CE">
      <w:pPr>
        <w:pStyle w:val="4"/>
        <w:keepNext w:val="0"/>
        <w:keepLines w:val="0"/>
        <w:pageBreakBefore w:val="0"/>
        <w:widowControl w:val="0"/>
        <w:tabs>
          <w:tab w:val="left" w:pos="900"/>
        </w:tabs>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1040FE3">
      <w:pPr>
        <w:spacing w:line="240" w:lineRule="atLeast"/>
        <w:ind w:left="840" w:hanging="840" w:hangingChars="350"/>
        <w:rPr>
          <w:rFonts w:hint="eastAsia" w:ascii="宋体" w:hAnsi="宋体" w:cs="宋体"/>
          <w:color w:val="000000"/>
          <w:sz w:val="24"/>
          <w:highlight w:val="none"/>
        </w:rPr>
      </w:pPr>
      <w:bookmarkStart w:id="51" w:name="_Toc516367020"/>
      <w:bookmarkStart w:id="52" w:name="_Toc7636"/>
      <w:bookmarkStart w:id="53" w:name="_Toc520356150"/>
      <w:bookmarkStart w:id="54" w:name="_Toc31039"/>
      <w:bookmarkStart w:id="55" w:name="_Toc30808"/>
      <w:bookmarkStart w:id="56" w:name="_Toc515647766"/>
      <w:bookmarkStart w:id="57" w:name="_Toc216582807"/>
      <w:r>
        <w:rPr>
          <w:rFonts w:hint="eastAsia" w:ascii="宋体" w:hAnsi="宋体" w:cs="宋体"/>
          <w:color w:val="000000"/>
          <w:sz w:val="24"/>
          <w:highlight w:val="none"/>
        </w:rPr>
        <w:t>7.1</w:t>
      </w:r>
      <w:r>
        <w:rPr>
          <w:rFonts w:hint="eastAsia" w:ascii="宋体" w:hAnsi="宋体" w:cs="宋体"/>
          <w:color w:val="000000"/>
          <w:sz w:val="24"/>
          <w:highlight w:val="none"/>
        </w:rPr>
        <w:tab/>
      </w:r>
      <w:r>
        <w:rPr>
          <w:rFonts w:hint="eastAsia" w:ascii="宋体" w:hAnsi="宋体" w:cs="宋体"/>
          <w:color w:val="000000"/>
          <w:sz w:val="24"/>
          <w:highlight w:val="none"/>
        </w:rPr>
        <w:t>为使</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准备磋商时有足够的时间对磋商文件的澄清或者修改部分进行研究，采购人将依法决定是否顺延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截止时间。</w:t>
      </w:r>
    </w:p>
    <w:p w14:paraId="16073943">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 xml:space="preserve">三   </w:t>
      </w:r>
      <w:bookmarkEnd w:id="51"/>
      <w:r>
        <w:rPr>
          <w:rFonts w:hint="eastAsia" w:ascii="宋体" w:hAnsi="宋体" w:eastAsia="宋体" w:cs="宋体"/>
          <w:color w:val="auto"/>
          <w:sz w:val="28"/>
          <w:highlight w:val="none"/>
          <w:lang w:eastAsia="zh-CN"/>
        </w:rPr>
        <w:t>响应文件的编制</w:t>
      </w:r>
      <w:bookmarkEnd w:id="52"/>
      <w:bookmarkEnd w:id="53"/>
      <w:bookmarkEnd w:id="54"/>
      <w:bookmarkEnd w:id="55"/>
      <w:bookmarkEnd w:id="56"/>
      <w:bookmarkEnd w:id="57"/>
    </w:p>
    <w:p w14:paraId="1CA9278B">
      <w:pPr>
        <w:pStyle w:val="4"/>
        <w:keepNext w:val="0"/>
        <w:keepLines w:val="0"/>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4" w:hangingChars="400"/>
        <w:textAlignment w:val="auto"/>
        <w:rPr>
          <w:rFonts w:hint="eastAsia" w:ascii="宋体" w:hAnsi="宋体" w:eastAsia="宋体" w:cs="宋体"/>
          <w:color w:val="auto"/>
          <w:highlight w:val="none"/>
          <w:u w:val="none"/>
        </w:rPr>
      </w:pPr>
      <w:bookmarkStart w:id="58" w:name="_Toc516367021"/>
      <w:bookmarkStart w:id="59" w:name="_Toc3553"/>
      <w:bookmarkStart w:id="60" w:name="_Toc520356151"/>
      <w:bookmarkStart w:id="61" w:name="_Toc30570"/>
      <w:bookmarkStart w:id="62" w:name="_Toc515647767"/>
      <w:bookmarkStart w:id="63" w:name="_Toc7786"/>
      <w:r>
        <w:rPr>
          <w:rFonts w:hint="eastAsia" w:ascii="宋体" w:hAnsi="宋体" w:eastAsia="宋体" w:cs="宋体"/>
          <w:color w:val="auto"/>
          <w:highlight w:val="none"/>
          <w:u w:val="none"/>
        </w:rPr>
        <w:t>8.投标范围及</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中标准和计量单位的使用</w:t>
      </w:r>
      <w:bookmarkEnd w:id="58"/>
      <w:bookmarkEnd w:id="59"/>
      <w:bookmarkEnd w:id="60"/>
      <w:bookmarkEnd w:id="61"/>
      <w:bookmarkEnd w:id="62"/>
      <w:bookmarkEnd w:id="63"/>
    </w:p>
    <w:p w14:paraId="5DA1EC3A">
      <w:pPr>
        <w:spacing w:line="240" w:lineRule="atLeast"/>
        <w:ind w:left="840" w:hanging="840" w:hangingChars="350"/>
        <w:rPr>
          <w:rFonts w:hint="eastAsia" w:ascii="宋体" w:hAnsi="宋体" w:cs="宋体"/>
          <w:color w:val="000000"/>
          <w:sz w:val="24"/>
          <w:highlight w:val="none"/>
        </w:rPr>
      </w:pPr>
      <w:bookmarkStart w:id="64" w:name="_Ref467306676"/>
      <w:bookmarkStart w:id="65" w:name="_Ref467306195"/>
      <w:bookmarkStart w:id="66" w:name="_Toc516367022"/>
      <w:bookmarkStart w:id="67" w:name="_Toc10364"/>
      <w:bookmarkStart w:id="68" w:name="_Toc28307"/>
      <w:bookmarkStart w:id="69" w:name="_Toc515647768"/>
      <w:bookmarkStart w:id="70" w:name="_Toc18692"/>
      <w:bookmarkStart w:id="71" w:name="_Toc520356152"/>
      <w:bookmarkStart w:id="72" w:name="_Toc13143"/>
      <w:bookmarkStart w:id="73" w:name="_Toc516367023"/>
      <w:bookmarkStart w:id="74" w:name="_Toc515647769"/>
      <w:bookmarkStart w:id="75" w:name="_Toc4601"/>
      <w:bookmarkStart w:id="76" w:name="_Toc520356153"/>
      <w:bookmarkStart w:id="77" w:name="_Toc10379"/>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可对</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其中某一个或几个分包进行</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，除非在</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中另有规定。</w:t>
      </w:r>
    </w:p>
    <w:p w14:paraId="2A34D29A">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8.2    </w:t>
      </w:r>
      <w:r>
        <w:rPr>
          <w:rFonts w:hint="eastAsia" w:ascii="宋体" w:hAnsi="宋体" w:cs="宋体"/>
          <w:color w:val="000000"/>
          <w:sz w:val="24"/>
          <w:highlight w:val="none"/>
          <w:lang w:val="en-US" w:eastAsia="zh-CN"/>
        </w:rPr>
        <w:t>投标</w:t>
      </w:r>
      <w:r>
        <w:rPr>
          <w:rFonts w:hint="eastAsia" w:ascii="宋体" w:hAnsi="宋体" w:eastAsia="宋体" w:cs="宋体"/>
          <w:color w:val="000000"/>
          <w:sz w:val="24"/>
          <w:highlight w:val="none"/>
          <w:lang w:val="en-US" w:eastAsia="zh-CN"/>
        </w:rPr>
        <w:t>人应当对所投分包</w:t>
      </w:r>
      <w:r>
        <w:rPr>
          <w:rFonts w:hint="eastAsia" w:ascii="宋体" w:hAnsi="宋体" w:cs="宋体"/>
          <w:color w:val="000000"/>
          <w:sz w:val="24"/>
          <w:highlight w:val="none"/>
          <w:lang w:val="en-US" w:eastAsia="zh-CN"/>
        </w:rPr>
        <w:t>磋商</w:t>
      </w:r>
      <w:r>
        <w:rPr>
          <w:rFonts w:hint="eastAsia" w:ascii="宋体" w:hAnsi="宋体" w:eastAsia="宋体" w:cs="宋体"/>
          <w:color w:val="000000"/>
          <w:sz w:val="24"/>
          <w:highlight w:val="none"/>
          <w:lang w:val="en-US" w:eastAsia="zh-CN"/>
        </w:rPr>
        <w:t>文件中“</w:t>
      </w:r>
      <w:r>
        <w:rPr>
          <w:rFonts w:hint="eastAsia" w:ascii="宋体" w:hAnsi="宋体" w:cs="宋体"/>
          <w:color w:val="000000"/>
          <w:sz w:val="24"/>
          <w:highlight w:val="none"/>
          <w:lang w:val="en-US" w:eastAsia="zh-CN"/>
        </w:rPr>
        <w:t>服务需求一览表及项目要求</w:t>
      </w:r>
      <w:r>
        <w:rPr>
          <w:rFonts w:hint="eastAsia" w:ascii="宋体" w:hAnsi="宋体" w:eastAsia="宋体" w:cs="宋体"/>
          <w:color w:val="000000"/>
          <w:sz w:val="24"/>
          <w:highlight w:val="none"/>
          <w:lang w:val="en-US" w:eastAsia="zh-CN"/>
        </w:rPr>
        <w:t>”所列的所有内容进行投标，如仅响应分包中的部分内容，其投标将被认定为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04CDEBB3">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8.3    无论</w:t>
      </w:r>
      <w:r>
        <w:rPr>
          <w:rFonts w:hint="eastAsia" w:ascii="宋体" w:hAnsi="宋体" w:cs="宋体"/>
          <w:color w:val="000000"/>
          <w:sz w:val="24"/>
          <w:highlight w:val="none"/>
          <w:lang w:val="en-US" w:eastAsia="zh-CN"/>
        </w:rPr>
        <w:t>磋商</w:t>
      </w:r>
      <w:r>
        <w:rPr>
          <w:rFonts w:hint="eastAsia" w:ascii="宋体" w:hAnsi="宋体" w:eastAsia="宋体" w:cs="宋体"/>
          <w:color w:val="000000"/>
          <w:sz w:val="24"/>
          <w:highlight w:val="none"/>
          <w:lang w:eastAsia="zh-CN"/>
        </w:rPr>
        <w:t>文件第5章</w:t>
      </w:r>
      <w:r>
        <w:rPr>
          <w:rFonts w:hint="eastAsia" w:ascii="宋体" w:hAnsi="宋体" w:cs="宋体"/>
          <w:color w:val="000000"/>
          <w:sz w:val="24"/>
          <w:highlight w:val="none"/>
          <w:lang w:val="en-US" w:eastAsia="zh-CN"/>
        </w:rPr>
        <w:t>服务需求一览表及项目要求</w:t>
      </w:r>
      <w:r>
        <w:rPr>
          <w:rFonts w:hint="eastAsia" w:ascii="宋体" w:hAnsi="宋体" w:eastAsia="宋体" w:cs="宋体"/>
          <w:color w:val="000000"/>
          <w:sz w:val="24"/>
          <w:highlight w:val="none"/>
          <w:lang w:eastAsia="zh-CN"/>
        </w:rPr>
        <w:t>中是否要求，</w:t>
      </w:r>
      <w:r>
        <w:rPr>
          <w:rFonts w:hint="eastAsia" w:ascii="宋体" w:hAnsi="宋体" w:eastAsia="宋体" w:cs="宋体"/>
          <w:color w:val="000000"/>
          <w:sz w:val="24"/>
          <w:highlight w:val="none"/>
          <w:lang w:val="en-US" w:eastAsia="zh-CN"/>
        </w:rPr>
        <w:t>投标人</w:t>
      </w:r>
      <w:r>
        <w:rPr>
          <w:rFonts w:hint="eastAsia" w:ascii="宋体" w:hAnsi="宋体" w:eastAsia="宋体" w:cs="宋体"/>
          <w:color w:val="000000"/>
          <w:sz w:val="24"/>
          <w:highlight w:val="none"/>
          <w:lang w:eastAsia="zh-CN"/>
        </w:rPr>
        <w:t>所投要求均应符合国家强制性标准。</w:t>
      </w:r>
    </w:p>
    <w:p w14:paraId="6D3937E1">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8.4    除</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中有特殊要求外，响应文件中所使用的计量单位，应采用中华人民共和国法定计量单位。</w:t>
      </w:r>
    </w:p>
    <w:p w14:paraId="011B25C7">
      <w:pPr>
        <w:pStyle w:val="4"/>
        <w:tabs>
          <w:tab w:val="left" w:pos="900"/>
        </w:tabs>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9.</w:t>
      </w:r>
      <w:bookmarkEnd w:id="64"/>
      <w:bookmarkEnd w:id="65"/>
      <w:bookmarkEnd w:id="66"/>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构成</w:t>
      </w:r>
      <w:bookmarkEnd w:id="67"/>
      <w:bookmarkEnd w:id="68"/>
      <w:bookmarkEnd w:id="69"/>
      <w:bookmarkEnd w:id="70"/>
      <w:bookmarkEnd w:id="71"/>
    </w:p>
    <w:p w14:paraId="685025E2">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9.1    </w:t>
      </w:r>
      <w:r>
        <w:rPr>
          <w:rFonts w:hint="eastAsia" w:ascii="宋体" w:hAnsi="宋体" w:eastAsia="宋体" w:cs="宋体"/>
          <w:b/>
          <w:bCs/>
          <w:color w:val="auto"/>
          <w:sz w:val="24"/>
          <w:highlight w:val="none"/>
        </w:rPr>
        <w:t>投标人应完整地按</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文件提供的</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文件格式及要求编写</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 xml:space="preserve">文件， </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文件应包括“ 开标一览表及资格证明文件” 和“ 商务及技术文件” 两部分。</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（需带有磋商文件格式要求的封皮）</w:t>
      </w:r>
      <w:r>
        <w:rPr>
          <w:rFonts w:hint="eastAsia" w:ascii="宋体" w:hAnsi="宋体" w:eastAsia="宋体" w:cs="宋体"/>
          <w:b/>
          <w:bCs/>
          <w:color w:val="FF0000"/>
          <w:sz w:val="24"/>
          <w:highlight w:val="none"/>
        </w:rPr>
        <w:t>上传至政采云平台。</w:t>
      </w:r>
    </w:p>
    <w:p w14:paraId="50906F26">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文件规定的格式填写、签署和盖章。若投标人未依照要求制作</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文件的，则视为不响应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文件编制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文件的要求，</w:t>
      </w:r>
      <w:bookmarkStart w:id="78" w:name="bookmark14"/>
      <w:bookmarkEnd w:id="78"/>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w:t>
      </w:r>
    </w:p>
    <w:p w14:paraId="542D58E2">
      <w:pPr>
        <w:pStyle w:val="4"/>
        <w:keepNext w:val="0"/>
        <w:keepLines w:val="0"/>
        <w:pageBreakBefore w:val="0"/>
        <w:widowControl w:val="0"/>
        <w:tabs>
          <w:tab w:val="left" w:pos="900"/>
        </w:tabs>
        <w:kinsoku/>
        <w:wordWrap/>
        <w:overflowPunct/>
        <w:topLinePunct w:val="0"/>
        <w:bidi w:val="0"/>
        <w:snapToGrid/>
        <w:spacing w:before="0" w:after="0" w:line="240" w:lineRule="atLeast"/>
        <w:ind w:left="960" w:hanging="964"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ascii="宋体" w:hAnsi="宋体" w:eastAsia="宋体" w:cs="宋体"/>
          <w:b/>
          <w:bCs w:val="0"/>
          <w:color w:val="auto"/>
          <w:highlight w:val="none"/>
          <w:u w:val="none"/>
        </w:rPr>
        <w:t>证明投标标的的合格性和符合</w:t>
      </w:r>
      <w:r>
        <w:rPr>
          <w:rFonts w:hint="eastAsia" w:hAnsi="宋体" w:cs="宋体"/>
          <w:b/>
          <w:bCs w:val="0"/>
          <w:color w:val="auto"/>
          <w:highlight w:val="none"/>
          <w:u w:val="none"/>
          <w:lang w:val="en-US" w:eastAsia="zh-CN"/>
        </w:rPr>
        <w:t>磋商</w:t>
      </w:r>
      <w:r>
        <w:rPr>
          <w:rFonts w:hint="eastAsia" w:ascii="宋体" w:hAnsi="宋体" w:eastAsia="宋体" w:cs="宋体"/>
          <w:b/>
          <w:bCs w:val="0"/>
          <w:color w:val="auto"/>
          <w:highlight w:val="none"/>
          <w:u w:val="none"/>
        </w:rPr>
        <w:t>文件规定的技术文件</w:t>
      </w:r>
      <w:bookmarkEnd w:id="72"/>
      <w:bookmarkEnd w:id="73"/>
      <w:bookmarkEnd w:id="74"/>
      <w:bookmarkEnd w:id="75"/>
      <w:bookmarkEnd w:id="76"/>
      <w:bookmarkEnd w:id="77"/>
    </w:p>
    <w:p w14:paraId="746F9807">
      <w:pPr>
        <w:spacing w:line="240" w:lineRule="atLeast"/>
        <w:ind w:left="840" w:hanging="840" w:hangingChars="350"/>
        <w:rPr>
          <w:rFonts w:hint="eastAsia" w:ascii="宋体" w:hAnsi="宋体" w:cs="宋体"/>
          <w:color w:val="000000"/>
          <w:sz w:val="24"/>
          <w:highlight w:val="none"/>
        </w:rPr>
      </w:pPr>
      <w:bookmarkStart w:id="79" w:name="_Toc19624"/>
      <w:bookmarkStart w:id="80" w:name="_Toc520356155"/>
      <w:bookmarkStart w:id="81" w:name="_Toc515647770"/>
      <w:bookmarkStart w:id="82" w:name="_Toc23231"/>
      <w:bookmarkStart w:id="83" w:name="_Toc2248"/>
      <w:r>
        <w:rPr>
          <w:rFonts w:hint="eastAsia" w:ascii="宋体" w:hAnsi="宋体" w:cs="宋体"/>
          <w:color w:val="000000"/>
          <w:sz w:val="24"/>
          <w:highlight w:val="none"/>
        </w:rPr>
        <w:t>10.1</w:t>
      </w:r>
      <w:r>
        <w:rPr>
          <w:rFonts w:hint="eastAsia" w:ascii="宋体" w:hAnsi="宋体" w:cs="宋体"/>
          <w:color w:val="000000"/>
          <w:sz w:val="24"/>
          <w:highlight w:val="none"/>
        </w:rPr>
        <w:tab/>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应提交证明文件，证明其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内容符合</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规定。该证明文件是响应文件的一部分。</w:t>
      </w:r>
    </w:p>
    <w:p w14:paraId="0A735F5D">
      <w:pPr>
        <w:spacing w:line="240" w:lineRule="atLeast"/>
        <w:ind w:left="840" w:hanging="840" w:hangingChars="350"/>
        <w:rPr>
          <w:rFonts w:hint="eastAsia" w:ascii="宋体" w:hAnsi="宋体" w:eastAsia="宋体" w:cs="宋体"/>
          <w:color w:val="000000"/>
          <w:sz w:val="24"/>
          <w:highlight w:val="none"/>
          <w:lang w:eastAsia="zh-CN"/>
        </w:rPr>
      </w:pPr>
      <w:bookmarkStart w:id="84" w:name="_Ref467306244"/>
      <w:r>
        <w:rPr>
          <w:rFonts w:hint="eastAsia" w:ascii="宋体" w:hAnsi="宋体" w:cs="宋体"/>
          <w:color w:val="000000"/>
          <w:sz w:val="24"/>
          <w:highlight w:val="none"/>
        </w:rPr>
        <w:t>10.2</w:t>
      </w:r>
      <w:r>
        <w:rPr>
          <w:rFonts w:hint="eastAsia" w:ascii="宋体" w:hAnsi="宋体" w:cs="宋体"/>
          <w:color w:val="000000"/>
          <w:sz w:val="24"/>
          <w:highlight w:val="none"/>
        </w:rPr>
        <w:tab/>
      </w:r>
      <w:r>
        <w:rPr>
          <w:rFonts w:hint="eastAsia" w:ascii="宋体" w:hAnsi="宋体" w:cs="宋体"/>
          <w:color w:val="000000"/>
          <w:sz w:val="24"/>
          <w:highlight w:val="none"/>
        </w:rPr>
        <w:t>上款所述的证明文</w:t>
      </w:r>
      <w:r>
        <w:rPr>
          <w:rFonts w:hint="eastAsia" w:ascii="宋体" w:hAnsi="宋体" w:eastAsia="宋体" w:cs="宋体"/>
          <w:color w:val="000000"/>
          <w:sz w:val="24"/>
          <w:highlight w:val="none"/>
        </w:rPr>
        <w:t>件，</w:t>
      </w:r>
      <w:bookmarkEnd w:id="84"/>
      <w:r>
        <w:rPr>
          <w:rFonts w:hint="eastAsia" w:ascii="宋体" w:hAnsi="宋体" w:eastAsia="宋体" w:cs="宋体"/>
          <w:color w:val="000000"/>
          <w:sz w:val="24"/>
          <w:highlight w:val="none"/>
        </w:rPr>
        <w:t>可以是文字资料、图纸和数据，它包括：</w:t>
      </w:r>
    </w:p>
    <w:p w14:paraId="5571A45D">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10.2.1 </w:t>
      </w:r>
      <w:r>
        <w:rPr>
          <w:rFonts w:hint="eastAsia" w:ascii="宋体" w:hAnsi="宋体" w:eastAsia="宋体" w:cs="宋体"/>
          <w:color w:val="000000"/>
          <w:sz w:val="24"/>
          <w:highlight w:val="none"/>
        </w:rPr>
        <w:t>货物主要技术指标和性能的详细说明；</w:t>
      </w:r>
    </w:p>
    <w:p w14:paraId="00D43FA6">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10.2.2 </w:t>
      </w:r>
      <w:r>
        <w:rPr>
          <w:rFonts w:hint="eastAsia" w:ascii="宋体" w:hAnsi="宋体" w:eastAsia="宋体" w:cs="宋体"/>
          <w:color w:val="000000"/>
          <w:sz w:val="24"/>
          <w:highlight w:val="none"/>
        </w:rPr>
        <w:t>货物从买方开始使用至</w:t>
      </w:r>
      <w:r>
        <w:rPr>
          <w:rFonts w:hint="eastAsia" w:ascii="宋体" w:hAnsi="宋体" w:cs="宋体"/>
          <w:color w:val="000000"/>
          <w:sz w:val="24"/>
          <w:highlight w:val="none"/>
          <w:lang w:val="en-US" w:eastAsia="zh-CN"/>
        </w:rPr>
        <w:t>磋商</w:t>
      </w:r>
      <w:r>
        <w:rPr>
          <w:rFonts w:hint="eastAsia" w:ascii="宋体" w:hAnsi="宋体" w:eastAsia="宋体" w:cs="宋体"/>
          <w:color w:val="000000"/>
          <w:sz w:val="24"/>
          <w:highlight w:val="none"/>
        </w:rPr>
        <w:t>文件规定的保质期内正常、连续地使用所必须的备件和专用工具清单，包括备件和专用工具的货源及现行价格；</w:t>
      </w:r>
    </w:p>
    <w:p w14:paraId="458FCFDD">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10.2.3 对照</w:t>
      </w:r>
      <w:r>
        <w:rPr>
          <w:rFonts w:hint="eastAsia" w:ascii="宋体" w:hAnsi="宋体" w:eastAsia="宋体" w:cs="宋体"/>
          <w:color w:val="000000"/>
          <w:sz w:val="24"/>
          <w:highlight w:val="none"/>
          <w:lang w:val="en-US" w:eastAsia="zh-CN"/>
        </w:rPr>
        <w:t>磋商文件</w:t>
      </w:r>
      <w:r>
        <w:rPr>
          <w:rFonts w:hint="eastAsia" w:ascii="宋体" w:hAnsi="宋体" w:eastAsia="宋体" w:cs="宋体"/>
          <w:color w:val="000000"/>
          <w:sz w:val="24"/>
          <w:highlight w:val="none"/>
        </w:rPr>
        <w:t>技术规格，逐条说明所提供</w:t>
      </w:r>
      <w:r>
        <w:rPr>
          <w:rFonts w:hint="eastAsia" w:ascii="宋体" w:hAnsi="宋体" w:eastAsia="宋体" w:cs="宋体"/>
          <w:color w:val="000000"/>
          <w:sz w:val="24"/>
          <w:highlight w:val="none"/>
          <w:lang w:eastAsia="zh-CN"/>
        </w:rPr>
        <w:t>服务</w:t>
      </w:r>
      <w:r>
        <w:rPr>
          <w:rFonts w:hint="eastAsia" w:ascii="宋体" w:hAnsi="宋体" w:eastAsia="宋体" w:cs="宋体"/>
          <w:color w:val="000000"/>
          <w:sz w:val="24"/>
          <w:highlight w:val="none"/>
        </w:rPr>
        <w:t>及伴随的工程和</w:t>
      </w:r>
      <w:r>
        <w:rPr>
          <w:rFonts w:hint="eastAsia" w:ascii="宋体" w:hAnsi="宋体" w:eastAsia="宋体" w:cs="宋体"/>
          <w:color w:val="000000"/>
          <w:sz w:val="24"/>
          <w:highlight w:val="none"/>
          <w:lang w:eastAsia="zh-CN"/>
        </w:rPr>
        <w:t>服务</w:t>
      </w:r>
      <w:r>
        <w:rPr>
          <w:rFonts w:hint="eastAsia" w:ascii="宋体" w:hAnsi="宋体" w:eastAsia="宋体" w:cs="宋体"/>
          <w:color w:val="000000"/>
          <w:sz w:val="24"/>
          <w:highlight w:val="none"/>
        </w:rPr>
        <w:t>已对</w:t>
      </w:r>
      <w:r>
        <w:rPr>
          <w:rFonts w:hint="eastAsia" w:ascii="宋体" w:hAnsi="宋体" w:eastAsia="宋体" w:cs="宋体"/>
          <w:color w:val="000000"/>
          <w:sz w:val="24"/>
          <w:highlight w:val="none"/>
          <w:lang w:val="en-US" w:eastAsia="zh-CN"/>
        </w:rPr>
        <w:t>磋商文件</w:t>
      </w:r>
      <w:r>
        <w:rPr>
          <w:rFonts w:hint="eastAsia" w:ascii="宋体" w:hAnsi="宋体" w:eastAsia="宋体" w:cs="宋体"/>
          <w:color w:val="000000"/>
          <w:sz w:val="24"/>
          <w:highlight w:val="none"/>
        </w:rPr>
        <w:t>的技术规格做出了实质性的响应，或申明与技术规格条文的偏差和例外。</w:t>
      </w:r>
    </w:p>
    <w:p w14:paraId="5D7BD72B">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10.3</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280B482E">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11.投标报价</w:t>
      </w:r>
      <w:bookmarkEnd w:id="79"/>
      <w:bookmarkEnd w:id="80"/>
      <w:bookmarkEnd w:id="81"/>
      <w:bookmarkEnd w:id="82"/>
      <w:bookmarkEnd w:id="83"/>
    </w:p>
    <w:p w14:paraId="005CCB1A">
      <w:pPr>
        <w:spacing w:line="240" w:lineRule="atLeast"/>
        <w:ind w:left="840" w:hanging="840" w:hangingChars="350"/>
        <w:rPr>
          <w:rFonts w:hint="eastAsia" w:ascii="宋体" w:hAnsi="宋体" w:eastAsia="宋体" w:cs="宋体"/>
          <w:color w:val="000000"/>
          <w:sz w:val="24"/>
          <w:highlight w:val="none"/>
        </w:rPr>
      </w:pPr>
      <w:bookmarkStart w:id="85" w:name="_Toc22212"/>
      <w:bookmarkStart w:id="86" w:name="_Ref467306513"/>
      <w:bookmarkStart w:id="87" w:name="_Toc520356156"/>
      <w:bookmarkStart w:id="88" w:name="_Toc17788"/>
      <w:bookmarkStart w:id="89" w:name="_Toc11514"/>
      <w:bookmarkStart w:id="90" w:name="_Toc515647771"/>
      <w:r>
        <w:rPr>
          <w:rFonts w:hint="eastAsia" w:ascii="宋体" w:hAnsi="宋体" w:eastAsia="宋体" w:cs="宋体"/>
          <w:color w:val="000000"/>
          <w:sz w:val="24"/>
          <w:highlight w:val="none"/>
        </w:rPr>
        <w:t>11.1   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000000"/>
          <w:sz w:val="24"/>
          <w:highlight w:val="none"/>
        </w:rPr>
        <w:t>投标无效</w:t>
      </w:r>
      <w:r>
        <w:rPr>
          <w:rFonts w:hint="eastAsia" w:ascii="宋体" w:hAnsi="宋体" w:eastAsia="宋体" w:cs="宋体"/>
          <w:color w:val="000000"/>
          <w:sz w:val="24"/>
          <w:highlight w:val="none"/>
        </w:rPr>
        <w:t>。</w:t>
      </w:r>
    </w:p>
    <w:p w14:paraId="46F63637">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投标人应在投标分项报价表上标明分项服务的价格（如适用）和总价，并由法定代表人或其委托代理人签署。</w:t>
      </w:r>
    </w:p>
    <w:p w14:paraId="2CD4309F">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采购人不接受具有附加条件的报价。</w:t>
      </w:r>
    </w:p>
    <w:p w14:paraId="43944A5A">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11.4   投标人所报的各分项投标报价在合同履行过程中是固定不变的，不得以任何理由予以变更。任何包含价格调整要求的投标，将被认定为</w:t>
      </w:r>
      <w:r>
        <w:rPr>
          <w:rFonts w:hint="eastAsia" w:ascii="宋体" w:hAnsi="宋体" w:eastAsia="宋体" w:cs="宋体"/>
          <w:b/>
          <w:bCs/>
          <w:color w:val="000000"/>
          <w:sz w:val="24"/>
          <w:highlight w:val="none"/>
        </w:rPr>
        <w:t>投标无效</w:t>
      </w:r>
      <w:r>
        <w:rPr>
          <w:rFonts w:hint="eastAsia" w:ascii="宋体" w:hAnsi="宋体" w:eastAsia="宋体" w:cs="宋体"/>
          <w:color w:val="000000"/>
          <w:sz w:val="24"/>
          <w:highlight w:val="none"/>
        </w:rPr>
        <w:t>。</w:t>
      </w:r>
    </w:p>
    <w:p w14:paraId="13216CA0">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 xml:space="preserve">   竞争性磋商采用两次报价的方式。</w:t>
      </w:r>
    </w:p>
    <w:p w14:paraId="01A86F24">
      <w:pPr>
        <w:keepNext w:val="0"/>
        <w:keepLines w:val="0"/>
        <w:pageBreakBefore w:val="0"/>
        <w:widowControl w:val="0"/>
        <w:kinsoku/>
        <w:wordWrap/>
        <w:overflowPunct/>
        <w:topLinePunct w:val="0"/>
        <w:autoSpaceDE/>
        <w:autoSpaceDN/>
        <w:bidi w:val="0"/>
        <w:adjustRightInd/>
        <w:snapToGrid/>
        <w:spacing w:line="240" w:lineRule="atLeast"/>
        <w:ind w:left="840" w:leftChars="4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p>
    <w:p w14:paraId="086316BA">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18DB9D50">
      <w:pPr>
        <w:spacing w:line="240" w:lineRule="atLeast"/>
        <w:ind w:left="840" w:hanging="840" w:hangingChars="350"/>
        <w:rPr>
          <w:rFonts w:hint="eastAsia" w:ascii="宋体" w:hAnsi="宋体" w:cs="宋体"/>
          <w:color w:val="000000"/>
          <w:sz w:val="24"/>
          <w:highlight w:val="none"/>
        </w:rPr>
      </w:pPr>
      <w:bookmarkStart w:id="91" w:name="_Ref467306302"/>
      <w:bookmarkStart w:id="92" w:name="_Toc23590"/>
      <w:bookmarkStart w:id="93" w:name="_Toc515647772"/>
      <w:bookmarkStart w:id="94" w:name="_Toc520356157"/>
      <w:bookmarkStart w:id="95" w:name="_Toc22901"/>
      <w:bookmarkStart w:id="96" w:name="_Toc32569"/>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商应提交</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中规定的</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w:t>
      </w:r>
      <w:bookmarkEnd w:id="91"/>
      <w:r>
        <w:rPr>
          <w:rFonts w:hint="eastAsia" w:ascii="宋体" w:hAnsi="宋体" w:cs="宋体"/>
          <w:color w:val="000000"/>
          <w:sz w:val="24"/>
          <w:highlight w:val="none"/>
        </w:rPr>
        <w:t>，并作为其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的一部分。</w:t>
      </w:r>
    </w:p>
    <w:p w14:paraId="453F2DA0">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供应商存在下列情形的，</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保证金不予退还：</w:t>
      </w:r>
    </w:p>
    <w:p w14:paraId="252CA99D">
      <w:pPr>
        <w:pStyle w:val="18"/>
        <w:tabs>
          <w:tab w:val="left" w:pos="2240"/>
        </w:tabs>
        <w:spacing w:line="240" w:lineRule="atLeast"/>
        <w:ind w:left="838" w:leftChars="342" w:hanging="120" w:hangingChars="50"/>
        <w:rPr>
          <w:rFonts w:hint="eastAsia" w:hAnsi="宋体" w:cs="宋体"/>
          <w:color w:val="000000"/>
          <w:sz w:val="24"/>
          <w:highlight w:val="none"/>
        </w:rPr>
      </w:pPr>
      <w:r>
        <w:rPr>
          <w:rFonts w:hint="eastAsia" w:hAnsi="宋体" w:cs="宋体"/>
          <w:color w:val="000000"/>
          <w:sz w:val="24"/>
          <w:highlight w:val="none"/>
        </w:rPr>
        <w:t>（1）在</w:t>
      </w:r>
      <w:r>
        <w:rPr>
          <w:rFonts w:hint="eastAsia" w:hAnsi="宋体" w:cs="宋体"/>
          <w:color w:val="000000"/>
          <w:sz w:val="24"/>
          <w:highlight w:val="none"/>
          <w:lang w:val="en-US" w:eastAsia="zh-CN"/>
        </w:rPr>
        <w:t>投标</w:t>
      </w:r>
      <w:r>
        <w:rPr>
          <w:rFonts w:hint="eastAsia" w:hAnsi="宋体" w:cs="宋体"/>
          <w:color w:val="000000"/>
          <w:sz w:val="24"/>
          <w:highlight w:val="none"/>
        </w:rPr>
        <w:t>有效期内，撤销</w:t>
      </w:r>
      <w:r>
        <w:rPr>
          <w:rFonts w:hint="eastAsia" w:hAnsi="宋体" w:cs="宋体"/>
          <w:color w:val="000000"/>
          <w:sz w:val="24"/>
          <w:highlight w:val="none"/>
          <w:lang w:val="en-US" w:eastAsia="zh-CN"/>
        </w:rPr>
        <w:t>投标</w:t>
      </w:r>
      <w:r>
        <w:rPr>
          <w:rFonts w:hint="eastAsia" w:hAnsi="宋体" w:cs="宋体"/>
          <w:color w:val="000000"/>
          <w:sz w:val="24"/>
          <w:highlight w:val="none"/>
        </w:rPr>
        <w:t>的；</w:t>
      </w:r>
    </w:p>
    <w:p w14:paraId="5EF02D63">
      <w:pPr>
        <w:pStyle w:val="18"/>
        <w:tabs>
          <w:tab w:val="left" w:pos="2240"/>
        </w:tabs>
        <w:spacing w:line="240" w:lineRule="atLeast"/>
        <w:ind w:left="838" w:leftChars="342" w:hanging="120" w:hangingChars="50"/>
        <w:rPr>
          <w:rFonts w:hint="eastAsia" w:hAnsi="宋体" w:cs="宋体"/>
          <w:color w:val="000000"/>
          <w:sz w:val="24"/>
          <w:highlight w:val="none"/>
        </w:rPr>
      </w:pPr>
      <w:r>
        <w:rPr>
          <w:rFonts w:hint="eastAsia" w:hAnsi="宋体" w:cs="宋体"/>
          <w:color w:val="000000"/>
          <w:sz w:val="24"/>
          <w:highlight w:val="none"/>
        </w:rPr>
        <w:t>（2）成交后不按本须知第30条的规定与采购人签订合同的；</w:t>
      </w:r>
    </w:p>
    <w:p w14:paraId="191976D1">
      <w:pPr>
        <w:pStyle w:val="18"/>
        <w:tabs>
          <w:tab w:val="left" w:pos="2240"/>
        </w:tabs>
        <w:spacing w:line="240" w:lineRule="atLeast"/>
        <w:ind w:left="838" w:leftChars="342" w:hanging="120" w:hangingChars="50"/>
        <w:rPr>
          <w:rFonts w:hint="eastAsia" w:hAnsi="宋体" w:cs="宋体"/>
          <w:color w:val="000000"/>
          <w:sz w:val="24"/>
          <w:highlight w:val="none"/>
        </w:rPr>
      </w:pPr>
      <w:r>
        <w:rPr>
          <w:rFonts w:hint="eastAsia" w:hAnsi="宋体" w:cs="宋体"/>
          <w:color w:val="000000"/>
          <w:sz w:val="24"/>
          <w:highlight w:val="none"/>
        </w:rPr>
        <w:t>（3）成交后不按本须知第31条的规定提交履约保证金的；</w:t>
      </w:r>
    </w:p>
    <w:p w14:paraId="5D0AB1CC">
      <w:pPr>
        <w:pStyle w:val="18"/>
        <w:tabs>
          <w:tab w:val="left" w:pos="2240"/>
        </w:tabs>
        <w:spacing w:line="240" w:lineRule="atLeast"/>
        <w:ind w:left="838" w:leftChars="342" w:hanging="120" w:hangingChars="50"/>
        <w:rPr>
          <w:rFonts w:hint="eastAsia" w:hAnsi="宋体" w:cs="宋体"/>
          <w:color w:val="000000"/>
          <w:sz w:val="24"/>
          <w:highlight w:val="none"/>
        </w:rPr>
      </w:pPr>
      <w:r>
        <w:rPr>
          <w:rFonts w:hint="eastAsia" w:hAnsi="宋体" w:cs="宋体"/>
          <w:color w:val="000000"/>
          <w:sz w:val="24"/>
          <w:highlight w:val="none"/>
        </w:rPr>
        <w:t>（4）成交后不按本须知第32条的规定缴纳</w:t>
      </w:r>
      <w:r>
        <w:rPr>
          <w:rFonts w:hint="eastAsia" w:hAnsi="宋体" w:cs="宋体"/>
          <w:color w:val="000000"/>
          <w:sz w:val="24"/>
          <w:highlight w:val="none"/>
          <w:lang w:val="en-US" w:eastAsia="zh-CN"/>
        </w:rPr>
        <w:t>招标</w:t>
      </w:r>
      <w:r>
        <w:rPr>
          <w:rFonts w:hint="eastAsia" w:hAnsi="宋体" w:cs="宋体"/>
          <w:color w:val="000000"/>
          <w:sz w:val="24"/>
          <w:highlight w:val="none"/>
        </w:rPr>
        <w:t>服务费的；</w:t>
      </w:r>
    </w:p>
    <w:p w14:paraId="103AEF68">
      <w:pPr>
        <w:pStyle w:val="18"/>
        <w:tabs>
          <w:tab w:val="left" w:pos="2240"/>
        </w:tabs>
        <w:spacing w:line="240" w:lineRule="atLeast"/>
        <w:ind w:left="838" w:leftChars="342" w:hanging="120" w:hangingChars="50"/>
        <w:rPr>
          <w:rFonts w:hint="eastAsia" w:hAnsi="宋体" w:cs="宋体"/>
          <w:color w:val="000000"/>
          <w:sz w:val="24"/>
          <w:highlight w:val="none"/>
        </w:rPr>
      </w:pPr>
      <w:r>
        <w:rPr>
          <w:rFonts w:hint="eastAsia" w:hAnsi="宋体" w:cs="宋体"/>
          <w:color w:val="000000"/>
          <w:sz w:val="24"/>
          <w:highlight w:val="none"/>
        </w:rPr>
        <w:t>（5）存在其他违法违规行为的。</w:t>
      </w:r>
    </w:p>
    <w:p w14:paraId="37308826">
      <w:pPr>
        <w:spacing w:line="240" w:lineRule="atLeast"/>
        <w:ind w:left="840" w:hanging="840" w:hangingChars="350"/>
        <w:rPr>
          <w:rFonts w:hint="eastAsia" w:ascii="宋体" w:hAnsi="宋体" w:cs="宋体"/>
          <w:color w:val="000000"/>
          <w:sz w:val="24"/>
          <w:highlight w:val="none"/>
        </w:rPr>
      </w:pPr>
      <w:bookmarkStart w:id="97"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97"/>
      <w:r>
        <w:rPr>
          <w:rFonts w:hint="eastAsia" w:ascii="宋体" w:hAnsi="宋体" w:cs="宋体"/>
          <w:color w:val="000000"/>
          <w:sz w:val="24"/>
          <w:highlight w:val="none"/>
        </w:rPr>
        <w:t>政府采购信用担保试点范围内的项目，接受符合财政部门规定的政府采购</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担保函。</w:t>
      </w:r>
    </w:p>
    <w:p w14:paraId="070D0722">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未按本须知第12.1和12.3条规定提交</w:t>
      </w:r>
      <w:r>
        <w:rPr>
          <w:rFonts w:hint="eastAsia" w:ascii="宋体" w:hAnsi="宋体" w:cs="宋体"/>
          <w:color w:val="000000"/>
          <w:sz w:val="24"/>
          <w:highlight w:val="none"/>
          <w:lang w:eastAsia="zh-CN"/>
        </w:rPr>
        <w:t>投标保证金</w:t>
      </w:r>
      <w:r>
        <w:rPr>
          <w:rFonts w:hint="eastAsia" w:ascii="宋体" w:hAnsi="宋体" w:cs="宋体"/>
          <w:color w:val="000000"/>
          <w:sz w:val="24"/>
          <w:highlight w:val="none"/>
        </w:rPr>
        <w:t>的，其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0069D6E3">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14:paraId="223AD686">
      <w:pPr>
        <w:spacing w:line="240" w:lineRule="atLeast"/>
        <w:ind w:left="840" w:hanging="840" w:hangingChars="350"/>
        <w:jc w:val="left"/>
        <w:rPr>
          <w:rFonts w:hint="eastAsia" w:ascii="宋体" w:hAnsi="宋体" w:cs="宋体"/>
          <w:color w:val="000000"/>
          <w:sz w:val="24"/>
          <w:highlight w:val="none"/>
        </w:rPr>
      </w:pPr>
      <w:r>
        <w:rPr>
          <w:rFonts w:hint="eastAsia" w:ascii="宋体" w:hAnsi="宋体" w:cs="宋体"/>
          <w:color w:val="000000"/>
          <w:sz w:val="24"/>
          <w:highlight w:val="none"/>
        </w:rPr>
        <w:t>12.4.2 采用支票形式的，</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则应充分考虑支票入账时间，以确保</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保证金能按时进入指定账户。根据银行信息交换和付款时间，支票从递交至实际入账一般需要4-5个工作日。如</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未及时提交支票或支票不符合银行委托收款要求（如污损、折叠、胶装等），导致</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保证金不能按时进入指定账户的，将按照</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的第22.2条相关规定处理。</w:t>
      </w:r>
    </w:p>
    <w:p w14:paraId="00AD2868">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12.5   联合体</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的，可以由联合体中的一方或者共同提交</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保证金。以一方名义提交</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保证金的，对联合体各方均具有约束力。</w:t>
      </w:r>
    </w:p>
    <w:p w14:paraId="0C218D6E">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保证金的退还</w:t>
      </w:r>
    </w:p>
    <w:p w14:paraId="0C3EE2D3">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12.6.1 成交</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应在与采购人签订合同之日起5个工作日内，及时联系保证金收受机构办理</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保证金无息退还手续。</w:t>
      </w:r>
    </w:p>
    <w:p w14:paraId="1C802D07">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12.6.2 未</w:t>
      </w:r>
      <w:r>
        <w:rPr>
          <w:rFonts w:hint="eastAsia" w:ascii="宋体" w:hAnsi="宋体" w:cs="宋体"/>
          <w:color w:val="000000"/>
          <w:sz w:val="24"/>
          <w:highlight w:val="none"/>
          <w:lang w:val="en-US" w:eastAsia="zh-CN"/>
        </w:rPr>
        <w:t>中标投标人</w:t>
      </w:r>
      <w:r>
        <w:rPr>
          <w:rFonts w:hint="eastAsia" w:ascii="宋体" w:hAnsi="宋体" w:cs="宋体"/>
          <w:color w:val="000000"/>
          <w:sz w:val="24"/>
          <w:highlight w:val="none"/>
        </w:rPr>
        <w:t>的</w:t>
      </w:r>
      <w:r>
        <w:rPr>
          <w:rFonts w:hint="eastAsia" w:ascii="宋体" w:hAnsi="宋体" w:cs="宋体"/>
          <w:color w:val="000000"/>
          <w:sz w:val="24"/>
          <w:highlight w:val="none"/>
          <w:lang w:eastAsia="zh-CN"/>
        </w:rPr>
        <w:t>投标保证金</w:t>
      </w:r>
      <w:r>
        <w:rPr>
          <w:rFonts w:hint="eastAsia" w:ascii="宋体" w:hAnsi="宋体" w:cs="宋体"/>
          <w:color w:val="000000"/>
          <w:sz w:val="24"/>
          <w:highlight w:val="none"/>
        </w:rPr>
        <w:t>将在成交通知书发出之日暨成交结果公告公布之日起5个工作日内无息退还。</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应及时联系保证金收受机构办理退还</w:t>
      </w:r>
      <w:r>
        <w:rPr>
          <w:rFonts w:hint="eastAsia" w:ascii="宋体" w:hAnsi="宋体" w:cs="宋体"/>
          <w:color w:val="000000"/>
          <w:sz w:val="24"/>
          <w:highlight w:val="none"/>
          <w:lang w:eastAsia="zh-CN"/>
        </w:rPr>
        <w:t>投标保证金</w:t>
      </w:r>
      <w:r>
        <w:rPr>
          <w:rFonts w:hint="eastAsia" w:ascii="宋体" w:hAnsi="宋体" w:cs="宋体"/>
          <w:color w:val="000000"/>
          <w:sz w:val="24"/>
          <w:highlight w:val="none"/>
        </w:rPr>
        <w:t>手续。</w:t>
      </w:r>
    </w:p>
    <w:p w14:paraId="2CC33785">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12.6.3 政府采购</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担保函不予退回。</w:t>
      </w:r>
    </w:p>
    <w:p w14:paraId="74068532">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12.7   因</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自身原因导致无法及时退还的，采购人或采购代理机构将不承担相应责任。</w:t>
      </w:r>
    </w:p>
    <w:p w14:paraId="2D5B97F7">
      <w:pPr>
        <w:pStyle w:val="4"/>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13.投标有效期</w:t>
      </w:r>
      <w:bookmarkEnd w:id="92"/>
      <w:bookmarkEnd w:id="93"/>
      <w:bookmarkEnd w:id="94"/>
      <w:bookmarkEnd w:id="95"/>
      <w:bookmarkEnd w:id="96"/>
    </w:p>
    <w:p w14:paraId="17329783">
      <w:pPr>
        <w:spacing w:line="240" w:lineRule="atLeast"/>
        <w:ind w:left="840" w:hanging="840" w:hangingChars="350"/>
        <w:rPr>
          <w:rFonts w:hint="eastAsia" w:ascii="宋体" w:hAnsi="宋体" w:cs="宋体"/>
          <w:color w:val="000000"/>
          <w:sz w:val="24"/>
          <w:highlight w:val="none"/>
        </w:rPr>
      </w:pPr>
      <w:bookmarkStart w:id="98" w:name="_Toc520356158"/>
      <w:bookmarkStart w:id="99" w:name="_Toc493"/>
      <w:bookmarkStart w:id="100" w:name="_Toc515647773"/>
      <w:bookmarkStart w:id="101" w:name="_Toc17609"/>
      <w:bookmarkStart w:id="102" w:name="_Toc17074"/>
      <w:bookmarkStart w:id="103" w:name="_Toc16865"/>
      <w:bookmarkStart w:id="104" w:name="_Toc216582808"/>
      <w:bookmarkStart w:id="105" w:name="_Toc520356159"/>
      <w:bookmarkStart w:id="106" w:name="_Toc11179"/>
      <w:bookmarkStart w:id="107" w:name="_Toc25925"/>
      <w:bookmarkStart w:id="108" w:name="_Toc515647774"/>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应在</w:t>
      </w:r>
      <w:r>
        <w:rPr>
          <w:rFonts w:hint="eastAsia" w:ascii="宋体" w:hAnsi="宋体" w:cs="宋体"/>
          <w:color w:val="000000"/>
          <w:sz w:val="24"/>
          <w:highlight w:val="none"/>
          <w:u w:val="single"/>
          <w:lang w:eastAsia="zh-CN"/>
        </w:rPr>
        <w:t>投标人须知资料表</w:t>
      </w:r>
      <w:r>
        <w:rPr>
          <w:rFonts w:hint="eastAsia" w:ascii="宋体" w:hAnsi="宋体" w:cs="宋体"/>
          <w:color w:val="000000"/>
          <w:sz w:val="24"/>
          <w:highlight w:val="none"/>
        </w:rPr>
        <w:t>中规定时间内保持有效。</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有效期不满足要求的</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将被认定为</w:t>
      </w:r>
      <w:r>
        <w:rPr>
          <w:rFonts w:hint="eastAsia" w:ascii="宋体" w:hAnsi="宋体" w:cs="宋体"/>
          <w:b/>
          <w:bCs/>
          <w:color w:val="000000"/>
          <w:sz w:val="24"/>
          <w:highlight w:val="none"/>
          <w:lang w:eastAsia="zh-CN"/>
        </w:rPr>
        <w:t>投标无效</w:t>
      </w:r>
      <w:r>
        <w:rPr>
          <w:rFonts w:hint="eastAsia" w:ascii="宋体" w:hAnsi="宋体" w:cs="宋体"/>
          <w:color w:val="000000"/>
          <w:sz w:val="24"/>
          <w:highlight w:val="none"/>
        </w:rPr>
        <w:t>。</w:t>
      </w:r>
    </w:p>
    <w:p w14:paraId="49983640">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有效期截止之前，要求</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延长响应文件的有效期。接受该要求的</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将不会被要求和允许修正其</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，且本须知中有关</w:t>
      </w:r>
      <w:r>
        <w:rPr>
          <w:rFonts w:hint="eastAsia" w:ascii="宋体" w:hAnsi="宋体" w:cs="宋体"/>
          <w:color w:val="000000"/>
          <w:sz w:val="24"/>
          <w:highlight w:val="none"/>
          <w:lang w:eastAsia="zh-CN"/>
        </w:rPr>
        <w:t>投标保证金</w:t>
      </w:r>
      <w:r>
        <w:rPr>
          <w:rFonts w:hint="eastAsia" w:ascii="宋体" w:hAnsi="宋体" w:cs="宋体"/>
          <w:color w:val="000000"/>
          <w:sz w:val="24"/>
          <w:highlight w:val="none"/>
        </w:rPr>
        <w:t>的要求须在延长的有效期内继续有效。</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可以拒绝延长</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有效期的要求，其</w:t>
      </w:r>
      <w:r>
        <w:rPr>
          <w:rFonts w:hint="eastAsia" w:ascii="宋体" w:hAnsi="宋体" w:cs="宋体"/>
          <w:color w:val="000000"/>
          <w:sz w:val="24"/>
          <w:highlight w:val="none"/>
          <w:lang w:eastAsia="zh-CN"/>
        </w:rPr>
        <w:t>投标保证金</w:t>
      </w:r>
      <w:r>
        <w:rPr>
          <w:rFonts w:hint="eastAsia" w:ascii="宋体" w:hAnsi="宋体" w:cs="宋体"/>
          <w:color w:val="000000"/>
          <w:sz w:val="24"/>
          <w:highlight w:val="none"/>
        </w:rPr>
        <w:t>将及时无息退还。上述要求和答复都应以书面形式提交。</w:t>
      </w:r>
    </w:p>
    <w:p w14:paraId="36EA683C">
      <w:pPr>
        <w:pStyle w:val="4"/>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14.</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645BD06F">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14.1</w:t>
      </w:r>
      <w:r>
        <w:rPr>
          <w:rFonts w:hint="eastAsia" w:ascii="宋体" w:hAnsi="宋体" w:cs="宋体"/>
          <w:color w:val="000000"/>
          <w:sz w:val="24"/>
          <w:highlight w:val="none"/>
        </w:rPr>
        <w:tab/>
      </w:r>
      <w:r>
        <w:rPr>
          <w:rFonts w:hint="eastAsia" w:ascii="宋体" w:hAnsi="宋体" w:cs="宋体"/>
          <w:color w:val="000000"/>
          <w:sz w:val="24"/>
          <w:highlight w:val="none"/>
        </w:rPr>
        <w:t>投标人应按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的规定，准备和递交（加密上传）电子响应文件。</w:t>
      </w:r>
    </w:p>
    <w:p w14:paraId="2C4B1D27">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14.2   所有响应文件应按照</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规定的格式填写、签署和盖章。</w:t>
      </w:r>
    </w:p>
    <w:p w14:paraId="33A5F793">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14.3</w:t>
      </w:r>
      <w:r>
        <w:rPr>
          <w:rFonts w:hint="eastAsia" w:ascii="宋体" w:hAnsi="宋体" w:cs="宋体"/>
          <w:color w:val="000000"/>
          <w:sz w:val="24"/>
          <w:highlight w:val="none"/>
        </w:rPr>
        <w:tab/>
      </w:r>
      <w:r>
        <w:rPr>
          <w:rFonts w:hint="eastAsia" w:ascii="宋体" w:hAnsi="宋体" w:cs="宋体"/>
          <w:color w:val="000000"/>
          <w:sz w:val="24"/>
          <w:highlight w:val="none"/>
        </w:rPr>
        <w:t>响应文件因字迹潦草、表达不清或未按照</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规定的格式填写、签署和盖章所引起的后果由供应商负责。</w:t>
      </w:r>
    </w:p>
    <w:p w14:paraId="35CC65EF">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四   响应文件的递交</w:t>
      </w:r>
      <w:bookmarkEnd w:id="103"/>
      <w:bookmarkEnd w:id="104"/>
      <w:bookmarkEnd w:id="105"/>
      <w:bookmarkEnd w:id="106"/>
      <w:bookmarkEnd w:id="107"/>
      <w:bookmarkEnd w:id="108"/>
    </w:p>
    <w:p w14:paraId="4B8A2D7A">
      <w:pPr>
        <w:pStyle w:val="4"/>
        <w:spacing w:before="0" w:after="0" w:line="240" w:lineRule="atLeast"/>
        <w:rPr>
          <w:rFonts w:hint="eastAsia" w:ascii="宋体" w:hAnsi="宋体" w:eastAsia="宋体" w:cs="宋体"/>
          <w:color w:val="auto"/>
          <w:highlight w:val="none"/>
          <w:u w:val="none"/>
        </w:rPr>
      </w:pPr>
      <w:bookmarkStart w:id="109" w:name="_Toc520356160"/>
      <w:bookmarkStart w:id="110" w:name="_Toc32337"/>
      <w:bookmarkStart w:id="111" w:name="_Toc26195"/>
      <w:bookmarkStart w:id="112" w:name="_Toc515647775"/>
      <w:bookmarkStart w:id="113" w:name="_Toc21645"/>
      <w:bookmarkStart w:id="114" w:name="_Toc515647776"/>
      <w:bookmarkStart w:id="115" w:name="_Toc9840"/>
      <w:bookmarkStart w:id="116" w:name="_Toc520356161"/>
      <w:bookmarkStart w:id="117" w:name="_Toc12751"/>
      <w:bookmarkStart w:id="118" w:name="_Toc24017"/>
      <w:r>
        <w:rPr>
          <w:rFonts w:hint="eastAsia" w:ascii="宋体" w:hAnsi="宋体" w:eastAsia="宋体" w:cs="宋体"/>
          <w:color w:val="auto"/>
          <w:highlight w:val="none"/>
          <w:u w:val="none"/>
        </w:rPr>
        <w:t>15.</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的密封和标记</w:t>
      </w:r>
      <w:bookmarkEnd w:id="109"/>
      <w:bookmarkEnd w:id="110"/>
      <w:bookmarkEnd w:id="111"/>
      <w:bookmarkEnd w:id="112"/>
      <w:bookmarkEnd w:id="113"/>
    </w:p>
    <w:p w14:paraId="361DF902">
      <w:pPr>
        <w:spacing w:line="240" w:lineRule="atLeast"/>
        <w:ind w:left="840" w:hanging="840" w:hangingChars="350"/>
        <w:rPr>
          <w:rFonts w:hint="eastAsia" w:ascii="宋体" w:hAnsi="宋体" w:eastAsia="宋体" w:cs="宋体"/>
          <w:b/>
          <w:bCs/>
          <w:color w:val="000000"/>
          <w:sz w:val="24"/>
          <w:highlight w:val="none"/>
          <w:lang w:val="en-US" w:eastAsia="zh-CN"/>
        </w:rPr>
      </w:pPr>
      <w:r>
        <w:rPr>
          <w:rFonts w:hint="eastAsia" w:ascii="宋体" w:hAnsi="宋体" w:cs="宋体"/>
          <w:color w:val="000000"/>
          <w:sz w:val="24"/>
          <w:highlight w:val="none"/>
        </w:rPr>
        <w:t>15.1</w:t>
      </w:r>
      <w:r>
        <w:rPr>
          <w:rFonts w:hint="eastAsia" w:ascii="宋体" w:hAnsi="宋体" w:cs="宋体"/>
          <w:b/>
          <w:bCs/>
          <w:color w:val="000000"/>
          <w:sz w:val="24"/>
          <w:highlight w:val="none"/>
        </w:rPr>
        <w:t xml:space="preserve">   投标人应完整地按</w:t>
      </w:r>
      <w:r>
        <w:rPr>
          <w:rFonts w:hint="eastAsia" w:ascii="宋体" w:hAnsi="宋体" w:cs="宋体"/>
          <w:b/>
          <w:bCs/>
          <w:color w:val="000000"/>
          <w:sz w:val="24"/>
          <w:highlight w:val="none"/>
          <w:lang w:val="en-US" w:eastAsia="zh-CN"/>
        </w:rPr>
        <w:t>磋商文件</w:t>
      </w:r>
      <w:r>
        <w:rPr>
          <w:rFonts w:hint="eastAsia" w:ascii="宋体" w:hAnsi="宋体" w:cs="宋体"/>
          <w:b/>
          <w:bCs/>
          <w:color w:val="000000"/>
          <w:sz w:val="24"/>
          <w:highlight w:val="none"/>
        </w:rPr>
        <w:t>提供的响应文件格式及要求编写响应文件， 投标人须在投标截止时间前</w:t>
      </w:r>
      <w:r>
        <w:rPr>
          <w:rFonts w:hint="eastAsia" w:ascii="宋体" w:hAnsi="宋体" w:cs="宋体"/>
          <w:b/>
          <w:bCs/>
          <w:color w:val="000000"/>
          <w:sz w:val="24"/>
          <w:highlight w:val="none"/>
          <w:lang w:val="en-US" w:eastAsia="zh-CN"/>
        </w:rPr>
        <w:t>将</w:t>
      </w:r>
      <w:r>
        <w:rPr>
          <w:rFonts w:hint="eastAsia" w:ascii="宋体" w:hAnsi="宋体" w:eastAsia="宋体" w:cs="宋体"/>
          <w:b/>
          <w:bCs/>
          <w:color w:val="auto"/>
          <w:sz w:val="24"/>
          <w:highlight w:val="none"/>
        </w:rPr>
        <w:t>“ 开标一览表及资格证明文件” 和“ 商务及技术文件” 两部分</w:t>
      </w:r>
      <w:r>
        <w:rPr>
          <w:rFonts w:hint="eastAsia" w:ascii="宋体" w:hAnsi="宋体" w:eastAsia="宋体" w:cs="宋体"/>
          <w:b/>
          <w:bCs/>
          <w:color w:val="auto"/>
          <w:sz w:val="24"/>
          <w:highlight w:val="none"/>
          <w:lang w:val="en-US" w:eastAsia="zh-CN"/>
        </w:rPr>
        <w:t>合并生成</w:t>
      </w:r>
      <w:r>
        <w:rPr>
          <w:rFonts w:hint="eastAsia" w:ascii="宋体" w:hAnsi="宋体" w:eastAsia="宋体" w:cs="宋体"/>
          <w:b/>
          <w:bCs/>
          <w:color w:val="auto"/>
          <w:sz w:val="24"/>
          <w:highlight w:val="none"/>
        </w:rPr>
        <w:t>上传至政采云平台</w:t>
      </w:r>
      <w:r>
        <w:rPr>
          <w:rFonts w:hint="eastAsia" w:ascii="宋体" w:hAnsi="宋体" w:eastAsia="宋体" w:cs="宋体"/>
          <w:b/>
          <w:bCs/>
          <w:color w:val="auto"/>
          <w:sz w:val="24"/>
          <w:highlight w:val="none"/>
          <w:lang w:eastAsia="zh-CN"/>
        </w:rPr>
        <w:t>，</w:t>
      </w:r>
      <w:r>
        <w:rPr>
          <w:rFonts w:hint="eastAsia" w:ascii="宋体" w:hAnsi="宋体" w:cs="宋体"/>
          <w:b/>
          <w:bCs/>
          <w:color w:val="000000"/>
          <w:sz w:val="24"/>
          <w:highlight w:val="none"/>
        </w:rPr>
        <w:t>完成在系统上递交电子响应文件。投标人的电子响应文件是经过CA证书加密后上传提交的，任何单位或个人均无法在投标截止时间(即开标时间)之前查看或篡改，不存在泄密风险</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严格按照政采云电子投标流程制作并上传电子响应文件</w:t>
      </w:r>
      <w:r>
        <w:rPr>
          <w:rFonts w:hint="eastAsia" w:ascii="宋体" w:hAnsi="宋体" w:cs="宋体"/>
          <w:b/>
          <w:bCs/>
          <w:color w:val="000000"/>
          <w:sz w:val="24"/>
          <w:highlight w:val="none"/>
          <w:lang w:eastAsia="zh-CN"/>
        </w:rPr>
        <w:t>。</w:t>
      </w:r>
    </w:p>
    <w:p w14:paraId="6A04C800">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11F05E2D">
      <w:pPr>
        <w:keepNext w:val="0"/>
        <w:keepLines w:val="0"/>
        <w:pageBreakBefore w:val="0"/>
        <w:widowControl w:val="0"/>
        <w:kinsoku/>
        <w:wordWrap/>
        <w:overflowPunct/>
        <w:topLinePunct w:val="0"/>
        <w:autoSpaceDE/>
        <w:autoSpaceDN/>
        <w:bidi w:val="0"/>
        <w:adjustRightInd/>
        <w:snapToGrid/>
        <w:spacing w:line="240" w:lineRule="atLeast"/>
        <w:ind w:left="840" w:hanging="840" w:hangingChars="350"/>
        <w:textAlignment w:val="auto"/>
        <w:rPr>
          <w:rFonts w:hint="eastAsia" w:ascii="宋体" w:hAnsi="宋体" w:eastAsia="宋体" w:cs="宋体"/>
          <w:color w:val="000000"/>
          <w:sz w:val="24"/>
          <w:highlight w:val="none"/>
          <w:lang w:val="en-US" w:eastAsia="zh-CN"/>
        </w:rPr>
      </w:pPr>
      <w:bookmarkStart w:id="119" w:name="_Toc518923081"/>
      <w:bookmarkStart w:id="120" w:name="_Toc16710"/>
      <w:r>
        <w:rPr>
          <w:rFonts w:hint="eastAsia" w:ascii="宋体" w:hAnsi="宋体" w:cs="宋体"/>
          <w:color w:val="000000"/>
          <w:sz w:val="24"/>
          <w:highlight w:val="none"/>
        </w:rPr>
        <w:t>16.1</w:t>
      </w:r>
      <w:r>
        <w:rPr>
          <w:rFonts w:hint="eastAsia" w:ascii="宋体" w:hAnsi="宋体" w:cs="宋体"/>
          <w:color w:val="000000"/>
          <w:sz w:val="24"/>
          <w:highlight w:val="none"/>
        </w:rPr>
        <w:tab/>
      </w:r>
      <w:r>
        <w:rPr>
          <w:rFonts w:hint="eastAsia" w:ascii="宋体" w:hAnsi="宋体" w:eastAsia="宋体" w:cs="宋体"/>
          <w:color w:val="000000"/>
          <w:sz w:val="24"/>
          <w:highlight w:val="none"/>
          <w:lang w:val="en-US" w:eastAsia="zh-CN"/>
        </w:rPr>
        <w:t>投标人应在</w:t>
      </w:r>
      <w:r>
        <w:rPr>
          <w:rFonts w:hint="eastAsia" w:ascii="宋体" w:hAnsi="宋体" w:eastAsia="宋体" w:cs="宋体"/>
          <w:color w:val="000000"/>
          <w:sz w:val="24"/>
          <w:highlight w:val="none"/>
          <w:u w:val="single"/>
          <w:lang w:val="en-US" w:eastAsia="zh-CN"/>
        </w:rPr>
        <w:t>投标人须知资料表中</w:t>
      </w:r>
      <w:r>
        <w:rPr>
          <w:rFonts w:hint="eastAsia" w:ascii="宋体" w:hAnsi="宋体" w:eastAsia="宋体" w:cs="宋体"/>
          <w:color w:val="000000"/>
          <w:sz w:val="24"/>
          <w:highlight w:val="none"/>
          <w:lang w:val="en-US" w:eastAsia="zh-CN"/>
        </w:rPr>
        <w:t>规定的截止时间前，将投标文件递交到招标公告中规定的地点。</w:t>
      </w:r>
    </w:p>
    <w:p w14:paraId="713C7CD6">
      <w:pPr>
        <w:keepNext w:val="0"/>
        <w:keepLines w:val="0"/>
        <w:pageBreakBefore w:val="0"/>
        <w:widowControl w:val="0"/>
        <w:kinsoku/>
        <w:wordWrap/>
        <w:overflowPunct/>
        <w:topLinePunct w:val="0"/>
        <w:autoSpaceDE/>
        <w:autoSpaceDN/>
        <w:bidi w:val="0"/>
        <w:adjustRightInd/>
        <w:snapToGrid/>
        <w:spacing w:line="240" w:lineRule="atLeast"/>
        <w:ind w:left="840" w:hanging="840" w:hangingChars="35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16.2</w:t>
      </w:r>
      <w:r>
        <w:rPr>
          <w:rFonts w:hint="eastAsia" w:ascii="宋体" w:hAnsi="宋体" w:eastAsia="宋体" w:cs="宋体"/>
          <w:color w:val="000000"/>
          <w:sz w:val="24"/>
          <w:highlight w:val="none"/>
          <w:lang w:val="en-US" w:eastAsia="zh-CN"/>
        </w:rPr>
        <w:tab/>
      </w:r>
      <w:r>
        <w:rPr>
          <w:rFonts w:hint="eastAsia" w:ascii="宋体" w:hAnsi="宋体" w:eastAsia="宋体" w:cs="宋体"/>
          <w:color w:val="000000"/>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p>
    <w:p w14:paraId="51CDFD5A">
      <w:pPr>
        <w:keepNext w:val="0"/>
        <w:keepLines w:val="0"/>
        <w:pageBreakBefore w:val="0"/>
        <w:widowControl w:val="0"/>
        <w:kinsoku/>
        <w:wordWrap/>
        <w:overflowPunct/>
        <w:topLinePunct w:val="0"/>
        <w:autoSpaceDE/>
        <w:autoSpaceDN/>
        <w:bidi w:val="0"/>
        <w:adjustRightInd/>
        <w:snapToGrid/>
        <w:spacing w:line="240" w:lineRule="atLeast"/>
        <w:ind w:left="840" w:hanging="840" w:hangingChars="35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16.3</w:t>
      </w:r>
      <w:r>
        <w:rPr>
          <w:rFonts w:hint="eastAsia" w:ascii="宋体" w:hAnsi="宋体" w:eastAsia="宋体" w:cs="宋体"/>
          <w:color w:val="000000"/>
          <w:sz w:val="24"/>
          <w:highlight w:val="none"/>
          <w:lang w:val="en-US" w:eastAsia="zh-CN"/>
        </w:rPr>
        <w:tab/>
      </w:r>
      <w:r>
        <w:rPr>
          <w:rFonts w:hint="eastAsia" w:ascii="宋体" w:hAnsi="宋体" w:eastAsia="宋体" w:cs="宋体"/>
          <w:color w:val="000000"/>
          <w:sz w:val="24"/>
          <w:highlight w:val="none"/>
          <w:lang w:val="en-US" w:eastAsia="zh-CN"/>
        </w:rPr>
        <w:t>采购人和采购代理机构将拒绝接收在投标截止时间后送达的投标文件。</w:t>
      </w:r>
    </w:p>
    <w:p w14:paraId="6172DFB3">
      <w:pPr>
        <w:spacing w:line="240" w:lineRule="atLeast"/>
        <w:ind w:left="843" w:hanging="843" w:hangingChars="350"/>
        <w:rPr>
          <w:rFonts w:hint="eastAsia"/>
          <w:highlight w:val="none"/>
        </w:rPr>
      </w:pPr>
      <w:r>
        <w:rPr>
          <w:rFonts w:hint="eastAsia" w:ascii="宋体" w:hAnsi="宋体" w:cs="宋体"/>
          <w:b/>
          <w:bCs/>
          <w:color w:val="000000"/>
          <w:sz w:val="24"/>
          <w:highlight w:val="none"/>
        </w:rPr>
        <w:t>17.响应文件的接收、修改、撤回</w:t>
      </w:r>
      <w:bookmarkEnd w:id="119"/>
      <w:r>
        <w:rPr>
          <w:rFonts w:hint="eastAsia" w:ascii="宋体" w:hAnsi="宋体" w:cs="宋体"/>
          <w:b/>
          <w:bCs/>
          <w:color w:val="000000"/>
          <w:sz w:val="24"/>
          <w:highlight w:val="none"/>
        </w:rPr>
        <w:t>与解密</w:t>
      </w:r>
      <w:bookmarkEnd w:id="120"/>
    </w:p>
    <w:p w14:paraId="05F14D28">
      <w:pPr>
        <w:spacing w:line="240" w:lineRule="atLeast"/>
        <w:ind w:left="840" w:hanging="840" w:hangingChars="350"/>
        <w:rPr>
          <w:rFonts w:hint="eastAsia" w:ascii="宋体" w:hAnsi="宋体" w:cs="宋体"/>
          <w:color w:val="000000"/>
          <w:sz w:val="24"/>
          <w:highlight w:val="none"/>
        </w:rPr>
      </w:pPr>
      <w:bookmarkStart w:id="121" w:name="_Toc520356163"/>
      <w:bookmarkStart w:id="122" w:name="_Toc12436"/>
      <w:bookmarkStart w:id="123" w:name="_Toc216582809"/>
      <w:bookmarkStart w:id="124" w:name="_Toc20246"/>
      <w:bookmarkStart w:id="125" w:name="_Toc515647778"/>
      <w:bookmarkStart w:id="126" w:name="_Toc28398"/>
      <w:r>
        <w:rPr>
          <w:rFonts w:hint="eastAsia" w:ascii="宋体" w:hAnsi="宋体" w:cs="宋体"/>
          <w:color w:val="000000"/>
          <w:sz w:val="24"/>
          <w:highlight w:val="none"/>
        </w:rPr>
        <w:t>17.1</w:t>
      </w:r>
      <w:r>
        <w:rPr>
          <w:rFonts w:hint="eastAsia" w:ascii="宋体" w:hAnsi="宋体" w:cs="宋体"/>
          <w:color w:val="000000"/>
          <w:sz w:val="24"/>
          <w:highlight w:val="none"/>
        </w:rPr>
        <w:tab/>
      </w:r>
      <w:r>
        <w:rPr>
          <w:rFonts w:hint="eastAsia" w:ascii="宋体" w:hAnsi="宋体" w:cs="宋体"/>
          <w:color w:val="000000"/>
          <w:sz w:val="24"/>
          <w:highlight w:val="none"/>
        </w:rPr>
        <w:t>在响应文件提交截止时间前，投标人须将</w:t>
      </w:r>
      <w:r>
        <w:rPr>
          <w:rFonts w:hint="eastAsia" w:ascii="宋体" w:hAnsi="宋体" w:eastAsia="宋体" w:cs="宋体"/>
          <w:b/>
          <w:bCs/>
          <w:color w:val="auto"/>
          <w:sz w:val="24"/>
          <w:highlight w:val="none"/>
        </w:rPr>
        <w:t>“ 开标一览表及资格证明文件” 和“ 商务及技术文件” 两部分</w:t>
      </w:r>
      <w:r>
        <w:rPr>
          <w:rFonts w:hint="eastAsia" w:ascii="宋体" w:hAnsi="宋体" w:eastAsia="宋体" w:cs="宋体"/>
          <w:b/>
          <w:bCs/>
          <w:color w:val="auto"/>
          <w:sz w:val="24"/>
          <w:highlight w:val="none"/>
          <w:lang w:val="en-US" w:eastAsia="zh-CN"/>
        </w:rPr>
        <w:t>合并生成</w:t>
      </w:r>
      <w:r>
        <w:rPr>
          <w:rFonts w:hint="eastAsia" w:ascii="宋体" w:hAnsi="宋体" w:eastAsia="宋体" w:cs="宋体"/>
          <w:b/>
          <w:bCs/>
          <w:color w:val="auto"/>
          <w:sz w:val="24"/>
          <w:highlight w:val="none"/>
        </w:rPr>
        <w:t>上传至政采云平台</w:t>
      </w:r>
      <w:r>
        <w:rPr>
          <w:rFonts w:hint="eastAsia" w:ascii="宋体" w:hAnsi="宋体" w:cs="宋体"/>
          <w:color w:val="000000"/>
          <w:sz w:val="24"/>
          <w:highlight w:val="none"/>
        </w:rPr>
        <w:t>。时间以政采云平台项目采购系统服务器从中国科学院国家授时中心取得的北京时间为准，投标截止时间结束后，系统将不允许投标人上传响应文件，已上传响应文件但未完成传输的文件系统将拒绝接收。</w:t>
      </w:r>
    </w:p>
    <w:p w14:paraId="3E3ED088">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17.2</w:t>
      </w:r>
      <w:r>
        <w:rPr>
          <w:rFonts w:hint="eastAsia" w:ascii="宋体" w:hAnsi="宋体" w:cs="宋体"/>
          <w:color w:val="000000"/>
          <w:sz w:val="24"/>
          <w:highlight w:val="none"/>
        </w:rPr>
        <w:tab/>
      </w:r>
      <w:r>
        <w:rPr>
          <w:rFonts w:hint="eastAsia" w:ascii="宋体" w:hAnsi="宋体" w:cs="宋体"/>
          <w:color w:val="000000"/>
          <w:sz w:val="24"/>
          <w:highlight w:val="none"/>
        </w:rPr>
        <w:t>代理机构对因不可抗力事件造成的响应文件的损坏、丢失的，不承担责任。</w:t>
      </w:r>
    </w:p>
    <w:p w14:paraId="552848EA">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17.3   出现下述情形之一，属于未成功提交响应文件，按</w:t>
      </w:r>
      <w:r>
        <w:rPr>
          <w:rFonts w:hint="eastAsia" w:ascii="宋体" w:hAnsi="宋体" w:cs="宋体"/>
          <w:b/>
          <w:bCs/>
          <w:color w:val="000000"/>
          <w:sz w:val="24"/>
          <w:highlight w:val="none"/>
        </w:rPr>
        <w:t>无效投标</w:t>
      </w:r>
      <w:r>
        <w:rPr>
          <w:rFonts w:hint="eastAsia" w:ascii="宋体" w:hAnsi="宋体" w:cs="宋体"/>
          <w:color w:val="000000"/>
          <w:sz w:val="24"/>
          <w:highlight w:val="none"/>
        </w:rPr>
        <w:t xml:space="preserve">处理： </w:t>
      </w:r>
    </w:p>
    <w:p w14:paraId="78FD1B72">
      <w:pPr>
        <w:spacing w:line="240" w:lineRule="atLeast"/>
        <w:ind w:left="1558" w:leftChars="342"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（1）至提交响应文件截止时间，响应文件未完整上传的。 </w:t>
      </w:r>
    </w:p>
    <w:p w14:paraId="6773005F">
      <w:pPr>
        <w:spacing w:line="240" w:lineRule="atLeast"/>
        <w:ind w:left="735" w:leftChars="350"/>
        <w:rPr>
          <w:rFonts w:hint="eastAsia" w:ascii="宋体" w:hAnsi="宋体" w:cs="宋体"/>
          <w:color w:val="000000"/>
          <w:sz w:val="24"/>
          <w:highlight w:val="none"/>
        </w:rPr>
      </w:pPr>
      <w:r>
        <w:rPr>
          <w:rFonts w:hint="eastAsia" w:ascii="宋体" w:hAnsi="宋体" w:cs="宋体"/>
          <w:color w:val="000000"/>
          <w:sz w:val="24"/>
          <w:highlight w:val="none"/>
        </w:rPr>
        <w:t xml:space="preserve">（2）响应文件未按投标格式中注明需签字盖章的要求进行签名（含电子签名）和加盖电子印章，或签名（含电子签名）或电子印章不完整的。 </w:t>
      </w:r>
    </w:p>
    <w:p w14:paraId="498D983D">
      <w:pPr>
        <w:spacing w:line="240" w:lineRule="atLeast"/>
        <w:ind w:left="1558" w:leftChars="342" w:hanging="840" w:hangingChars="350"/>
        <w:rPr>
          <w:rFonts w:hint="eastAsia" w:ascii="宋体" w:hAnsi="宋体" w:cs="宋体"/>
          <w:color w:val="000000"/>
          <w:sz w:val="24"/>
          <w:highlight w:val="none"/>
        </w:rPr>
      </w:pPr>
      <w:r>
        <w:rPr>
          <w:rFonts w:hint="eastAsia" w:ascii="宋体" w:hAnsi="宋体" w:cs="宋体"/>
          <w:color w:val="000000"/>
          <w:sz w:val="24"/>
          <w:highlight w:val="none"/>
        </w:rPr>
        <w:t xml:space="preserve">（3）响应文件损坏或格式不正确的。 </w:t>
      </w:r>
    </w:p>
    <w:p w14:paraId="5D3B8ADD">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17.4</w:t>
      </w:r>
      <w:r>
        <w:rPr>
          <w:rFonts w:hint="eastAsia" w:ascii="宋体" w:hAnsi="宋体" w:cs="宋体"/>
          <w:color w:val="000000"/>
          <w:sz w:val="24"/>
          <w:highlight w:val="none"/>
        </w:rPr>
        <w:tab/>
      </w:r>
      <w:r>
        <w:rPr>
          <w:rFonts w:hint="eastAsia" w:ascii="宋体" w:hAnsi="宋体" w:cs="宋体"/>
          <w:color w:val="000000"/>
          <w:sz w:val="24"/>
          <w:highlight w:val="none"/>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0A92D298">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17.5</w:t>
      </w:r>
      <w:r>
        <w:rPr>
          <w:rFonts w:hint="eastAsia" w:ascii="宋体" w:hAnsi="宋体" w:cs="宋体"/>
          <w:color w:val="000000"/>
          <w:sz w:val="24"/>
          <w:highlight w:val="none"/>
        </w:rPr>
        <w:tab/>
      </w:r>
      <w:r>
        <w:rPr>
          <w:rFonts w:hint="eastAsia" w:ascii="宋体" w:hAnsi="宋体" w:cs="宋体"/>
          <w:color w:val="000000"/>
          <w:sz w:val="24"/>
          <w:highlight w:val="none"/>
        </w:rPr>
        <w:t>在提交响应文件截止时间后，投标人不得补充、修改和更换响应文件。</w:t>
      </w:r>
    </w:p>
    <w:p w14:paraId="28899DC1">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17.6   到达开标时间后，投标人需使用上传响应文件的同一数字证书解密，投标人须在采购代理机构规定的时间内完成响应文件解密，投标人因非系统原因导致的逾期未解密响应文件，将作</w:t>
      </w:r>
      <w:r>
        <w:rPr>
          <w:rFonts w:hint="eastAsia" w:ascii="宋体" w:hAnsi="宋体" w:cs="宋体"/>
          <w:b/>
          <w:bCs/>
          <w:color w:val="000000"/>
          <w:sz w:val="24"/>
          <w:highlight w:val="none"/>
        </w:rPr>
        <w:t>无效投标</w:t>
      </w:r>
      <w:r>
        <w:rPr>
          <w:rFonts w:hint="eastAsia" w:ascii="宋体" w:hAnsi="宋体" w:cs="宋体"/>
          <w:color w:val="000000"/>
          <w:sz w:val="24"/>
          <w:highlight w:val="none"/>
        </w:rPr>
        <w:t>处理。</w:t>
      </w:r>
    </w:p>
    <w:p w14:paraId="2AF69978">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五   开标及评标</w:t>
      </w:r>
      <w:bookmarkEnd w:id="121"/>
      <w:bookmarkEnd w:id="122"/>
      <w:bookmarkEnd w:id="123"/>
      <w:bookmarkEnd w:id="124"/>
      <w:bookmarkEnd w:id="125"/>
      <w:bookmarkEnd w:id="126"/>
    </w:p>
    <w:p w14:paraId="2FBED8B7">
      <w:pPr>
        <w:pStyle w:val="4"/>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bookmarkStart w:id="127" w:name="_Toc515647779"/>
      <w:bookmarkStart w:id="128" w:name="_Toc7186"/>
      <w:bookmarkStart w:id="129" w:name="_Toc25345"/>
      <w:bookmarkStart w:id="130" w:name="_Toc520356164"/>
      <w:bookmarkStart w:id="131" w:name="_Toc17257"/>
      <w:r>
        <w:rPr>
          <w:rFonts w:hint="eastAsia" w:ascii="宋体" w:hAnsi="宋体" w:eastAsia="宋体" w:cs="宋体"/>
          <w:color w:val="auto"/>
          <w:highlight w:val="none"/>
          <w:u w:val="none"/>
          <w:lang w:val="en-US" w:eastAsia="zh-CN"/>
        </w:rPr>
        <w:t>18.</w:t>
      </w:r>
      <w:r>
        <w:rPr>
          <w:rFonts w:hint="eastAsia" w:ascii="宋体" w:hAnsi="宋体" w:eastAsia="宋体" w:cs="宋体"/>
          <w:color w:val="auto"/>
          <w:highlight w:val="none"/>
          <w:u w:val="none"/>
        </w:rPr>
        <w:t>开标</w:t>
      </w:r>
      <w:bookmarkEnd w:id="127"/>
      <w:bookmarkEnd w:id="128"/>
      <w:bookmarkEnd w:id="129"/>
      <w:bookmarkEnd w:id="130"/>
      <w:bookmarkEnd w:id="131"/>
    </w:p>
    <w:p w14:paraId="6CAA9186">
      <w:pPr>
        <w:spacing w:line="240" w:lineRule="atLeast"/>
        <w:ind w:left="840" w:hanging="840" w:hangingChars="350"/>
        <w:rPr>
          <w:rFonts w:hint="eastAsia" w:ascii="宋体" w:hAnsi="宋体" w:cs="宋体"/>
          <w:color w:val="000000"/>
          <w:sz w:val="24"/>
          <w:highlight w:val="none"/>
        </w:rPr>
      </w:pPr>
      <w:bookmarkStart w:id="132" w:name="_Toc520356165"/>
      <w:bookmarkStart w:id="133" w:name="_Toc21372"/>
      <w:bookmarkStart w:id="134" w:name="_Toc19296"/>
      <w:bookmarkStart w:id="135" w:name="_Toc515647780"/>
      <w:bookmarkStart w:id="136" w:name="_Toc31290"/>
      <w:r>
        <w:rPr>
          <w:rFonts w:hint="eastAsia" w:ascii="宋体" w:hAnsi="宋体" w:cs="宋体"/>
          <w:color w:val="000000"/>
          <w:sz w:val="24"/>
          <w:highlight w:val="none"/>
        </w:rPr>
        <w:t>18.1</w:t>
      </w:r>
      <w:r>
        <w:rPr>
          <w:rFonts w:hint="eastAsia" w:ascii="宋体" w:hAnsi="宋体" w:cs="宋体"/>
          <w:color w:val="000000"/>
          <w:sz w:val="24"/>
          <w:highlight w:val="none"/>
        </w:rPr>
        <w:tab/>
      </w:r>
      <w:r>
        <w:rPr>
          <w:rFonts w:hint="eastAsia" w:ascii="宋体" w:hAnsi="宋体" w:cs="宋体"/>
          <w:color w:val="000000"/>
          <w:sz w:val="24"/>
          <w:highlight w:val="none"/>
        </w:rPr>
        <w:t xml:space="preserve">采购人和采购代理机构将按投标人须知资料表中规定的开标时间和地点组织开标。  </w:t>
      </w:r>
    </w:p>
    <w:p w14:paraId="67AAF09E">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14:paraId="60D7C01A">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18.2   投标人应当按照本</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14:paraId="0F33FAC1">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18.3   采购人或采购代理机构将对开标过程进行记录，由参加开标的各投标人代表和相关工作人员签字确认，并存档备查。</w:t>
      </w:r>
    </w:p>
    <w:p w14:paraId="0C5539F4">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14:paraId="396E37F3">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2"/>
      <w:r>
        <w:rPr>
          <w:rFonts w:hint="eastAsia" w:ascii="宋体" w:hAnsi="宋体" w:eastAsia="宋体" w:cs="宋体"/>
          <w:color w:val="auto"/>
          <w:highlight w:val="none"/>
          <w:u w:val="none"/>
        </w:rPr>
        <w:t>资格审查及组建评标委员会</w:t>
      </w:r>
      <w:bookmarkEnd w:id="133"/>
      <w:bookmarkEnd w:id="134"/>
      <w:bookmarkEnd w:id="135"/>
      <w:bookmarkEnd w:id="136"/>
    </w:p>
    <w:p w14:paraId="35378B64">
      <w:pPr>
        <w:spacing w:line="240" w:lineRule="atLeast"/>
        <w:ind w:left="840" w:hanging="840" w:hangingChars="350"/>
        <w:rPr>
          <w:rFonts w:hint="eastAsia" w:ascii="宋体" w:hAnsi="宋体" w:cs="宋体"/>
          <w:color w:val="000000"/>
          <w:sz w:val="24"/>
          <w:highlight w:val="none"/>
        </w:rPr>
      </w:pPr>
      <w:bookmarkStart w:id="137" w:name="_Toc520356166"/>
      <w:bookmarkStart w:id="138" w:name="_Toc28479"/>
      <w:bookmarkStart w:id="139" w:name="_Toc515647781"/>
      <w:bookmarkStart w:id="140" w:name="_Toc19949"/>
      <w:bookmarkStart w:id="141" w:name="_Toc26332"/>
      <w:r>
        <w:rPr>
          <w:rFonts w:hint="eastAsia" w:ascii="宋体" w:hAnsi="宋体" w:cs="宋体"/>
          <w:color w:val="000000"/>
          <w:sz w:val="24"/>
          <w:highlight w:val="none"/>
        </w:rPr>
        <w:t>19.1   采购代理机构将在开标后1个小时内查询投标人的信用记录。投标人存在不良信用记录的，其投标将被认定为投标无效。</w:t>
      </w:r>
    </w:p>
    <w:p w14:paraId="12D09B28">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19.2   不良信用记录指：</w:t>
      </w:r>
      <w:r>
        <w:rPr>
          <w:rFonts w:hint="eastAsia" w:ascii="宋体" w:hAnsi="宋体" w:cs="宋体"/>
          <w:b/>
          <w:bCs/>
          <w:color w:val="000000"/>
          <w:sz w:val="24"/>
          <w:highlight w:val="none"/>
        </w:rPr>
        <w:t>投标人被“信用中国”网站列入失信被执行人和重大税收违法案件当事人名单的</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被“中国政府采购网”网站列入政府采购严重违法失信行为记录名单（处罚期限尚未届满的）的</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国家企业信用信息公示系统被列入失信被执行人、重大税收违法案件当事人名单中的</w:t>
      </w:r>
      <w:r>
        <w:rPr>
          <w:rFonts w:hint="eastAsia" w:ascii="宋体" w:hAnsi="宋体" w:cs="宋体"/>
          <w:color w:val="000000"/>
          <w:sz w:val="24"/>
          <w:highlight w:val="none"/>
        </w:rPr>
        <w:t>，以及存在《中华人民共和国政府采购法实施条例》第十九条规定的行政处罚记录。</w:t>
      </w:r>
    </w:p>
    <w:p w14:paraId="0AE04687">
      <w:pPr>
        <w:spacing w:line="240" w:lineRule="atLeast"/>
        <w:ind w:left="840" w:leftChars="400"/>
        <w:rPr>
          <w:rFonts w:hint="eastAsia" w:ascii="宋体" w:hAnsi="宋体" w:cs="宋体"/>
          <w:color w:val="000000"/>
          <w:sz w:val="24"/>
          <w:highlight w:val="none"/>
        </w:rPr>
      </w:pPr>
      <w:r>
        <w:rPr>
          <w:rFonts w:hint="eastAsia" w:ascii="宋体" w:hAnsi="宋体" w:cs="宋体"/>
          <w:color w:val="000000"/>
          <w:sz w:val="24"/>
          <w:highlight w:val="none"/>
        </w:rPr>
        <w:t>以联合体形式参加投标的，联合体任何成员存在以上不良信用记录的，联合体投标将被认定为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14:paraId="1E904ED4">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19.2.1 查询及记录方式：采购代理机构经办人将查询网页打印并存档备查。投标人不良信用记录以采购人或采购代理机构查询结果为准。在本</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规定的查询时间之后，网站信息发生的任何变更均不再作为评标依据。</w:t>
      </w:r>
    </w:p>
    <w:p w14:paraId="538B3201">
      <w:pPr>
        <w:spacing w:line="240" w:lineRule="atLeast"/>
        <w:ind w:left="840" w:leftChars="400"/>
        <w:rPr>
          <w:rFonts w:hint="eastAsia" w:ascii="宋体" w:hAnsi="宋体" w:cs="宋体"/>
          <w:color w:val="000000"/>
          <w:sz w:val="24"/>
          <w:highlight w:val="none"/>
        </w:rPr>
      </w:pPr>
      <w:r>
        <w:rPr>
          <w:rFonts w:hint="eastAsia" w:ascii="宋体" w:hAnsi="宋体" w:cs="宋体"/>
          <w:color w:val="000000"/>
          <w:sz w:val="24"/>
          <w:highlight w:val="none"/>
        </w:rPr>
        <w:t>投标人自行提供的与网站信息不一致的其他证明材料亦不作为资格审查依据。</w:t>
      </w:r>
    </w:p>
    <w:p w14:paraId="4F6F584E">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19.3   按照《中华人民共和国政府采购法》、《中华人民共和国政府采购法实施条例》及本项目本级和上级财政部门的有关规定依法组建的评标委员会，负责评标工作。本项目评标委员会由3人组成（政采云专家库随机抽取专家</w:t>
      </w:r>
      <w:r>
        <w:rPr>
          <w:rFonts w:hint="eastAsia" w:ascii="宋体" w:hAnsi="宋体" w:cs="宋体"/>
          <w:color w:val="000000"/>
          <w:sz w:val="24"/>
          <w:highlight w:val="none"/>
          <w:lang w:val="en-US" w:eastAsia="zh-CN"/>
        </w:rPr>
        <w:t>3人</w:t>
      </w:r>
      <w:r>
        <w:rPr>
          <w:rFonts w:hint="eastAsia" w:ascii="宋体" w:hAnsi="宋体" w:cs="宋体"/>
          <w:color w:val="000000"/>
          <w:sz w:val="24"/>
          <w:highlight w:val="none"/>
        </w:rPr>
        <w:t>）。</w:t>
      </w:r>
    </w:p>
    <w:p w14:paraId="291E5E34">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w:t>
      </w:r>
      <w:bookmarkEnd w:id="137"/>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符合性审查与澄清</w:t>
      </w:r>
      <w:bookmarkEnd w:id="138"/>
      <w:bookmarkEnd w:id="139"/>
      <w:bookmarkEnd w:id="140"/>
      <w:bookmarkEnd w:id="141"/>
    </w:p>
    <w:p w14:paraId="76E3F43D">
      <w:pPr>
        <w:spacing w:line="240" w:lineRule="atLeast"/>
        <w:ind w:left="840" w:hanging="840" w:hangingChars="350"/>
        <w:rPr>
          <w:rFonts w:hint="eastAsia" w:ascii="宋体" w:hAnsi="宋体" w:cs="宋体"/>
          <w:color w:val="000000"/>
          <w:sz w:val="24"/>
          <w:highlight w:val="none"/>
        </w:rPr>
      </w:pPr>
      <w:bookmarkStart w:id="142" w:name="_Toc520356167"/>
      <w:r>
        <w:rPr>
          <w:rFonts w:hint="eastAsia" w:ascii="宋体" w:hAnsi="宋体" w:cs="宋体"/>
          <w:color w:val="000000"/>
          <w:sz w:val="24"/>
          <w:highlight w:val="none"/>
        </w:rPr>
        <w:t>20.1   符合性审查是指依据</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的规定，从响应文件的有效性和完整性对</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的响应程度进行审查，以确定是否对</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的实质性要求做出响应。</w:t>
      </w:r>
      <w:bookmarkStart w:id="143" w:name="_Hlt522424701"/>
      <w:bookmarkEnd w:id="143"/>
    </w:p>
    <w:p w14:paraId="7E461BC4">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20.2   响应文件的澄清</w:t>
      </w:r>
    </w:p>
    <w:p w14:paraId="71C28E93">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20.2.1 在评标期间，评标委员会将以书面方式要求投标人对其响应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响应文件范围或者改变响应文件的实质性内容。</w:t>
      </w:r>
    </w:p>
    <w:p w14:paraId="7F03EFB2">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20.2.2 投标人的澄清、说明或补正将作为响应文件的一部分。</w:t>
      </w:r>
    </w:p>
    <w:p w14:paraId="04127501">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20.3   响应文件报价出现前后不一致的，按照下列规定修正：</w:t>
      </w:r>
    </w:p>
    <w:p w14:paraId="32CC89ED">
      <w:pPr>
        <w:spacing w:line="240" w:lineRule="atLeast"/>
        <w:ind w:left="840" w:leftChars="400"/>
        <w:rPr>
          <w:rFonts w:hint="eastAsia" w:ascii="宋体" w:hAnsi="宋体" w:cs="宋体"/>
          <w:sz w:val="24"/>
          <w:highlight w:val="none"/>
        </w:rPr>
      </w:pPr>
      <w:r>
        <w:rPr>
          <w:rFonts w:hint="eastAsia" w:ascii="宋体" w:hAnsi="宋体" w:cs="宋体"/>
          <w:sz w:val="24"/>
          <w:highlight w:val="none"/>
        </w:rPr>
        <w:t>（一）响应文件中开标一览表（报价表）内容与响应文件中相应内容不一致的，以开标一览表（报价表）为准；</w:t>
      </w:r>
    </w:p>
    <w:p w14:paraId="32C75E4B">
      <w:pPr>
        <w:spacing w:line="240" w:lineRule="atLeast"/>
        <w:ind w:left="840" w:leftChars="400"/>
        <w:rPr>
          <w:rFonts w:hint="eastAsia" w:ascii="宋体" w:hAnsi="宋体" w:cs="宋体"/>
          <w:sz w:val="24"/>
          <w:highlight w:val="none"/>
        </w:rPr>
      </w:pPr>
      <w:r>
        <w:rPr>
          <w:rFonts w:hint="eastAsia" w:ascii="宋体" w:hAnsi="宋体" w:cs="宋体"/>
          <w:sz w:val="24"/>
          <w:highlight w:val="none"/>
        </w:rPr>
        <w:t>（二）大写金额和小写金额不一致的，以大写金额为准；</w:t>
      </w:r>
    </w:p>
    <w:p w14:paraId="70219BEA">
      <w:pPr>
        <w:spacing w:line="240" w:lineRule="atLeast"/>
        <w:ind w:left="840" w:leftChars="400"/>
        <w:rPr>
          <w:rFonts w:hint="eastAsia" w:ascii="宋体" w:hAnsi="宋体" w:cs="宋体"/>
          <w:sz w:val="24"/>
          <w:highlight w:val="none"/>
        </w:rPr>
      </w:pPr>
      <w:r>
        <w:rPr>
          <w:rFonts w:hint="eastAsia" w:ascii="宋体" w:hAnsi="宋体" w:cs="宋体"/>
          <w:sz w:val="24"/>
          <w:highlight w:val="none"/>
        </w:rPr>
        <w:t>（三）单价金额小数点或者百分比有明显错位的，以开标一览表的总价为准，并修改单价；</w:t>
      </w:r>
    </w:p>
    <w:p w14:paraId="6C97ADB7">
      <w:pPr>
        <w:spacing w:line="240" w:lineRule="atLeast"/>
        <w:ind w:left="840" w:leftChars="400"/>
        <w:rPr>
          <w:rFonts w:hint="eastAsia" w:ascii="宋体" w:hAnsi="宋体" w:cs="宋体"/>
          <w:sz w:val="24"/>
          <w:highlight w:val="none"/>
        </w:rPr>
      </w:pPr>
      <w:r>
        <w:rPr>
          <w:rFonts w:hint="eastAsia" w:ascii="宋体" w:hAnsi="宋体" w:cs="宋体"/>
          <w:sz w:val="24"/>
          <w:highlight w:val="none"/>
        </w:rPr>
        <w:t>（四）总价金额与按单价汇总金额不一致的，以单价金额计算结果为准。</w:t>
      </w:r>
    </w:p>
    <w:p w14:paraId="345A6AFB">
      <w:pPr>
        <w:spacing w:line="240" w:lineRule="atLeast"/>
        <w:ind w:left="840" w:leftChars="40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同时出现两种以上不一致的，按照前款规定的顺序修正。修正后的报价按照第20.2条的规定经投标人确认后产生约束力，投标人不确认的，其投标将被认定为</w:t>
      </w:r>
      <w:r>
        <w:rPr>
          <w:rFonts w:hint="eastAsia" w:ascii="宋体" w:hAnsi="宋体" w:cs="宋体"/>
          <w:b/>
          <w:bCs/>
          <w:sz w:val="24"/>
          <w:highlight w:val="none"/>
        </w:rPr>
        <w:t>投标无效</w:t>
      </w:r>
      <w:r>
        <w:rPr>
          <w:rFonts w:hint="eastAsia" w:ascii="宋体" w:hAnsi="宋体" w:cs="宋体"/>
          <w:sz w:val="24"/>
          <w:highlight w:val="none"/>
        </w:rPr>
        <w:t>。</w:t>
      </w:r>
    </w:p>
    <w:p w14:paraId="0DED1549">
      <w:pPr>
        <w:spacing w:line="240" w:lineRule="atLeast"/>
        <w:ind w:left="840" w:leftChars="400"/>
        <w:rPr>
          <w:rFonts w:hint="eastAsia" w:ascii="宋体" w:hAnsi="宋体" w:cs="宋体"/>
          <w:sz w:val="24"/>
          <w:highlight w:val="none"/>
        </w:rPr>
      </w:pPr>
      <w:r>
        <w:rPr>
          <w:rFonts w:hint="eastAsia" w:ascii="宋体" w:hAnsi="宋体" w:cs="宋体"/>
          <w:sz w:val="24"/>
          <w:highlight w:val="none"/>
        </w:rPr>
        <w:t>对不同文字文本响应文件的解释发生异议的，以中文文本为准。</w:t>
      </w:r>
    </w:p>
    <w:p w14:paraId="4F39BE20">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44" w:name="_Toc6364"/>
      <w:bookmarkStart w:id="145" w:name="_Toc515647782"/>
      <w:bookmarkStart w:id="146" w:name="_Toc9469"/>
      <w:bookmarkStart w:id="147" w:name="_Toc18529"/>
      <w:r>
        <w:rPr>
          <w:rFonts w:hint="eastAsia" w:ascii="宋体" w:hAnsi="宋体" w:eastAsia="宋体" w:cs="宋体"/>
          <w:color w:val="auto"/>
          <w:highlight w:val="none"/>
          <w:u w:val="none"/>
        </w:rPr>
        <w:t>21.投标偏离</w:t>
      </w:r>
      <w:bookmarkEnd w:id="144"/>
      <w:bookmarkEnd w:id="145"/>
      <w:bookmarkEnd w:id="146"/>
      <w:bookmarkEnd w:id="147"/>
    </w:p>
    <w:p w14:paraId="4A800DAB">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color w:val="auto"/>
          <w:highlight w:val="none"/>
          <w:u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评标委员会可以接受响应文件中不构成实质性偏离的不正规或不一致。</w:t>
      </w:r>
      <w:bookmarkStart w:id="148" w:name="_Toc515647783"/>
      <w:bookmarkStart w:id="149" w:name="_Toc6092"/>
      <w:bookmarkStart w:id="150" w:name="_Toc23936"/>
      <w:bookmarkStart w:id="151" w:name="_Toc4950"/>
    </w:p>
    <w:p w14:paraId="093E1F1C">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22.投标</w:t>
      </w:r>
      <w:bookmarkEnd w:id="148"/>
      <w:r>
        <w:rPr>
          <w:rFonts w:hint="eastAsia" w:ascii="宋体" w:hAnsi="宋体" w:eastAsia="宋体" w:cs="宋体"/>
          <w:color w:val="auto"/>
          <w:highlight w:val="none"/>
          <w:u w:val="none"/>
        </w:rPr>
        <w:t>无效</w:t>
      </w:r>
      <w:bookmarkEnd w:id="149"/>
      <w:bookmarkEnd w:id="150"/>
      <w:bookmarkEnd w:id="151"/>
    </w:p>
    <w:p w14:paraId="5F9CAEAD">
      <w:pPr>
        <w:spacing w:line="240" w:lineRule="atLeast"/>
        <w:ind w:left="840" w:hanging="840" w:hangingChars="350"/>
        <w:rPr>
          <w:rFonts w:hint="eastAsia" w:ascii="宋体" w:hAnsi="宋体" w:cs="宋体"/>
          <w:color w:val="000000"/>
          <w:sz w:val="24"/>
          <w:highlight w:val="none"/>
        </w:rPr>
      </w:pPr>
      <w:bookmarkStart w:id="152" w:name="_Toc8521"/>
      <w:bookmarkStart w:id="153" w:name="_Toc13652"/>
      <w:bookmarkStart w:id="154" w:name="_Toc22941"/>
      <w:bookmarkStart w:id="155" w:name="_Toc515647784"/>
      <w:r>
        <w:rPr>
          <w:rFonts w:hint="eastAsia" w:ascii="宋体" w:hAnsi="宋体" w:cs="宋体"/>
          <w:color w:val="000000"/>
          <w:sz w:val="24"/>
          <w:highlight w:val="none"/>
        </w:rPr>
        <w:t>22.1   在比较与评价之前，根据本须知的规定，评标委员会要审查每份响应文件是否实质上响应了</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的要求。实质上响应的投标应该是与</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要求的全部条款、条件和规格相符，没有重大偏离的投标。对关键条款的偏离，将被认定为投标无效。投标人不得通过修正或撤销不符合要求的偏离，从而使其投标成为实质上响应的投标。</w:t>
      </w:r>
    </w:p>
    <w:p w14:paraId="22166804">
      <w:pPr>
        <w:spacing w:line="240" w:lineRule="atLeast"/>
        <w:ind w:left="840" w:leftChars="400"/>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要求、响应文件内容及财政主管部门指定相关信息发布媒体。</w:t>
      </w:r>
    </w:p>
    <w:p w14:paraId="34C6CAC7">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22.2   如发现下列情况之一的，其投标将被认定为</w:t>
      </w:r>
      <w:r>
        <w:rPr>
          <w:rFonts w:hint="eastAsia" w:ascii="宋体" w:hAnsi="宋体" w:cs="宋体"/>
          <w:b/>
          <w:bCs/>
          <w:sz w:val="24"/>
          <w:highlight w:val="none"/>
          <w:lang w:val="en-US" w:eastAsia="zh-CN"/>
        </w:rPr>
        <w:t>投标</w:t>
      </w:r>
      <w:r>
        <w:rPr>
          <w:rFonts w:hint="eastAsia" w:ascii="宋体" w:hAnsi="宋体" w:cs="宋体"/>
          <w:b/>
          <w:bCs/>
          <w:sz w:val="24"/>
          <w:highlight w:val="none"/>
        </w:rPr>
        <w:t>无效</w:t>
      </w:r>
      <w:r>
        <w:rPr>
          <w:rFonts w:hint="eastAsia" w:ascii="宋体" w:hAnsi="宋体" w:cs="宋体"/>
          <w:sz w:val="24"/>
          <w:highlight w:val="none"/>
        </w:rPr>
        <w:t>：（</w:t>
      </w:r>
      <w:r>
        <w:rPr>
          <w:rFonts w:hint="eastAsia" w:ascii="宋体" w:hAnsi="宋体" w:cs="宋体"/>
          <w:b/>
          <w:sz w:val="24"/>
          <w:highlight w:val="none"/>
        </w:rPr>
        <w:t>以下情形应当在</w:t>
      </w:r>
      <w:r>
        <w:rPr>
          <w:rFonts w:hint="eastAsia" w:ascii="宋体" w:hAnsi="宋体" w:cs="宋体"/>
          <w:b/>
          <w:sz w:val="24"/>
          <w:highlight w:val="none"/>
          <w:lang w:eastAsia="zh-CN"/>
        </w:rPr>
        <w:t>磋商文件</w:t>
      </w:r>
      <w:r>
        <w:rPr>
          <w:rFonts w:hint="eastAsia" w:ascii="宋体" w:hAnsi="宋体" w:cs="宋体"/>
          <w:b/>
          <w:sz w:val="24"/>
          <w:highlight w:val="none"/>
        </w:rPr>
        <w:t>中规定，并以醒目的方式标明</w:t>
      </w:r>
      <w:r>
        <w:rPr>
          <w:rFonts w:hint="eastAsia" w:ascii="宋体" w:hAnsi="宋体" w:cs="宋体"/>
          <w:sz w:val="24"/>
          <w:highlight w:val="none"/>
        </w:rPr>
        <w:t>）</w:t>
      </w:r>
    </w:p>
    <w:p w14:paraId="648AD4A7">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（1）未按照</w:t>
      </w:r>
      <w:r>
        <w:rPr>
          <w:rFonts w:hint="eastAsia" w:ascii="宋体" w:hAnsi="宋体" w:cs="宋体"/>
          <w:b/>
          <w:bCs/>
          <w:sz w:val="24"/>
          <w:highlight w:val="none"/>
          <w:lang w:eastAsia="zh-CN"/>
        </w:rPr>
        <w:t>磋商文件</w:t>
      </w:r>
      <w:r>
        <w:rPr>
          <w:rFonts w:hint="eastAsia" w:ascii="宋体" w:hAnsi="宋体" w:cs="宋体"/>
          <w:b/>
          <w:bCs/>
          <w:sz w:val="24"/>
          <w:highlight w:val="none"/>
        </w:rPr>
        <w:t>规定的形式和金额提交投标保证金的；</w:t>
      </w:r>
    </w:p>
    <w:p w14:paraId="7A44BCB7">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（2）未按照</w:t>
      </w:r>
      <w:r>
        <w:rPr>
          <w:rFonts w:hint="eastAsia" w:ascii="宋体" w:hAnsi="宋体" w:cs="宋体"/>
          <w:b/>
          <w:bCs/>
          <w:sz w:val="24"/>
          <w:highlight w:val="none"/>
          <w:lang w:eastAsia="zh-CN"/>
        </w:rPr>
        <w:t>磋商文件</w:t>
      </w:r>
      <w:r>
        <w:rPr>
          <w:rFonts w:hint="eastAsia" w:ascii="宋体" w:hAnsi="宋体" w:cs="宋体"/>
          <w:b/>
          <w:bCs/>
          <w:sz w:val="24"/>
          <w:highlight w:val="none"/>
        </w:rPr>
        <w:t>规定要求签署、盖章的；</w:t>
      </w:r>
    </w:p>
    <w:p w14:paraId="7B329051">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（3）未满足</w:t>
      </w:r>
      <w:r>
        <w:rPr>
          <w:rFonts w:hint="eastAsia" w:ascii="宋体" w:hAnsi="宋体" w:cs="宋体"/>
          <w:b/>
          <w:bCs/>
          <w:sz w:val="24"/>
          <w:highlight w:val="none"/>
          <w:lang w:eastAsia="zh-CN"/>
        </w:rPr>
        <w:t>磋商文件</w:t>
      </w:r>
      <w:r>
        <w:rPr>
          <w:rFonts w:hint="eastAsia" w:ascii="宋体" w:hAnsi="宋体" w:cs="宋体"/>
          <w:b/>
          <w:bCs/>
          <w:sz w:val="24"/>
          <w:highlight w:val="none"/>
        </w:rPr>
        <w:t>中技术条款的实质性要求；</w:t>
      </w:r>
    </w:p>
    <w:p w14:paraId="17AD79B3">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（4）与其他投标人串通投标，或者与招标人串通投标；</w:t>
      </w:r>
    </w:p>
    <w:p w14:paraId="433458B8">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（5）属于</w:t>
      </w:r>
      <w:r>
        <w:rPr>
          <w:rFonts w:hint="eastAsia" w:ascii="宋体" w:hAnsi="宋体" w:cs="宋体"/>
          <w:b/>
          <w:bCs/>
          <w:sz w:val="24"/>
          <w:highlight w:val="none"/>
          <w:lang w:eastAsia="zh-CN"/>
        </w:rPr>
        <w:t>磋商文件</w:t>
      </w:r>
      <w:r>
        <w:rPr>
          <w:rFonts w:hint="eastAsia" w:ascii="宋体" w:hAnsi="宋体" w:cs="宋体"/>
          <w:b/>
          <w:bCs/>
          <w:sz w:val="24"/>
          <w:highlight w:val="none"/>
        </w:rPr>
        <w:t>规定的其他响应无效情形；</w:t>
      </w:r>
    </w:p>
    <w:p w14:paraId="6A7CF7FC">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（6）评标委员会认为投标人的报价明显低于其他通过符合性检查投标人的报价，有可能影响履约的，且投标人未按照规定证明其报价合理性的；</w:t>
      </w:r>
    </w:p>
    <w:p w14:paraId="6B13968D">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（7）响应文件含有采购人不能接受的附加条件的；</w:t>
      </w:r>
    </w:p>
    <w:p w14:paraId="2974B45F">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（8）不符合法规和</w:t>
      </w:r>
      <w:r>
        <w:rPr>
          <w:rFonts w:hint="eastAsia" w:ascii="宋体" w:hAnsi="宋体" w:cs="宋体"/>
          <w:b/>
          <w:bCs/>
          <w:sz w:val="24"/>
          <w:highlight w:val="none"/>
          <w:lang w:eastAsia="zh-CN"/>
        </w:rPr>
        <w:t>磋商文件</w:t>
      </w:r>
      <w:r>
        <w:rPr>
          <w:rFonts w:hint="eastAsia" w:ascii="宋体" w:hAnsi="宋体" w:cs="宋体"/>
          <w:b/>
          <w:bCs/>
          <w:sz w:val="24"/>
          <w:highlight w:val="none"/>
        </w:rPr>
        <w:t>中规定的其他实质性要求的。</w:t>
      </w:r>
    </w:p>
    <w:p w14:paraId="04DEA5F6">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23.</w:t>
      </w:r>
      <w:bookmarkEnd w:id="142"/>
      <w:r>
        <w:rPr>
          <w:rFonts w:hint="eastAsia" w:ascii="宋体" w:hAnsi="宋体" w:eastAsia="宋体" w:cs="宋体"/>
          <w:color w:val="auto"/>
          <w:highlight w:val="none"/>
          <w:u w:val="none"/>
        </w:rPr>
        <w:t>比较与评价</w:t>
      </w:r>
      <w:bookmarkEnd w:id="152"/>
      <w:bookmarkEnd w:id="153"/>
      <w:bookmarkEnd w:id="154"/>
      <w:bookmarkEnd w:id="155"/>
    </w:p>
    <w:p w14:paraId="456DDF76">
      <w:pPr>
        <w:spacing w:line="240" w:lineRule="atLeast"/>
        <w:ind w:left="840" w:hanging="840" w:hangingChars="350"/>
        <w:rPr>
          <w:rFonts w:hint="eastAsia" w:ascii="宋体" w:hAnsi="宋体" w:cs="宋体"/>
          <w:color w:val="000000"/>
          <w:sz w:val="24"/>
          <w:highlight w:val="none"/>
        </w:rPr>
      </w:pPr>
      <w:bookmarkStart w:id="156" w:name="_Toc520356168"/>
      <w:bookmarkStart w:id="157" w:name="_Toc9378"/>
      <w:bookmarkStart w:id="158" w:name="_Toc515647785"/>
      <w:bookmarkStart w:id="159" w:name="_Toc20227"/>
      <w:bookmarkStart w:id="160" w:name="_Toc31728"/>
      <w:r>
        <w:rPr>
          <w:rFonts w:hint="eastAsia" w:ascii="宋体" w:hAnsi="宋体" w:cs="宋体"/>
          <w:color w:val="000000"/>
          <w:sz w:val="24"/>
          <w:highlight w:val="none"/>
        </w:rPr>
        <w:t>23.1   经符合性审查合格的响应文件，评标委员会将根据</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确定的评标方法和标准，对其技术部分和商务部分作进一步的比较和评价。</w:t>
      </w:r>
    </w:p>
    <w:p w14:paraId="68B903F2">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23.2   评标严格按照</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的要求和条件进行。根据实际情况，在投标人须知资料表中规定采用下列</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2</w:t>
      </w:r>
      <w:r>
        <w:rPr>
          <w:rFonts w:hint="eastAsia" w:ascii="宋体" w:hAnsi="宋体" w:cs="宋体"/>
          <w:b/>
          <w:bCs/>
          <w:color w:val="000000"/>
          <w:sz w:val="24"/>
          <w:highlight w:val="none"/>
          <w:lang w:eastAsia="zh-CN"/>
        </w:rPr>
        <w:t>）</w:t>
      </w:r>
      <w:r>
        <w:rPr>
          <w:rFonts w:hint="eastAsia" w:ascii="宋体" w:hAnsi="宋体" w:cs="宋体"/>
          <w:color w:val="000000"/>
          <w:sz w:val="24"/>
          <w:highlight w:val="none"/>
        </w:rPr>
        <w:t>评标方法，详细评标标准见</w:t>
      </w:r>
      <w:r>
        <w:rPr>
          <w:rFonts w:hint="eastAsia" w:ascii="宋体" w:hAnsi="宋体" w:cs="宋体"/>
          <w:color w:val="000000"/>
          <w:sz w:val="24"/>
          <w:highlight w:val="none"/>
          <w:lang w:eastAsia="zh-CN"/>
        </w:rPr>
        <w:t>磋商文件</w:t>
      </w:r>
      <w:r>
        <w:rPr>
          <w:rFonts w:hint="eastAsia" w:ascii="宋体" w:hAnsi="宋体" w:cs="宋体"/>
          <w:color w:val="000000"/>
          <w:sz w:val="24"/>
          <w:highlight w:val="none"/>
        </w:rPr>
        <w:t>第六章。</w:t>
      </w:r>
    </w:p>
    <w:p w14:paraId="013ECEC8">
      <w:pPr>
        <w:spacing w:line="240" w:lineRule="atLeast"/>
        <w:ind w:left="840" w:hanging="840" w:hangingChars="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b w:val="0"/>
          <w:bCs w:val="0"/>
          <w:color w:val="000000"/>
          <w:sz w:val="24"/>
          <w:highlight w:val="none"/>
        </w:rPr>
        <w:t>最低评标价法，是指投标文件满足</w:t>
      </w:r>
      <w:r>
        <w:rPr>
          <w:rFonts w:hint="eastAsia" w:ascii="宋体" w:hAnsi="宋体" w:cs="宋体"/>
          <w:b w:val="0"/>
          <w:bCs w:val="0"/>
          <w:color w:val="000000"/>
          <w:sz w:val="24"/>
          <w:highlight w:val="none"/>
          <w:lang w:val="en-US" w:eastAsia="zh-CN"/>
        </w:rPr>
        <w:t>磋商文件</w:t>
      </w:r>
      <w:r>
        <w:rPr>
          <w:rFonts w:hint="eastAsia" w:ascii="宋体" w:hAnsi="宋体" w:eastAsia="宋体" w:cs="宋体"/>
          <w:b w:val="0"/>
          <w:bCs w:val="0"/>
          <w:color w:val="000000"/>
          <w:sz w:val="24"/>
          <w:highlight w:val="none"/>
        </w:rPr>
        <w:t>全部实质性要求，且投标报价最低的投标人为</w:t>
      </w:r>
      <w:r>
        <w:rPr>
          <w:rFonts w:hint="eastAsia" w:ascii="宋体" w:hAnsi="宋体" w:eastAsia="宋体" w:cs="宋体"/>
          <w:b w:val="0"/>
          <w:bCs w:val="0"/>
          <w:color w:val="000000"/>
          <w:sz w:val="24"/>
          <w:highlight w:val="none"/>
          <w:lang w:val="en-US" w:eastAsia="zh-CN"/>
        </w:rPr>
        <w:t>成交</w:t>
      </w:r>
      <w:r>
        <w:rPr>
          <w:rFonts w:hint="eastAsia" w:ascii="宋体" w:hAnsi="宋体" w:eastAsia="宋体" w:cs="宋体"/>
          <w:b w:val="0"/>
          <w:bCs w:val="0"/>
          <w:color w:val="000000"/>
          <w:sz w:val="24"/>
          <w:highlight w:val="none"/>
        </w:rPr>
        <w:t>候选人的评标方法。</w:t>
      </w:r>
    </w:p>
    <w:p w14:paraId="7C40935F">
      <w:pPr>
        <w:spacing w:line="240" w:lineRule="atLeast"/>
        <w:ind w:left="840" w:hanging="843" w:hangingChars="350"/>
        <w:rPr>
          <w:rFonts w:hint="eastAsia" w:ascii="宋体" w:hAnsi="宋体" w:cs="宋体"/>
          <w:b/>
          <w:bCs/>
          <w:color w:val="000000"/>
          <w:sz w:val="24"/>
          <w:highlight w:val="none"/>
        </w:rPr>
      </w:pPr>
      <w:r>
        <w:rPr>
          <w:rFonts w:hint="eastAsia" w:ascii="宋体" w:hAnsi="宋体" w:eastAsia="宋体" w:cs="宋体"/>
          <w:b/>
          <w:bCs/>
          <w:color w:val="000000"/>
          <w:sz w:val="24"/>
          <w:highlight w:val="none"/>
        </w:rPr>
        <w:t>（2）</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 xml:space="preserve"> 综合评分法，是指投标文件满足</w:t>
      </w:r>
      <w:r>
        <w:rPr>
          <w:rFonts w:hint="eastAsia" w:ascii="宋体" w:hAnsi="宋体" w:cs="宋体"/>
          <w:b/>
          <w:bCs/>
          <w:color w:val="000000"/>
          <w:sz w:val="24"/>
          <w:highlight w:val="none"/>
          <w:lang w:val="en-US" w:eastAsia="zh-CN"/>
        </w:rPr>
        <w:t>磋商文件</w:t>
      </w:r>
      <w:r>
        <w:rPr>
          <w:rFonts w:hint="eastAsia" w:ascii="宋体" w:hAnsi="宋体" w:eastAsia="宋体" w:cs="宋体"/>
          <w:b/>
          <w:bCs/>
          <w:color w:val="000000"/>
          <w:sz w:val="24"/>
          <w:highlight w:val="none"/>
        </w:rPr>
        <w:t>全部实质性要求，且按照评审因素的量化指标评审得分最高的投标人为中标候选人的评标方法。</w:t>
      </w:r>
    </w:p>
    <w:p w14:paraId="52E0A451">
      <w:pPr>
        <w:pStyle w:val="5"/>
        <w:keepNext w:val="0"/>
        <w:keepLines w:val="0"/>
        <w:pageBreakBefore w:val="0"/>
        <w:widowControl w:val="0"/>
        <w:kinsoku/>
        <w:wordWrap/>
        <w:overflowPunct/>
        <w:topLinePunct w:val="0"/>
        <w:autoSpaceDE w:val="0"/>
        <w:autoSpaceDN w:val="0"/>
        <w:bidi w:val="0"/>
        <w:adjustRightInd w:val="0"/>
        <w:snapToGrid/>
        <w:ind w:left="840" w:leftChars="0" w:hanging="840" w:hangingChars="350"/>
        <w:textAlignment w:val="auto"/>
        <w:rPr>
          <w:rFonts w:hint="eastAsia"/>
          <w:color w:val="auto"/>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kern w:val="2"/>
          <w:sz w:val="24"/>
          <w:szCs w:val="24"/>
          <w:highlight w:val="none"/>
          <w:lang w:val="en-US" w:eastAsia="zh-CN" w:bidi="ar-SA"/>
        </w:rPr>
        <w:t>本项目专门面向中小</w:t>
      </w:r>
      <w:r>
        <w:rPr>
          <w:rFonts w:hint="eastAsia" w:hAnsi="宋体" w:cs="宋体"/>
          <w:b/>
          <w:bCs/>
          <w:kern w:val="2"/>
          <w:sz w:val="24"/>
          <w:szCs w:val="24"/>
          <w:highlight w:val="none"/>
          <w:lang w:val="en-US" w:eastAsia="zh-CN" w:bidi="ar-SA"/>
        </w:rPr>
        <w:t>微</w:t>
      </w:r>
      <w:r>
        <w:rPr>
          <w:rFonts w:hint="eastAsia" w:ascii="宋体" w:hAnsi="宋体" w:eastAsia="宋体" w:cs="宋体"/>
          <w:b/>
          <w:bCs/>
          <w:kern w:val="2"/>
          <w:sz w:val="24"/>
          <w:szCs w:val="24"/>
          <w:highlight w:val="none"/>
          <w:lang w:val="en-US" w:eastAsia="zh-CN" w:bidi="ar-SA"/>
        </w:rPr>
        <w:t>企业采购。</w:t>
      </w:r>
    </w:p>
    <w:p w14:paraId="33E97EC0">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6"/>
      <w:r>
        <w:rPr>
          <w:rFonts w:hint="eastAsia" w:ascii="宋体" w:hAnsi="宋体" w:eastAsia="宋体" w:cs="宋体"/>
          <w:color w:val="auto"/>
          <w:highlight w:val="none"/>
          <w:u w:val="none"/>
        </w:rPr>
        <w:t>.废标</w:t>
      </w:r>
      <w:bookmarkEnd w:id="157"/>
      <w:bookmarkEnd w:id="158"/>
      <w:bookmarkEnd w:id="159"/>
      <w:bookmarkEnd w:id="160"/>
    </w:p>
    <w:p w14:paraId="45321FAF">
      <w:pPr>
        <w:spacing w:line="240" w:lineRule="atLeast"/>
        <w:rPr>
          <w:rFonts w:hint="eastAsia" w:ascii="宋体" w:hAnsi="宋体" w:cs="宋体"/>
          <w:b/>
          <w:bCs/>
          <w:sz w:val="24"/>
          <w:highlight w:val="none"/>
        </w:rPr>
      </w:pPr>
      <w:r>
        <w:rPr>
          <w:rFonts w:hint="eastAsia" w:ascii="宋体" w:hAnsi="宋体" w:cs="宋体"/>
          <w:b/>
          <w:bCs/>
          <w:sz w:val="24"/>
          <w:highlight w:val="none"/>
        </w:rPr>
        <w:t xml:space="preserve">24.1   出现下列情形之一，将导致项目废标： </w:t>
      </w:r>
    </w:p>
    <w:p w14:paraId="5CFF89FF">
      <w:pPr>
        <w:spacing w:line="240" w:lineRule="atLeast"/>
        <w:ind w:left="840" w:leftChars="400"/>
        <w:rPr>
          <w:rFonts w:hint="eastAsia" w:ascii="宋体" w:hAnsi="宋体" w:cs="宋体"/>
          <w:b/>
          <w:bCs/>
          <w:color w:val="000000"/>
          <w:sz w:val="24"/>
          <w:highlight w:val="none"/>
        </w:rPr>
      </w:pPr>
      <w:r>
        <w:rPr>
          <w:rFonts w:hint="eastAsia" w:ascii="宋体" w:hAnsi="宋体" w:cs="宋体"/>
          <w:b/>
          <w:bCs/>
          <w:color w:val="000000"/>
          <w:sz w:val="24"/>
          <w:highlight w:val="none"/>
        </w:rPr>
        <w:t>（1）符合专业条件的</w:t>
      </w:r>
      <w:r>
        <w:rPr>
          <w:rFonts w:hint="eastAsia" w:ascii="宋体" w:hAnsi="宋体" w:cs="宋体"/>
          <w:b/>
          <w:bCs/>
          <w:color w:val="000000"/>
          <w:sz w:val="24"/>
          <w:highlight w:val="none"/>
          <w:lang w:val="en-US" w:eastAsia="zh-CN"/>
        </w:rPr>
        <w:t>投标人</w:t>
      </w:r>
      <w:r>
        <w:rPr>
          <w:rFonts w:hint="eastAsia" w:ascii="宋体" w:hAnsi="宋体" w:cs="宋体"/>
          <w:b/>
          <w:bCs/>
          <w:color w:val="000000"/>
          <w:sz w:val="24"/>
          <w:highlight w:val="none"/>
        </w:rPr>
        <w:t>或者对</w:t>
      </w:r>
      <w:r>
        <w:rPr>
          <w:rFonts w:hint="eastAsia" w:ascii="宋体" w:hAnsi="宋体" w:cs="宋体"/>
          <w:b/>
          <w:bCs/>
          <w:color w:val="000000"/>
          <w:sz w:val="24"/>
          <w:highlight w:val="none"/>
          <w:lang w:eastAsia="zh-CN"/>
        </w:rPr>
        <w:t>磋商文件</w:t>
      </w:r>
      <w:r>
        <w:rPr>
          <w:rFonts w:hint="eastAsia" w:ascii="宋体" w:hAnsi="宋体" w:cs="宋体"/>
          <w:b/>
          <w:bCs/>
          <w:color w:val="000000"/>
          <w:sz w:val="24"/>
          <w:highlight w:val="none"/>
        </w:rPr>
        <w:t>做实质性响应的</w:t>
      </w:r>
      <w:r>
        <w:rPr>
          <w:rFonts w:hint="eastAsia" w:ascii="宋体" w:hAnsi="宋体" w:cs="宋体"/>
          <w:b/>
          <w:bCs/>
          <w:color w:val="000000"/>
          <w:sz w:val="24"/>
          <w:highlight w:val="none"/>
          <w:lang w:val="en-US" w:eastAsia="zh-CN"/>
        </w:rPr>
        <w:t>投标人</w:t>
      </w:r>
      <w:r>
        <w:rPr>
          <w:rFonts w:hint="eastAsia" w:ascii="宋体" w:hAnsi="宋体" w:cs="宋体"/>
          <w:b/>
          <w:bCs/>
          <w:color w:val="000000"/>
          <w:sz w:val="24"/>
          <w:highlight w:val="none"/>
        </w:rPr>
        <w:t>不足三家；</w:t>
      </w:r>
    </w:p>
    <w:p w14:paraId="3A600E27">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（2）出现影响采购公正的违法、违规行为的；</w:t>
      </w:r>
    </w:p>
    <w:p w14:paraId="7C4D89D4">
      <w:pPr>
        <w:spacing w:line="240" w:lineRule="atLeast"/>
        <w:ind w:left="840" w:leftChars="400"/>
        <w:rPr>
          <w:rFonts w:hint="eastAsia" w:ascii="宋体" w:hAnsi="宋体" w:cs="宋体"/>
          <w:b/>
          <w:bCs/>
          <w:sz w:val="24"/>
          <w:highlight w:val="none"/>
        </w:rPr>
      </w:pPr>
      <w:r>
        <w:rPr>
          <w:rFonts w:hint="eastAsia" w:ascii="宋体" w:hAnsi="宋体" w:cs="宋体"/>
          <w:b/>
          <w:bCs/>
          <w:sz w:val="24"/>
          <w:highlight w:val="none"/>
        </w:rPr>
        <w:t>（3）投标人的报价均超过了采购预算，采购人不能支付的；</w:t>
      </w:r>
    </w:p>
    <w:p w14:paraId="1797DF47">
      <w:pPr>
        <w:keepNext w:val="0"/>
        <w:keepLines w:val="0"/>
        <w:pageBreakBefore w:val="0"/>
        <w:widowControl w:val="0"/>
        <w:kinsoku/>
        <w:wordWrap/>
        <w:overflowPunct/>
        <w:topLinePunct w:val="0"/>
        <w:autoSpaceDE/>
        <w:autoSpaceDN/>
        <w:bidi w:val="0"/>
        <w:adjustRightInd/>
        <w:snapToGrid/>
        <w:spacing w:line="240" w:lineRule="atLeast"/>
        <w:ind w:left="840" w:leftChars="400" w:firstLine="0" w:firstLineChars="0"/>
        <w:textAlignment w:val="auto"/>
        <w:rPr>
          <w:rFonts w:hint="eastAsia" w:ascii="宋体" w:hAnsi="宋体" w:eastAsia="宋体" w:cs="宋体"/>
          <w:color w:val="auto"/>
          <w:sz w:val="24"/>
          <w:highlight w:val="none"/>
        </w:rPr>
      </w:pPr>
      <w:r>
        <w:rPr>
          <w:rFonts w:hint="eastAsia" w:ascii="宋体" w:hAnsi="宋体" w:cs="宋体"/>
          <w:b/>
          <w:bCs/>
          <w:sz w:val="24"/>
          <w:highlight w:val="none"/>
        </w:rPr>
        <w:t xml:space="preserve">（4）因重大变故，采购任务取消的。 </w:t>
      </w:r>
      <w:r>
        <w:rPr>
          <w:rFonts w:hint="eastAsia" w:ascii="宋体" w:hAnsi="宋体" w:cs="宋体"/>
          <w:sz w:val="24"/>
          <w:highlight w:val="none"/>
        </w:rPr>
        <w:t xml:space="preserve"> </w:t>
      </w:r>
      <w:r>
        <w:rPr>
          <w:rFonts w:hint="eastAsia" w:ascii="宋体" w:hAnsi="宋体" w:eastAsia="宋体" w:cs="宋体"/>
          <w:color w:val="auto"/>
          <w:sz w:val="24"/>
          <w:highlight w:val="none"/>
        </w:rPr>
        <w:t xml:space="preserve"> </w:t>
      </w:r>
    </w:p>
    <w:p w14:paraId="2E5A1B27">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61" w:name="_Toc515647786"/>
      <w:bookmarkStart w:id="162" w:name="_Toc24972"/>
      <w:bookmarkStart w:id="163" w:name="_Toc31289"/>
      <w:bookmarkStart w:id="164" w:name="_Toc11175"/>
      <w:bookmarkStart w:id="165" w:name="_Toc520356169"/>
      <w:r>
        <w:rPr>
          <w:rFonts w:hint="eastAsia" w:ascii="宋体" w:hAnsi="宋体" w:eastAsia="宋体" w:cs="宋体"/>
          <w:color w:val="auto"/>
          <w:highlight w:val="none"/>
          <w:u w:val="none"/>
        </w:rPr>
        <w:t>25.保密原则</w:t>
      </w:r>
      <w:bookmarkEnd w:id="161"/>
      <w:bookmarkEnd w:id="162"/>
      <w:bookmarkEnd w:id="163"/>
      <w:bookmarkEnd w:id="164"/>
    </w:p>
    <w:p w14:paraId="24FC3C37">
      <w:pPr>
        <w:spacing w:line="240" w:lineRule="atLeast"/>
        <w:ind w:left="840" w:hanging="840" w:hangingChars="350"/>
        <w:rPr>
          <w:rFonts w:hint="eastAsia" w:ascii="宋体" w:hAnsi="宋体" w:cs="宋体"/>
          <w:sz w:val="24"/>
          <w:highlight w:val="none"/>
        </w:rPr>
      </w:pPr>
      <w:bookmarkStart w:id="166" w:name="_Toc12143"/>
      <w:bookmarkStart w:id="167" w:name="_Toc2153"/>
      <w:bookmarkStart w:id="168" w:name="_Toc23904"/>
      <w:bookmarkStart w:id="169" w:name="_Toc216582810"/>
      <w:bookmarkStart w:id="170" w:name="_Toc515647787"/>
      <w:r>
        <w:rPr>
          <w:rFonts w:hint="eastAsia" w:ascii="宋体" w:hAnsi="宋体" w:cs="宋体"/>
          <w:sz w:val="24"/>
          <w:highlight w:val="none"/>
        </w:rPr>
        <w:t>25.1</w:t>
      </w:r>
      <w:r>
        <w:rPr>
          <w:rFonts w:hint="eastAsia" w:ascii="宋体" w:hAnsi="宋体" w:cs="宋体"/>
          <w:sz w:val="24"/>
          <w:highlight w:val="none"/>
        </w:rPr>
        <w:tab/>
      </w:r>
      <w:r>
        <w:rPr>
          <w:rFonts w:hint="eastAsia" w:ascii="宋体" w:hAnsi="宋体" w:cs="宋体"/>
          <w:sz w:val="24"/>
          <w:highlight w:val="none"/>
        </w:rPr>
        <w:t>评标将在严格保密的情况下进行。</w:t>
      </w:r>
    </w:p>
    <w:p w14:paraId="19C9CCD7">
      <w:pPr>
        <w:spacing w:line="240" w:lineRule="atLeast"/>
        <w:ind w:left="840" w:hanging="840" w:hangingChars="350"/>
        <w:rPr>
          <w:rFonts w:hint="eastAsia" w:ascii="宋体" w:hAnsi="宋体" w:eastAsia="宋体" w:cs="宋体"/>
          <w:color w:val="auto"/>
          <w:sz w:val="28"/>
          <w:highlight w:val="none"/>
          <w:lang w:eastAsia="zh-CN"/>
        </w:rPr>
      </w:pPr>
      <w:r>
        <w:rPr>
          <w:rFonts w:hint="eastAsia" w:ascii="宋体" w:hAnsi="宋体" w:cs="宋体"/>
          <w:sz w:val="24"/>
          <w:highlight w:val="none"/>
        </w:rPr>
        <w:t>25.2</w:t>
      </w:r>
      <w:r>
        <w:rPr>
          <w:rFonts w:hint="eastAsia" w:ascii="宋体" w:hAnsi="宋体" w:cs="宋体"/>
          <w:sz w:val="24"/>
          <w:highlight w:val="none"/>
        </w:rPr>
        <w:tab/>
      </w:r>
      <w:r>
        <w:rPr>
          <w:rFonts w:hint="eastAsia" w:ascii="宋体" w:hAnsi="宋体" w:cs="宋体"/>
          <w:sz w:val="24"/>
          <w:highlight w:val="none"/>
        </w:rPr>
        <w:t>政府采购评审专家应当遵守评审工作纪律，不得泄露评审文件、评审情况和评审中获悉的商业秘密。</w:t>
      </w:r>
    </w:p>
    <w:p w14:paraId="3F0BBF71">
      <w:pPr>
        <w:pStyle w:val="3"/>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left="1079" w:leftChars="257" w:hanging="539"/>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 xml:space="preserve">六   </w:t>
      </w:r>
      <w:bookmarkEnd w:id="165"/>
      <w:r>
        <w:rPr>
          <w:rFonts w:hint="eastAsia" w:ascii="宋体" w:hAnsi="宋体" w:eastAsia="宋体" w:cs="宋体"/>
          <w:color w:val="auto"/>
          <w:sz w:val="28"/>
          <w:highlight w:val="none"/>
          <w:lang w:eastAsia="zh-CN"/>
        </w:rPr>
        <w:t>确定中标</w:t>
      </w:r>
      <w:bookmarkEnd w:id="166"/>
      <w:bookmarkEnd w:id="167"/>
      <w:bookmarkEnd w:id="168"/>
      <w:bookmarkEnd w:id="169"/>
      <w:bookmarkEnd w:id="170"/>
    </w:p>
    <w:p w14:paraId="5DF427DB">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71" w:name="_Toc23762"/>
      <w:bookmarkStart w:id="172" w:name="_Ref467307010"/>
      <w:bookmarkStart w:id="173" w:name="_Toc23617"/>
      <w:bookmarkStart w:id="174" w:name="_Toc28066"/>
      <w:bookmarkStart w:id="175" w:name="_Toc520356170"/>
      <w:bookmarkStart w:id="176" w:name="_Toc515647788"/>
      <w:r>
        <w:rPr>
          <w:rFonts w:hint="eastAsia" w:ascii="宋体" w:hAnsi="宋体" w:eastAsia="宋体" w:cs="宋体"/>
          <w:color w:val="auto"/>
          <w:highlight w:val="none"/>
          <w:u w:val="none"/>
        </w:rPr>
        <w:t>26.中标候选人的确定原则及标准</w:t>
      </w:r>
      <w:bookmarkEnd w:id="171"/>
      <w:bookmarkEnd w:id="172"/>
      <w:bookmarkEnd w:id="173"/>
      <w:bookmarkEnd w:id="174"/>
      <w:bookmarkEnd w:id="175"/>
      <w:bookmarkEnd w:id="176"/>
    </w:p>
    <w:p w14:paraId="7A752397">
      <w:pPr>
        <w:spacing w:line="240" w:lineRule="atLeast"/>
        <w:ind w:left="840" w:hanging="840" w:hangingChars="350"/>
        <w:rPr>
          <w:rFonts w:hint="eastAsia" w:ascii="宋体" w:hAnsi="宋体" w:cs="宋体"/>
          <w:sz w:val="24"/>
          <w:highlight w:val="none"/>
        </w:rPr>
      </w:pPr>
      <w:bookmarkStart w:id="177" w:name="_Toc520356171"/>
      <w:bookmarkStart w:id="178" w:name="_Toc23951"/>
      <w:bookmarkStart w:id="179" w:name="_Toc515647789"/>
      <w:bookmarkStart w:id="180" w:name="_Toc9653"/>
      <w:bookmarkStart w:id="181" w:name="_Toc19950"/>
      <w:r>
        <w:rPr>
          <w:rFonts w:hint="eastAsia" w:ascii="宋体" w:hAnsi="宋体" w:cs="宋体"/>
          <w:sz w:val="24"/>
          <w:highlight w:val="none"/>
        </w:rPr>
        <w:t>26.1   除第28条规定外，对实质上响应磋商文件的投标人按下列方法进行排序，确定投标候选人：</w:t>
      </w:r>
    </w:p>
    <w:p w14:paraId="628367AC">
      <w:pPr>
        <w:pStyle w:val="18"/>
        <w:spacing w:line="240" w:lineRule="atLeast"/>
        <w:ind w:left="840" w:leftChars="400"/>
        <w:rPr>
          <w:rFonts w:hint="eastAsia" w:hAnsi="宋体" w:cs="宋体"/>
          <w:sz w:val="24"/>
          <w:szCs w:val="24"/>
          <w:highlight w:val="none"/>
        </w:rPr>
      </w:pPr>
      <w:r>
        <w:rPr>
          <w:rFonts w:hint="eastAsia" w:hAnsi="宋体" w:cs="宋体"/>
          <w:sz w:val="24"/>
          <w:szCs w:val="24"/>
          <w:highlight w:val="none"/>
        </w:rPr>
        <w:t>采用综合评分法的，评审后得分最高的投标人获得中标人推荐资格；评审得分相同的，由采购人或者采购人委托评标委员会按照磋商文件中评标办法规定的方式确定一个投标人获得中标人推荐资格。</w:t>
      </w:r>
    </w:p>
    <w:p w14:paraId="63FA1037">
      <w:pPr>
        <w:pStyle w:val="18"/>
        <w:spacing w:line="240" w:lineRule="atLeast"/>
        <w:ind w:left="840" w:leftChars="400"/>
        <w:rPr>
          <w:rFonts w:hint="eastAsia" w:hAnsi="宋体" w:cs="宋体"/>
          <w:b/>
          <w:bCs/>
          <w:sz w:val="24"/>
          <w:szCs w:val="24"/>
          <w:highlight w:val="none"/>
        </w:rPr>
      </w:pPr>
      <w:r>
        <w:rPr>
          <w:rFonts w:hint="eastAsia" w:hAnsi="宋体" w:cs="宋体"/>
          <w:b/>
          <w:bCs/>
          <w:sz w:val="24"/>
          <w:szCs w:val="24"/>
          <w:highlight w:val="none"/>
        </w:rPr>
        <w:t>综合评分法，是指响应文件满足磋商文件全部实质性要求，且按照评审因素的量化指标评审得分最高的投标人为中标候选人的评标方法。</w:t>
      </w:r>
    </w:p>
    <w:p w14:paraId="733E81C3">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77"/>
      <w:r>
        <w:rPr>
          <w:rFonts w:hint="eastAsia" w:ascii="宋体" w:hAnsi="宋体" w:eastAsia="宋体" w:cs="宋体"/>
          <w:color w:val="auto"/>
          <w:highlight w:val="none"/>
          <w:u w:val="none"/>
        </w:rPr>
        <w:t>.确定中标候选人和中标人</w:t>
      </w:r>
      <w:bookmarkEnd w:id="178"/>
      <w:bookmarkEnd w:id="179"/>
      <w:bookmarkEnd w:id="180"/>
      <w:bookmarkEnd w:id="181"/>
    </w:p>
    <w:p w14:paraId="3D5A3364">
      <w:pPr>
        <w:spacing w:line="240" w:lineRule="atLeast"/>
        <w:ind w:left="840" w:hanging="840" w:hangingChars="350"/>
        <w:rPr>
          <w:rFonts w:hint="eastAsia" w:ascii="宋体" w:hAnsi="宋体" w:cs="宋体"/>
          <w:sz w:val="24"/>
          <w:highlight w:val="none"/>
        </w:rPr>
      </w:pPr>
      <w:bookmarkStart w:id="182" w:name="_Ref467306874"/>
      <w:bookmarkStart w:id="183" w:name="_Toc520356173"/>
      <w:bookmarkStart w:id="184" w:name="_Toc13782"/>
      <w:bookmarkStart w:id="185" w:name="_Toc515647790"/>
      <w:bookmarkStart w:id="186" w:name="_Toc28562"/>
      <w:bookmarkStart w:id="187" w:name="_Toc8389"/>
      <w:r>
        <w:rPr>
          <w:rFonts w:hint="eastAsia" w:ascii="宋体" w:hAnsi="宋体" w:cs="宋体"/>
          <w:sz w:val="24"/>
          <w:highlight w:val="none"/>
        </w:rPr>
        <w:t>27.1   评标委员会将根据评标标准，按</w:t>
      </w:r>
      <w:r>
        <w:rPr>
          <w:rFonts w:hint="eastAsia" w:ascii="宋体" w:hAnsi="宋体" w:cs="宋体"/>
          <w:sz w:val="24"/>
          <w:highlight w:val="none"/>
          <w:u w:val="single"/>
        </w:rPr>
        <w:t>投标人须知资料表</w:t>
      </w:r>
      <w:r>
        <w:rPr>
          <w:rFonts w:hint="eastAsia" w:ascii="宋体" w:hAnsi="宋体" w:cs="宋体"/>
          <w:sz w:val="24"/>
          <w:highlight w:val="none"/>
        </w:rPr>
        <w:t>中规定数量推荐中标候选人。</w:t>
      </w:r>
    </w:p>
    <w:p w14:paraId="2A818F35">
      <w:pPr>
        <w:pStyle w:val="4"/>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28.</w:t>
      </w:r>
      <w:bookmarkEnd w:id="182"/>
      <w:bookmarkEnd w:id="183"/>
      <w:r>
        <w:rPr>
          <w:rFonts w:hint="eastAsia" w:ascii="宋体" w:hAnsi="宋体" w:eastAsia="宋体" w:cs="宋体"/>
          <w:color w:val="auto"/>
          <w:highlight w:val="none"/>
          <w:u w:val="none"/>
        </w:rPr>
        <w:t>采购任务取消</w:t>
      </w:r>
      <w:bookmarkEnd w:id="184"/>
      <w:bookmarkEnd w:id="185"/>
      <w:bookmarkEnd w:id="186"/>
      <w:bookmarkEnd w:id="187"/>
    </w:p>
    <w:p w14:paraId="0702F19D">
      <w:pPr>
        <w:spacing w:line="240" w:lineRule="atLeast"/>
        <w:ind w:left="840" w:hanging="840" w:hangingChars="350"/>
        <w:rPr>
          <w:rFonts w:hint="eastAsia" w:ascii="宋体" w:hAnsi="宋体" w:cs="宋体"/>
          <w:sz w:val="24"/>
          <w:highlight w:val="none"/>
        </w:rPr>
      </w:pPr>
      <w:bookmarkStart w:id="188" w:name="_Toc520356174"/>
      <w:bookmarkStart w:id="189" w:name="_Toc30170"/>
      <w:bookmarkStart w:id="190" w:name="_Toc31099"/>
      <w:bookmarkStart w:id="191" w:name="_Toc515647791"/>
      <w:bookmarkStart w:id="192" w:name="_Toc31142"/>
      <w:r>
        <w:rPr>
          <w:rFonts w:hint="eastAsia" w:ascii="宋体" w:hAnsi="宋体" w:cs="宋体"/>
          <w:sz w:val="24"/>
          <w:highlight w:val="none"/>
        </w:rPr>
        <w:t>28.1   因重大变故采购任务取消时，采购人有权拒绝任何投标人中标，且对受影响的投标人不承担任何责任。</w:t>
      </w:r>
    </w:p>
    <w:p w14:paraId="0CA2B98E">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29.</w:t>
      </w:r>
      <w:bookmarkEnd w:id="188"/>
      <w:r>
        <w:rPr>
          <w:rFonts w:hint="eastAsia" w:hAnsi="宋体" w:cs="宋体"/>
          <w:szCs w:val="24"/>
          <w:highlight w:val="none"/>
          <w:u w:val="none"/>
        </w:rPr>
        <w:t>成交通知书</w:t>
      </w:r>
      <w:r>
        <w:rPr>
          <w:rFonts w:hint="eastAsia" w:ascii="宋体" w:hAnsi="宋体" w:eastAsia="宋体" w:cs="宋体"/>
          <w:color w:val="auto"/>
          <w:highlight w:val="none"/>
          <w:u w:val="none"/>
        </w:rPr>
        <w:t>和结果通知书</w:t>
      </w:r>
      <w:bookmarkEnd w:id="189"/>
      <w:bookmarkEnd w:id="190"/>
      <w:bookmarkEnd w:id="191"/>
      <w:bookmarkEnd w:id="192"/>
    </w:p>
    <w:p w14:paraId="7B827504">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29.1   在投标有效期内，</w:t>
      </w:r>
      <w:r>
        <w:rPr>
          <w:rFonts w:hint="eastAsia" w:ascii="宋体" w:hAnsi="宋体" w:cs="宋体"/>
          <w:sz w:val="24"/>
          <w:highlight w:val="none"/>
          <w:lang w:val="en-US" w:eastAsia="zh-CN"/>
        </w:rPr>
        <w:t>成交供应商</w:t>
      </w:r>
      <w:r>
        <w:rPr>
          <w:rFonts w:hint="eastAsia" w:ascii="宋体" w:hAnsi="宋体" w:cs="宋体"/>
          <w:sz w:val="24"/>
          <w:highlight w:val="none"/>
        </w:rPr>
        <w:t>确定后，采购人或者采购代理机构发布中标公告，同时以书面形式向</w:t>
      </w:r>
      <w:r>
        <w:rPr>
          <w:rFonts w:hint="eastAsia" w:ascii="宋体" w:hAnsi="宋体" w:cs="宋体"/>
          <w:sz w:val="24"/>
          <w:highlight w:val="none"/>
          <w:lang w:val="en-US" w:eastAsia="zh-CN"/>
        </w:rPr>
        <w:t>成交供应商</w:t>
      </w:r>
      <w:r>
        <w:rPr>
          <w:rFonts w:hint="eastAsia" w:ascii="宋体" w:hAnsi="宋体" w:cs="宋体"/>
          <w:sz w:val="24"/>
          <w:highlight w:val="none"/>
        </w:rPr>
        <w:t>发出成交通知书。</w:t>
      </w:r>
    </w:p>
    <w:p w14:paraId="7ADD9D0B">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29.2   成交通知书是合同的组成部分。</w:t>
      </w:r>
    </w:p>
    <w:p w14:paraId="5795373B">
      <w:pPr>
        <w:spacing w:line="240" w:lineRule="atLeast"/>
        <w:ind w:left="840" w:hanging="840" w:hangingChars="350"/>
        <w:rPr>
          <w:rFonts w:hint="eastAsia" w:ascii="宋体" w:hAnsi="宋体" w:eastAsia="宋体" w:cs="宋体"/>
          <w:sz w:val="24"/>
          <w:highlight w:val="none"/>
        </w:rPr>
      </w:pPr>
      <w:r>
        <w:rPr>
          <w:rFonts w:hint="eastAsia" w:ascii="宋体" w:hAnsi="宋体" w:eastAsia="宋体" w:cs="宋体"/>
          <w:sz w:val="24"/>
          <w:highlight w:val="none"/>
        </w:rPr>
        <w:t>29.3   结果通知书和成交通知书同时发出。结果通知书中将告知未通过资格审查的投标人未通过的原因；采用综合评分法评审的，还将告知未中标人本人的评审得分和排序。</w:t>
      </w:r>
    </w:p>
    <w:p w14:paraId="64956050">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93" w:name="_Toc7779"/>
      <w:bookmarkStart w:id="194" w:name="_Toc520356175"/>
      <w:bookmarkStart w:id="195" w:name="_Ref467307204"/>
      <w:bookmarkStart w:id="196" w:name="_Ref467306377"/>
      <w:bookmarkStart w:id="197" w:name="_Toc14795"/>
      <w:bookmarkStart w:id="198" w:name="_Toc790"/>
      <w:bookmarkStart w:id="199" w:name="_Ref467307062"/>
      <w:bookmarkStart w:id="200" w:name="_Toc515647792"/>
      <w:bookmarkStart w:id="201" w:name="_Ref467306978"/>
      <w:r>
        <w:rPr>
          <w:rFonts w:hint="eastAsia" w:ascii="宋体" w:hAnsi="宋体" w:eastAsia="宋体" w:cs="宋体"/>
          <w:color w:val="auto"/>
          <w:highlight w:val="none"/>
          <w:u w:val="none"/>
        </w:rPr>
        <w:t>30.签订合同</w:t>
      </w:r>
      <w:bookmarkEnd w:id="193"/>
      <w:bookmarkEnd w:id="194"/>
      <w:bookmarkEnd w:id="195"/>
      <w:bookmarkEnd w:id="196"/>
      <w:bookmarkEnd w:id="197"/>
      <w:bookmarkEnd w:id="198"/>
      <w:bookmarkEnd w:id="199"/>
      <w:bookmarkEnd w:id="200"/>
      <w:bookmarkEnd w:id="201"/>
    </w:p>
    <w:p w14:paraId="07348A8D">
      <w:pPr>
        <w:spacing w:line="240" w:lineRule="atLeast"/>
        <w:ind w:left="840" w:hanging="840" w:hangingChars="350"/>
        <w:rPr>
          <w:rFonts w:hint="eastAsia" w:ascii="宋体" w:hAnsi="宋体" w:cs="宋体"/>
          <w:sz w:val="24"/>
          <w:highlight w:val="none"/>
        </w:rPr>
      </w:pPr>
      <w:bookmarkStart w:id="202" w:name="_Toc22555"/>
      <w:bookmarkStart w:id="203" w:name="_Toc7188"/>
      <w:bookmarkStart w:id="204" w:name="_Ref467307090"/>
      <w:bookmarkStart w:id="205" w:name="_Ref467306425"/>
      <w:bookmarkStart w:id="206" w:name="_Toc520356176"/>
      <w:bookmarkStart w:id="207" w:name="_Toc515647793"/>
      <w:bookmarkStart w:id="208" w:name="_Toc14080"/>
      <w:r>
        <w:rPr>
          <w:rFonts w:hint="eastAsia" w:ascii="宋体" w:hAnsi="宋体" w:cs="宋体"/>
          <w:sz w:val="24"/>
          <w:highlight w:val="none"/>
        </w:rPr>
        <w:t>30.1   中标人应当自发出成交通知书之日起30日内，与采购人签订合同。</w:t>
      </w:r>
    </w:p>
    <w:p w14:paraId="3EC37F98">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30.2   磋商文件、中标人的响应文件及其澄清文件等，均为签订合同的依据。</w:t>
      </w:r>
    </w:p>
    <w:p w14:paraId="3FD22EA4">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30.3   中标人拒绝与采购人签订合同的，采购人可以按照评审报告推荐的中标候选人名单排序，确定下一中标候选人为中标人，也可以重新开展政府采购活动。</w:t>
      </w:r>
    </w:p>
    <w:p w14:paraId="0A7D340E">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30.4   当出现法规规定的</w:t>
      </w:r>
      <w:r>
        <w:rPr>
          <w:rFonts w:hint="eastAsia" w:ascii="宋体" w:hAnsi="宋体" w:cs="宋体"/>
          <w:b/>
          <w:sz w:val="24"/>
          <w:highlight w:val="none"/>
        </w:rPr>
        <w:t>中标无效或中标结果无效</w:t>
      </w:r>
      <w:r>
        <w:rPr>
          <w:rFonts w:hint="eastAsia" w:ascii="宋体" w:hAnsi="宋体" w:cs="宋体"/>
          <w:sz w:val="24"/>
          <w:highlight w:val="none"/>
        </w:rPr>
        <w:t>情形时，采购人可与排名下一位的中标候选人另行签订合同，或依法重新开展采购活动。</w:t>
      </w:r>
    </w:p>
    <w:p w14:paraId="2FB7BAB4">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31.履约保证金</w:t>
      </w:r>
      <w:bookmarkEnd w:id="202"/>
      <w:bookmarkEnd w:id="203"/>
      <w:bookmarkEnd w:id="204"/>
      <w:bookmarkEnd w:id="205"/>
      <w:bookmarkEnd w:id="206"/>
      <w:bookmarkEnd w:id="207"/>
      <w:bookmarkEnd w:id="208"/>
    </w:p>
    <w:p w14:paraId="5A23736D">
      <w:pPr>
        <w:spacing w:line="240" w:lineRule="atLeast"/>
        <w:ind w:left="840" w:hanging="840" w:hangingChars="350"/>
        <w:rPr>
          <w:rFonts w:hint="eastAsia" w:ascii="宋体" w:hAnsi="宋体" w:cs="宋体"/>
          <w:sz w:val="24"/>
          <w:highlight w:val="none"/>
        </w:rPr>
      </w:pPr>
      <w:bookmarkStart w:id="209" w:name="_Toc31936"/>
      <w:bookmarkStart w:id="210" w:name="_Toc3090"/>
      <w:bookmarkStart w:id="211" w:name="_Toc515647794"/>
      <w:bookmarkStart w:id="212" w:name="_Toc29408"/>
      <w:r>
        <w:rPr>
          <w:rFonts w:hint="eastAsia" w:ascii="宋体" w:hAnsi="宋体" w:cs="宋体"/>
          <w:sz w:val="24"/>
          <w:highlight w:val="none"/>
        </w:rPr>
        <w:t xml:space="preserve">31.1   </w:t>
      </w:r>
      <w:r>
        <w:rPr>
          <w:rFonts w:hint="eastAsia" w:ascii="宋体" w:hAnsi="宋体" w:cs="宋体"/>
          <w:sz w:val="24"/>
          <w:highlight w:val="none"/>
          <w:lang w:val="en-US" w:eastAsia="zh-CN"/>
        </w:rPr>
        <w:t>成交供应商</w:t>
      </w:r>
      <w:r>
        <w:rPr>
          <w:rFonts w:hint="eastAsia" w:ascii="宋体" w:hAnsi="宋体" w:cs="宋体"/>
          <w:sz w:val="24"/>
          <w:highlight w:val="none"/>
        </w:rPr>
        <w:t>应按照</w:t>
      </w:r>
      <w:r>
        <w:rPr>
          <w:rFonts w:hint="eastAsia" w:ascii="宋体" w:hAnsi="宋体" w:cs="宋体"/>
          <w:sz w:val="24"/>
          <w:highlight w:val="none"/>
          <w:u w:val="single"/>
        </w:rPr>
        <w:t>投标人须知资料表</w:t>
      </w:r>
      <w:r>
        <w:rPr>
          <w:rFonts w:hint="eastAsia" w:ascii="宋体" w:hAnsi="宋体" w:cs="宋体"/>
          <w:sz w:val="24"/>
          <w:highlight w:val="none"/>
        </w:rPr>
        <w:t>规定向采购人缴纳履约保证金。</w:t>
      </w:r>
    </w:p>
    <w:p w14:paraId="2BFF48CB">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31.2   政府采购利用担保试点范围内的项目，除31.1规定的情形外，</w:t>
      </w:r>
      <w:r>
        <w:rPr>
          <w:rFonts w:hint="eastAsia" w:ascii="宋体" w:hAnsi="宋体" w:cs="宋体"/>
          <w:sz w:val="24"/>
          <w:highlight w:val="none"/>
          <w:lang w:val="en-US" w:eastAsia="zh-CN"/>
        </w:rPr>
        <w:t>成交供应商</w:t>
      </w:r>
      <w:r>
        <w:rPr>
          <w:rFonts w:hint="eastAsia" w:ascii="宋体" w:hAnsi="宋体" w:cs="宋体"/>
          <w:sz w:val="24"/>
          <w:highlight w:val="none"/>
        </w:rPr>
        <w:t>也可以按照财政部门的规定，向采购人提供合格的履约担保函。</w:t>
      </w:r>
    </w:p>
    <w:p w14:paraId="2BAA8FED">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31.3   如果</w:t>
      </w:r>
      <w:r>
        <w:rPr>
          <w:rFonts w:hint="eastAsia" w:ascii="宋体" w:hAnsi="宋体" w:cs="宋体"/>
          <w:sz w:val="24"/>
          <w:highlight w:val="none"/>
          <w:lang w:val="en-US" w:eastAsia="zh-CN"/>
        </w:rPr>
        <w:t>成交供应商</w:t>
      </w:r>
      <w:r>
        <w:rPr>
          <w:rFonts w:hint="eastAsia" w:ascii="宋体" w:hAnsi="宋体" w:cs="宋体"/>
          <w:sz w:val="24"/>
          <w:highlight w:val="none"/>
        </w:rPr>
        <w:t>没有按照上述履约保证金的规定执行，将视为放弃中标资格，</w:t>
      </w:r>
      <w:r>
        <w:rPr>
          <w:rFonts w:hint="eastAsia" w:ascii="宋体" w:hAnsi="宋体" w:cs="宋体"/>
          <w:sz w:val="24"/>
          <w:highlight w:val="none"/>
          <w:lang w:val="en-US" w:eastAsia="zh-CN"/>
        </w:rPr>
        <w:t>成交供应商</w:t>
      </w:r>
      <w:r>
        <w:rPr>
          <w:rFonts w:hint="eastAsia" w:ascii="宋体" w:hAnsi="宋体" w:cs="宋体"/>
          <w:sz w:val="24"/>
          <w:highlight w:val="none"/>
        </w:rPr>
        <w:t>的投标保证金将不予退还。在此情况下，采购人可确定下一候选人为</w:t>
      </w:r>
      <w:r>
        <w:rPr>
          <w:rFonts w:hint="eastAsia" w:ascii="宋体" w:hAnsi="宋体" w:cs="宋体"/>
          <w:sz w:val="24"/>
          <w:highlight w:val="none"/>
          <w:lang w:val="en-US" w:eastAsia="zh-CN"/>
        </w:rPr>
        <w:t>成交供应商</w:t>
      </w:r>
      <w:r>
        <w:rPr>
          <w:rFonts w:hint="eastAsia" w:ascii="宋体" w:hAnsi="宋体" w:cs="宋体"/>
          <w:sz w:val="24"/>
          <w:highlight w:val="none"/>
        </w:rPr>
        <w:t>，也可以重新开展采购活动。</w:t>
      </w:r>
    </w:p>
    <w:p w14:paraId="39D6CFE2">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32.中标服务费</w:t>
      </w:r>
      <w:bookmarkEnd w:id="209"/>
      <w:bookmarkEnd w:id="210"/>
      <w:bookmarkEnd w:id="211"/>
      <w:bookmarkEnd w:id="212"/>
    </w:p>
    <w:p w14:paraId="38C5F681">
      <w:pPr>
        <w:spacing w:line="240" w:lineRule="atLeast"/>
        <w:rPr>
          <w:rFonts w:hint="eastAsia" w:ascii="宋体" w:hAnsi="宋体" w:cs="宋体"/>
          <w:b/>
          <w:bCs/>
          <w:sz w:val="24"/>
          <w:highlight w:val="none"/>
        </w:rPr>
      </w:pPr>
      <w:bookmarkStart w:id="213" w:name="_Toc7049"/>
      <w:bookmarkStart w:id="214" w:name="_Toc6923"/>
      <w:bookmarkStart w:id="215" w:name="_Toc515647795"/>
      <w:bookmarkStart w:id="216" w:name="_Toc13588"/>
      <w:r>
        <w:rPr>
          <w:rFonts w:hint="eastAsia" w:ascii="宋体" w:hAnsi="宋体" w:cs="宋体"/>
          <w:sz w:val="24"/>
          <w:highlight w:val="none"/>
        </w:rPr>
        <w:t>32.1   按照相关协议计取，代理费由成交</w:t>
      </w:r>
      <w:r>
        <w:rPr>
          <w:rFonts w:hint="eastAsia" w:ascii="宋体" w:hAnsi="宋体" w:cs="宋体"/>
          <w:sz w:val="24"/>
          <w:highlight w:val="none"/>
          <w:lang w:val="en-US" w:eastAsia="zh-CN"/>
        </w:rPr>
        <w:t>供应商</w:t>
      </w:r>
      <w:r>
        <w:rPr>
          <w:rFonts w:hint="eastAsia" w:ascii="宋体" w:hAnsi="宋体" w:cs="宋体"/>
          <w:sz w:val="24"/>
          <w:highlight w:val="none"/>
        </w:rPr>
        <w:t>支付。</w:t>
      </w:r>
    </w:p>
    <w:p w14:paraId="0273E65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33.政府采购信用担保</w:t>
      </w:r>
      <w:bookmarkEnd w:id="213"/>
      <w:bookmarkEnd w:id="214"/>
      <w:bookmarkEnd w:id="215"/>
      <w:bookmarkEnd w:id="216"/>
    </w:p>
    <w:p w14:paraId="5621A623">
      <w:pPr>
        <w:spacing w:line="240" w:lineRule="atLeast"/>
        <w:ind w:left="840" w:hanging="840" w:hangingChars="350"/>
        <w:rPr>
          <w:rFonts w:hint="eastAsia" w:ascii="宋体" w:hAnsi="宋体" w:cs="宋体"/>
          <w:sz w:val="24"/>
          <w:highlight w:val="none"/>
        </w:rPr>
      </w:pPr>
      <w:bookmarkStart w:id="217" w:name="_Toc23999"/>
      <w:bookmarkStart w:id="218" w:name="_Toc2133"/>
      <w:bookmarkStart w:id="219" w:name="_Toc515647796"/>
      <w:bookmarkStart w:id="220" w:name="_Toc27198"/>
      <w:r>
        <w:rPr>
          <w:rFonts w:hint="eastAsia" w:ascii="宋体" w:hAnsi="宋体" w:cs="宋体"/>
          <w:sz w:val="24"/>
          <w:highlight w:val="none"/>
        </w:rPr>
        <w:t>33.1   本项目是否属于信用担保试点范围见</w:t>
      </w:r>
      <w:r>
        <w:rPr>
          <w:rFonts w:hint="eastAsia" w:ascii="宋体" w:hAnsi="宋体" w:cs="宋体"/>
          <w:sz w:val="24"/>
          <w:highlight w:val="none"/>
          <w:u w:val="single"/>
        </w:rPr>
        <w:t>投标人须知资料表</w:t>
      </w:r>
      <w:r>
        <w:rPr>
          <w:rFonts w:hint="eastAsia" w:ascii="宋体" w:hAnsi="宋体" w:cs="宋体"/>
          <w:sz w:val="24"/>
          <w:highlight w:val="none"/>
        </w:rPr>
        <w:t>。</w:t>
      </w:r>
    </w:p>
    <w:p w14:paraId="50D117BC">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33.2   如属于政府采购信用担保试点范围内，中小型企业投标人可以自由按照财政部门的规定，采用投标担保、履约担保和融资担保。</w:t>
      </w:r>
    </w:p>
    <w:p w14:paraId="4762A2A3">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33.2.1 投标人递交的投标担保函和履约担保函应符合本</w:t>
      </w:r>
      <w:r>
        <w:rPr>
          <w:rFonts w:hint="eastAsia" w:ascii="宋体" w:hAnsi="宋体" w:cs="宋体"/>
          <w:sz w:val="24"/>
          <w:highlight w:val="none"/>
          <w:lang w:eastAsia="zh-CN"/>
        </w:rPr>
        <w:t>磋商文件</w:t>
      </w:r>
      <w:r>
        <w:rPr>
          <w:rFonts w:hint="eastAsia" w:ascii="宋体" w:hAnsi="宋体" w:cs="宋体"/>
          <w:sz w:val="24"/>
          <w:highlight w:val="none"/>
        </w:rPr>
        <w:t>的规定。</w:t>
      </w:r>
    </w:p>
    <w:p w14:paraId="30BC9871">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 xml:space="preserve">33.2.2 </w:t>
      </w:r>
      <w:r>
        <w:rPr>
          <w:rFonts w:hint="eastAsia" w:ascii="宋体" w:hAnsi="宋体" w:cs="宋体"/>
          <w:sz w:val="24"/>
          <w:highlight w:val="none"/>
          <w:lang w:val="en-US" w:eastAsia="zh-CN"/>
        </w:rPr>
        <w:t>成交供应商</w:t>
      </w:r>
      <w:r>
        <w:rPr>
          <w:rFonts w:hint="eastAsia" w:ascii="宋体" w:hAnsi="宋体" w:cs="宋体"/>
          <w:sz w:val="24"/>
          <w:highlight w:val="none"/>
        </w:rPr>
        <w:t>可以采取融资担保的形式为政府采购项目履约进行融资。</w:t>
      </w:r>
    </w:p>
    <w:p w14:paraId="43E6761F">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33.2.3 合格的政府采购专业信用担保机构名单见</w:t>
      </w:r>
      <w:r>
        <w:rPr>
          <w:rFonts w:hint="eastAsia" w:ascii="宋体" w:hAnsi="宋体" w:cs="宋体"/>
          <w:sz w:val="24"/>
          <w:highlight w:val="none"/>
          <w:u w:val="single"/>
        </w:rPr>
        <w:t>投标人须知资料表</w:t>
      </w:r>
      <w:r>
        <w:rPr>
          <w:rFonts w:hint="eastAsia" w:ascii="宋体" w:hAnsi="宋体" w:cs="宋体"/>
          <w:sz w:val="24"/>
          <w:highlight w:val="none"/>
        </w:rPr>
        <w:t>。</w:t>
      </w:r>
    </w:p>
    <w:p w14:paraId="6C988629">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34.廉洁自律规定</w:t>
      </w:r>
      <w:bookmarkEnd w:id="217"/>
      <w:bookmarkEnd w:id="218"/>
      <w:bookmarkEnd w:id="219"/>
      <w:bookmarkEnd w:id="220"/>
    </w:p>
    <w:p w14:paraId="538C1884">
      <w:pPr>
        <w:spacing w:line="240" w:lineRule="atLeast"/>
        <w:ind w:left="840" w:hanging="840" w:hangingChars="350"/>
        <w:rPr>
          <w:rFonts w:hint="eastAsia" w:ascii="宋体" w:hAnsi="宋体" w:cs="宋体"/>
          <w:sz w:val="24"/>
          <w:highlight w:val="none"/>
        </w:rPr>
      </w:pPr>
      <w:bookmarkStart w:id="221" w:name="_Toc25480"/>
      <w:bookmarkStart w:id="222" w:name="_Toc515647797"/>
      <w:bookmarkStart w:id="223" w:name="_Toc11586"/>
      <w:bookmarkStart w:id="224" w:name="_Toc10437"/>
      <w:r>
        <w:rPr>
          <w:rFonts w:hint="eastAsia" w:ascii="宋体" w:hAnsi="宋体" w:cs="宋体"/>
          <w:sz w:val="24"/>
          <w:highlight w:val="none"/>
        </w:rPr>
        <w:t>34.1   采购代理机构工作人员不得以不正当手段获取政府采购代理业务，不得与采购人、</w:t>
      </w:r>
      <w:r>
        <w:rPr>
          <w:rFonts w:hint="eastAsia" w:ascii="宋体" w:hAnsi="宋体" w:cs="宋体"/>
          <w:sz w:val="24"/>
          <w:highlight w:val="none"/>
          <w:lang w:val="en-US" w:eastAsia="zh-CN"/>
        </w:rPr>
        <w:t>投标人</w:t>
      </w:r>
      <w:r>
        <w:rPr>
          <w:rFonts w:hint="eastAsia" w:ascii="宋体" w:hAnsi="宋体" w:cs="宋体"/>
          <w:sz w:val="24"/>
          <w:highlight w:val="none"/>
        </w:rPr>
        <w:t>恶意串通操纵政府采购活动。</w:t>
      </w:r>
    </w:p>
    <w:p w14:paraId="634FE8A8">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34.2   采购代理机构工作人员不得接受采购人或者</w:t>
      </w:r>
      <w:r>
        <w:rPr>
          <w:rFonts w:hint="eastAsia" w:ascii="宋体" w:hAnsi="宋体" w:cs="宋体"/>
          <w:sz w:val="24"/>
          <w:highlight w:val="none"/>
          <w:lang w:val="en-US" w:eastAsia="zh-CN"/>
        </w:rPr>
        <w:t>投标人</w:t>
      </w:r>
      <w:r>
        <w:rPr>
          <w:rFonts w:hint="eastAsia" w:ascii="宋体" w:hAnsi="宋体" w:cs="宋体"/>
          <w:sz w:val="24"/>
          <w:highlight w:val="none"/>
        </w:rPr>
        <w:t>组织的宴请、旅游、娱乐，不得收受礼品、现金、有价证券等，不得向采购人或者</w:t>
      </w:r>
      <w:r>
        <w:rPr>
          <w:rFonts w:hint="eastAsia" w:ascii="宋体" w:hAnsi="宋体" w:cs="宋体"/>
          <w:sz w:val="24"/>
          <w:highlight w:val="none"/>
          <w:lang w:val="en-US" w:eastAsia="zh-CN"/>
        </w:rPr>
        <w:t>投标人</w:t>
      </w:r>
      <w:r>
        <w:rPr>
          <w:rFonts w:hint="eastAsia" w:ascii="宋体" w:hAnsi="宋体" w:cs="宋体"/>
          <w:sz w:val="24"/>
          <w:highlight w:val="none"/>
        </w:rPr>
        <w:t>报销应当由个人承担的费用。</w:t>
      </w:r>
    </w:p>
    <w:p w14:paraId="1F1202C9">
      <w:pPr>
        <w:spacing w:line="240" w:lineRule="atLeast"/>
        <w:ind w:left="840" w:hanging="840" w:hangingChars="350"/>
        <w:rPr>
          <w:rFonts w:hint="eastAsia" w:ascii="宋体" w:hAnsi="宋体" w:cs="宋体"/>
          <w:sz w:val="24"/>
          <w:highlight w:val="none"/>
        </w:rPr>
      </w:pPr>
      <w:r>
        <w:rPr>
          <w:rFonts w:hint="eastAsia" w:ascii="宋体" w:hAnsi="宋体" w:cs="宋体"/>
          <w:sz w:val="24"/>
          <w:highlight w:val="none"/>
        </w:rPr>
        <w:t>34.3   为强化采购代理机构内部监督机制，</w:t>
      </w:r>
      <w:r>
        <w:rPr>
          <w:rFonts w:hint="eastAsia" w:ascii="宋体" w:hAnsi="宋体" w:cs="宋体"/>
          <w:sz w:val="24"/>
          <w:highlight w:val="none"/>
          <w:lang w:val="en-US" w:eastAsia="zh-CN"/>
        </w:rPr>
        <w:t>投标人</w:t>
      </w:r>
      <w:r>
        <w:rPr>
          <w:rFonts w:hint="eastAsia" w:ascii="宋体" w:hAnsi="宋体" w:cs="宋体"/>
          <w:sz w:val="24"/>
          <w:highlight w:val="none"/>
        </w:rPr>
        <w:t>可按</w:t>
      </w:r>
      <w:r>
        <w:rPr>
          <w:rFonts w:hint="eastAsia" w:ascii="宋体" w:hAnsi="宋体" w:cs="宋体"/>
          <w:sz w:val="24"/>
          <w:highlight w:val="none"/>
          <w:u w:val="single"/>
        </w:rPr>
        <w:t>投标人须知资料表中的</w:t>
      </w:r>
      <w:r>
        <w:rPr>
          <w:rFonts w:hint="eastAsia" w:ascii="宋体" w:hAnsi="宋体" w:cs="宋体"/>
          <w:sz w:val="24"/>
          <w:highlight w:val="none"/>
        </w:rPr>
        <w:t>监督电话和邮箱，反映采购代理机构的廉洁自律等问题。</w:t>
      </w:r>
    </w:p>
    <w:p w14:paraId="5D762B38">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35.人员回避</w:t>
      </w:r>
      <w:bookmarkEnd w:id="221"/>
      <w:bookmarkEnd w:id="222"/>
      <w:bookmarkEnd w:id="223"/>
      <w:bookmarkEnd w:id="224"/>
    </w:p>
    <w:p w14:paraId="77A48123">
      <w:pPr>
        <w:spacing w:line="240" w:lineRule="atLeast"/>
        <w:ind w:left="840" w:hanging="840" w:hangingChars="350"/>
        <w:rPr>
          <w:rFonts w:hint="eastAsia" w:ascii="宋体" w:hAnsi="宋体" w:cs="宋体"/>
          <w:sz w:val="24"/>
          <w:highlight w:val="none"/>
        </w:rPr>
      </w:pPr>
      <w:bookmarkStart w:id="225" w:name="_Toc10700"/>
      <w:bookmarkStart w:id="226" w:name="_Toc515647798"/>
      <w:bookmarkStart w:id="227" w:name="_Toc11115"/>
      <w:bookmarkStart w:id="228" w:name="_Toc1148"/>
      <w:r>
        <w:rPr>
          <w:rFonts w:hint="eastAsia" w:ascii="宋体" w:hAnsi="宋体" w:cs="宋体"/>
          <w:sz w:val="24"/>
          <w:highlight w:val="none"/>
        </w:rPr>
        <w:t>35.1   投标人认为采购人员及其相关人员有法律法规所列与其他</w:t>
      </w:r>
      <w:r>
        <w:rPr>
          <w:rFonts w:hint="eastAsia" w:ascii="宋体" w:hAnsi="宋体" w:cs="宋体"/>
          <w:sz w:val="24"/>
          <w:highlight w:val="none"/>
          <w:lang w:val="en-US" w:eastAsia="zh-CN"/>
        </w:rPr>
        <w:t>投标人</w:t>
      </w:r>
      <w:r>
        <w:rPr>
          <w:rFonts w:hint="eastAsia" w:ascii="宋体" w:hAnsi="宋体" w:cs="宋体"/>
          <w:sz w:val="24"/>
          <w:highlight w:val="none"/>
        </w:rPr>
        <w:t>有利害关系的，可以向采购人或采购代理机构书面提出回避申请，并说明理由。</w:t>
      </w:r>
    </w:p>
    <w:p w14:paraId="30291B45">
      <w:pPr>
        <w:pStyle w:val="4"/>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36.质疑与接收</w:t>
      </w:r>
      <w:bookmarkEnd w:id="225"/>
      <w:bookmarkEnd w:id="226"/>
      <w:bookmarkEnd w:id="227"/>
      <w:bookmarkEnd w:id="228"/>
    </w:p>
    <w:p w14:paraId="0F8D333A">
      <w:pPr>
        <w:spacing w:line="360" w:lineRule="exact"/>
        <w:ind w:left="840" w:hanging="840" w:hangingChars="350"/>
        <w:rPr>
          <w:rFonts w:hint="eastAsia" w:ascii="宋体" w:hAnsi="宋体" w:cs="宋体"/>
          <w:sz w:val="24"/>
          <w:highlight w:val="none"/>
        </w:rPr>
      </w:pPr>
      <w:r>
        <w:rPr>
          <w:rFonts w:hint="eastAsia" w:ascii="宋体" w:hAnsi="宋体" w:cs="宋体"/>
          <w:sz w:val="24"/>
          <w:highlight w:val="none"/>
        </w:rPr>
        <w:t xml:space="preserve">36.1   </w:t>
      </w:r>
      <w:r>
        <w:rPr>
          <w:rFonts w:hint="eastAsia" w:ascii="宋体" w:hAnsi="宋体" w:cs="宋体"/>
          <w:sz w:val="24"/>
          <w:highlight w:val="none"/>
          <w:lang w:eastAsia="zh-CN"/>
        </w:rPr>
        <w:t>投标人</w:t>
      </w:r>
      <w:r>
        <w:rPr>
          <w:rFonts w:hint="eastAsia" w:ascii="宋体" w:hAnsi="宋体" w:cs="宋体"/>
          <w:sz w:val="24"/>
          <w:highlight w:val="none"/>
        </w:rPr>
        <w:t>认为</w:t>
      </w:r>
      <w:r>
        <w:rPr>
          <w:rFonts w:hint="eastAsia" w:ascii="宋体" w:hAnsi="宋体" w:cs="宋体"/>
          <w:sz w:val="24"/>
          <w:highlight w:val="none"/>
          <w:lang w:eastAsia="zh-CN"/>
        </w:rPr>
        <w:t>磋商文件</w:t>
      </w:r>
      <w:r>
        <w:rPr>
          <w:rFonts w:hint="eastAsia" w:ascii="宋体" w:hAnsi="宋体" w:cs="宋体"/>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BF5EC53">
      <w:pPr>
        <w:pStyle w:val="49"/>
        <w:spacing w:line="360" w:lineRule="exact"/>
        <w:ind w:left="840" w:hanging="840" w:hangingChars="350"/>
        <w:rPr>
          <w:rFonts w:hint="eastAsia" w:hAnsi="宋体"/>
          <w:color w:val="auto"/>
          <w:highlight w:val="none"/>
        </w:rPr>
      </w:pPr>
      <w:r>
        <w:rPr>
          <w:rFonts w:hint="eastAsia" w:hAnsi="宋体"/>
          <w:color w:val="auto"/>
          <w:highlight w:val="none"/>
        </w:rPr>
        <w:t xml:space="preserve">36.2   </w:t>
      </w:r>
      <w:r>
        <w:rPr>
          <w:rFonts w:hint="eastAsia" w:hAnsi="宋体"/>
          <w:color w:val="auto"/>
          <w:highlight w:val="none"/>
          <w:lang w:eastAsia="zh-CN"/>
        </w:rPr>
        <w:t>投标人</w:t>
      </w:r>
      <w:r>
        <w:rPr>
          <w:rFonts w:hint="eastAsia" w:hAnsi="宋体"/>
          <w:color w:val="auto"/>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1A5830D0">
      <w:pPr>
        <w:pStyle w:val="49"/>
        <w:spacing w:line="360" w:lineRule="exact"/>
        <w:ind w:left="840" w:hanging="840" w:hangingChars="350"/>
        <w:rPr>
          <w:rFonts w:hint="eastAsia" w:hAnsi="宋体"/>
          <w:color w:val="auto"/>
          <w:highlight w:val="none"/>
        </w:rPr>
      </w:pPr>
      <w:r>
        <w:rPr>
          <w:rFonts w:hint="eastAsia" w:hAnsi="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D515076">
      <w:pPr>
        <w:spacing w:line="360" w:lineRule="exact"/>
        <w:ind w:left="840" w:hanging="840" w:hangingChars="350"/>
        <w:rPr>
          <w:rFonts w:hint="eastAsia" w:ascii="宋体" w:hAnsi="宋体" w:cs="宋体"/>
          <w:sz w:val="24"/>
          <w:highlight w:val="none"/>
        </w:rPr>
      </w:pPr>
      <w:r>
        <w:rPr>
          <w:rFonts w:hint="eastAsia" w:ascii="宋体" w:hAnsi="宋体" w:cs="宋体"/>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046296D0">
      <w:pPr>
        <w:spacing w:line="360" w:lineRule="exact"/>
        <w:ind w:left="840" w:hanging="840" w:hangingChars="350"/>
        <w:rPr>
          <w:rFonts w:hint="eastAsia" w:ascii="宋体" w:hAnsi="宋体" w:cs="宋体"/>
          <w:sz w:val="24"/>
          <w:highlight w:val="none"/>
        </w:rPr>
      </w:pPr>
      <w:r>
        <w:rPr>
          <w:rFonts w:hint="eastAsia" w:ascii="宋体" w:hAnsi="宋体" w:cs="宋体"/>
          <w:sz w:val="24"/>
          <w:highlight w:val="none"/>
        </w:rPr>
        <w:t>36.5   采购代理机构质疑函接收部门、联系电话和通讯地址, 见</w:t>
      </w:r>
      <w:r>
        <w:rPr>
          <w:rFonts w:hint="eastAsia" w:ascii="宋体" w:hAnsi="宋体" w:cs="宋体"/>
          <w:sz w:val="24"/>
          <w:highlight w:val="none"/>
          <w:u w:val="single"/>
          <w:lang w:eastAsia="zh-CN"/>
        </w:rPr>
        <w:t>投标人须知资料表</w:t>
      </w:r>
      <w:r>
        <w:rPr>
          <w:rFonts w:hint="eastAsia" w:ascii="宋体" w:hAnsi="宋体" w:cs="宋体"/>
          <w:sz w:val="24"/>
          <w:highlight w:val="none"/>
          <w:u w:val="none"/>
        </w:rPr>
        <w:t>。</w:t>
      </w:r>
    </w:p>
    <w:p w14:paraId="0F383B16">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 xml:space="preserve">36.6   </w:t>
      </w:r>
      <w:r>
        <w:rPr>
          <w:rFonts w:hint="eastAsia" w:ascii="宋体" w:hAnsi="宋体" w:cs="宋体"/>
          <w:sz w:val="24"/>
          <w:highlight w:val="none"/>
          <w:lang w:eastAsia="zh-CN"/>
        </w:rPr>
        <w:t>投标人</w:t>
      </w:r>
      <w:r>
        <w:rPr>
          <w:rFonts w:hint="eastAsia" w:ascii="宋体" w:hAnsi="宋体" w:cs="宋体"/>
          <w:sz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sz w:val="24"/>
          <w:highlight w:val="none"/>
          <w:lang w:eastAsia="zh-CN"/>
        </w:rPr>
        <w:t>投标人</w:t>
      </w:r>
      <w:r>
        <w:rPr>
          <w:rFonts w:hint="eastAsia" w:ascii="宋体" w:hAnsi="宋体" w:cs="宋体"/>
          <w:sz w:val="24"/>
          <w:highlight w:val="none"/>
        </w:rPr>
        <w:t>应知其权益受到损害之日，是指：</w:t>
      </w:r>
    </w:p>
    <w:p w14:paraId="09C06A9A">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（一）对可以质疑的采购文件提出质疑的，为收到采购文件之日或者采购文件公告期限届满之日；</w:t>
      </w:r>
    </w:p>
    <w:p w14:paraId="31347C7F">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（二）对采购过程提出质疑的，为各采购程序环节结束之日；</w:t>
      </w:r>
    </w:p>
    <w:p w14:paraId="3D4012CA">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（三）对中标结果提出质疑的，为中标结果公告期限届满之日。</w:t>
      </w:r>
    </w:p>
    <w:p w14:paraId="01EBC331">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 xml:space="preserve">36.7   </w:t>
      </w:r>
      <w:r>
        <w:rPr>
          <w:rFonts w:hint="eastAsia" w:ascii="宋体" w:hAnsi="宋体" w:cs="宋体"/>
          <w:sz w:val="24"/>
          <w:highlight w:val="none"/>
          <w:lang w:eastAsia="zh-CN"/>
        </w:rPr>
        <w:t>投标人</w:t>
      </w:r>
      <w:r>
        <w:rPr>
          <w:rFonts w:hint="eastAsia" w:ascii="宋体" w:hAnsi="宋体" w:cs="宋体"/>
          <w:sz w:val="24"/>
          <w:highlight w:val="none"/>
        </w:rPr>
        <w:t>有权提出一次质疑，不能多次提出。</w:t>
      </w:r>
    </w:p>
    <w:p w14:paraId="641027D5">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672745F7">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595B3BAB">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36.10  提出质疑应当符合下列条件：</w:t>
      </w:r>
    </w:p>
    <w:p w14:paraId="0FAA38C8">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（一）质疑主体应当符合有关规定；</w:t>
      </w:r>
    </w:p>
    <w:p w14:paraId="1852EBD9">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（二）在质疑法定期限内提出；</w:t>
      </w:r>
    </w:p>
    <w:p w14:paraId="6B79006C">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（三）属于可以提出质疑的政府采购事项受理范围和本项目采购人的管辖权范围；</w:t>
      </w:r>
    </w:p>
    <w:p w14:paraId="5402671B">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（四）政府采购法律、法规、规章规定的其他条件。</w:t>
      </w:r>
    </w:p>
    <w:p w14:paraId="70581E8C">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D1358B2">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36.12  质疑人所提供的证明材料应当具有真实性、合法性以及与质疑事项的关联性和证明力，否则不能作为认定该质疑事项成立的依据。</w:t>
      </w:r>
    </w:p>
    <w:p w14:paraId="3A188A23">
      <w:pPr>
        <w:spacing w:line="360" w:lineRule="exact"/>
        <w:ind w:left="840" w:hanging="840" w:hangingChars="350"/>
        <w:jc w:val="left"/>
        <w:rPr>
          <w:rFonts w:hint="eastAsia" w:ascii="宋体" w:hAnsi="宋体" w:cs="宋体"/>
          <w:sz w:val="24"/>
          <w:highlight w:val="none"/>
        </w:rPr>
      </w:pPr>
      <w:r>
        <w:rPr>
          <w:rFonts w:hint="eastAsia" w:ascii="宋体" w:hAnsi="宋体" w:cs="宋体"/>
          <w:sz w:val="24"/>
          <w:highlight w:val="none"/>
        </w:rPr>
        <w:t>36.13  质疑人提出质疑时应当提交质疑函。质疑函包括下列内容：</w:t>
      </w:r>
    </w:p>
    <w:p w14:paraId="41321CFC">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（一）提出质疑的质疑人的名称、地址、邮编、联系人及联系电话等；</w:t>
      </w:r>
    </w:p>
    <w:p w14:paraId="42F52D7D">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（二）质疑项目的名称、编号；</w:t>
      </w:r>
    </w:p>
    <w:p w14:paraId="5FBC5D68">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（三）质疑事项；</w:t>
      </w:r>
    </w:p>
    <w:p w14:paraId="43AABC70">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（四）事实依据和证明材料；</w:t>
      </w:r>
    </w:p>
    <w:p w14:paraId="2769D5FC">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（五）法律依据；</w:t>
      </w:r>
    </w:p>
    <w:p w14:paraId="2E292DC0">
      <w:pPr>
        <w:spacing w:line="360" w:lineRule="exact"/>
        <w:ind w:left="838" w:leftChars="342" w:hanging="120" w:hangingChars="50"/>
        <w:jc w:val="left"/>
        <w:rPr>
          <w:rFonts w:hint="eastAsia" w:ascii="宋体" w:hAnsi="宋体" w:cs="宋体"/>
          <w:sz w:val="24"/>
          <w:highlight w:val="none"/>
        </w:rPr>
      </w:pPr>
      <w:r>
        <w:rPr>
          <w:rFonts w:hint="eastAsia" w:ascii="宋体" w:hAnsi="宋体" w:cs="宋体"/>
          <w:sz w:val="24"/>
          <w:highlight w:val="none"/>
        </w:rPr>
        <w:t>（六）提出质疑的日期。</w:t>
      </w:r>
    </w:p>
    <w:p w14:paraId="7284932A">
      <w:pPr>
        <w:spacing w:line="360" w:lineRule="exact"/>
        <w:ind w:left="840" w:leftChars="400"/>
        <w:jc w:val="left"/>
        <w:rPr>
          <w:rFonts w:hint="eastAsia" w:ascii="宋体" w:hAnsi="宋体" w:cs="宋体"/>
          <w:sz w:val="24"/>
          <w:highlight w:val="none"/>
        </w:rPr>
      </w:pPr>
      <w:r>
        <w:rPr>
          <w:rFonts w:hint="eastAsia" w:ascii="宋体" w:hAnsi="宋体" w:cs="宋体"/>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4D0634F6">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36.14  质疑人可以委托代理人进行质疑。代理人应当提交授权委托书。授权委托书应当载明委托代理的具体权限、期限和相关事项。</w:t>
      </w:r>
    </w:p>
    <w:p w14:paraId="1CA9DCC5">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36.15  质疑的审查和受理</w:t>
      </w:r>
    </w:p>
    <w:p w14:paraId="32BC9ECD">
      <w:pPr>
        <w:keepNext w:val="0"/>
        <w:keepLines w:val="0"/>
        <w:pageBreakBefore w:val="0"/>
        <w:widowControl w:val="0"/>
        <w:kinsoku/>
        <w:wordWrap/>
        <w:overflowPunct/>
        <w:topLinePunct w:val="0"/>
        <w:bidi w:val="0"/>
        <w:adjustRightInd/>
        <w:snapToGrid/>
        <w:spacing w:line="350" w:lineRule="exact"/>
        <w:ind w:left="840" w:leftChars="400"/>
        <w:jc w:val="left"/>
        <w:textAlignment w:val="auto"/>
        <w:rPr>
          <w:rFonts w:hint="eastAsia" w:ascii="宋体" w:hAnsi="宋体" w:cs="宋体"/>
          <w:sz w:val="24"/>
          <w:highlight w:val="none"/>
        </w:rPr>
      </w:pPr>
      <w:r>
        <w:rPr>
          <w:rFonts w:hint="eastAsia" w:ascii="宋体" w:hAnsi="宋体" w:cs="宋体"/>
          <w:sz w:val="24"/>
          <w:highlight w:val="none"/>
        </w:rPr>
        <w:t>采购方在收到质疑函后应当及时审查是否符合质疑受理条件，对符合质疑受理条件的，及时予以受理。</w:t>
      </w:r>
    </w:p>
    <w:p w14:paraId="66202C00">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36.16  对不符合质疑受理条件的，分别按照下列不同情形予以处理：</w:t>
      </w:r>
    </w:p>
    <w:p w14:paraId="62C09DA3">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（一）质疑函内容不符合规定的，告知质疑人进行修改并重新提出质疑。修改后质疑事项仍不具体、不明确或者最终递交质疑函的时间超过质疑法定期限的，不予受理；</w:t>
      </w:r>
    </w:p>
    <w:p w14:paraId="70E005FC">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（二）质疑主体不符合有关规定的，告知质疑人不予受理；</w:t>
      </w:r>
    </w:p>
    <w:p w14:paraId="48AB8324">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（三）超过质疑法定期限提出质疑的，告知质疑人不予受理；</w:t>
      </w:r>
    </w:p>
    <w:p w14:paraId="3AE13305">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（四）对不属于可以提出质疑的政府采购事项提出质疑的，告知质疑人不予受理；</w:t>
      </w:r>
    </w:p>
    <w:p w14:paraId="4D767DFD">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（五）质疑不属于本项目采购方管辖的，告知质疑人向有管辖权的采购人提出质疑；</w:t>
      </w:r>
    </w:p>
    <w:p w14:paraId="52E93D25">
      <w:pPr>
        <w:keepNext w:val="0"/>
        <w:keepLines w:val="0"/>
        <w:pageBreakBefore w:val="0"/>
        <w:widowControl w:val="0"/>
        <w:kinsoku/>
        <w:wordWrap/>
        <w:overflowPunct/>
        <w:topLinePunct w:val="0"/>
        <w:bidi w:val="0"/>
        <w:adjustRightInd/>
        <w:snapToGrid/>
        <w:spacing w:line="350" w:lineRule="exact"/>
        <w:ind w:left="838" w:leftChars="342" w:hanging="120" w:hangingChars="50"/>
        <w:jc w:val="left"/>
        <w:textAlignment w:val="auto"/>
        <w:rPr>
          <w:rFonts w:hint="eastAsia" w:ascii="宋体" w:hAnsi="宋体" w:cs="宋体"/>
          <w:sz w:val="24"/>
          <w:highlight w:val="none"/>
        </w:rPr>
      </w:pPr>
      <w:r>
        <w:rPr>
          <w:rFonts w:hint="eastAsia" w:ascii="宋体" w:hAnsi="宋体" w:cs="宋体"/>
          <w:sz w:val="24"/>
          <w:highlight w:val="none"/>
        </w:rPr>
        <w:t>（六）质疑不符合其他条件的，告知质疑人不予受理。</w:t>
      </w:r>
    </w:p>
    <w:p w14:paraId="6421C253">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36.17  质疑的处理和答复</w:t>
      </w:r>
    </w:p>
    <w:p w14:paraId="5040B38A">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36.18  采购方受理质疑后，将及时把质疑函发送给被质疑人，并要求其在一定</w:t>
      </w:r>
      <w:r>
        <w:rPr>
          <w:rFonts w:hint="eastAsia" w:ascii="宋体" w:hAnsi="宋体" w:cs="宋体"/>
          <w:sz w:val="24"/>
          <w:highlight w:val="none"/>
          <w:lang w:eastAsia="zh-CN"/>
        </w:rPr>
        <w:t>期限</w:t>
      </w:r>
      <w:r>
        <w:rPr>
          <w:rFonts w:hint="eastAsia" w:ascii="宋体" w:hAnsi="宋体" w:cs="宋体"/>
          <w:sz w:val="24"/>
          <w:highlight w:val="none"/>
        </w:rPr>
        <w:t>内提交书面答复，同时提供有关证据、依据和相关材料。</w:t>
      </w:r>
    </w:p>
    <w:p w14:paraId="3DBFB1DE">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36.19  对于质疑事项中涉及的问题较多、情况比较复杂的，为了全面查清事实、取得充分的证据，采购方认为有必要时，可以进行调查取证或者组织质证。</w:t>
      </w:r>
    </w:p>
    <w:p w14:paraId="54F68E89">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36.20  对评审过程、中标结果提出质疑的，采购方可以组织原</w:t>
      </w:r>
      <w:r>
        <w:rPr>
          <w:rFonts w:hint="eastAsia" w:ascii="宋体" w:hAnsi="宋体" w:cs="宋体"/>
          <w:sz w:val="24"/>
          <w:highlight w:val="none"/>
          <w:lang w:eastAsia="zh-CN"/>
        </w:rPr>
        <w:t>磋商小组</w:t>
      </w:r>
      <w:r>
        <w:rPr>
          <w:rFonts w:hint="eastAsia" w:ascii="宋体" w:hAnsi="宋体" w:cs="宋体"/>
          <w:sz w:val="24"/>
          <w:highlight w:val="none"/>
        </w:rPr>
        <w:t>协助答复质疑。</w:t>
      </w:r>
    </w:p>
    <w:p w14:paraId="0ADBFFB7">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36.21  质疑处理过程中，质疑人书面申请撤回质疑的，将终止质疑处理程序。</w:t>
      </w:r>
    </w:p>
    <w:p w14:paraId="3F59C66E">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34BF77E7">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sz w:val="24"/>
          <w:highlight w:val="none"/>
        </w:rPr>
      </w:pPr>
      <w:r>
        <w:rPr>
          <w:rFonts w:hint="eastAsia" w:ascii="宋体" w:hAnsi="宋体" w:cs="宋体"/>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42A503DC">
      <w:pPr>
        <w:keepNext w:val="0"/>
        <w:keepLines w:val="0"/>
        <w:pageBreakBefore w:val="0"/>
        <w:widowControl w:val="0"/>
        <w:kinsoku/>
        <w:wordWrap/>
        <w:overflowPunct/>
        <w:topLinePunct w:val="0"/>
        <w:bidi w:val="0"/>
        <w:adjustRightInd/>
        <w:snapToGrid/>
        <w:spacing w:line="350" w:lineRule="exact"/>
        <w:ind w:left="840" w:hanging="840" w:hangingChars="350"/>
        <w:jc w:val="left"/>
        <w:textAlignment w:val="auto"/>
        <w:rPr>
          <w:rFonts w:hint="eastAsia" w:ascii="宋体" w:hAnsi="宋体" w:cs="宋体"/>
          <w:b/>
          <w:bCs/>
          <w:sz w:val="24"/>
          <w:highlight w:val="none"/>
        </w:rPr>
      </w:pPr>
      <w:r>
        <w:rPr>
          <w:rFonts w:hint="eastAsia" w:ascii="宋体" w:hAnsi="宋体" w:cs="宋体"/>
          <w:sz w:val="24"/>
          <w:highlight w:val="none"/>
        </w:rPr>
        <w:t xml:space="preserve">36.24  采购方将在正式受理质疑后7个工作日内作出答复。 </w:t>
      </w:r>
    </w:p>
    <w:p w14:paraId="7A260CA6">
      <w:pPr>
        <w:pStyle w:val="49"/>
        <w:keepNext w:val="0"/>
        <w:keepLines w:val="0"/>
        <w:pageBreakBefore w:val="0"/>
        <w:widowControl w:val="0"/>
        <w:kinsoku/>
        <w:wordWrap/>
        <w:overflowPunct/>
        <w:topLinePunct w:val="0"/>
        <w:bidi w:val="0"/>
        <w:adjustRightInd/>
        <w:snapToGrid/>
        <w:spacing w:line="350" w:lineRule="exact"/>
        <w:ind w:left="840" w:hanging="840" w:hangingChars="350"/>
        <w:textAlignment w:val="auto"/>
        <w:rPr>
          <w:rFonts w:hint="eastAsia" w:hAnsi="宋体"/>
          <w:color w:val="auto"/>
          <w:highlight w:val="none"/>
        </w:rPr>
      </w:pPr>
      <w:r>
        <w:rPr>
          <w:rFonts w:hint="eastAsia" w:hAnsi="宋体"/>
          <w:color w:val="auto"/>
          <w:highlight w:val="none"/>
        </w:rPr>
        <w:t>36.25  质疑答复应当包括下列内容：</w:t>
      </w:r>
    </w:p>
    <w:p w14:paraId="1E837BF8">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hAnsi="宋体"/>
          <w:color w:val="auto"/>
          <w:highlight w:val="none"/>
        </w:rPr>
      </w:pPr>
      <w:r>
        <w:rPr>
          <w:rFonts w:hint="eastAsia" w:hAnsi="宋体"/>
          <w:color w:val="auto"/>
          <w:highlight w:val="none"/>
        </w:rPr>
        <w:t>（一）质疑人的姓名或者名称；</w:t>
      </w:r>
    </w:p>
    <w:p w14:paraId="08132335">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hAnsi="宋体"/>
          <w:color w:val="auto"/>
          <w:highlight w:val="none"/>
        </w:rPr>
      </w:pPr>
      <w:r>
        <w:rPr>
          <w:rFonts w:hint="eastAsia" w:hAnsi="宋体"/>
          <w:color w:val="auto"/>
          <w:highlight w:val="none"/>
        </w:rPr>
        <w:t>（二）收到质疑函的日期、质疑项目名称及编号；</w:t>
      </w:r>
    </w:p>
    <w:p w14:paraId="215962AB">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hAnsi="宋体"/>
          <w:color w:val="auto"/>
          <w:highlight w:val="none"/>
        </w:rPr>
      </w:pPr>
      <w:r>
        <w:rPr>
          <w:rFonts w:hint="eastAsia" w:hAnsi="宋体"/>
          <w:color w:val="auto"/>
          <w:highlight w:val="none"/>
        </w:rPr>
        <w:t>（三）质疑事项、质疑答复的具体内容、事实依据和法律依据；</w:t>
      </w:r>
    </w:p>
    <w:p w14:paraId="6B730229">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hAnsi="宋体"/>
          <w:color w:val="auto"/>
          <w:highlight w:val="none"/>
        </w:rPr>
      </w:pPr>
      <w:r>
        <w:rPr>
          <w:rFonts w:hint="eastAsia" w:hAnsi="宋体"/>
          <w:color w:val="auto"/>
          <w:highlight w:val="none"/>
        </w:rPr>
        <w:t>（四）告知质疑</w:t>
      </w:r>
      <w:r>
        <w:rPr>
          <w:rFonts w:hint="eastAsia" w:hAnsi="宋体"/>
          <w:color w:val="auto"/>
          <w:highlight w:val="none"/>
          <w:lang w:eastAsia="zh-CN"/>
        </w:rPr>
        <w:t>投标人</w:t>
      </w:r>
      <w:r>
        <w:rPr>
          <w:rFonts w:hint="eastAsia" w:hAnsi="宋体"/>
          <w:color w:val="auto"/>
          <w:highlight w:val="none"/>
        </w:rPr>
        <w:t>依法投诉的权利；</w:t>
      </w:r>
    </w:p>
    <w:p w14:paraId="1EF7205E">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hAnsi="宋体"/>
          <w:color w:val="auto"/>
          <w:highlight w:val="none"/>
        </w:rPr>
      </w:pPr>
      <w:r>
        <w:rPr>
          <w:rFonts w:hint="eastAsia" w:hAnsi="宋体"/>
          <w:color w:val="auto"/>
          <w:highlight w:val="none"/>
        </w:rPr>
        <w:t>（五）质疑答复人名称；</w:t>
      </w:r>
    </w:p>
    <w:p w14:paraId="60218069">
      <w:pPr>
        <w:pStyle w:val="49"/>
        <w:keepNext w:val="0"/>
        <w:keepLines w:val="0"/>
        <w:pageBreakBefore w:val="0"/>
        <w:widowControl w:val="0"/>
        <w:kinsoku/>
        <w:wordWrap/>
        <w:overflowPunct/>
        <w:topLinePunct w:val="0"/>
        <w:bidi w:val="0"/>
        <w:adjustRightInd/>
        <w:snapToGrid/>
        <w:spacing w:line="350" w:lineRule="exact"/>
        <w:ind w:left="838" w:leftChars="342" w:hanging="120" w:hangingChars="50"/>
        <w:textAlignment w:val="auto"/>
        <w:rPr>
          <w:rFonts w:hint="eastAsia" w:ascii="宋体" w:hAnsi="宋体" w:cs="宋体"/>
          <w:b/>
          <w:bCs/>
          <w:sz w:val="24"/>
          <w:highlight w:val="none"/>
        </w:rPr>
      </w:pPr>
      <w:r>
        <w:rPr>
          <w:rFonts w:hint="eastAsia" w:hAnsi="宋体"/>
          <w:color w:val="auto"/>
          <w:highlight w:val="none"/>
        </w:rPr>
        <w:t>（六）答复质疑的日期。</w:t>
      </w:r>
      <w:bookmarkStart w:id="229" w:name="_Toc30855"/>
      <w:bookmarkStart w:id="230" w:name="_Toc3696"/>
      <w:bookmarkStart w:id="231" w:name="_Toc11973"/>
      <w:bookmarkStart w:id="232" w:name="_Toc5602"/>
      <w:bookmarkStart w:id="233" w:name="_Toc11297"/>
      <w:bookmarkStart w:id="234" w:name="_Toc8353"/>
      <w:bookmarkStart w:id="235" w:name="_Toc1819"/>
      <w:bookmarkStart w:id="236" w:name="_Toc2072"/>
      <w:bookmarkStart w:id="237" w:name="_Toc30512"/>
      <w:bookmarkStart w:id="238" w:name="_Toc18518"/>
      <w:bookmarkStart w:id="239" w:name="_Toc6493"/>
      <w:bookmarkStart w:id="240" w:name="_Toc16652"/>
      <w:bookmarkStart w:id="241" w:name="_Toc12088"/>
      <w:bookmarkStart w:id="242" w:name="_Toc24946"/>
      <w:bookmarkStart w:id="243" w:name="_Toc4981"/>
      <w:bookmarkStart w:id="244" w:name="_Toc22908"/>
      <w:bookmarkStart w:id="245" w:name="_Toc25636"/>
      <w:bookmarkStart w:id="246" w:name="_Toc14742"/>
      <w:bookmarkStart w:id="247" w:name="_Toc30093"/>
      <w:bookmarkStart w:id="248" w:name="_Toc2799"/>
      <w:bookmarkStart w:id="249" w:name="_Toc2500"/>
      <w:bookmarkStart w:id="250" w:name="_Toc27601"/>
      <w:bookmarkStart w:id="251" w:name="_Toc9437"/>
      <w:bookmarkStart w:id="252" w:name="_Toc23411"/>
      <w:bookmarkStart w:id="253" w:name="_Toc1369"/>
      <w:bookmarkStart w:id="254" w:name="_Toc13021"/>
      <w:bookmarkStart w:id="255" w:name="_Toc16553"/>
      <w:bookmarkStart w:id="256" w:name="_Toc27096"/>
      <w:bookmarkStart w:id="257" w:name="_Toc27146"/>
    </w:p>
    <w:p w14:paraId="23F686AC">
      <w:pPr>
        <w:spacing w:line="360" w:lineRule="exact"/>
        <w:jc w:val="center"/>
        <w:outlineLvl w:val="2"/>
        <w:rPr>
          <w:rFonts w:hint="eastAsia" w:ascii="宋体" w:hAnsi="宋体" w:cs="宋体"/>
          <w:b/>
          <w:bCs/>
          <w:sz w:val="24"/>
          <w:highlight w:val="none"/>
        </w:rPr>
      </w:pPr>
      <w:r>
        <w:rPr>
          <w:rFonts w:hint="eastAsia" w:ascii="宋体" w:hAnsi="宋体" w:cs="宋体"/>
          <w:b/>
          <w:bCs/>
          <w:sz w:val="24"/>
          <w:highlight w:val="none"/>
        </w:rPr>
        <w:t>质疑函范本</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B6C80F7">
      <w:pPr>
        <w:adjustRightInd w:val="0"/>
        <w:snapToGrid w:val="0"/>
        <w:spacing w:line="360" w:lineRule="exact"/>
        <w:rPr>
          <w:rFonts w:hint="eastAsia" w:ascii="宋体" w:hAnsi="宋体" w:cs="宋体"/>
          <w:bCs/>
          <w:sz w:val="24"/>
          <w:highlight w:val="none"/>
        </w:rPr>
      </w:pPr>
      <w:r>
        <w:rPr>
          <w:rFonts w:hint="eastAsia" w:ascii="宋体" w:hAnsi="宋体" w:cs="宋体"/>
          <w:bCs/>
          <w:sz w:val="24"/>
          <w:highlight w:val="none"/>
        </w:rPr>
        <w:t>一、质疑供应商基本信息</w:t>
      </w:r>
    </w:p>
    <w:p w14:paraId="1985C785">
      <w:pPr>
        <w:adjustRightInd w:val="0"/>
        <w:snapToGrid w:val="0"/>
        <w:spacing w:line="360" w:lineRule="exact"/>
        <w:rPr>
          <w:rFonts w:hint="eastAsia"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single"/>
        </w:rPr>
        <w:t xml:space="preserve">                                        </w:t>
      </w:r>
    </w:p>
    <w:p w14:paraId="2B6FF04F">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邮编：</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7499BD4A">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联系电话：</w:t>
      </w:r>
      <w:r>
        <w:rPr>
          <w:rFonts w:hint="eastAsia" w:ascii="宋体" w:hAnsi="宋体" w:cs="宋体"/>
          <w:sz w:val="24"/>
          <w:highlight w:val="none"/>
          <w:u w:val="single"/>
        </w:rPr>
        <w:t xml:space="preserve">                              </w:t>
      </w:r>
    </w:p>
    <w:p w14:paraId="48371FEA">
      <w:pPr>
        <w:adjustRightInd w:val="0"/>
        <w:snapToGrid w:val="0"/>
        <w:spacing w:line="360" w:lineRule="exact"/>
        <w:rPr>
          <w:rFonts w:hint="eastAsia"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single"/>
        </w:rPr>
        <w:t xml:space="preserve">                                          </w:t>
      </w:r>
    </w:p>
    <w:p w14:paraId="292F7D9D">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p>
    <w:p w14:paraId="5F85510D">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邮编：</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1A7861EE">
      <w:pPr>
        <w:adjustRightInd w:val="0"/>
        <w:snapToGrid w:val="0"/>
        <w:spacing w:line="360" w:lineRule="exact"/>
        <w:rPr>
          <w:rFonts w:hint="eastAsia" w:ascii="宋体" w:hAnsi="宋体" w:cs="宋体"/>
          <w:bCs/>
          <w:sz w:val="24"/>
          <w:highlight w:val="none"/>
        </w:rPr>
      </w:pPr>
      <w:r>
        <w:rPr>
          <w:rFonts w:hint="eastAsia" w:ascii="宋体" w:hAnsi="宋体" w:cs="宋体"/>
          <w:bCs/>
          <w:sz w:val="24"/>
          <w:highlight w:val="none"/>
        </w:rPr>
        <w:t>二、质疑项目基本情况</w:t>
      </w:r>
    </w:p>
    <w:p w14:paraId="33FCC8E3">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single"/>
        </w:rPr>
        <w:t xml:space="preserve">                                      </w:t>
      </w:r>
    </w:p>
    <w:p w14:paraId="61D0CA4F">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single"/>
        </w:rPr>
        <w:t xml:space="preserve">               </w:t>
      </w:r>
      <w:r>
        <w:rPr>
          <w:rFonts w:hint="eastAsia" w:ascii="宋体" w:hAnsi="宋体" w:cs="宋体"/>
          <w:sz w:val="24"/>
          <w:highlight w:val="none"/>
        </w:rPr>
        <w:t>包号：</w:t>
      </w:r>
      <w:r>
        <w:rPr>
          <w:rFonts w:hint="eastAsia" w:ascii="宋体" w:hAnsi="宋体" w:cs="宋体"/>
          <w:sz w:val="24"/>
          <w:highlight w:val="none"/>
          <w:u w:val="single"/>
        </w:rPr>
        <w:t xml:space="preserve">                 </w:t>
      </w:r>
    </w:p>
    <w:p w14:paraId="2C0B6723">
      <w:pPr>
        <w:adjustRightInd w:val="0"/>
        <w:snapToGrid w:val="0"/>
        <w:spacing w:line="360" w:lineRule="exact"/>
        <w:rPr>
          <w:rFonts w:hint="eastAsia" w:ascii="宋体" w:hAnsi="宋体" w:cs="宋体"/>
          <w:sz w:val="24"/>
          <w:highlight w:val="none"/>
          <w:u w:val="single"/>
        </w:rPr>
      </w:pPr>
      <w:r>
        <w:rPr>
          <w:rFonts w:hint="eastAsia" w:ascii="宋体" w:hAnsi="宋体" w:cs="宋体"/>
          <w:sz w:val="24"/>
          <w:highlight w:val="none"/>
        </w:rPr>
        <w:t>采购人名称：</w:t>
      </w:r>
      <w:r>
        <w:rPr>
          <w:rFonts w:hint="eastAsia" w:ascii="宋体" w:hAnsi="宋体" w:cs="宋体"/>
          <w:sz w:val="24"/>
          <w:highlight w:val="none"/>
          <w:u w:val="single"/>
        </w:rPr>
        <w:t xml:space="preserve">                                         </w:t>
      </w:r>
    </w:p>
    <w:p w14:paraId="496050E8">
      <w:pPr>
        <w:adjustRightInd w:val="0"/>
        <w:snapToGrid w:val="0"/>
        <w:spacing w:line="360" w:lineRule="exact"/>
        <w:rPr>
          <w:rFonts w:hint="eastAsia" w:ascii="宋体" w:hAnsi="宋体" w:cs="宋体"/>
          <w:sz w:val="24"/>
          <w:highlight w:val="none"/>
          <w:u w:val="single"/>
        </w:rPr>
      </w:pPr>
      <w:r>
        <w:rPr>
          <w:rFonts w:hint="eastAsia" w:ascii="宋体" w:hAnsi="宋体" w:cs="宋体"/>
          <w:sz w:val="24"/>
          <w:highlight w:val="none"/>
        </w:rPr>
        <w:t>采购文件获取日期：</w:t>
      </w:r>
      <w:r>
        <w:rPr>
          <w:rFonts w:hint="eastAsia" w:ascii="宋体" w:hAnsi="宋体" w:cs="宋体"/>
          <w:sz w:val="24"/>
          <w:highlight w:val="none"/>
          <w:u w:val="single"/>
        </w:rPr>
        <w:t xml:space="preserve">                                           </w:t>
      </w:r>
    </w:p>
    <w:p w14:paraId="57494877">
      <w:pPr>
        <w:adjustRightInd w:val="0"/>
        <w:snapToGrid w:val="0"/>
        <w:spacing w:line="360" w:lineRule="exact"/>
        <w:rPr>
          <w:rFonts w:hint="eastAsia" w:ascii="宋体" w:hAnsi="宋体" w:cs="宋体"/>
          <w:bCs/>
          <w:sz w:val="24"/>
          <w:highlight w:val="none"/>
        </w:rPr>
      </w:pPr>
      <w:r>
        <w:rPr>
          <w:rFonts w:hint="eastAsia" w:ascii="宋体" w:hAnsi="宋体" w:cs="宋体"/>
          <w:bCs/>
          <w:sz w:val="24"/>
          <w:highlight w:val="none"/>
        </w:rPr>
        <w:t>三、质疑事项具体内容</w:t>
      </w:r>
    </w:p>
    <w:p w14:paraId="1BCAA981">
      <w:pPr>
        <w:adjustRightInd w:val="0"/>
        <w:snapToGrid w:val="0"/>
        <w:spacing w:line="360" w:lineRule="exact"/>
        <w:rPr>
          <w:rFonts w:hint="eastAsia"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single"/>
        </w:rPr>
        <w:t xml:space="preserve">                                         </w:t>
      </w:r>
    </w:p>
    <w:p w14:paraId="600E5802">
      <w:pPr>
        <w:adjustRightInd w:val="0"/>
        <w:snapToGrid w:val="0"/>
        <w:spacing w:line="360" w:lineRule="exact"/>
        <w:rPr>
          <w:rFonts w:hint="eastAsia" w:ascii="宋体" w:hAnsi="宋体" w:cs="宋体"/>
          <w:sz w:val="24"/>
          <w:highlight w:val="none"/>
          <w:u w:val="single"/>
        </w:rPr>
      </w:pPr>
      <w:r>
        <w:rPr>
          <w:rFonts w:hint="eastAsia" w:ascii="宋体" w:hAnsi="宋体" w:cs="宋体"/>
          <w:sz w:val="24"/>
          <w:highlight w:val="none"/>
        </w:rPr>
        <w:t>事实依据：</w:t>
      </w:r>
      <w:r>
        <w:rPr>
          <w:rFonts w:hint="eastAsia" w:ascii="宋体" w:hAnsi="宋体" w:cs="宋体"/>
          <w:sz w:val="24"/>
          <w:highlight w:val="none"/>
          <w:u w:val="single"/>
        </w:rPr>
        <w:t xml:space="preserve">                                          </w:t>
      </w:r>
    </w:p>
    <w:p w14:paraId="64C17059">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u w:val="single"/>
        </w:rPr>
        <w:t xml:space="preserve">                                                       </w:t>
      </w:r>
    </w:p>
    <w:p w14:paraId="47E21FB4">
      <w:pPr>
        <w:adjustRightInd w:val="0"/>
        <w:snapToGrid w:val="0"/>
        <w:spacing w:line="360" w:lineRule="exact"/>
        <w:rPr>
          <w:rFonts w:hint="eastAsia"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single"/>
        </w:rPr>
        <w:t xml:space="preserve">                                          </w:t>
      </w:r>
    </w:p>
    <w:p w14:paraId="3A415E97">
      <w:pPr>
        <w:adjustRightInd w:val="0"/>
        <w:snapToGrid w:val="0"/>
        <w:spacing w:line="360" w:lineRule="exact"/>
        <w:rPr>
          <w:rFonts w:hint="eastAsia" w:ascii="宋体" w:hAnsi="宋体" w:cs="宋体"/>
          <w:sz w:val="24"/>
          <w:highlight w:val="none"/>
          <w:u w:val="dotted"/>
        </w:rPr>
      </w:pPr>
      <w:r>
        <w:rPr>
          <w:rFonts w:hint="eastAsia" w:ascii="宋体" w:hAnsi="宋体" w:cs="宋体"/>
          <w:sz w:val="24"/>
          <w:highlight w:val="none"/>
          <w:u w:val="single"/>
        </w:rPr>
        <w:t xml:space="preserve">                                                     </w:t>
      </w:r>
    </w:p>
    <w:p w14:paraId="6E2DAF8B">
      <w:pPr>
        <w:adjustRightInd w:val="0"/>
        <w:snapToGrid w:val="0"/>
        <w:spacing w:line="360" w:lineRule="exact"/>
        <w:rPr>
          <w:rFonts w:hint="eastAsia" w:ascii="宋体" w:hAnsi="宋体" w:cs="宋体"/>
          <w:sz w:val="24"/>
          <w:highlight w:val="none"/>
          <w:u w:val="dotted"/>
        </w:rPr>
      </w:pPr>
      <w:r>
        <w:rPr>
          <w:rFonts w:hint="eastAsia" w:ascii="宋体" w:hAnsi="宋体" w:cs="宋体"/>
          <w:sz w:val="24"/>
          <w:highlight w:val="none"/>
        </w:rPr>
        <w:t>质疑事项2</w:t>
      </w:r>
    </w:p>
    <w:p w14:paraId="69BE8847">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w:t>
      </w:r>
    </w:p>
    <w:p w14:paraId="516830E9">
      <w:pPr>
        <w:adjustRightInd w:val="0"/>
        <w:snapToGrid w:val="0"/>
        <w:spacing w:line="360" w:lineRule="exact"/>
        <w:rPr>
          <w:rFonts w:hint="eastAsia" w:ascii="宋体" w:hAnsi="宋体" w:cs="宋体"/>
          <w:bCs/>
          <w:sz w:val="24"/>
          <w:highlight w:val="none"/>
        </w:rPr>
      </w:pPr>
      <w:r>
        <w:rPr>
          <w:rFonts w:hint="eastAsia" w:ascii="宋体" w:hAnsi="宋体" w:cs="宋体"/>
          <w:bCs/>
          <w:sz w:val="24"/>
          <w:highlight w:val="none"/>
        </w:rPr>
        <w:t>四、与质疑事项相关的质疑请求</w:t>
      </w:r>
    </w:p>
    <w:p w14:paraId="56BE289C">
      <w:pPr>
        <w:adjustRightInd w:val="0"/>
        <w:snapToGrid w:val="0"/>
        <w:spacing w:line="360" w:lineRule="exact"/>
        <w:rPr>
          <w:rFonts w:hint="eastAsia" w:ascii="宋体" w:hAnsi="宋体" w:cs="宋体"/>
          <w:sz w:val="24"/>
          <w:highlight w:val="none"/>
          <w:u w:val="single"/>
        </w:rPr>
      </w:pPr>
      <w:r>
        <w:rPr>
          <w:rFonts w:hint="eastAsia" w:ascii="宋体" w:hAnsi="宋体" w:cs="宋体"/>
          <w:sz w:val="24"/>
          <w:highlight w:val="none"/>
        </w:rPr>
        <w:t>请求：</w:t>
      </w:r>
      <w:r>
        <w:rPr>
          <w:rFonts w:hint="eastAsia" w:ascii="宋体" w:hAnsi="宋体" w:cs="宋体"/>
          <w:sz w:val="24"/>
          <w:highlight w:val="none"/>
          <w:u w:val="single"/>
        </w:rPr>
        <w:t xml:space="preserve">                                               </w:t>
      </w:r>
    </w:p>
    <w:p w14:paraId="70B188B1">
      <w:pPr>
        <w:spacing w:line="360" w:lineRule="exact"/>
        <w:rPr>
          <w:rFonts w:hint="eastAsia" w:ascii="宋体" w:hAnsi="宋体" w:cs="宋体"/>
          <w:sz w:val="24"/>
          <w:highlight w:val="none"/>
        </w:rPr>
      </w:pPr>
      <w:r>
        <w:rPr>
          <w:rFonts w:hint="eastAsia" w:ascii="宋体" w:hAnsi="宋体" w:cs="宋体"/>
          <w:sz w:val="24"/>
          <w:highlight w:val="none"/>
        </w:rPr>
        <w:t xml:space="preserve">签字(签章)：                   公章：                      </w:t>
      </w:r>
    </w:p>
    <w:p w14:paraId="1F6F9289">
      <w:pPr>
        <w:spacing w:line="360" w:lineRule="exact"/>
        <w:rPr>
          <w:rFonts w:hint="eastAsia" w:ascii="宋体" w:hAnsi="宋体" w:cs="宋体"/>
          <w:sz w:val="24"/>
          <w:highlight w:val="none"/>
        </w:rPr>
      </w:pPr>
      <w:r>
        <w:rPr>
          <w:rFonts w:hint="eastAsia" w:ascii="宋体" w:hAnsi="宋体" w:cs="宋体"/>
          <w:sz w:val="24"/>
          <w:highlight w:val="none"/>
        </w:rPr>
        <w:t xml:space="preserve">日期：    </w:t>
      </w:r>
    </w:p>
    <w:p w14:paraId="4B447B2B">
      <w:pPr>
        <w:spacing w:line="360" w:lineRule="exact"/>
        <w:rPr>
          <w:rFonts w:hint="eastAsia" w:ascii="宋体" w:hAnsi="宋体" w:cs="宋体"/>
          <w:b/>
          <w:sz w:val="24"/>
          <w:highlight w:val="none"/>
        </w:rPr>
      </w:pPr>
    </w:p>
    <w:p w14:paraId="1F928E21">
      <w:pPr>
        <w:spacing w:line="360" w:lineRule="exact"/>
        <w:rPr>
          <w:rFonts w:hint="eastAsia" w:ascii="宋体" w:hAnsi="宋体" w:cs="宋体"/>
          <w:b/>
          <w:sz w:val="24"/>
          <w:highlight w:val="none"/>
        </w:rPr>
      </w:pPr>
      <w:r>
        <w:rPr>
          <w:rFonts w:hint="eastAsia" w:ascii="宋体" w:hAnsi="宋体" w:cs="宋体"/>
          <w:b/>
          <w:sz w:val="24"/>
          <w:highlight w:val="none"/>
        </w:rPr>
        <w:t>质疑函制作说明：</w:t>
      </w:r>
    </w:p>
    <w:p w14:paraId="2E7C367E">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1.供应商提出质疑时，应提交质疑函和必要的证明材料。</w:t>
      </w:r>
    </w:p>
    <w:p w14:paraId="1763743F">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753C0E6F">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2CD355C0">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F29D701">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5.质疑函的质疑请求应与质疑事项相关。</w:t>
      </w:r>
    </w:p>
    <w:p w14:paraId="67C1ADAF">
      <w:pPr>
        <w:widowControl/>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11E85C82">
      <w:pPr>
        <w:keepNext w:val="0"/>
        <w:keepLines w:val="0"/>
        <w:pageBreakBefore w:val="0"/>
        <w:widowControl w:val="0"/>
        <w:kinsoku/>
        <w:wordWrap/>
        <w:overflowPunct/>
        <w:topLinePunct w:val="0"/>
        <w:bidi w:val="0"/>
        <w:spacing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58" w:name="_Toc21748"/>
      <w:bookmarkStart w:id="259" w:name="_Toc16186"/>
      <w:bookmarkStart w:id="260" w:name="_Toc11469"/>
      <w:bookmarkStart w:id="261" w:name="_Toc515647799"/>
    </w:p>
    <w:bookmarkEnd w:id="258"/>
    <w:bookmarkEnd w:id="259"/>
    <w:bookmarkEnd w:id="260"/>
    <w:bookmarkEnd w:id="261"/>
    <w:p w14:paraId="3CFC7BD0">
      <w:pPr>
        <w:pStyle w:val="2"/>
        <w:keepNext w:val="0"/>
        <w:keepLines w:val="0"/>
        <w:pageBreakBefore w:val="0"/>
        <w:widowControl w:val="0"/>
        <w:numPr>
          <w:ilvl w:val="0"/>
          <w:numId w:val="0"/>
        </w:numPr>
        <w:kinsoku/>
        <w:overflowPunct/>
        <w:bidi w:val="0"/>
        <w:spacing w:before="0" w:after="0" w:line="240" w:lineRule="atLeast"/>
        <w:jc w:val="center"/>
        <w:rPr>
          <w:rFonts w:hint="eastAsia" w:ascii="宋体" w:hAnsi="宋体" w:eastAsia="宋体" w:cs="宋体"/>
          <w:color w:val="auto"/>
          <w:highlight w:val="none"/>
        </w:rPr>
      </w:pPr>
      <w:bookmarkStart w:id="262" w:name="_Toc728"/>
      <w:bookmarkStart w:id="263" w:name="_Toc702"/>
      <w:bookmarkStart w:id="264" w:name="_Toc19692"/>
      <w:bookmarkStart w:id="265" w:name="_Toc216582812"/>
      <w:bookmarkStart w:id="266" w:name="_Toc515647802"/>
      <w:r>
        <w:rPr>
          <w:rFonts w:hint="eastAsia" w:hAnsi="宋体" w:cs="宋体"/>
          <w:color w:val="auto"/>
          <w:highlight w:val="none"/>
          <w:lang w:val="en-US" w:eastAsia="zh-CN"/>
        </w:rPr>
        <w:t xml:space="preserve">第2章  </w:t>
      </w:r>
      <w:r>
        <w:rPr>
          <w:rFonts w:hint="eastAsia" w:hAnsi="宋体" w:cs="宋体"/>
          <w:color w:val="auto"/>
          <w:highlight w:val="none"/>
          <w:lang w:eastAsia="zh-CN"/>
        </w:rPr>
        <w:t>响应文件</w:t>
      </w:r>
      <w:r>
        <w:rPr>
          <w:rFonts w:hint="eastAsia" w:ascii="宋体" w:hAnsi="宋体" w:eastAsia="宋体" w:cs="宋体"/>
          <w:color w:val="auto"/>
          <w:highlight w:val="none"/>
        </w:rPr>
        <w:t>格式</w:t>
      </w:r>
      <w:bookmarkEnd w:id="262"/>
      <w:bookmarkEnd w:id="263"/>
      <w:bookmarkEnd w:id="264"/>
      <w:bookmarkEnd w:id="265"/>
      <w:bookmarkEnd w:id="266"/>
    </w:p>
    <w:p w14:paraId="2EEFF192">
      <w:pPr>
        <w:pStyle w:val="3"/>
        <w:keepNext w:val="0"/>
        <w:keepLines w:val="0"/>
        <w:pageBreakBefore w:val="0"/>
        <w:widowControl w:val="0"/>
        <w:kinsoku/>
        <w:overflowPunct/>
        <w:bidi w:val="0"/>
        <w:spacing w:before="0" w:line="240" w:lineRule="atLeast"/>
        <w:jc w:val="center"/>
        <w:rPr>
          <w:rFonts w:hint="eastAsia" w:ascii="宋体" w:hAnsi="宋体" w:eastAsia="宋体" w:cs="宋体"/>
          <w:color w:val="auto"/>
          <w:sz w:val="28"/>
          <w:szCs w:val="28"/>
          <w:highlight w:val="none"/>
        </w:rPr>
      </w:pPr>
      <w:bookmarkStart w:id="267" w:name="_Toc18694"/>
      <w:bookmarkStart w:id="268" w:name="_Toc18974"/>
      <w:bookmarkStart w:id="269" w:name="_Toc515647803"/>
      <w:bookmarkStart w:id="270" w:name="_Toc6220"/>
      <w:r>
        <w:rPr>
          <w:rFonts w:hint="eastAsia" w:ascii="宋体" w:hAnsi="宋体" w:eastAsia="宋体" w:cs="宋体"/>
          <w:color w:val="auto"/>
          <w:sz w:val="28"/>
          <w:szCs w:val="28"/>
          <w:highlight w:val="none"/>
        </w:rPr>
        <w:t>第一部分 开标一览表及资格证明文件</w:t>
      </w:r>
      <w:bookmarkEnd w:id="267"/>
      <w:bookmarkEnd w:id="268"/>
      <w:bookmarkEnd w:id="269"/>
      <w:bookmarkEnd w:id="270"/>
    </w:p>
    <w:p w14:paraId="690F6ED7">
      <w:pPr>
        <w:keepNext w:val="0"/>
        <w:keepLines w:val="0"/>
        <w:pageBreakBefore w:val="0"/>
        <w:widowControl w:val="0"/>
        <w:kinsoku/>
        <w:overflowPunct/>
        <w:bidi w:val="0"/>
        <w:spacing w:line="240" w:lineRule="atLeast"/>
        <w:ind w:left="708" w:hanging="708" w:hangingChars="295"/>
        <w:jc w:val="center"/>
        <w:rPr>
          <w:rFonts w:hint="eastAsia" w:ascii="宋体" w:hAnsi="宋体" w:eastAsia="宋体" w:cs="宋体"/>
          <w:color w:val="auto"/>
          <w:sz w:val="24"/>
          <w:highlight w:val="none"/>
        </w:rPr>
      </w:pPr>
    </w:p>
    <w:p w14:paraId="7A134170">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1、开标一览表；</w:t>
      </w:r>
    </w:p>
    <w:p w14:paraId="6278696C">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2、单位三证合一营业执照；</w:t>
      </w:r>
    </w:p>
    <w:p w14:paraId="10B34286">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具备工程勘察资质甲级或具备工程勘察岩土工程专业乙级（含）以上资质；拟派项目负责人须具有注册岩土工程师或地勘类中级（含）以上职称证</w:t>
      </w:r>
      <w:r>
        <w:rPr>
          <w:rFonts w:hint="eastAsia" w:ascii="宋体" w:hAnsi="宋体" w:eastAsia="宋体" w:cs="宋体"/>
          <w:color w:val="auto"/>
          <w:sz w:val="24"/>
          <w:highlight w:val="none"/>
          <w:lang w:val="en-US" w:eastAsia="zh-CN"/>
        </w:rPr>
        <w:t>；</w:t>
      </w:r>
    </w:p>
    <w:p w14:paraId="20C73D5B">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、法定代表人身份证明书；法定代表人授权委托书；</w:t>
      </w:r>
    </w:p>
    <w:p w14:paraId="1C932D24">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依法缴纳近六个月中任意一个月的社保凭证；依法缴纳近六个月任意一个月的税收良好记录证明（</w:t>
      </w:r>
      <w:r>
        <w:rPr>
          <w:rFonts w:hint="eastAsia" w:ascii="宋体" w:hAnsi="宋体" w:eastAsia="宋体" w:cs="宋体"/>
          <w:color w:val="auto"/>
          <w:sz w:val="24"/>
          <w:highlight w:val="none"/>
          <w:lang w:val="en-US" w:eastAsia="zh-CN"/>
        </w:rPr>
        <w:t>零申报需加盖税务机关章、无拖欠税收证明需加盖税务机关章、</w:t>
      </w:r>
      <w:r>
        <w:rPr>
          <w:rFonts w:hint="eastAsia" w:ascii="宋体" w:hAnsi="宋体" w:eastAsia="宋体" w:cs="宋体"/>
          <w:color w:val="auto"/>
          <w:sz w:val="24"/>
          <w:highlight w:val="none"/>
          <w:lang w:eastAsia="zh-CN"/>
        </w:rPr>
        <w:t>完税证明为非社保缴纳明细）；</w:t>
      </w:r>
    </w:p>
    <w:p w14:paraId="63FF3995">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 xml:space="preserve">年度经会计事务所出具财务审计报告；（新成立的公司须提供近三个月任意一个月的银行资信证明）； </w:t>
      </w:r>
    </w:p>
    <w:p w14:paraId="352D7BEA">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，附网站截图或报告；</w:t>
      </w:r>
    </w:p>
    <w:p w14:paraId="59A7972A">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、投标单位（供应商）提供针对本次项目《反商业贿赂承诺书》；</w:t>
      </w:r>
    </w:p>
    <w:p w14:paraId="641C619F">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、参加政府采购活动近3年内，在经营活动中没有重大违法记录的书面声明；</w:t>
      </w:r>
    </w:p>
    <w:p w14:paraId="697E8EFC">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、投标保证金缴纳凭证或投标担保函；</w:t>
      </w:r>
    </w:p>
    <w:p w14:paraId="0A88BE74">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AD8291A">
      <w:pPr>
        <w:pStyle w:val="49"/>
        <w:rPr>
          <w:rFonts w:hint="eastAsia" w:ascii="宋体" w:hAnsi="宋体" w:eastAsia="宋体" w:cs="宋体"/>
          <w:color w:val="auto"/>
          <w:sz w:val="24"/>
          <w:highlight w:val="none"/>
        </w:rPr>
      </w:pPr>
    </w:p>
    <w:p w14:paraId="50DF09E6">
      <w:pPr>
        <w:pStyle w:val="49"/>
        <w:rPr>
          <w:rFonts w:hint="eastAsia" w:ascii="宋体" w:hAnsi="宋体" w:eastAsia="宋体" w:cs="宋体"/>
          <w:color w:val="auto"/>
          <w:sz w:val="24"/>
          <w:highlight w:val="none"/>
        </w:rPr>
      </w:pPr>
    </w:p>
    <w:p w14:paraId="5CC4B6C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04BCB4E6">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152FC3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13034AD">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C872AB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890A30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1713169">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FCFF26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4B6CF7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363937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5BE27B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0A55873">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01781E3D">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7A071930">
      <w:pPr>
        <w:pStyle w:val="39"/>
        <w:rPr>
          <w:rFonts w:hint="eastAsia"/>
        </w:rPr>
      </w:pPr>
    </w:p>
    <w:p w14:paraId="769D2EC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885644D">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A8491A2">
      <w:pPr>
        <w:keepNext w:val="0"/>
        <w:keepLines w:val="0"/>
        <w:pageBreakBefore w:val="0"/>
        <w:widowControl w:val="0"/>
        <w:tabs>
          <w:tab w:val="left" w:pos="5580"/>
        </w:tabs>
        <w:kinsoku/>
        <w:overflowPunct/>
        <w:bidi w:val="0"/>
        <w:spacing w:line="240" w:lineRule="atLeast"/>
        <w:rPr>
          <w:rFonts w:hint="eastAsia" w:ascii="宋体" w:hAnsi="宋体" w:eastAsia="宋体" w:cs="宋体"/>
          <w:color w:val="auto"/>
          <w:sz w:val="24"/>
          <w:highlight w:val="none"/>
        </w:rPr>
      </w:pPr>
    </w:p>
    <w:p w14:paraId="2C1AB74D">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bookmarkStart w:id="271" w:name="_Toc16568"/>
      <w:bookmarkStart w:id="272" w:name="_Toc14309"/>
      <w:bookmarkStart w:id="273" w:name="_Toc515647804"/>
      <w:bookmarkStart w:id="274" w:name="_Toc30524"/>
      <w:r>
        <w:rPr>
          <w:rFonts w:hint="eastAsia" w:ascii="宋体" w:hAnsi="宋体" w:eastAsia="宋体" w:cs="宋体"/>
          <w:b/>
          <w:bCs/>
          <w:color w:val="auto"/>
          <w:kern w:val="2"/>
          <w:sz w:val="28"/>
          <w:szCs w:val="28"/>
          <w:highlight w:val="none"/>
          <w:lang w:val="en-US" w:eastAsia="zh-CN" w:bidi="ar-SA"/>
        </w:rPr>
        <w:t>1、开标一览表</w:t>
      </w:r>
      <w:bookmarkEnd w:id="271"/>
      <w:bookmarkEnd w:id="272"/>
      <w:bookmarkEnd w:id="273"/>
      <w:bookmarkEnd w:id="274"/>
    </w:p>
    <w:p w14:paraId="4156E500">
      <w:pPr>
        <w:pStyle w:val="18"/>
        <w:keepNext w:val="0"/>
        <w:keepLines w:val="0"/>
        <w:pageBreakBefore w:val="0"/>
        <w:widowControl w:val="0"/>
        <w:tabs>
          <w:tab w:val="left" w:pos="5580"/>
        </w:tabs>
        <w:kinsoku/>
        <w:overflowPunct/>
        <w:bidi w:val="0"/>
        <w:spacing w:line="240" w:lineRule="atLeast"/>
        <w:ind w:left="269" w:leftChars="128"/>
        <w:rPr>
          <w:rFonts w:hint="eastAsia" w:ascii="宋体" w:hAnsi="宋体" w:eastAsia="宋体" w:cs="宋体"/>
          <w:color w:val="auto"/>
          <w:sz w:val="24"/>
          <w:szCs w:val="24"/>
          <w:highlight w:val="none"/>
        </w:rPr>
      </w:pPr>
    </w:p>
    <w:p w14:paraId="616BAC67">
      <w:pPr>
        <w:pStyle w:val="5"/>
        <w:keepNext w:val="0"/>
        <w:keepLines w:val="0"/>
        <w:pageBreakBefore w:val="0"/>
        <w:widowControl w:val="0"/>
        <w:tabs>
          <w:tab w:val="left" w:pos="5580"/>
        </w:tabs>
        <w:kinsoku/>
        <w:overflowPunct/>
        <w:bidi w:val="0"/>
        <w:spacing w:line="240" w:lineRule="atLeast"/>
        <w:ind w:left="1080" w:leftChars="257" w:hanging="540"/>
        <w:jc w:val="both"/>
        <w:rPr>
          <w:rFonts w:hint="eastAsia" w:ascii="宋体" w:hAnsi="宋体" w:eastAsia="宋体" w:cs="宋体"/>
          <w:color w:val="auto"/>
          <w:highlight w:val="none"/>
        </w:rPr>
      </w:pPr>
      <w:bookmarkStart w:id="275" w:name="_Hlt520356241"/>
      <w:bookmarkEnd w:id="275"/>
      <w:bookmarkStart w:id="276" w:name="_Toc216582813"/>
      <w:bookmarkStart w:id="277" w:name="_Toc480942349"/>
      <w:bookmarkStart w:id="278" w:name="_Ref467988698"/>
      <w:bookmarkStart w:id="279" w:name="_Toc520356217"/>
      <w:r>
        <w:rPr>
          <w:rFonts w:hint="eastAsia" w:ascii="宋体" w:hAnsi="宋体" w:eastAsia="宋体" w:cs="宋体"/>
          <w:b/>
          <w:color w:val="auto"/>
          <w:highlight w:val="none"/>
        </w:rPr>
        <w:cr/>
      </w:r>
    </w:p>
    <w:p w14:paraId="7D9A2590">
      <w:pPr>
        <w:keepNext w:val="0"/>
        <w:keepLines w:val="0"/>
        <w:pageBreakBefore w:val="0"/>
        <w:widowControl w:val="0"/>
        <w:tabs>
          <w:tab w:val="left" w:pos="1800"/>
          <w:tab w:val="left" w:pos="5580"/>
        </w:tabs>
        <w:kinsoku/>
        <w:overflowPunct/>
        <w:bidi w:val="0"/>
        <w:spacing w:line="480" w:lineRule="auto"/>
        <w:ind w:left="1080"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00BC610C">
      <w:pPr>
        <w:keepNext w:val="0"/>
        <w:keepLines w:val="0"/>
        <w:pageBreakBefore w:val="0"/>
        <w:widowControl w:val="0"/>
        <w:tabs>
          <w:tab w:val="left" w:pos="1800"/>
          <w:tab w:val="left" w:pos="5580"/>
        </w:tabs>
        <w:kinsoku/>
        <w:overflowPunct/>
        <w:bidi w:val="0"/>
        <w:spacing w:line="480" w:lineRule="auto"/>
        <w:ind w:left="1080"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项目编号：                         </w:t>
      </w:r>
    </w:p>
    <w:tbl>
      <w:tblPr>
        <w:tblStyle w:val="40"/>
        <w:tblW w:w="8411" w:type="dxa"/>
        <w:tblInd w:w="-61" w:type="dxa"/>
        <w:tblLayout w:type="fixed"/>
        <w:tblCellMar>
          <w:top w:w="0" w:type="dxa"/>
          <w:left w:w="0" w:type="dxa"/>
          <w:bottom w:w="0" w:type="dxa"/>
          <w:right w:w="0" w:type="dxa"/>
        </w:tblCellMar>
      </w:tblPr>
      <w:tblGrid>
        <w:gridCol w:w="1591"/>
        <w:gridCol w:w="1596"/>
        <w:gridCol w:w="1704"/>
        <w:gridCol w:w="1110"/>
        <w:gridCol w:w="1253"/>
        <w:gridCol w:w="1157"/>
      </w:tblGrid>
      <w:tr w14:paraId="0B5C073F">
        <w:tblPrEx>
          <w:tblCellMar>
            <w:top w:w="0" w:type="dxa"/>
            <w:left w:w="0" w:type="dxa"/>
            <w:bottom w:w="0" w:type="dxa"/>
            <w:right w:w="0" w:type="dxa"/>
          </w:tblCellMar>
        </w:tblPrEx>
        <w:trPr>
          <w:trHeight w:val="662" w:hRule="atLeast"/>
        </w:trPr>
        <w:tc>
          <w:tcPr>
            <w:tcW w:w="1591" w:type="dxa"/>
            <w:tcBorders>
              <w:top w:val="single" w:color="auto" w:sz="4" w:space="0"/>
              <w:left w:val="single" w:color="auto" w:sz="4" w:space="0"/>
              <w:bottom w:val="single" w:color="auto" w:sz="8" w:space="0"/>
              <w:right w:val="single" w:color="auto" w:sz="4" w:space="0"/>
            </w:tcBorders>
            <w:noWrap w:val="0"/>
            <w:vAlign w:val="center"/>
          </w:tcPr>
          <w:p w14:paraId="428ABF17">
            <w:pPr>
              <w:keepNext w:val="0"/>
              <w:keepLines w:val="0"/>
              <w:pageBreakBefore w:val="0"/>
              <w:widowControl w:val="0"/>
              <w:tabs>
                <w:tab w:val="left" w:pos="5580"/>
              </w:tabs>
              <w:kinsoku/>
              <w:overflowPunct/>
              <w:bidi w:val="0"/>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596" w:type="dxa"/>
            <w:tcBorders>
              <w:top w:val="single" w:color="auto" w:sz="4" w:space="0"/>
              <w:left w:val="single" w:color="auto" w:sz="8" w:space="0"/>
              <w:bottom w:val="single" w:color="auto" w:sz="8" w:space="0"/>
              <w:right w:val="single" w:color="auto" w:sz="4" w:space="0"/>
            </w:tcBorders>
            <w:noWrap w:val="0"/>
            <w:vAlign w:val="center"/>
          </w:tcPr>
          <w:p w14:paraId="7D095881">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w:t>
            </w:r>
          </w:p>
        </w:tc>
        <w:tc>
          <w:tcPr>
            <w:tcW w:w="1704" w:type="dxa"/>
            <w:tcBorders>
              <w:top w:val="single" w:color="auto" w:sz="8" w:space="0"/>
              <w:left w:val="nil"/>
              <w:bottom w:val="single" w:color="auto" w:sz="8" w:space="0"/>
              <w:right w:val="single" w:color="auto" w:sz="4" w:space="0"/>
            </w:tcBorders>
            <w:noWrap w:val="0"/>
            <w:vAlign w:val="center"/>
          </w:tcPr>
          <w:p w14:paraId="1054F59B">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110" w:type="dxa"/>
            <w:tcBorders>
              <w:top w:val="single" w:color="auto" w:sz="8" w:space="0"/>
              <w:left w:val="nil"/>
              <w:bottom w:val="single" w:color="auto" w:sz="8" w:space="0"/>
              <w:right w:val="single" w:color="auto" w:sz="4" w:space="0"/>
            </w:tcBorders>
            <w:noWrap w:val="0"/>
            <w:vAlign w:val="center"/>
          </w:tcPr>
          <w:p w14:paraId="2321C210">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服务期</w:t>
            </w:r>
          </w:p>
        </w:tc>
        <w:tc>
          <w:tcPr>
            <w:tcW w:w="1253" w:type="dxa"/>
            <w:tcBorders>
              <w:top w:val="single" w:color="auto" w:sz="8" w:space="0"/>
              <w:left w:val="nil"/>
              <w:bottom w:val="single" w:color="auto" w:sz="8" w:space="0"/>
              <w:right w:val="single" w:color="auto" w:sz="4" w:space="0"/>
            </w:tcBorders>
            <w:noWrap w:val="0"/>
            <w:vAlign w:val="center"/>
          </w:tcPr>
          <w:p w14:paraId="7BB70EE5">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服务地点</w:t>
            </w:r>
          </w:p>
        </w:tc>
        <w:tc>
          <w:tcPr>
            <w:tcW w:w="1157" w:type="dxa"/>
            <w:tcBorders>
              <w:top w:val="single" w:color="auto" w:sz="8" w:space="0"/>
              <w:left w:val="single" w:color="auto" w:sz="4" w:space="0"/>
              <w:bottom w:val="single" w:color="auto" w:sz="8" w:space="0"/>
              <w:right w:val="single" w:color="auto" w:sz="8" w:space="0"/>
            </w:tcBorders>
            <w:noWrap w:val="0"/>
            <w:vAlign w:val="center"/>
          </w:tcPr>
          <w:p w14:paraId="21690F89">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8B99216">
        <w:tblPrEx>
          <w:tblCellMar>
            <w:top w:w="0" w:type="dxa"/>
            <w:left w:w="0" w:type="dxa"/>
            <w:bottom w:w="0" w:type="dxa"/>
            <w:right w:w="0" w:type="dxa"/>
          </w:tblCellMar>
        </w:tblPrEx>
        <w:trPr>
          <w:cantSplit/>
          <w:trHeight w:val="1640" w:hRule="atLeast"/>
        </w:trPr>
        <w:tc>
          <w:tcPr>
            <w:tcW w:w="1591" w:type="dxa"/>
            <w:tcBorders>
              <w:top w:val="single" w:color="auto" w:sz="8" w:space="0"/>
              <w:left w:val="single" w:color="auto" w:sz="4" w:space="0"/>
              <w:bottom w:val="single" w:color="auto" w:sz="4" w:space="0"/>
              <w:right w:val="single" w:color="auto" w:sz="4" w:space="0"/>
            </w:tcBorders>
            <w:noWrap w:val="0"/>
            <w:vAlign w:val="center"/>
          </w:tcPr>
          <w:p w14:paraId="681BB910">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596" w:type="dxa"/>
            <w:tcBorders>
              <w:top w:val="single" w:color="auto" w:sz="8" w:space="0"/>
              <w:left w:val="single" w:color="auto" w:sz="8" w:space="0"/>
              <w:bottom w:val="single" w:color="auto" w:sz="4" w:space="0"/>
              <w:right w:val="single" w:color="auto" w:sz="4" w:space="0"/>
            </w:tcBorders>
            <w:noWrap w:val="0"/>
            <w:vAlign w:val="center"/>
          </w:tcPr>
          <w:p w14:paraId="43E39CF9">
            <w:pPr>
              <w:keepNext w:val="0"/>
              <w:keepLines w:val="0"/>
              <w:pageBreakBefore w:val="0"/>
              <w:widowControl w:val="0"/>
              <w:tabs>
                <w:tab w:val="left" w:pos="5580"/>
              </w:tabs>
              <w:kinsoku/>
              <w:overflowPunct/>
              <w:bidi w:val="0"/>
              <w:spacing w:line="240" w:lineRule="atLeast"/>
              <w:jc w:val="left"/>
              <w:rPr>
                <w:rFonts w:hint="eastAsia" w:ascii="宋体" w:hAnsi="宋体" w:cs="宋体"/>
                <w:color w:val="auto"/>
                <w:sz w:val="24"/>
                <w:highlight w:val="none"/>
              </w:rPr>
            </w:pPr>
          </w:p>
        </w:tc>
        <w:tc>
          <w:tcPr>
            <w:tcW w:w="1704" w:type="dxa"/>
            <w:tcBorders>
              <w:top w:val="single" w:color="auto" w:sz="8" w:space="0"/>
              <w:left w:val="nil"/>
              <w:bottom w:val="single" w:color="auto" w:sz="4" w:space="0"/>
              <w:right w:val="single" w:color="auto" w:sz="4" w:space="0"/>
            </w:tcBorders>
            <w:noWrap w:val="0"/>
            <w:vAlign w:val="center"/>
          </w:tcPr>
          <w:p w14:paraId="03420A9A">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110" w:type="dxa"/>
            <w:tcBorders>
              <w:top w:val="single" w:color="auto" w:sz="8" w:space="0"/>
              <w:left w:val="nil"/>
              <w:bottom w:val="single" w:color="auto" w:sz="4" w:space="0"/>
              <w:right w:val="single" w:color="auto" w:sz="4" w:space="0"/>
            </w:tcBorders>
            <w:noWrap w:val="0"/>
            <w:vAlign w:val="center"/>
          </w:tcPr>
          <w:p w14:paraId="05120174">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253" w:type="dxa"/>
            <w:tcBorders>
              <w:top w:val="single" w:color="auto" w:sz="8" w:space="0"/>
              <w:left w:val="nil"/>
              <w:bottom w:val="single" w:color="auto" w:sz="4" w:space="0"/>
              <w:right w:val="single" w:color="auto" w:sz="4" w:space="0"/>
            </w:tcBorders>
            <w:noWrap w:val="0"/>
            <w:vAlign w:val="center"/>
          </w:tcPr>
          <w:p w14:paraId="2CD7DF51">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157" w:type="dxa"/>
            <w:tcBorders>
              <w:top w:val="single" w:color="auto" w:sz="8" w:space="0"/>
              <w:left w:val="single" w:color="auto" w:sz="4" w:space="0"/>
              <w:bottom w:val="single" w:color="auto" w:sz="4" w:space="0"/>
              <w:right w:val="single" w:color="auto" w:sz="8" w:space="0"/>
            </w:tcBorders>
            <w:noWrap w:val="0"/>
            <w:vAlign w:val="center"/>
          </w:tcPr>
          <w:p w14:paraId="1620A3C8">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r>
    </w:tbl>
    <w:p w14:paraId="0FC80E11">
      <w:pPr>
        <w:pStyle w:val="18"/>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p>
    <w:p w14:paraId="027D6EB6">
      <w:pPr>
        <w:pStyle w:val="18"/>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p>
    <w:p w14:paraId="2C9042F9">
      <w:pPr>
        <w:pStyle w:val="18"/>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0CBB2024">
      <w:pPr>
        <w:pStyle w:val="18"/>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法定代表人或委托代理人(签字):</w:t>
      </w:r>
      <w:r>
        <w:rPr>
          <w:rFonts w:hint="eastAsia" w:hAnsi="宋体" w:cs="宋体"/>
          <w:color w:val="auto"/>
          <w:sz w:val="24"/>
          <w:highlight w:val="none"/>
          <w:u w:val="single"/>
        </w:rPr>
        <w:tab/>
      </w:r>
    </w:p>
    <w:p w14:paraId="4463F517">
      <w:pPr>
        <w:pStyle w:val="18"/>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u w:val="single"/>
        </w:rPr>
      </w:pPr>
    </w:p>
    <w:p w14:paraId="57A70D2C">
      <w:pPr>
        <w:pStyle w:val="18"/>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642257E7">
      <w:pPr>
        <w:pStyle w:val="18"/>
        <w:keepNext w:val="0"/>
        <w:keepLines w:val="0"/>
        <w:pageBreakBefore w:val="0"/>
        <w:widowControl w:val="0"/>
        <w:tabs>
          <w:tab w:val="left" w:pos="5580"/>
        </w:tabs>
        <w:kinsoku/>
        <w:overflowPunct/>
        <w:bidi w:val="0"/>
        <w:spacing w:line="240" w:lineRule="atLeast"/>
        <w:ind w:firstLine="480" w:firstLineChars="200"/>
        <w:rPr>
          <w:rFonts w:hint="eastAsia" w:hAnsi="宋体" w:cs="宋体"/>
          <w:color w:val="auto"/>
          <w:sz w:val="24"/>
          <w:highlight w:val="none"/>
        </w:rPr>
      </w:pPr>
      <w:r>
        <w:rPr>
          <w:rFonts w:hint="eastAsia" w:ascii="宋体" w:hAnsi="宋体" w:eastAsia="宋体" w:cs="宋体"/>
          <w:color w:val="auto"/>
          <w:sz w:val="24"/>
          <w:highlight w:val="none"/>
        </w:rPr>
        <w:t>注:</w:t>
      </w:r>
      <w:r>
        <w:rPr>
          <w:rFonts w:hint="eastAsia" w:hAnsi="宋体" w:cs="宋体"/>
          <w:color w:val="auto"/>
          <w:sz w:val="24"/>
          <w:highlight w:val="none"/>
        </w:rPr>
        <w:t>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w:t>
      </w:r>
      <w:r>
        <w:rPr>
          <w:rFonts w:hint="eastAsia" w:hAnsi="宋体" w:cs="宋体"/>
          <w:color w:val="auto"/>
          <w:sz w:val="24"/>
          <w:highlight w:val="none"/>
          <w:lang w:eastAsia="zh-CN"/>
        </w:rPr>
        <w:t>查的</w:t>
      </w:r>
      <w:r>
        <w:rPr>
          <w:rFonts w:hAnsi="宋体" w:cs="宋体"/>
          <w:color w:val="auto"/>
          <w:sz w:val="24"/>
          <w:highlight w:val="none"/>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31D629">
      <w:pPr>
        <w:keepNext w:val="0"/>
        <w:keepLines w:val="0"/>
        <w:pageBreakBefore w:val="0"/>
        <w:widowControl w:val="0"/>
        <w:kinsoku/>
        <w:overflowPunct/>
        <w:bidi w:val="0"/>
        <w:rPr>
          <w:rFonts w:hint="eastAsia" w:ascii="宋体" w:hAnsi="宋体" w:eastAsia="宋体" w:cs="宋体"/>
          <w:b/>
          <w:color w:val="auto"/>
          <w:sz w:val="24"/>
          <w:highlight w:val="none"/>
        </w:rPr>
      </w:pPr>
    </w:p>
    <w:p w14:paraId="2CD80A65">
      <w:pPr>
        <w:pStyle w:val="29"/>
        <w:keepNext w:val="0"/>
        <w:keepLines w:val="0"/>
        <w:pageBreakBefore w:val="0"/>
        <w:widowControl w:val="0"/>
        <w:kinsoku/>
        <w:overflowPunct/>
        <w:bidi w:val="0"/>
        <w:rPr>
          <w:rFonts w:hint="eastAsia" w:ascii="宋体" w:hAnsi="宋体" w:eastAsia="宋体" w:cs="宋体"/>
          <w:b/>
          <w:color w:val="auto"/>
          <w:sz w:val="24"/>
          <w:highlight w:val="none"/>
        </w:rPr>
      </w:pPr>
    </w:p>
    <w:p w14:paraId="2F62C423">
      <w:pPr>
        <w:pStyle w:val="12"/>
        <w:keepNext w:val="0"/>
        <w:keepLines w:val="0"/>
        <w:pageBreakBefore w:val="0"/>
        <w:widowControl w:val="0"/>
        <w:kinsoku/>
        <w:overflowPunct/>
        <w:bidi w:val="0"/>
        <w:rPr>
          <w:rFonts w:hint="eastAsia" w:ascii="宋体" w:hAnsi="宋体" w:eastAsia="宋体" w:cs="宋体"/>
          <w:b/>
          <w:color w:val="auto"/>
          <w:sz w:val="24"/>
          <w:highlight w:val="none"/>
        </w:rPr>
      </w:pPr>
    </w:p>
    <w:p w14:paraId="367B76B8">
      <w:pPr>
        <w:keepNext w:val="0"/>
        <w:keepLines w:val="0"/>
        <w:pageBreakBefore w:val="0"/>
        <w:widowControl w:val="0"/>
        <w:kinsoku/>
        <w:overflowPunct/>
        <w:bidi w:val="0"/>
        <w:rPr>
          <w:rFonts w:hint="eastAsia" w:ascii="宋体" w:hAnsi="宋体" w:eastAsia="宋体" w:cs="宋体"/>
          <w:b/>
          <w:color w:val="auto"/>
          <w:sz w:val="24"/>
          <w:highlight w:val="none"/>
        </w:rPr>
      </w:pPr>
    </w:p>
    <w:p w14:paraId="626CE721">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47D23234">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3F361BC8">
      <w:pPr>
        <w:pStyle w:val="29"/>
        <w:keepNext w:val="0"/>
        <w:keepLines w:val="0"/>
        <w:pageBreakBefore w:val="0"/>
        <w:widowControl w:val="0"/>
        <w:kinsoku/>
        <w:overflowPunct/>
        <w:bidi w:val="0"/>
        <w:rPr>
          <w:rFonts w:hint="eastAsia" w:ascii="宋体" w:hAnsi="宋体" w:eastAsia="宋体" w:cs="宋体"/>
          <w:color w:val="auto"/>
          <w:highlight w:val="none"/>
        </w:rPr>
      </w:pPr>
    </w:p>
    <w:p w14:paraId="600B7EC7">
      <w:pPr>
        <w:pStyle w:val="12"/>
        <w:keepNext w:val="0"/>
        <w:keepLines w:val="0"/>
        <w:pageBreakBefore w:val="0"/>
        <w:widowControl w:val="0"/>
        <w:kinsoku/>
        <w:overflowPunct/>
        <w:bidi w:val="0"/>
        <w:rPr>
          <w:rFonts w:hint="eastAsia" w:ascii="宋体" w:hAnsi="宋体" w:eastAsia="宋体" w:cs="宋体"/>
          <w:color w:val="auto"/>
          <w:highlight w:val="none"/>
        </w:rPr>
      </w:pPr>
    </w:p>
    <w:p w14:paraId="3ECC6E41">
      <w:pPr>
        <w:pStyle w:val="39"/>
        <w:keepNext w:val="0"/>
        <w:keepLines w:val="0"/>
        <w:pageBreakBefore w:val="0"/>
        <w:widowControl w:val="0"/>
        <w:kinsoku/>
        <w:overflowPunct/>
        <w:bidi w:val="0"/>
        <w:rPr>
          <w:rFonts w:hint="eastAsia"/>
          <w:color w:val="auto"/>
          <w:highlight w:val="none"/>
        </w:rPr>
      </w:pPr>
    </w:p>
    <w:p w14:paraId="1AA59FA1">
      <w:pPr>
        <w:rPr>
          <w:rFonts w:hint="eastAsia"/>
          <w:highlight w:val="none"/>
        </w:rPr>
      </w:pPr>
    </w:p>
    <w:p w14:paraId="19758EDA">
      <w:pPr>
        <w:pStyle w:val="39"/>
        <w:keepNext w:val="0"/>
        <w:keepLines w:val="0"/>
        <w:pageBreakBefore w:val="0"/>
        <w:widowControl w:val="0"/>
        <w:kinsoku/>
        <w:overflowPunct/>
        <w:bidi w:val="0"/>
        <w:rPr>
          <w:rFonts w:hint="eastAsia"/>
          <w:color w:val="auto"/>
          <w:highlight w:val="none"/>
        </w:rPr>
      </w:pPr>
    </w:p>
    <w:p w14:paraId="2F0F3236">
      <w:pPr>
        <w:rPr>
          <w:rFonts w:hint="eastAsia"/>
          <w:highlight w:val="none"/>
        </w:rPr>
      </w:pPr>
    </w:p>
    <w:p w14:paraId="61E222DE">
      <w:pPr>
        <w:rPr>
          <w:rFonts w:hint="eastAsia"/>
          <w:highlight w:val="none"/>
        </w:rPr>
      </w:pPr>
    </w:p>
    <w:p w14:paraId="5256925C">
      <w:pPr>
        <w:pStyle w:val="18"/>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13682EAB">
      <w:pPr>
        <w:rPr>
          <w:rFonts w:hint="eastAsia" w:ascii="宋体" w:hAnsi="宋体" w:eastAsia="宋体" w:cs="宋体"/>
          <w:b/>
          <w:bCs/>
          <w:color w:val="auto"/>
          <w:kern w:val="2"/>
          <w:sz w:val="28"/>
          <w:szCs w:val="28"/>
          <w:highlight w:val="none"/>
          <w:lang w:val="en-US" w:eastAsia="zh-CN" w:bidi="ar-SA"/>
        </w:rPr>
      </w:pPr>
    </w:p>
    <w:p w14:paraId="05A2AEB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2、单位三证合一营业执照；</w:t>
      </w:r>
    </w:p>
    <w:p w14:paraId="504E892A">
      <w:pPr>
        <w:pStyle w:val="18"/>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228528F7">
      <w:pPr>
        <w:pStyle w:val="18"/>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0EDC6144">
      <w:pPr>
        <w:pStyle w:val="18"/>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01F0B6">
      <w:pPr>
        <w:pStyle w:val="18"/>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14EE478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r>
        <w:rPr>
          <w:rFonts w:hint="eastAsia" w:ascii="宋体" w:hAnsi="宋体" w:eastAsia="宋体" w:cs="宋体"/>
          <w:color w:val="auto"/>
          <w:sz w:val="24"/>
          <w:highlight w:val="none"/>
        </w:rPr>
        <w:br w:type="page"/>
      </w:r>
      <w:bookmarkStart w:id="280" w:name="_Toc31238"/>
      <w:bookmarkStart w:id="281" w:name="_Toc11047"/>
      <w:bookmarkStart w:id="282" w:name="_Toc515647809"/>
      <w:bookmarkStart w:id="283" w:name="_Toc28445"/>
    </w:p>
    <w:p w14:paraId="38449A9B">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3、具备工程勘察资质甲级或具备工程勘察岩土工程专业乙级（含）以上资质；拟派项目负责人须具有注册岩土工程师或地勘类中级（含）以上职称证；</w:t>
      </w:r>
    </w:p>
    <w:p w14:paraId="4727D41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270A18C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1ED7170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4AECE66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4BA79F2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0D73B45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1581CA7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B9A34E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260FDB58">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881764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7D65BD5C">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05D5AF18">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5FB5E7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4522DA3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58E87BD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2D0E8AE7">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40475D1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18A1BB76">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3FDC8803">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p>
    <w:p w14:paraId="0507E565">
      <w:pPr>
        <w:pStyle w:val="39"/>
        <w:rPr>
          <w:rFonts w:hint="eastAsia"/>
          <w:lang w:val="en-US" w:eastAsia="zh-CN"/>
        </w:rPr>
      </w:pPr>
    </w:p>
    <w:p w14:paraId="6D6BF34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auto"/>
          <w:kern w:val="0"/>
          <w:sz w:val="28"/>
          <w:szCs w:val="28"/>
          <w:highlight w:val="none"/>
          <w:lang w:val="en-US" w:eastAsia="zh-CN"/>
        </w:rPr>
      </w:pPr>
    </w:p>
    <w:p w14:paraId="2110F3B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4D126883">
      <w:pPr>
        <w:keepNext w:val="0"/>
        <w:keepLines w:val="0"/>
        <w:pageBreakBefore w:val="0"/>
        <w:widowControl w:val="0"/>
        <w:kinsoku/>
        <w:overflowPunct/>
        <w:bidi w:val="0"/>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61815ABE">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14DE2920">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0ABAD00A">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6FAAF49F">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4A820416">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68F369BF">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04DCCBE6">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540A7E28">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77F254C2">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附件。</w:t>
      </w:r>
    </w:p>
    <w:p w14:paraId="3A2666EC">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D53CA9C">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24910241">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A55B896">
                            <w:pPr>
                              <w:jc w:val="center"/>
                              <w:rPr>
                                <w:rFonts w:hAnsi="宋体"/>
                                <w:szCs w:val="21"/>
                              </w:rPr>
                            </w:pPr>
                          </w:p>
                          <w:p w14:paraId="43CD0D1B">
                            <w:pPr>
                              <w:jc w:val="center"/>
                              <w:rPr>
                                <w:rFonts w:hAnsi="宋体"/>
                                <w:szCs w:val="21"/>
                              </w:rPr>
                            </w:pPr>
                          </w:p>
                          <w:p w14:paraId="52EC5D06">
                            <w:pPr>
                              <w:jc w:val="center"/>
                              <w:rPr>
                                <w:rFonts w:hAnsi="宋体"/>
                                <w:szCs w:val="21"/>
                              </w:rPr>
                            </w:pPr>
                          </w:p>
                          <w:p w14:paraId="3E9E1FA3">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A55B896">
                      <w:pPr>
                        <w:jc w:val="center"/>
                        <w:rPr>
                          <w:rFonts w:hAnsi="宋体"/>
                          <w:szCs w:val="21"/>
                        </w:rPr>
                      </w:pPr>
                    </w:p>
                    <w:p w14:paraId="43CD0D1B">
                      <w:pPr>
                        <w:jc w:val="center"/>
                        <w:rPr>
                          <w:rFonts w:hAnsi="宋体"/>
                          <w:szCs w:val="21"/>
                        </w:rPr>
                      </w:pPr>
                    </w:p>
                    <w:p w14:paraId="52EC5D06">
                      <w:pPr>
                        <w:jc w:val="center"/>
                        <w:rPr>
                          <w:rFonts w:hAnsi="宋体"/>
                          <w:szCs w:val="21"/>
                        </w:rPr>
                      </w:pPr>
                    </w:p>
                    <w:p w14:paraId="3E9E1FA3">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264F5E10">
                            <w:pPr>
                              <w:jc w:val="center"/>
                              <w:rPr>
                                <w:rFonts w:hAnsi="宋体"/>
                                <w:szCs w:val="21"/>
                              </w:rPr>
                            </w:pPr>
                            <w:r>
                              <w:rPr>
                                <w:rFonts w:hint="eastAsia" w:hAnsi="宋体"/>
                                <w:szCs w:val="21"/>
                              </w:rPr>
                              <w:t xml:space="preserve">  </w:t>
                            </w:r>
                          </w:p>
                          <w:p w14:paraId="777E304A">
                            <w:pPr>
                              <w:jc w:val="center"/>
                              <w:rPr>
                                <w:rFonts w:hAnsi="宋体"/>
                                <w:szCs w:val="21"/>
                              </w:rPr>
                            </w:pPr>
                          </w:p>
                          <w:p w14:paraId="241DA89D">
                            <w:pPr>
                              <w:jc w:val="center"/>
                              <w:rPr>
                                <w:rFonts w:hAnsi="宋体"/>
                                <w:szCs w:val="21"/>
                              </w:rPr>
                            </w:pPr>
                          </w:p>
                          <w:p w14:paraId="08FFB617">
                            <w:pPr>
                              <w:jc w:val="center"/>
                              <w:rPr>
                                <w:szCs w:val="21"/>
                              </w:rPr>
                            </w:pPr>
                            <w:r>
                              <w:rPr>
                                <w:rFonts w:hint="eastAsia" w:hAnsi="宋体"/>
                                <w:szCs w:val="21"/>
                              </w:rPr>
                              <w:t>法定代表人身份证复印件反面</w:t>
                            </w:r>
                          </w:p>
                          <w:p w14:paraId="51231AF4"/>
                          <w:p w14:paraId="3A0D4949">
                            <w:pPr>
                              <w:pStyle w:val="5"/>
                            </w:pPr>
                          </w:p>
                          <w:p w14:paraId="7900A1BA">
                            <w:pPr>
                              <w:pStyle w:val="5"/>
                            </w:pPr>
                          </w:p>
                          <w:p w14:paraId="0221A7FB">
                            <w:pPr>
                              <w:pStyle w:val="5"/>
                            </w:pPr>
                          </w:p>
                          <w:p w14:paraId="558D05EE">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264F5E10">
                      <w:pPr>
                        <w:jc w:val="center"/>
                        <w:rPr>
                          <w:rFonts w:hAnsi="宋体"/>
                          <w:szCs w:val="21"/>
                        </w:rPr>
                      </w:pPr>
                      <w:r>
                        <w:rPr>
                          <w:rFonts w:hint="eastAsia" w:hAnsi="宋体"/>
                          <w:szCs w:val="21"/>
                        </w:rPr>
                        <w:t xml:space="preserve">  </w:t>
                      </w:r>
                    </w:p>
                    <w:p w14:paraId="777E304A">
                      <w:pPr>
                        <w:jc w:val="center"/>
                        <w:rPr>
                          <w:rFonts w:hAnsi="宋体"/>
                          <w:szCs w:val="21"/>
                        </w:rPr>
                      </w:pPr>
                    </w:p>
                    <w:p w14:paraId="241DA89D">
                      <w:pPr>
                        <w:jc w:val="center"/>
                        <w:rPr>
                          <w:rFonts w:hAnsi="宋体"/>
                          <w:szCs w:val="21"/>
                        </w:rPr>
                      </w:pPr>
                    </w:p>
                    <w:p w14:paraId="08FFB617">
                      <w:pPr>
                        <w:jc w:val="center"/>
                        <w:rPr>
                          <w:szCs w:val="21"/>
                        </w:rPr>
                      </w:pPr>
                      <w:r>
                        <w:rPr>
                          <w:rFonts w:hint="eastAsia" w:hAnsi="宋体"/>
                          <w:szCs w:val="21"/>
                        </w:rPr>
                        <w:t>法定代表人身份证复印件反面</w:t>
                      </w:r>
                    </w:p>
                    <w:p w14:paraId="51231AF4"/>
                    <w:p w14:paraId="3A0D4949">
                      <w:pPr>
                        <w:pStyle w:val="5"/>
                      </w:pPr>
                    </w:p>
                    <w:p w14:paraId="7900A1BA">
                      <w:pPr>
                        <w:pStyle w:val="5"/>
                      </w:pPr>
                    </w:p>
                    <w:p w14:paraId="0221A7FB">
                      <w:pPr>
                        <w:pStyle w:val="5"/>
                      </w:pPr>
                    </w:p>
                    <w:p w14:paraId="558D05EE">
                      <w:pPr>
                        <w:pStyle w:val="5"/>
                      </w:pPr>
                    </w:p>
                  </w:txbxContent>
                </v:textbox>
              </v:roundrect>
            </w:pict>
          </mc:Fallback>
        </mc:AlternateContent>
      </w:r>
    </w:p>
    <w:p w14:paraId="117CFFEC">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268565D6">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2BABDD78">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overflowPunct/>
        <w:bidi w:val="0"/>
        <w:spacing w:line="360" w:lineRule="auto"/>
        <w:rPr>
          <w:rFonts w:hint="eastAsia" w:ascii="宋体" w:hAnsi="宋体" w:cs="宋体"/>
          <w:color w:val="auto"/>
          <w:sz w:val="24"/>
          <w:highlight w:val="none"/>
        </w:rPr>
      </w:pPr>
    </w:p>
    <w:p w14:paraId="3F077429">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3FA3C47C">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3A97CBD7">
      <w:pPr>
        <w:pStyle w:val="29"/>
        <w:keepNext w:val="0"/>
        <w:keepLines w:val="0"/>
        <w:pageBreakBefore w:val="0"/>
        <w:widowControl w:val="0"/>
        <w:kinsoku/>
        <w:overflowPunct/>
        <w:bidi w:val="0"/>
        <w:rPr>
          <w:rFonts w:hint="eastAsia"/>
          <w:color w:val="auto"/>
          <w:highlight w:val="none"/>
        </w:rPr>
      </w:pPr>
    </w:p>
    <w:p w14:paraId="178357DD">
      <w:pPr>
        <w:keepNext w:val="0"/>
        <w:keepLines w:val="0"/>
        <w:pageBreakBefore w:val="0"/>
        <w:widowControl w:val="0"/>
        <w:kinsoku/>
        <w:overflowPunct/>
        <w:autoSpaceDE w:val="0"/>
        <w:autoSpaceDN w:val="0"/>
        <w:bidi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7E374432">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5306B9B7">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70E2608D">
      <w:pPr>
        <w:pStyle w:val="18"/>
        <w:keepNext w:val="0"/>
        <w:keepLines w:val="0"/>
        <w:pageBreakBefore w:val="0"/>
        <w:widowControl w:val="0"/>
        <w:tabs>
          <w:tab w:val="left" w:pos="5580"/>
        </w:tabs>
        <w:kinsoku/>
        <w:overflowPunct/>
        <w:bidi w:val="0"/>
        <w:spacing w:line="240" w:lineRule="atLeast"/>
        <w:ind w:left="1080" w:leftChars="257" w:hanging="540"/>
        <w:rPr>
          <w:rFonts w:hint="eastAsia" w:ascii="仿宋" w:hAnsi="仿宋" w:eastAsia="仿宋"/>
          <w:b/>
          <w:color w:val="auto"/>
          <w:sz w:val="24"/>
          <w:highlight w:val="none"/>
        </w:rPr>
      </w:pPr>
    </w:p>
    <w:p w14:paraId="5F17D998">
      <w:pPr>
        <w:pStyle w:val="18"/>
        <w:keepNext w:val="0"/>
        <w:keepLines w:val="0"/>
        <w:pageBreakBefore w:val="0"/>
        <w:widowControl w:val="0"/>
        <w:tabs>
          <w:tab w:val="left" w:pos="5580"/>
        </w:tabs>
        <w:kinsoku/>
        <w:overflowPunct/>
        <w:bidi w:val="0"/>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2B4FE054">
      <w:pPr>
        <w:pStyle w:val="18"/>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7458FF90">
      <w:pPr>
        <w:pStyle w:val="3"/>
        <w:keepNext w:val="0"/>
        <w:keepLines w:val="0"/>
        <w:pageBreakBefore w:val="0"/>
        <w:widowControl w:val="0"/>
        <w:tabs>
          <w:tab w:val="left" w:pos="540"/>
        </w:tabs>
        <w:kinsoku/>
        <w:overflowPunct/>
        <w:bidi w:val="0"/>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84" w:name="_Toc22472"/>
      <w:bookmarkStart w:id="285" w:name="_Toc515647807"/>
      <w:bookmarkStart w:id="286" w:name="_Toc23503"/>
      <w:bookmarkStart w:id="287" w:name="_Toc1083"/>
      <w:r>
        <w:rPr>
          <w:rFonts w:hint="eastAsia" w:asciiTheme="minorEastAsia" w:hAnsiTheme="minorEastAsia" w:eastAsiaTheme="minorEastAsia" w:cstheme="minorEastAsia"/>
          <w:color w:val="auto"/>
          <w:sz w:val="24"/>
          <w:szCs w:val="24"/>
          <w:highlight w:val="none"/>
        </w:rPr>
        <w:t xml:space="preserve"> </w:t>
      </w:r>
      <w:bookmarkStart w:id="288" w:name="_Toc29028"/>
      <w:bookmarkStart w:id="289" w:name="_Toc1846"/>
      <w:bookmarkStart w:id="290" w:name="_Toc23386"/>
      <w:r>
        <w:rPr>
          <w:rFonts w:hint="eastAsia" w:asciiTheme="minorEastAsia" w:hAnsiTheme="minorEastAsia" w:eastAsiaTheme="minorEastAsia" w:cstheme="minorEastAsia"/>
          <w:color w:val="auto"/>
          <w:sz w:val="24"/>
          <w:szCs w:val="24"/>
          <w:highlight w:val="none"/>
        </w:rPr>
        <w:t>（二）法定代表人授权委托书</w:t>
      </w:r>
      <w:bookmarkEnd w:id="284"/>
      <w:bookmarkEnd w:id="285"/>
      <w:bookmarkEnd w:id="286"/>
      <w:bookmarkEnd w:id="287"/>
      <w:bookmarkEnd w:id="288"/>
      <w:bookmarkEnd w:id="289"/>
      <w:bookmarkEnd w:id="290"/>
    </w:p>
    <w:p w14:paraId="2BB488F5">
      <w:pPr>
        <w:pStyle w:val="3"/>
        <w:keepNext w:val="0"/>
        <w:keepLines w:val="0"/>
        <w:pageBreakBefore w:val="0"/>
        <w:widowControl w:val="0"/>
        <w:tabs>
          <w:tab w:val="left" w:pos="540"/>
        </w:tabs>
        <w:kinsoku/>
        <w:overflowPunct/>
        <w:bidi w:val="0"/>
        <w:jc w:val="both"/>
        <w:rPr>
          <w:rFonts w:hint="eastAsia" w:ascii="宋体" w:hAnsi="宋体" w:cs="宋体"/>
          <w:color w:val="auto"/>
          <w:sz w:val="24"/>
          <w:highlight w:val="none"/>
        </w:rPr>
      </w:pPr>
      <w:bookmarkStart w:id="291" w:name="_Toc5232"/>
      <w:bookmarkStart w:id="292" w:name="_Toc6592"/>
      <w:bookmarkStart w:id="293" w:name="_Toc30228"/>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91"/>
      <w:bookmarkEnd w:id="292"/>
      <w:bookmarkEnd w:id="293"/>
      <w:r>
        <w:rPr>
          <w:rFonts w:hint="eastAsia" w:ascii="宋体" w:hAnsi="宋体" w:cs="宋体"/>
          <w:color w:val="auto"/>
          <w:sz w:val="24"/>
          <w:highlight w:val="none"/>
        </w:rPr>
        <w:t>　　</w:t>
      </w:r>
    </w:p>
    <w:p w14:paraId="6D8F33F9">
      <w:pPr>
        <w:pStyle w:val="18"/>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056A6EFD">
      <w:pPr>
        <w:pStyle w:val="18"/>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90D8F0A">
                            <w:pPr>
                              <w:jc w:val="center"/>
                              <w:rPr>
                                <w:rFonts w:hint="eastAsia" w:hAnsi="宋体"/>
                              </w:rPr>
                            </w:pPr>
                            <w:r>
                              <w:rPr>
                                <w:rFonts w:hint="eastAsia" w:hAnsi="宋体"/>
                              </w:rPr>
                              <w:t xml:space="preserve">  </w:t>
                            </w:r>
                          </w:p>
                          <w:p w14:paraId="3EEF3D03">
                            <w:pPr>
                              <w:rPr>
                                <w:rFonts w:hint="eastAsia" w:hAnsi="宋体"/>
                              </w:rPr>
                            </w:pPr>
                          </w:p>
                          <w:p w14:paraId="564C7E25">
                            <w:pPr>
                              <w:jc w:val="center"/>
                              <w:rPr>
                                <w:szCs w:val="21"/>
                              </w:rPr>
                            </w:pPr>
                            <w:r>
                              <w:rPr>
                                <w:rFonts w:hint="eastAsia" w:hAnsi="宋体"/>
                                <w:szCs w:val="21"/>
                              </w:rPr>
                              <w:t>法定代表人身份证复印件反面</w:t>
                            </w:r>
                          </w:p>
                          <w:p w14:paraId="5FFDE977"/>
                        </w:txbxContent>
                      </wps:txbx>
                      <wps:bodyPr upright="1"/>
                    </wps:wsp>
                  </a:graphicData>
                </a:graphic>
              </wp:anchor>
            </w:drawing>
          </mc:Choice>
          <mc:Fallback>
            <w:pict>
              <v:roundrect id="_x0000_s1026" o:spid="_x0000_s1026" o:spt="2" style="position:absolute;left:0pt;margin-left:222.65pt;margin-top:45.75pt;height:97.6pt;width:175.65pt;z-index:251665408;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390D8F0A">
                      <w:pPr>
                        <w:jc w:val="center"/>
                        <w:rPr>
                          <w:rFonts w:hint="eastAsia" w:hAnsi="宋体"/>
                        </w:rPr>
                      </w:pPr>
                      <w:r>
                        <w:rPr>
                          <w:rFonts w:hint="eastAsia" w:hAnsi="宋体"/>
                        </w:rPr>
                        <w:t xml:space="preserve">  </w:t>
                      </w:r>
                    </w:p>
                    <w:p w14:paraId="3EEF3D03">
                      <w:pPr>
                        <w:rPr>
                          <w:rFonts w:hint="eastAsia" w:hAnsi="宋体"/>
                        </w:rPr>
                      </w:pPr>
                    </w:p>
                    <w:p w14:paraId="564C7E25">
                      <w:pPr>
                        <w:jc w:val="center"/>
                        <w:rPr>
                          <w:szCs w:val="21"/>
                        </w:rPr>
                      </w:pPr>
                      <w:r>
                        <w:rPr>
                          <w:rFonts w:hint="eastAsia" w:hAnsi="宋体"/>
                          <w:szCs w:val="21"/>
                        </w:rPr>
                        <w:t>法定代表人身份证复印件反面</w:t>
                      </w:r>
                    </w:p>
                    <w:p w14:paraId="5FFDE977"/>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DE861B6">
                            <w:pPr>
                              <w:jc w:val="center"/>
                              <w:rPr>
                                <w:rFonts w:hint="eastAsia" w:hAnsi="宋体"/>
                              </w:rPr>
                            </w:pPr>
                          </w:p>
                          <w:p w14:paraId="712BE2E2">
                            <w:pPr>
                              <w:rPr>
                                <w:rFonts w:hint="eastAsia" w:hAnsi="宋体"/>
                              </w:rPr>
                            </w:pPr>
                          </w:p>
                          <w:p w14:paraId="47DE0AED">
                            <w:pPr>
                              <w:jc w:val="center"/>
                              <w:rPr>
                                <w:rFonts w:hint="eastAsia"/>
                                <w:szCs w:val="21"/>
                              </w:rPr>
                            </w:pPr>
                            <w:r>
                              <w:rPr>
                                <w:rFonts w:hint="eastAsia" w:hAnsi="宋体"/>
                                <w:szCs w:val="21"/>
                              </w:rPr>
                              <w:t>法定代表人身份证复印件正面</w:t>
                            </w:r>
                          </w:p>
                          <w:p w14:paraId="3AD1367C"/>
                        </w:txbxContent>
                      </wps:txbx>
                      <wps:bodyPr upright="1"/>
                    </wps:wsp>
                  </a:graphicData>
                </a:graphic>
              </wp:anchor>
            </w:drawing>
          </mc:Choice>
          <mc:Fallback>
            <w:pict>
              <v:roundrect id="_x0000_s1026" o:spid="_x0000_s1026" o:spt="2" style="position:absolute;left:0pt;margin-left:25.35pt;margin-top:44.6pt;height:102.55pt;width:178.8pt;z-index:25166438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7DE861B6">
                      <w:pPr>
                        <w:jc w:val="center"/>
                        <w:rPr>
                          <w:rFonts w:hint="eastAsia" w:hAnsi="宋体"/>
                        </w:rPr>
                      </w:pPr>
                    </w:p>
                    <w:p w14:paraId="712BE2E2">
                      <w:pPr>
                        <w:rPr>
                          <w:rFonts w:hint="eastAsia" w:hAnsi="宋体"/>
                        </w:rPr>
                      </w:pPr>
                    </w:p>
                    <w:p w14:paraId="47DE0AED">
                      <w:pPr>
                        <w:jc w:val="center"/>
                        <w:rPr>
                          <w:rFonts w:hint="eastAsia"/>
                          <w:szCs w:val="21"/>
                        </w:rPr>
                      </w:pPr>
                      <w:r>
                        <w:rPr>
                          <w:rFonts w:hint="eastAsia" w:hAnsi="宋体"/>
                          <w:szCs w:val="21"/>
                        </w:rPr>
                        <w:t>法定代表人身份证复印件正面</w:t>
                      </w:r>
                    </w:p>
                    <w:p w14:paraId="3AD1367C"/>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097B6A72">
      <w:pPr>
        <w:pStyle w:val="18"/>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047FD2E9">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7AAD3AF4">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63715C44">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121E01E7">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13D6EBA1">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4702BF8">
                            <w:pPr>
                              <w:rPr>
                                <w:rFonts w:hint="eastAsia" w:hAnsi="宋体"/>
                              </w:rPr>
                            </w:pPr>
                          </w:p>
                          <w:p w14:paraId="1FEEA75B">
                            <w:pPr>
                              <w:rPr>
                                <w:rFonts w:hint="eastAsia" w:hAnsi="宋体"/>
                              </w:rPr>
                            </w:pPr>
                          </w:p>
                          <w:p w14:paraId="28541F7B">
                            <w:r>
                              <w:rPr>
                                <w:rFonts w:hint="eastAsia" w:hAnsi="宋体"/>
                              </w:rPr>
                              <w:t>被授权委托人身份证复印件反面</w:t>
                            </w:r>
                          </w:p>
                          <w:p w14:paraId="75C54614"/>
                        </w:txbxContent>
                      </wps:txbx>
                      <wps:bodyPr upright="1"/>
                    </wps:wsp>
                  </a:graphicData>
                </a:graphic>
              </wp:anchor>
            </w:drawing>
          </mc:Choice>
          <mc:Fallback>
            <w:pict>
              <v:roundrect id="_x0000_s1026" o:spid="_x0000_s1026" o:spt="2" style="position:absolute;left:0pt;margin-left:226.55pt;margin-top:3.5pt;height:95.4pt;width:178.65pt;z-index:251663360;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74702BF8">
                      <w:pPr>
                        <w:rPr>
                          <w:rFonts w:hint="eastAsia" w:hAnsi="宋体"/>
                        </w:rPr>
                      </w:pPr>
                    </w:p>
                    <w:p w14:paraId="1FEEA75B">
                      <w:pPr>
                        <w:rPr>
                          <w:rFonts w:hint="eastAsia" w:hAnsi="宋体"/>
                        </w:rPr>
                      </w:pPr>
                    </w:p>
                    <w:p w14:paraId="28541F7B">
                      <w:r>
                        <w:rPr>
                          <w:rFonts w:hint="eastAsia" w:hAnsi="宋体"/>
                        </w:rPr>
                        <w:t>被授权委托人身份证复印件反面</w:t>
                      </w:r>
                    </w:p>
                    <w:p w14:paraId="75C54614"/>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EA48CBC">
                            <w:pPr>
                              <w:rPr>
                                <w:rFonts w:hint="eastAsia" w:hAnsi="宋体"/>
                              </w:rPr>
                            </w:pPr>
                          </w:p>
                          <w:p w14:paraId="0A8BC5E2">
                            <w:pPr>
                              <w:jc w:val="center"/>
                              <w:rPr>
                                <w:rFonts w:hint="eastAsia" w:hAnsi="宋体"/>
                              </w:rPr>
                            </w:pPr>
                          </w:p>
                          <w:p w14:paraId="691E549C">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2336;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3EA48CBC">
                      <w:pPr>
                        <w:rPr>
                          <w:rFonts w:hint="eastAsia" w:hAnsi="宋体"/>
                        </w:rPr>
                      </w:pPr>
                    </w:p>
                    <w:p w14:paraId="0A8BC5E2">
                      <w:pPr>
                        <w:jc w:val="center"/>
                        <w:rPr>
                          <w:rFonts w:hint="eastAsia" w:hAnsi="宋体"/>
                        </w:rPr>
                      </w:pPr>
                    </w:p>
                    <w:p w14:paraId="691E549C">
                      <w:pPr>
                        <w:jc w:val="center"/>
                      </w:pPr>
                      <w:r>
                        <w:rPr>
                          <w:rFonts w:hint="eastAsia" w:hAnsi="宋体"/>
                        </w:rPr>
                        <w:t>被授权委托人身份证复印件正面</w:t>
                      </w:r>
                    </w:p>
                  </w:txbxContent>
                </v:textbox>
              </v:shape>
            </w:pict>
          </mc:Fallback>
        </mc:AlternateContent>
      </w:r>
    </w:p>
    <w:p w14:paraId="53203765">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6786B9CA">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3DF18A9">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341C0571">
      <w:pPr>
        <w:pStyle w:val="18"/>
        <w:keepNext w:val="0"/>
        <w:keepLines w:val="0"/>
        <w:pageBreakBefore w:val="0"/>
        <w:widowControl w:val="0"/>
        <w:tabs>
          <w:tab w:val="left" w:pos="5580"/>
        </w:tabs>
        <w:kinsoku/>
        <w:overflowPunct/>
        <w:bidi w:val="0"/>
        <w:spacing w:line="240" w:lineRule="atLeast"/>
        <w:rPr>
          <w:rFonts w:hint="eastAsia" w:hAnsi="宋体" w:cs="宋体"/>
          <w:color w:val="auto"/>
          <w:sz w:val="24"/>
          <w:highlight w:val="none"/>
        </w:rPr>
      </w:pPr>
    </w:p>
    <w:p w14:paraId="5DF19C98">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717F19B5">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63F89FF4">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4194D1A8">
      <w:pPr>
        <w:pStyle w:val="18"/>
        <w:keepNext w:val="0"/>
        <w:keepLines w:val="0"/>
        <w:pageBreakBefore w:val="0"/>
        <w:widowControl w:val="0"/>
        <w:tabs>
          <w:tab w:val="left" w:pos="5580"/>
        </w:tabs>
        <w:kinsoku/>
        <w:overflowPunct/>
        <w:bidi w:val="0"/>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16A771E2">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7DC0B1DD">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9ECAA52">
      <w:pPr>
        <w:pStyle w:val="18"/>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1E1B4A42">
      <w:pPr>
        <w:pStyle w:val="18"/>
        <w:keepNext w:val="0"/>
        <w:keepLines w:val="0"/>
        <w:pageBreakBefore w:val="0"/>
        <w:widowControl w:val="0"/>
        <w:tabs>
          <w:tab w:val="left" w:pos="5580"/>
        </w:tabs>
        <w:kinsoku/>
        <w:overflowPunct/>
        <w:bidi w:val="0"/>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792EBF13">
      <w:pPr>
        <w:pStyle w:val="18"/>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35003E94">
      <w:pPr>
        <w:pStyle w:val="18"/>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6C260ECD">
      <w:pPr>
        <w:pStyle w:val="32"/>
        <w:rPr>
          <w:rFonts w:hint="eastAsia"/>
          <w:highlight w:val="none"/>
        </w:rPr>
      </w:pPr>
    </w:p>
    <w:p w14:paraId="11AAA59C">
      <w:pPr>
        <w:pStyle w:val="32"/>
        <w:keepNext w:val="0"/>
        <w:keepLines w:val="0"/>
        <w:pageBreakBefore w:val="0"/>
        <w:widowControl w:val="0"/>
        <w:kinsoku/>
        <w:overflowPunct/>
        <w:bidi w:val="0"/>
        <w:rPr>
          <w:rFonts w:hint="eastAsia"/>
          <w:color w:val="auto"/>
          <w:highlight w:val="none"/>
        </w:rPr>
      </w:pPr>
    </w:p>
    <w:p w14:paraId="4A85658E">
      <w:pPr>
        <w:keepNext w:val="0"/>
        <w:keepLines w:val="0"/>
        <w:pageBreakBefore w:val="0"/>
        <w:widowControl w:val="0"/>
        <w:tabs>
          <w:tab w:val="left" w:pos="5580"/>
        </w:tabs>
        <w:kinsoku/>
        <w:overflowPunct/>
        <w:bidi w:val="0"/>
        <w:spacing w:line="360" w:lineRule="exact"/>
        <w:rPr>
          <w:rFonts w:hint="eastAsia" w:ascii="宋体" w:hAnsi="宋体" w:eastAsia="宋体" w:cs="宋体"/>
          <w:b/>
          <w:bCs/>
          <w:color w:val="auto"/>
          <w:sz w:val="28"/>
          <w:szCs w:val="28"/>
          <w:highlight w:val="none"/>
        </w:rPr>
      </w:pPr>
    </w:p>
    <w:p w14:paraId="527D277B">
      <w:pPr>
        <w:keepNext w:val="0"/>
        <w:keepLines w:val="0"/>
        <w:pageBreakBefore w:val="0"/>
        <w:widowControl w:val="0"/>
        <w:numPr>
          <w:ilvl w:val="0"/>
          <w:numId w:val="0"/>
        </w:numPr>
        <w:tabs>
          <w:tab w:val="left" w:pos="5580"/>
        </w:tabs>
        <w:kinsoku/>
        <w:overflowPunct/>
        <w:bidi w:val="0"/>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409E55C">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09CA54DD">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4CCF64D7">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D6FF1AB">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0F009DEB">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31E8FACD">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751B6879">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4692E7DB">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571A9D4E">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467F0B6">
      <w:pPr>
        <w:pStyle w:val="10"/>
        <w:keepNext w:val="0"/>
        <w:keepLines w:val="0"/>
        <w:pageBreakBefore w:val="0"/>
        <w:widowControl w:val="0"/>
        <w:kinsoku/>
        <w:overflowPunct/>
        <w:bidi w:val="0"/>
        <w:rPr>
          <w:rFonts w:hint="eastAsia" w:ascii="宋体" w:hAnsi="宋体" w:eastAsia="宋体" w:cs="宋体"/>
          <w:color w:val="auto"/>
          <w:highlight w:val="none"/>
        </w:rPr>
      </w:pPr>
    </w:p>
    <w:p w14:paraId="16F83684">
      <w:pPr>
        <w:keepNext w:val="0"/>
        <w:keepLines w:val="0"/>
        <w:pageBreakBefore w:val="0"/>
        <w:widowControl w:val="0"/>
        <w:kinsoku/>
        <w:overflowPunct/>
        <w:bidi w:val="0"/>
        <w:rPr>
          <w:rFonts w:hint="eastAsia" w:ascii="宋体" w:hAnsi="宋体" w:eastAsia="宋体" w:cs="宋体"/>
          <w:color w:val="auto"/>
          <w:highlight w:val="none"/>
        </w:rPr>
      </w:pPr>
    </w:p>
    <w:p w14:paraId="5FDD234F">
      <w:pPr>
        <w:pStyle w:val="29"/>
        <w:keepNext w:val="0"/>
        <w:keepLines w:val="0"/>
        <w:pageBreakBefore w:val="0"/>
        <w:widowControl w:val="0"/>
        <w:kinsoku/>
        <w:overflowPunct/>
        <w:bidi w:val="0"/>
        <w:rPr>
          <w:rFonts w:hint="eastAsia" w:ascii="宋体" w:hAnsi="宋体" w:eastAsia="宋体" w:cs="宋体"/>
          <w:color w:val="auto"/>
          <w:highlight w:val="none"/>
        </w:rPr>
      </w:pPr>
    </w:p>
    <w:p w14:paraId="7386F506">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2025年度经会计师事务所出具财务审计报告；（新成立的公司须提供近三个月任意一个月的银行资信证明）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00CCD5BE">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注：1、如提供本单位202</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年度经会计师事务所出具的审计报告（</w:t>
      </w:r>
      <w:r>
        <w:rPr>
          <w:rFonts w:hint="eastAsia" w:hAnsi="宋体" w:cs="宋体"/>
          <w:color w:val="auto"/>
          <w:highlight w:val="none"/>
          <w:lang w:val="en-US" w:eastAsia="zh-CN"/>
        </w:rPr>
        <w:t>新成立的公司须提供近三个月任意一个月的银行资信证明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32312949">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3D7EDD51">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13BBEEBA">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0B002A37">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1494A5EE">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0DB05483">
      <w:pPr>
        <w:pStyle w:val="10"/>
        <w:keepNext w:val="0"/>
        <w:keepLines w:val="0"/>
        <w:pageBreakBefore w:val="0"/>
        <w:widowControl w:val="0"/>
        <w:kinsoku/>
        <w:overflowPunct/>
        <w:bidi w:val="0"/>
        <w:rPr>
          <w:rFonts w:hint="eastAsia" w:ascii="宋体" w:hAnsi="宋体" w:eastAsia="宋体" w:cs="宋体"/>
          <w:color w:val="auto"/>
          <w:highlight w:val="none"/>
        </w:rPr>
      </w:pPr>
    </w:p>
    <w:p w14:paraId="095C01E9">
      <w:pPr>
        <w:pStyle w:val="10"/>
        <w:keepNext w:val="0"/>
        <w:keepLines w:val="0"/>
        <w:pageBreakBefore w:val="0"/>
        <w:widowControl w:val="0"/>
        <w:kinsoku/>
        <w:overflowPunct/>
        <w:bidi w:val="0"/>
        <w:rPr>
          <w:rFonts w:hint="eastAsia" w:ascii="宋体" w:hAnsi="宋体" w:eastAsia="宋体" w:cs="宋体"/>
          <w:color w:val="auto"/>
          <w:highlight w:val="none"/>
        </w:rPr>
      </w:pPr>
    </w:p>
    <w:p w14:paraId="2E5C7834">
      <w:pPr>
        <w:keepNext w:val="0"/>
        <w:keepLines w:val="0"/>
        <w:pageBreakBefore w:val="0"/>
        <w:widowControl w:val="0"/>
        <w:kinsoku/>
        <w:overflowPunct/>
        <w:bidi w:val="0"/>
        <w:rPr>
          <w:rFonts w:hint="eastAsia" w:ascii="宋体" w:hAnsi="宋体" w:eastAsia="宋体" w:cs="宋体"/>
          <w:color w:val="auto"/>
          <w:highlight w:val="none"/>
        </w:rPr>
      </w:pPr>
    </w:p>
    <w:p w14:paraId="723E4A30">
      <w:pPr>
        <w:pStyle w:val="29"/>
        <w:rPr>
          <w:rFonts w:hint="eastAsia"/>
          <w:highlight w:val="none"/>
        </w:rPr>
      </w:pPr>
    </w:p>
    <w:p w14:paraId="6309F39A">
      <w:pPr>
        <w:pStyle w:val="29"/>
        <w:keepNext w:val="0"/>
        <w:keepLines w:val="0"/>
        <w:pageBreakBefore w:val="0"/>
        <w:widowControl w:val="0"/>
        <w:kinsoku/>
        <w:overflowPunct/>
        <w:bidi w:val="0"/>
        <w:rPr>
          <w:rFonts w:hint="eastAsia" w:ascii="宋体" w:hAnsi="宋体" w:eastAsia="宋体" w:cs="宋体"/>
          <w:color w:val="auto"/>
          <w:highlight w:val="none"/>
        </w:rPr>
      </w:pPr>
    </w:p>
    <w:p w14:paraId="4E6A5FBC">
      <w:pPr>
        <w:keepNext w:val="0"/>
        <w:keepLines w:val="0"/>
        <w:pageBreakBefore w:val="0"/>
        <w:widowControl w:val="0"/>
        <w:numPr>
          <w:ilvl w:val="0"/>
          <w:numId w:val="0"/>
        </w:numPr>
        <w:tabs>
          <w:tab w:val="left" w:pos="5580"/>
        </w:tabs>
        <w:kinsoku/>
        <w:overflowPunct/>
        <w:bidi w:val="0"/>
        <w:spacing w:line="240" w:lineRule="atLeast"/>
        <w:ind w:left="540"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highlight w:val="none"/>
          <w:lang w:val="en-US" w:eastAsia="zh-CN" w:bidi="ar-SA"/>
        </w:rPr>
        <w:t>7</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，附网站</w:t>
      </w:r>
      <w:r>
        <w:rPr>
          <w:rFonts w:hint="eastAsia" w:ascii="宋体" w:hAnsi="宋体" w:cs="宋体"/>
          <w:b/>
          <w:bCs/>
          <w:color w:val="auto"/>
          <w:sz w:val="28"/>
          <w:szCs w:val="28"/>
          <w:highlight w:val="none"/>
          <w:lang w:val="en-US" w:eastAsia="zh-CN"/>
        </w:rPr>
        <w:t>截图或报告；</w:t>
      </w:r>
    </w:p>
    <w:p w14:paraId="13D49C4A">
      <w:pPr>
        <w:pStyle w:val="29"/>
        <w:keepNext w:val="0"/>
        <w:keepLines w:val="0"/>
        <w:pageBreakBefore w:val="0"/>
        <w:widowControl w:val="0"/>
        <w:numPr>
          <w:ilvl w:val="0"/>
          <w:numId w:val="0"/>
        </w:numPr>
        <w:kinsoku/>
        <w:overflowPunct/>
        <w:bidi w:val="0"/>
        <w:snapToGrid w:val="0"/>
        <w:jc w:val="left"/>
        <w:rPr>
          <w:rFonts w:hint="eastAsia" w:ascii="宋体" w:hAnsi="宋体" w:eastAsia="宋体" w:cs="宋体"/>
          <w:color w:val="auto"/>
          <w:highlight w:val="none"/>
          <w:lang w:val="en-US" w:eastAsia="zh-CN"/>
        </w:rPr>
      </w:pPr>
    </w:p>
    <w:p w14:paraId="4332171C">
      <w:pPr>
        <w:pStyle w:val="12"/>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19C3F3B9">
      <w:pPr>
        <w:pStyle w:val="39"/>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35BAFA90">
      <w:pPr>
        <w:rPr>
          <w:rFonts w:hint="eastAsia" w:ascii="宋体" w:hAnsi="宋体" w:eastAsia="宋体" w:cs="宋体"/>
          <w:color w:val="auto"/>
          <w:highlight w:val="none"/>
          <w:lang w:val="en-US" w:eastAsia="zh-CN"/>
        </w:rPr>
      </w:pPr>
    </w:p>
    <w:p w14:paraId="3DA6FED5">
      <w:pPr>
        <w:pStyle w:val="29"/>
        <w:rPr>
          <w:rFonts w:hint="eastAsia"/>
          <w:highlight w:val="none"/>
          <w:lang w:val="en-US" w:eastAsia="zh-CN"/>
        </w:rPr>
      </w:pPr>
    </w:p>
    <w:p w14:paraId="507896A2">
      <w:pPr>
        <w:pStyle w:val="18"/>
        <w:keepNext w:val="0"/>
        <w:keepLines w:val="0"/>
        <w:pageBreakBefore w:val="0"/>
        <w:widowControl w:val="0"/>
        <w:tabs>
          <w:tab w:val="left" w:pos="5580"/>
        </w:tabs>
        <w:kinsoku/>
        <w:overflowPunct/>
        <w:bidi w:val="0"/>
        <w:spacing w:line="240" w:lineRule="atLeast"/>
        <w:jc w:val="center"/>
        <w:outlineLvl w:val="1"/>
        <w:rPr>
          <w:rFonts w:hint="eastAsia" w:ascii="宋体" w:hAnsi="宋体" w:eastAsia="宋体" w:cs="宋体"/>
          <w:b/>
          <w:color w:val="000000"/>
          <w:kern w:val="0"/>
          <w:sz w:val="28"/>
          <w:szCs w:val="28"/>
          <w:highlight w:val="none"/>
        </w:rPr>
      </w:pPr>
      <w:r>
        <w:rPr>
          <w:rFonts w:hint="eastAsia"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w:t>
      </w:r>
      <w:r>
        <w:rPr>
          <w:rFonts w:hint="eastAsia" w:ascii="宋体" w:hAnsi="宋体" w:eastAsia="宋体" w:cs="宋体"/>
          <w:b/>
          <w:color w:val="000000"/>
          <w:kern w:val="0"/>
          <w:sz w:val="28"/>
          <w:szCs w:val="28"/>
          <w:highlight w:val="none"/>
        </w:rPr>
        <w:t>针对本次项目《反商业贿赂承诺书》；</w:t>
      </w:r>
    </w:p>
    <w:p w14:paraId="37BA236C">
      <w:pPr>
        <w:pStyle w:val="18"/>
        <w:keepNext w:val="0"/>
        <w:keepLines w:val="0"/>
        <w:pageBreakBefore w:val="0"/>
        <w:widowControl w:val="0"/>
        <w:tabs>
          <w:tab w:val="left" w:pos="5580"/>
        </w:tabs>
        <w:kinsoku/>
        <w:overflowPunct/>
        <w:bidi w:val="0"/>
        <w:spacing w:line="240" w:lineRule="atLeast"/>
        <w:outlineLvl w:val="1"/>
        <w:rPr>
          <w:rFonts w:hint="eastAsia" w:ascii="宋体" w:hAnsi="宋体" w:eastAsia="宋体" w:cs="宋体"/>
          <w:b/>
          <w:color w:val="000000"/>
          <w:kern w:val="0"/>
          <w:sz w:val="24"/>
          <w:szCs w:val="24"/>
          <w:highlight w:val="none"/>
        </w:rPr>
      </w:pPr>
    </w:p>
    <w:p w14:paraId="35B5597E">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A1E1284">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61024E8">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84797C0">
      <w:pPr>
        <w:pStyle w:val="5"/>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D7E6BC5">
      <w:pPr>
        <w:keepNext w:val="0"/>
        <w:keepLines w:val="0"/>
        <w:pageBreakBefore w:val="0"/>
        <w:widowControl w:val="0"/>
        <w:kinsoku/>
        <w:overflowPunct/>
        <w:bidi w:val="0"/>
        <w:spacing w:before="100" w:beforeAutospacing="1" w:after="100" w:afterAutospacing="1" w:line="360" w:lineRule="auto"/>
        <w:ind w:firstLine="897"/>
        <w:jc w:val="left"/>
        <w:rPr>
          <w:rFonts w:hint="eastAsia" w:ascii="宋体" w:hAnsi="宋体" w:eastAsia="宋体" w:cs="宋体"/>
          <w:color w:val="auto"/>
          <w:szCs w:val="21"/>
          <w:highlight w:val="none"/>
        </w:rPr>
      </w:pPr>
    </w:p>
    <w:p w14:paraId="35CEC3AA">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48C5DEDF">
      <w:pPr>
        <w:pStyle w:val="5"/>
        <w:keepNext w:val="0"/>
        <w:keepLines w:val="0"/>
        <w:pageBreakBefore w:val="0"/>
        <w:widowControl w:val="0"/>
        <w:numPr>
          <w:ilvl w:val="0"/>
          <w:numId w:val="0"/>
        </w:numPr>
        <w:kinsoku/>
        <w:overflowPunct/>
        <w:bidi w:val="0"/>
        <w:jc w:val="cente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0141C638">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24F46721">
      <w:pPr>
        <w:pStyle w:val="5"/>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w:t>
      </w:r>
      <w:r>
        <w:rPr>
          <w:rFonts w:hint="eastAsia" w:hAnsi="宋体" w:cs="宋体"/>
          <w:color w:val="auto"/>
          <w:highlight w:val="none"/>
          <w:lang w:val="en-US" w:eastAsia="zh-CN"/>
        </w:rPr>
        <w:t>磋商</w:t>
      </w:r>
      <w:r>
        <w:rPr>
          <w:rFonts w:hint="eastAsia" w:ascii="宋体" w:hAnsi="宋体" w:eastAsia="宋体" w:cs="宋体"/>
          <w:color w:val="auto"/>
          <w:highlight w:val="none"/>
        </w:rPr>
        <w:t>文件的规定加盖本单位章（自然人投标的无需盖章，需要签字）。</w:t>
      </w:r>
    </w:p>
    <w:p w14:paraId="3A89C215">
      <w:pPr>
        <w:pStyle w:val="5"/>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24C11373">
      <w:pPr>
        <w:pStyle w:val="5"/>
        <w:keepNext w:val="0"/>
        <w:keepLines w:val="0"/>
        <w:pageBreakBefore w:val="0"/>
        <w:widowControl w:val="0"/>
        <w:kinsoku/>
        <w:overflowPunct/>
        <w:bidi w:val="0"/>
        <w:ind w:firstLine="0"/>
        <w:rPr>
          <w:rFonts w:hint="eastAsia" w:ascii="宋体" w:hAnsi="宋体" w:eastAsia="宋体" w:cs="宋体"/>
          <w:color w:val="auto"/>
          <w:highlight w:val="none"/>
        </w:rPr>
      </w:pPr>
    </w:p>
    <w:p w14:paraId="20585AEA">
      <w:pPr>
        <w:pStyle w:val="10"/>
        <w:keepNext w:val="0"/>
        <w:keepLines w:val="0"/>
        <w:pageBreakBefore w:val="0"/>
        <w:widowControl w:val="0"/>
        <w:kinsoku/>
        <w:overflowPunct/>
        <w:bidi w:val="0"/>
        <w:rPr>
          <w:rFonts w:hint="eastAsia" w:ascii="宋体" w:hAnsi="宋体" w:eastAsia="宋体" w:cs="宋体"/>
          <w:color w:val="auto"/>
          <w:highlight w:val="none"/>
        </w:rPr>
      </w:pPr>
    </w:p>
    <w:p w14:paraId="6239D3BC">
      <w:pPr>
        <w:keepNext w:val="0"/>
        <w:keepLines w:val="0"/>
        <w:pageBreakBefore w:val="0"/>
        <w:widowControl w:val="0"/>
        <w:kinsoku/>
        <w:overflowPunct/>
        <w:bidi w:val="0"/>
        <w:rPr>
          <w:rFonts w:hint="eastAsia" w:ascii="宋体" w:hAnsi="宋体" w:eastAsia="宋体" w:cs="宋体"/>
          <w:color w:val="auto"/>
          <w:highlight w:val="none"/>
        </w:rPr>
      </w:pPr>
    </w:p>
    <w:p w14:paraId="4DE2F4FC">
      <w:pPr>
        <w:pStyle w:val="29"/>
        <w:keepNext w:val="0"/>
        <w:keepLines w:val="0"/>
        <w:pageBreakBefore w:val="0"/>
        <w:widowControl w:val="0"/>
        <w:kinsoku/>
        <w:overflowPunct/>
        <w:bidi w:val="0"/>
        <w:rPr>
          <w:rFonts w:hint="eastAsia" w:ascii="宋体" w:hAnsi="宋体" w:eastAsia="宋体" w:cs="宋体"/>
          <w:color w:val="auto"/>
          <w:highlight w:val="none"/>
        </w:rPr>
      </w:pPr>
    </w:p>
    <w:p w14:paraId="3C4D5343">
      <w:pPr>
        <w:pStyle w:val="12"/>
        <w:keepNext w:val="0"/>
        <w:keepLines w:val="0"/>
        <w:pageBreakBefore w:val="0"/>
        <w:widowControl w:val="0"/>
        <w:kinsoku/>
        <w:overflowPunct/>
        <w:bidi w:val="0"/>
        <w:rPr>
          <w:rFonts w:hint="eastAsia" w:ascii="宋体" w:hAnsi="宋体" w:eastAsia="宋体" w:cs="宋体"/>
          <w:color w:val="auto"/>
          <w:highlight w:val="none"/>
        </w:rPr>
      </w:pPr>
    </w:p>
    <w:p w14:paraId="7E57254C">
      <w:pPr>
        <w:pStyle w:val="39"/>
        <w:keepNext w:val="0"/>
        <w:keepLines w:val="0"/>
        <w:pageBreakBefore w:val="0"/>
        <w:widowControl w:val="0"/>
        <w:kinsoku/>
        <w:overflowPunct/>
        <w:bidi w:val="0"/>
        <w:rPr>
          <w:rFonts w:hint="eastAsia" w:ascii="宋体" w:hAnsi="宋体" w:eastAsia="宋体" w:cs="宋体"/>
          <w:color w:val="auto"/>
          <w:highlight w:val="none"/>
        </w:rPr>
      </w:pPr>
    </w:p>
    <w:p w14:paraId="397F7B8A">
      <w:pPr>
        <w:keepNext w:val="0"/>
        <w:keepLines w:val="0"/>
        <w:pageBreakBefore w:val="0"/>
        <w:widowControl w:val="0"/>
        <w:kinsoku/>
        <w:overflowPunct/>
        <w:bidi w:val="0"/>
        <w:rPr>
          <w:rFonts w:hint="eastAsia" w:ascii="宋体" w:hAnsi="宋体" w:eastAsia="宋体" w:cs="宋体"/>
          <w:color w:val="auto"/>
          <w:highlight w:val="none"/>
        </w:rPr>
      </w:pPr>
    </w:p>
    <w:p w14:paraId="28CACB88">
      <w:pPr>
        <w:pStyle w:val="29"/>
        <w:keepNext w:val="0"/>
        <w:keepLines w:val="0"/>
        <w:pageBreakBefore w:val="0"/>
        <w:widowControl w:val="0"/>
        <w:kinsoku/>
        <w:overflowPunct/>
        <w:bidi w:val="0"/>
        <w:rPr>
          <w:rFonts w:hint="eastAsia" w:ascii="宋体" w:hAnsi="宋体" w:eastAsia="宋体" w:cs="宋体"/>
          <w:color w:val="auto"/>
          <w:highlight w:val="none"/>
        </w:rPr>
      </w:pPr>
    </w:p>
    <w:p w14:paraId="5BE23718">
      <w:pPr>
        <w:pStyle w:val="12"/>
        <w:keepNext w:val="0"/>
        <w:keepLines w:val="0"/>
        <w:pageBreakBefore w:val="0"/>
        <w:widowControl w:val="0"/>
        <w:kinsoku/>
        <w:overflowPunct/>
        <w:bidi w:val="0"/>
        <w:rPr>
          <w:rFonts w:hint="eastAsia" w:ascii="宋体" w:hAnsi="宋体" w:eastAsia="宋体" w:cs="宋体"/>
          <w:color w:val="auto"/>
          <w:highlight w:val="none"/>
        </w:rPr>
      </w:pPr>
    </w:p>
    <w:p w14:paraId="18226590">
      <w:pPr>
        <w:pStyle w:val="39"/>
        <w:keepNext w:val="0"/>
        <w:keepLines w:val="0"/>
        <w:pageBreakBefore w:val="0"/>
        <w:widowControl w:val="0"/>
        <w:kinsoku/>
        <w:overflowPunct/>
        <w:bidi w:val="0"/>
        <w:rPr>
          <w:rFonts w:hint="eastAsia" w:ascii="宋体" w:hAnsi="宋体" w:eastAsia="宋体" w:cs="宋体"/>
          <w:color w:val="auto"/>
          <w:highlight w:val="none"/>
        </w:rPr>
      </w:pPr>
    </w:p>
    <w:p w14:paraId="52BA7C26">
      <w:pPr>
        <w:keepNext w:val="0"/>
        <w:keepLines w:val="0"/>
        <w:pageBreakBefore w:val="0"/>
        <w:widowControl w:val="0"/>
        <w:tabs>
          <w:tab w:val="left" w:pos="5580"/>
        </w:tabs>
        <w:kinsoku/>
        <w:overflowPunct/>
        <w:bidi w:val="0"/>
        <w:spacing w:line="360" w:lineRule="exact"/>
        <w:jc w:val="center"/>
        <w:rPr>
          <w:rFonts w:hint="eastAsia" w:ascii="宋体" w:hAnsi="宋体" w:eastAsia="宋体" w:cs="宋体"/>
          <w:color w:val="auto"/>
          <w:sz w:val="24"/>
          <w:highlight w:val="none"/>
        </w:rPr>
      </w:pPr>
      <w:r>
        <w:rPr>
          <w:rFonts w:hint="eastAsia" w:ascii="宋体" w:hAnsi="宋体" w:cs="宋体"/>
          <w:b/>
          <w:bCs/>
          <w:color w:val="auto"/>
          <w:sz w:val="28"/>
          <w:szCs w:val="28"/>
          <w:highlight w:val="none"/>
          <w:lang w:val="en-US" w:eastAsia="zh-CN"/>
        </w:rPr>
        <w:t>10、投标保证金缴纳凭证或投标担保函</w:t>
      </w:r>
      <w:r>
        <w:rPr>
          <w:rFonts w:hint="eastAsia" w:ascii="宋体" w:hAnsi="宋体" w:eastAsia="宋体" w:cs="宋体"/>
          <w:color w:val="auto"/>
          <w:highlight w:val="none"/>
        </w:rPr>
        <w:br w:type="page"/>
      </w:r>
    </w:p>
    <w:bookmarkEnd w:id="280"/>
    <w:bookmarkEnd w:id="281"/>
    <w:bookmarkEnd w:id="282"/>
    <w:bookmarkEnd w:id="283"/>
    <w:p w14:paraId="5595EF40">
      <w:pPr>
        <w:pStyle w:val="3"/>
        <w:keepNext w:val="0"/>
        <w:keepLines w:val="0"/>
        <w:pageBreakBefore w:val="0"/>
        <w:widowControl w:val="0"/>
        <w:numPr>
          <w:ilvl w:val="0"/>
          <w:numId w:val="1"/>
        </w:numPr>
        <w:kinsoku/>
        <w:overflowPunct/>
        <w:bidi w:val="0"/>
        <w:spacing w:before="0" w:line="240" w:lineRule="atLeast"/>
        <w:ind w:left="1080" w:leftChars="257" w:hanging="540"/>
        <w:rPr>
          <w:rFonts w:hint="eastAsia" w:ascii="宋体" w:hAnsi="宋体" w:eastAsia="宋体" w:cs="宋体"/>
          <w:color w:val="auto"/>
          <w:sz w:val="28"/>
          <w:szCs w:val="21"/>
          <w:highlight w:val="none"/>
        </w:rPr>
      </w:pPr>
      <w:bookmarkStart w:id="294" w:name="_Toc515647816"/>
      <w:bookmarkStart w:id="295" w:name="_Toc30317"/>
      <w:bookmarkStart w:id="296" w:name="_Toc22967"/>
      <w:bookmarkStart w:id="297" w:name="_Toc11180"/>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294"/>
      <w:bookmarkEnd w:id="295"/>
      <w:bookmarkEnd w:id="296"/>
      <w:bookmarkEnd w:id="297"/>
    </w:p>
    <w:bookmarkEnd w:id="276"/>
    <w:bookmarkEnd w:id="277"/>
    <w:bookmarkEnd w:id="278"/>
    <w:bookmarkEnd w:id="279"/>
    <w:p w14:paraId="0407BD11">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1、磋商书</w:t>
      </w:r>
    </w:p>
    <w:p w14:paraId="2CFEC60A">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2、磋商分项报价表</w:t>
      </w:r>
    </w:p>
    <w:p w14:paraId="4729DA94">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3、服务说明一览表</w:t>
      </w:r>
    </w:p>
    <w:p w14:paraId="132AD7A1">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4、商务条款偏离表</w:t>
      </w:r>
    </w:p>
    <w:p w14:paraId="615C3993">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5、投标人企业（单位）类型声明函</w:t>
      </w:r>
    </w:p>
    <w:p w14:paraId="6EEAC6E5">
      <w:pPr>
        <w:pStyle w:val="18"/>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5-1、中小企业声明函</w:t>
      </w:r>
    </w:p>
    <w:p w14:paraId="547528A0">
      <w:pPr>
        <w:pStyle w:val="18"/>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6、供应商关联单位的说明</w:t>
      </w:r>
    </w:p>
    <w:p w14:paraId="637462E6">
      <w:pPr>
        <w:pStyle w:val="18"/>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、同类项目业绩一览表</w:t>
      </w:r>
    </w:p>
    <w:p w14:paraId="43B4DCE9">
      <w:pPr>
        <w:pStyle w:val="18"/>
        <w:spacing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 xml:space="preserve">、人员配备 </w:t>
      </w:r>
    </w:p>
    <w:p w14:paraId="2F09FC4D">
      <w:pPr>
        <w:pStyle w:val="18"/>
        <w:spacing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 xml:space="preserve">、实施方案 </w:t>
      </w:r>
    </w:p>
    <w:p w14:paraId="6C250242">
      <w:pPr>
        <w:pStyle w:val="18"/>
        <w:spacing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工作进度安排</w:t>
      </w:r>
      <w:r>
        <w:rPr>
          <w:rFonts w:hint="eastAsia" w:ascii="宋体" w:hAnsi="宋体" w:eastAsia="宋体" w:cs="宋体"/>
          <w:color w:val="000000"/>
          <w:sz w:val="24"/>
          <w:szCs w:val="24"/>
          <w:highlight w:val="none"/>
          <w:lang w:eastAsia="zh-CN"/>
        </w:rPr>
        <w:t xml:space="preserve"> </w:t>
      </w:r>
    </w:p>
    <w:p w14:paraId="7028FF72">
      <w:pPr>
        <w:pStyle w:val="18"/>
        <w:spacing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设计总体规划及实施细则</w:t>
      </w:r>
    </w:p>
    <w:p w14:paraId="0FF08DE4">
      <w:pPr>
        <w:pStyle w:val="18"/>
        <w:spacing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12、重点、难点分析及应对措施</w:t>
      </w:r>
    </w:p>
    <w:p w14:paraId="534C3F5C">
      <w:pPr>
        <w:pStyle w:val="18"/>
        <w:spacing w:line="400" w:lineRule="exact"/>
        <w:ind w:firstLine="480" w:firstLineChars="20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13、服务承诺</w:t>
      </w:r>
    </w:p>
    <w:p w14:paraId="7D1661BB">
      <w:pPr>
        <w:pStyle w:val="18"/>
        <w:spacing w:line="400" w:lineRule="exact"/>
        <w:ind w:firstLine="480" w:firstLineChars="200"/>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14、服务期</w:t>
      </w:r>
    </w:p>
    <w:p w14:paraId="5CB13ED7">
      <w:pPr>
        <w:pStyle w:val="18"/>
        <w:spacing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、投标文件还应包括投标人须知第10条的所有技术文件（</w:t>
      </w:r>
      <w:r>
        <w:rPr>
          <w:rFonts w:hint="eastAsia" w:ascii="宋体" w:hAnsi="宋体" w:eastAsia="宋体" w:cs="宋体"/>
          <w:color w:val="000000"/>
          <w:sz w:val="24"/>
          <w:szCs w:val="24"/>
          <w:highlight w:val="none"/>
          <w:lang w:val="en-US" w:eastAsia="zh-CN"/>
        </w:rPr>
        <w:t>如有</w:t>
      </w:r>
      <w:r>
        <w:rPr>
          <w:rFonts w:hint="eastAsia" w:ascii="宋体" w:hAnsi="宋体" w:eastAsia="宋体" w:cs="宋体"/>
          <w:color w:val="000000"/>
          <w:sz w:val="24"/>
          <w:szCs w:val="24"/>
          <w:highlight w:val="none"/>
          <w:lang w:eastAsia="zh-CN"/>
        </w:rPr>
        <w:t>）</w:t>
      </w:r>
    </w:p>
    <w:p w14:paraId="701EFD69">
      <w:pPr>
        <w:pStyle w:val="18"/>
        <w:spacing w:line="400" w:lineRule="exact"/>
        <w:ind w:firstLine="480" w:firstLineChars="200"/>
        <w:rPr>
          <w:rFonts w:hint="eastAsia" w:hAnsi="宋体" w:cs="宋体"/>
          <w:color w:val="000000"/>
          <w:sz w:val="24"/>
          <w:szCs w:val="24"/>
          <w:highlight w:val="none"/>
        </w:rPr>
      </w:pPr>
    </w:p>
    <w:p w14:paraId="5A8897AC">
      <w:pPr>
        <w:pStyle w:val="3"/>
        <w:spacing w:before="0" w:line="240" w:lineRule="atLeast"/>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br w:type="page"/>
      </w:r>
      <w:bookmarkStart w:id="298" w:name="_Toc11475"/>
      <w:bookmarkStart w:id="299" w:name="_Toc8940"/>
      <w:bookmarkStart w:id="300" w:name="_Toc17319"/>
      <w:bookmarkStart w:id="301" w:name="_Toc18614"/>
      <w:bookmarkStart w:id="302" w:name="_Toc515647817"/>
      <w:bookmarkStart w:id="303" w:name="_Toc14915"/>
      <w:bookmarkStart w:id="304" w:name="_Toc18506"/>
      <w:bookmarkStart w:id="305" w:name="_Toc2041"/>
      <w:bookmarkStart w:id="306" w:name="_Toc22432"/>
      <w:bookmarkStart w:id="307" w:name="_Toc12852"/>
      <w:bookmarkStart w:id="308" w:name="_Toc14858"/>
      <w:r>
        <w:rPr>
          <w:rFonts w:hint="eastAsia" w:ascii="宋体" w:hAnsi="宋体" w:eastAsia="宋体" w:cs="宋体"/>
          <w:color w:val="000000"/>
          <w:sz w:val="24"/>
          <w:szCs w:val="24"/>
          <w:highlight w:val="none"/>
        </w:rPr>
        <w:t>1</w:t>
      </w:r>
      <w:bookmarkStart w:id="309" w:name="_Hlt520355504"/>
      <w:bookmarkEnd w:id="309"/>
      <w:r>
        <w:rPr>
          <w:rFonts w:hint="eastAsia" w:ascii="宋体" w:hAnsi="宋体" w:eastAsia="宋体" w:cs="宋体"/>
          <w:color w:val="000000"/>
          <w:sz w:val="24"/>
          <w:szCs w:val="24"/>
          <w:highlight w:val="none"/>
        </w:rPr>
        <w:t>、磋商书</w:t>
      </w:r>
      <w:bookmarkEnd w:id="298"/>
      <w:bookmarkEnd w:id="299"/>
      <w:bookmarkEnd w:id="300"/>
      <w:bookmarkEnd w:id="301"/>
      <w:bookmarkEnd w:id="302"/>
      <w:bookmarkEnd w:id="303"/>
      <w:bookmarkEnd w:id="304"/>
      <w:bookmarkEnd w:id="305"/>
      <w:bookmarkEnd w:id="306"/>
      <w:bookmarkEnd w:id="307"/>
      <w:bookmarkEnd w:id="308"/>
    </w:p>
    <w:p w14:paraId="387A239F">
      <w:pPr>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hanging="1080"/>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14:paraId="49158C40">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2" w:leftChars="1" w:firstLine="480" w:firstLineChars="200"/>
        <w:textAlignment w:val="auto"/>
        <w:rPr>
          <w:rFonts w:hint="eastAsia" w:hAnsi="宋体" w:cs="宋体"/>
          <w:color w:val="000000"/>
          <w:sz w:val="24"/>
          <w:szCs w:val="24"/>
          <w:highlight w:val="none"/>
        </w:rPr>
      </w:pPr>
      <w:r>
        <w:rPr>
          <w:rFonts w:hint="eastAsia" w:hAnsi="宋体" w:cs="宋体"/>
          <w:sz w:val="24"/>
          <w:highlight w:val="none"/>
        </w:rPr>
        <w:t>根据贵方(</w:t>
      </w:r>
      <w:r>
        <w:rPr>
          <w:rFonts w:hint="eastAsia" w:hAnsi="宋体" w:cs="宋体"/>
          <w:i/>
          <w:sz w:val="24"/>
          <w:highlight w:val="none"/>
          <w:u w:val="single"/>
        </w:rPr>
        <w:t>项目名称</w:t>
      </w:r>
      <w:r>
        <w:rPr>
          <w:rFonts w:hint="eastAsia" w:hAnsi="宋体" w:cs="宋体"/>
          <w:sz w:val="24"/>
          <w:highlight w:val="none"/>
        </w:rPr>
        <w:t>)项目的投标邀请(</w:t>
      </w:r>
      <w:r>
        <w:rPr>
          <w:rFonts w:hint="eastAsia" w:hAnsi="宋体" w:cs="宋体"/>
          <w:i/>
          <w:sz w:val="24"/>
          <w:highlight w:val="none"/>
          <w:u w:val="single"/>
        </w:rPr>
        <w:t>招标编号</w:t>
      </w:r>
      <w:r>
        <w:rPr>
          <w:rFonts w:hint="eastAsia" w:hAnsi="宋体" w:cs="宋体"/>
          <w:sz w:val="24"/>
          <w:highlight w:val="none"/>
        </w:rPr>
        <w:t>),签字代表(</w:t>
      </w:r>
      <w:r>
        <w:rPr>
          <w:rFonts w:hint="eastAsia" w:hAnsi="宋体" w:cs="宋体"/>
          <w:i/>
          <w:sz w:val="24"/>
          <w:highlight w:val="none"/>
          <w:u w:val="single"/>
        </w:rPr>
        <w:t>姓名、职务</w:t>
      </w:r>
      <w:r>
        <w:rPr>
          <w:rFonts w:hint="eastAsia" w:hAnsi="宋体" w:cs="宋体"/>
          <w:sz w:val="24"/>
          <w:highlight w:val="none"/>
        </w:rPr>
        <w:t>)经正式授权并代表投标人（</w:t>
      </w:r>
      <w:r>
        <w:rPr>
          <w:rFonts w:hint="eastAsia" w:hAnsi="宋体" w:cs="宋体"/>
          <w:i/>
          <w:sz w:val="24"/>
          <w:highlight w:val="none"/>
          <w:u w:val="single"/>
        </w:rPr>
        <w:t>名称、地址</w:t>
      </w:r>
      <w:r>
        <w:rPr>
          <w:rFonts w:hint="eastAsia" w:hAnsi="宋体" w:cs="宋体"/>
          <w:sz w:val="24"/>
          <w:highlight w:val="none"/>
        </w:rPr>
        <w:t>），</w:t>
      </w:r>
      <w:r>
        <w:rPr>
          <w:rFonts w:hint="eastAsia" w:hAnsi="宋体" w:cs="宋体"/>
          <w:color w:val="000000"/>
          <w:sz w:val="24"/>
          <w:szCs w:val="24"/>
          <w:highlight w:val="none"/>
        </w:rPr>
        <w:t>并以</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形式出具的金额为人民币</w:t>
      </w:r>
      <w:r>
        <w:rPr>
          <w:rFonts w:hint="eastAsia" w:hAnsi="宋体" w:cs="宋体"/>
          <w:color w:val="000000"/>
          <w:sz w:val="24"/>
          <w:szCs w:val="24"/>
          <w:highlight w:val="none"/>
          <w:u w:val="single"/>
        </w:rPr>
        <w:t>　　　　</w:t>
      </w:r>
      <w:r>
        <w:rPr>
          <w:rFonts w:hint="eastAsia" w:hAnsi="宋体" w:cs="宋体"/>
          <w:color w:val="000000"/>
          <w:sz w:val="24"/>
          <w:szCs w:val="24"/>
          <w:highlight w:val="none"/>
        </w:rPr>
        <w:t>元的磋商保证金。</w:t>
      </w:r>
    </w:p>
    <w:p w14:paraId="3CFABFC5">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14:paraId="273A3D8F">
      <w:pPr>
        <w:pStyle w:val="18"/>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exact"/>
        <w:ind w:left="769" w:leftChars="257" w:hanging="229"/>
        <w:textAlignment w:val="auto"/>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（1）附投标价格表中规定的应提供服务的投标总价详见开标一览表，价格为</w:t>
      </w:r>
      <w:r>
        <w:rPr>
          <w:rFonts w:hint="eastAsia" w:hAnsi="宋体" w:cs="宋体"/>
          <w:color w:val="000000"/>
          <w:sz w:val="24"/>
          <w:szCs w:val="24"/>
          <w:highlight w:val="none"/>
          <w:u w:val="single"/>
        </w:rPr>
        <w:t>　　      （用文字和数字表示</w:t>
      </w:r>
      <w:r>
        <w:rPr>
          <w:rFonts w:hint="eastAsia" w:hAnsi="宋体" w:cs="宋体"/>
          <w:color w:val="000000"/>
          <w:sz w:val="24"/>
          <w:szCs w:val="24"/>
          <w:highlight w:val="none"/>
          <w:u w:val="single"/>
          <w:lang w:eastAsia="zh-CN"/>
        </w:rPr>
        <w:t>（</w:t>
      </w:r>
      <w:r>
        <w:rPr>
          <w:rFonts w:hint="eastAsia" w:hAnsi="宋体" w:cs="宋体"/>
          <w:color w:val="000000"/>
          <w:sz w:val="24"/>
          <w:szCs w:val="24"/>
          <w:highlight w:val="none"/>
          <w:u w:val="single"/>
          <w:lang w:val="en-US" w:eastAsia="zh-CN"/>
        </w:rPr>
        <w:t>大小写</w:t>
      </w:r>
      <w:r>
        <w:rPr>
          <w:rFonts w:hint="eastAsia" w:hAnsi="宋体" w:cs="宋体"/>
          <w:color w:val="000000"/>
          <w:sz w:val="24"/>
          <w:szCs w:val="24"/>
          <w:highlight w:val="none"/>
          <w:u w:val="single"/>
          <w:lang w:eastAsia="zh-CN"/>
        </w:rPr>
        <w:t>）</w:t>
      </w:r>
      <w:r>
        <w:rPr>
          <w:rFonts w:hint="eastAsia" w:hAnsi="宋体" w:cs="宋体"/>
          <w:color w:val="000000"/>
          <w:sz w:val="24"/>
          <w:szCs w:val="24"/>
          <w:highlight w:val="none"/>
          <w:u w:val="single"/>
        </w:rPr>
        <w:t>）</w:t>
      </w:r>
      <w:r>
        <w:rPr>
          <w:rFonts w:hint="eastAsia" w:hAnsi="宋体" w:cs="宋体"/>
          <w:color w:val="000000"/>
          <w:sz w:val="24"/>
          <w:szCs w:val="24"/>
          <w:highlight w:val="none"/>
        </w:rPr>
        <w:t>。</w:t>
      </w:r>
    </w:p>
    <w:p w14:paraId="2E315C14">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（2）本磋商有效期为自磋商截止之日起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14:paraId="5E815039">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存在、不存在）投资关系（如果是联合体的话）。</w:t>
      </w:r>
    </w:p>
    <w:p w14:paraId="40D06B49">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（4）已详细审查全部磋商文件，包括所有补充通知（如果有的话），完全理解并同意放弃对这方面有不明、误解和质疑的权力。</w:t>
      </w:r>
    </w:p>
    <w:p w14:paraId="7C547C54">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（5）在规定的磋商开启时间后，遵守磋商文件中有关保证金的规定。</w:t>
      </w:r>
    </w:p>
    <w:p w14:paraId="10E9E7FB">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（6）我方不是为本项目提供整体设计、规范编制或者项目管理、监理、检测等要求的供应商，我方不是采购代理机构的附属机构。</w:t>
      </w:r>
    </w:p>
    <w:p w14:paraId="59114869">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（7）在领取成交通知书的同时按磋商文件规定的形式，向贵方一次性支付成交服务费。</w:t>
      </w:r>
    </w:p>
    <w:p w14:paraId="1AD34D0B">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（8）按照贵方可能要求，提供与其磋商有关的一切数据或资料，完全理解贵方不一定接受最低价的磋商或收到的任何磋商。</w:t>
      </w:r>
    </w:p>
    <w:p w14:paraId="724E334A">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（9）按照磋商文件的规定履行合同责任和义务。</w:t>
      </w:r>
    </w:p>
    <w:p w14:paraId="7D317FB1">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359" w:leftChars="68" w:hanging="216" w:hangingChars="90"/>
        <w:textAlignment w:val="auto"/>
        <w:rPr>
          <w:rFonts w:hint="eastAsia" w:hAnsi="宋体" w:cs="宋体"/>
          <w:color w:val="000000"/>
          <w:sz w:val="24"/>
          <w:szCs w:val="24"/>
          <w:highlight w:val="none"/>
        </w:rPr>
      </w:pPr>
      <w:r>
        <w:rPr>
          <w:rFonts w:hint="eastAsia" w:hAnsi="宋体" w:cs="宋体"/>
          <w:color w:val="000000"/>
          <w:sz w:val="24"/>
          <w:szCs w:val="24"/>
          <w:highlight w:val="none"/>
        </w:rPr>
        <w:t xml:space="preserve">  与本磋商有关的一切正式往来信函请寄：</w:t>
      </w:r>
    </w:p>
    <w:p w14:paraId="0941E37C">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14:paraId="0DE75484">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14:paraId="60973D30">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u w:val="single"/>
        </w:rPr>
      </w:pPr>
      <w:r>
        <w:rPr>
          <w:rFonts w:hint="eastAsia" w:hAnsi="宋体" w:cs="宋体"/>
          <w:color w:val="000000"/>
          <w:sz w:val="24"/>
          <w:szCs w:val="24"/>
          <w:highlight w:val="none"/>
        </w:rPr>
        <w:t>法定代表人或其委托代理人（签/章）</w:t>
      </w:r>
      <w:r>
        <w:rPr>
          <w:rFonts w:hint="eastAsia" w:hAnsi="宋体" w:cs="宋体"/>
          <w:color w:val="000000"/>
          <w:sz w:val="24"/>
          <w:szCs w:val="24"/>
          <w:highlight w:val="none"/>
          <w:u w:val="single"/>
        </w:rPr>
        <w:t xml:space="preserve">　　　　　　 </w:t>
      </w:r>
    </w:p>
    <w:p w14:paraId="6519F38A">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供应商名称（全称）</w:t>
      </w:r>
      <w:r>
        <w:rPr>
          <w:rFonts w:hint="eastAsia" w:hAnsi="宋体" w:cs="宋体"/>
          <w:color w:val="000000"/>
          <w:sz w:val="24"/>
          <w:szCs w:val="24"/>
          <w:highlight w:val="none"/>
          <w:u w:val="single"/>
        </w:rPr>
        <w:t xml:space="preserve">　　　　　　 </w:t>
      </w:r>
    </w:p>
    <w:p w14:paraId="06B6A408">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供应商开户银行（全称）</w:t>
      </w:r>
      <w:r>
        <w:rPr>
          <w:rFonts w:hint="eastAsia" w:hAnsi="宋体" w:cs="宋体"/>
          <w:color w:val="000000"/>
          <w:sz w:val="24"/>
          <w:szCs w:val="24"/>
          <w:highlight w:val="none"/>
          <w:u w:val="single"/>
        </w:rPr>
        <w:t xml:space="preserve">　　　　　　 </w:t>
      </w:r>
    </w:p>
    <w:p w14:paraId="4BD20B2D">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rPr>
      </w:pPr>
      <w:r>
        <w:rPr>
          <w:rFonts w:hint="eastAsia" w:hAnsi="宋体" w:cs="宋体"/>
          <w:color w:val="000000"/>
          <w:sz w:val="24"/>
          <w:szCs w:val="24"/>
          <w:highlight w:val="none"/>
        </w:rPr>
        <w:t>供应商</w:t>
      </w:r>
      <w:r>
        <w:rPr>
          <w:rFonts w:hint="eastAsia" w:hAnsi="宋体" w:cs="宋体"/>
          <w:color w:val="000000"/>
          <w:sz w:val="24"/>
          <w:szCs w:val="24"/>
          <w:highlight w:val="none"/>
          <w:lang w:eastAsia="zh-CN"/>
        </w:rPr>
        <w:t>银行账号</w:t>
      </w:r>
      <w:r>
        <w:rPr>
          <w:rFonts w:hint="eastAsia" w:hAnsi="宋体" w:cs="宋体"/>
          <w:color w:val="000000"/>
          <w:sz w:val="24"/>
          <w:szCs w:val="24"/>
          <w:highlight w:val="none"/>
          <w:u w:val="single"/>
        </w:rPr>
        <w:t>　　　　　　　　 　　</w:t>
      </w:r>
    </w:p>
    <w:p w14:paraId="5301A985">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u w:val="single"/>
        </w:rPr>
      </w:pPr>
      <w:r>
        <w:rPr>
          <w:rFonts w:hint="eastAsia" w:hAnsi="宋体" w:cs="宋体"/>
          <w:color w:val="000000"/>
          <w:sz w:val="24"/>
          <w:szCs w:val="24"/>
          <w:highlight w:val="none"/>
        </w:rPr>
        <w:t>供应商（公章）</w:t>
      </w:r>
      <w:r>
        <w:rPr>
          <w:rFonts w:hint="eastAsia" w:hAnsi="宋体" w:cs="宋体"/>
          <w:color w:val="000000"/>
          <w:sz w:val="24"/>
          <w:szCs w:val="24"/>
          <w:highlight w:val="none"/>
          <w:u w:val="single"/>
        </w:rPr>
        <w:t xml:space="preserve">　　　　　　       </w:t>
      </w:r>
    </w:p>
    <w:p w14:paraId="39223D8D">
      <w:pPr>
        <w:pStyle w:val="18"/>
        <w:keepNext w:val="0"/>
        <w:keepLines w:val="0"/>
        <w:pageBreakBefore w:val="0"/>
        <w:widowControl w:val="0"/>
        <w:tabs>
          <w:tab w:val="left" w:pos="5580"/>
        </w:tabs>
        <w:kinsoku/>
        <w:wordWrap/>
        <w:overflowPunct/>
        <w:topLinePunct w:val="0"/>
        <w:autoSpaceDE/>
        <w:autoSpaceDN/>
        <w:bidi w:val="0"/>
        <w:adjustRightInd/>
        <w:snapToGrid/>
        <w:spacing w:line="360" w:lineRule="exact"/>
        <w:ind w:left="1080" w:leftChars="257" w:hanging="540"/>
        <w:textAlignment w:val="auto"/>
        <w:rPr>
          <w:rFonts w:hint="eastAsia" w:hAnsi="宋体" w:cs="宋体"/>
          <w:color w:val="000000"/>
          <w:sz w:val="24"/>
          <w:szCs w:val="24"/>
          <w:highlight w:val="none"/>
          <w:u w:val="single"/>
        </w:rPr>
      </w:pPr>
      <w:r>
        <w:rPr>
          <w:rFonts w:hint="eastAsia" w:hAnsi="宋体" w:cs="宋体"/>
          <w:color w:val="000000"/>
          <w:sz w:val="24"/>
          <w:szCs w:val="24"/>
          <w:highlight w:val="none"/>
        </w:rPr>
        <w:t>日期</w:t>
      </w:r>
      <w:r>
        <w:rPr>
          <w:rFonts w:hint="eastAsia" w:hAnsi="宋体" w:cs="宋体"/>
          <w:color w:val="000000"/>
          <w:sz w:val="24"/>
          <w:szCs w:val="24"/>
          <w:highlight w:val="none"/>
          <w:u w:val="single"/>
        </w:rPr>
        <w:t>　　　　　　</w:t>
      </w:r>
      <w:bookmarkStart w:id="310" w:name="_Toc515647818"/>
      <w:bookmarkStart w:id="311" w:name="_Toc216582815"/>
      <w:bookmarkStart w:id="312" w:name="_Toc20897"/>
      <w:bookmarkStart w:id="313" w:name="_Toc18221"/>
      <w:bookmarkStart w:id="314" w:name="_Toc29155"/>
      <w:bookmarkStart w:id="315" w:name="_Toc23248"/>
      <w:bookmarkStart w:id="316" w:name="_Toc1881"/>
      <w:bookmarkStart w:id="317" w:name="_Toc16705"/>
      <w:bookmarkStart w:id="318" w:name="_Toc23321"/>
      <w:bookmarkStart w:id="319" w:name="_Toc12874"/>
      <w:bookmarkStart w:id="320" w:name="_Toc22674"/>
      <w:bookmarkStart w:id="321" w:name="_Toc9110"/>
    </w:p>
    <w:p w14:paraId="0915F3D0">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03E513FC">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2C6F2905">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12D693BD">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3D86F9CC">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07A51D2B">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1F53763B">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12643C9F">
      <w:pPr>
        <w:pStyle w:val="18"/>
        <w:tabs>
          <w:tab w:val="left" w:pos="5580"/>
        </w:tabs>
        <w:spacing w:line="240" w:lineRule="atLeast"/>
        <w:ind w:left="1080" w:leftChars="257" w:hanging="540"/>
        <w:rPr>
          <w:rFonts w:hint="eastAsia" w:hAnsi="宋体" w:cs="宋体"/>
          <w:color w:val="000000"/>
          <w:sz w:val="24"/>
          <w:szCs w:val="24"/>
          <w:highlight w:val="none"/>
          <w:u w:val="single"/>
        </w:rPr>
      </w:pPr>
    </w:p>
    <w:p w14:paraId="04AF0E38">
      <w:pPr>
        <w:pStyle w:val="32"/>
        <w:ind w:left="2520"/>
        <w:rPr>
          <w:rFonts w:hint="eastAsia" w:ascii="宋体" w:hAnsi="宋体" w:cs="宋体"/>
          <w:color w:val="000000"/>
          <w:sz w:val="24"/>
          <w:highlight w:val="none"/>
          <w:u w:val="single"/>
        </w:rPr>
      </w:pPr>
    </w:p>
    <w:p w14:paraId="67C5D1DD">
      <w:pPr>
        <w:pStyle w:val="18"/>
        <w:tabs>
          <w:tab w:val="left" w:pos="5580"/>
        </w:tabs>
        <w:spacing w:line="240" w:lineRule="atLeast"/>
        <w:jc w:val="center"/>
        <w:rPr>
          <w:rFonts w:hint="eastAsia" w:hAnsi="宋体" w:cs="宋体"/>
          <w:color w:val="000000"/>
          <w:sz w:val="24"/>
          <w:szCs w:val="24"/>
          <w:highlight w:val="none"/>
        </w:rPr>
      </w:pPr>
      <w:r>
        <w:rPr>
          <w:rFonts w:hint="eastAsia" w:hAnsi="宋体" w:cs="宋体"/>
          <w:b/>
          <w:bCs/>
          <w:color w:val="000000"/>
          <w:sz w:val="24"/>
          <w:szCs w:val="24"/>
          <w:highlight w:val="none"/>
        </w:rPr>
        <w:t>2、磋商分项报价表</w:t>
      </w:r>
      <w:bookmarkEnd w:id="310"/>
      <w:bookmarkEnd w:id="311"/>
      <w:bookmarkEnd w:id="312"/>
      <w:bookmarkEnd w:id="313"/>
      <w:bookmarkEnd w:id="314"/>
      <w:bookmarkEnd w:id="315"/>
      <w:bookmarkEnd w:id="316"/>
      <w:bookmarkEnd w:id="317"/>
      <w:bookmarkEnd w:id="318"/>
      <w:bookmarkEnd w:id="319"/>
      <w:bookmarkEnd w:id="320"/>
      <w:bookmarkEnd w:id="321"/>
    </w:p>
    <w:p w14:paraId="536698F3">
      <w:pPr>
        <w:pStyle w:val="18"/>
        <w:spacing w:line="240" w:lineRule="atLeast"/>
        <w:ind w:left="1080" w:leftChars="257" w:hanging="540"/>
        <w:rPr>
          <w:rFonts w:hint="eastAsia" w:hAnsi="宋体" w:cs="宋体"/>
          <w:color w:val="000000"/>
          <w:sz w:val="24"/>
          <w:szCs w:val="24"/>
          <w:highlight w:val="none"/>
        </w:rPr>
      </w:pPr>
    </w:p>
    <w:p w14:paraId="37693915">
      <w:pPr>
        <w:pStyle w:val="18"/>
        <w:spacing w:line="240" w:lineRule="atLeast"/>
        <w:ind w:left="1080" w:leftChars="257" w:hanging="540"/>
        <w:rPr>
          <w:rFonts w:hint="eastAsia" w:hAnsi="宋体" w:cs="宋体"/>
          <w:sz w:val="24"/>
          <w:szCs w:val="24"/>
          <w:highlight w:val="none"/>
        </w:rPr>
      </w:pPr>
    </w:p>
    <w:p w14:paraId="5A7F5DA7">
      <w:pPr>
        <w:pStyle w:val="18"/>
        <w:spacing w:line="240" w:lineRule="atLeast"/>
        <w:ind w:left="1080" w:leftChars="257" w:hanging="540"/>
        <w:rPr>
          <w:rFonts w:hint="eastAsia" w:hAnsi="宋体" w:cs="宋体"/>
          <w:sz w:val="24"/>
          <w:szCs w:val="24"/>
          <w:highlight w:val="none"/>
        </w:rPr>
      </w:pPr>
      <w:r>
        <w:rPr>
          <w:rFonts w:hint="eastAsia" w:hAnsi="宋体" w:cs="宋体"/>
          <w:sz w:val="24"/>
          <w:szCs w:val="24"/>
          <w:highlight w:val="none"/>
        </w:rPr>
        <w:t xml:space="preserve">项目名称:                            </w:t>
      </w:r>
    </w:p>
    <w:p w14:paraId="3DE504DA">
      <w:pPr>
        <w:pStyle w:val="18"/>
        <w:spacing w:line="240" w:lineRule="atLeast"/>
        <w:ind w:left="1080" w:leftChars="257" w:hanging="540"/>
        <w:rPr>
          <w:rFonts w:hint="eastAsia" w:hAnsi="宋体" w:cs="宋体"/>
          <w:sz w:val="24"/>
          <w:szCs w:val="24"/>
          <w:highlight w:val="none"/>
        </w:rPr>
      </w:pPr>
      <w:r>
        <w:rPr>
          <w:rFonts w:hint="eastAsia" w:hAnsi="宋体" w:cs="宋体"/>
          <w:sz w:val="24"/>
          <w:szCs w:val="24"/>
          <w:highlight w:val="none"/>
        </w:rPr>
        <w:t>招标编号:                    　</w:t>
      </w:r>
    </w:p>
    <w:p w14:paraId="4C8CAE65">
      <w:pPr>
        <w:pStyle w:val="18"/>
        <w:spacing w:line="240" w:lineRule="atLeast"/>
        <w:ind w:left="1080" w:leftChars="257" w:hanging="540"/>
        <w:rPr>
          <w:rFonts w:hint="eastAsia" w:hAnsi="宋体" w:cs="宋体"/>
          <w:sz w:val="24"/>
          <w:szCs w:val="24"/>
          <w:highlight w:val="none"/>
        </w:rPr>
      </w:pPr>
      <w:r>
        <w:rPr>
          <w:rFonts w:hint="eastAsia" w:hAnsi="宋体" w:cs="宋体"/>
          <w:sz w:val="24"/>
          <w:szCs w:val="24"/>
          <w:highlight w:val="none"/>
        </w:rPr>
        <w:t>报价单位：人民币元</w:t>
      </w:r>
    </w:p>
    <w:tbl>
      <w:tblPr>
        <w:tblStyle w:val="40"/>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2B87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6C7AFDAD">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1336" w:type="dxa"/>
            <w:noWrap w:val="0"/>
            <w:vAlign w:val="center"/>
          </w:tcPr>
          <w:p w14:paraId="2E73B891">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名称</w:t>
            </w:r>
          </w:p>
        </w:tc>
        <w:tc>
          <w:tcPr>
            <w:tcW w:w="3607" w:type="dxa"/>
            <w:noWrap w:val="0"/>
            <w:vAlign w:val="center"/>
          </w:tcPr>
          <w:p w14:paraId="44867F66">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服务内容</w:t>
            </w:r>
          </w:p>
        </w:tc>
        <w:tc>
          <w:tcPr>
            <w:tcW w:w="750" w:type="dxa"/>
            <w:noWrap w:val="0"/>
            <w:vAlign w:val="center"/>
          </w:tcPr>
          <w:p w14:paraId="4AA81EDF">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数量</w:t>
            </w:r>
          </w:p>
        </w:tc>
        <w:tc>
          <w:tcPr>
            <w:tcW w:w="733" w:type="dxa"/>
            <w:noWrap w:val="0"/>
            <w:vAlign w:val="center"/>
          </w:tcPr>
          <w:p w14:paraId="72F8CB1A">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单位</w:t>
            </w:r>
          </w:p>
        </w:tc>
        <w:tc>
          <w:tcPr>
            <w:tcW w:w="1036" w:type="dxa"/>
            <w:noWrap w:val="0"/>
            <w:vAlign w:val="center"/>
          </w:tcPr>
          <w:p w14:paraId="4DA71416">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单价</w:t>
            </w:r>
          </w:p>
        </w:tc>
        <w:tc>
          <w:tcPr>
            <w:tcW w:w="843" w:type="dxa"/>
            <w:noWrap w:val="0"/>
            <w:vAlign w:val="center"/>
          </w:tcPr>
          <w:p w14:paraId="64E670DA">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801" w:type="dxa"/>
            <w:noWrap w:val="0"/>
            <w:vAlign w:val="center"/>
          </w:tcPr>
          <w:p w14:paraId="4A0BAC77">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14:paraId="0BB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7E2B0183">
            <w:pPr>
              <w:pStyle w:val="18"/>
              <w:spacing w:line="240" w:lineRule="atLeast"/>
              <w:jc w:val="left"/>
              <w:rPr>
                <w:rFonts w:hint="eastAsia" w:hAnsi="宋体" w:cs="宋体"/>
                <w:color w:val="000000"/>
                <w:sz w:val="24"/>
                <w:szCs w:val="24"/>
                <w:highlight w:val="none"/>
              </w:rPr>
            </w:pPr>
            <w:r>
              <w:rPr>
                <w:rFonts w:hint="eastAsia" w:hAnsi="宋体" w:cs="宋体"/>
                <w:color w:val="000000"/>
                <w:sz w:val="24"/>
                <w:szCs w:val="24"/>
                <w:highlight w:val="none"/>
              </w:rPr>
              <w:t>1.</w:t>
            </w:r>
          </w:p>
        </w:tc>
        <w:tc>
          <w:tcPr>
            <w:tcW w:w="1336" w:type="dxa"/>
            <w:noWrap w:val="0"/>
            <w:vAlign w:val="center"/>
          </w:tcPr>
          <w:p w14:paraId="6B24E1DB">
            <w:pPr>
              <w:pStyle w:val="18"/>
              <w:spacing w:line="240" w:lineRule="atLeast"/>
              <w:jc w:val="left"/>
              <w:rPr>
                <w:rFonts w:hint="eastAsia" w:hAnsi="宋体" w:cs="宋体"/>
                <w:color w:val="000000"/>
                <w:sz w:val="24"/>
                <w:szCs w:val="24"/>
                <w:highlight w:val="none"/>
              </w:rPr>
            </w:pPr>
          </w:p>
        </w:tc>
        <w:tc>
          <w:tcPr>
            <w:tcW w:w="3607" w:type="dxa"/>
            <w:noWrap w:val="0"/>
            <w:vAlign w:val="center"/>
          </w:tcPr>
          <w:p w14:paraId="62825110">
            <w:pPr>
              <w:pStyle w:val="18"/>
              <w:spacing w:line="240" w:lineRule="atLeast"/>
              <w:ind w:left="1080" w:leftChars="257" w:hanging="540"/>
              <w:jc w:val="left"/>
              <w:rPr>
                <w:rFonts w:hint="eastAsia" w:hAnsi="宋体" w:cs="宋体"/>
                <w:color w:val="000000"/>
                <w:sz w:val="24"/>
                <w:szCs w:val="24"/>
                <w:highlight w:val="none"/>
              </w:rPr>
            </w:pPr>
          </w:p>
        </w:tc>
        <w:tc>
          <w:tcPr>
            <w:tcW w:w="750" w:type="dxa"/>
            <w:noWrap w:val="0"/>
            <w:vAlign w:val="center"/>
          </w:tcPr>
          <w:p w14:paraId="529C0160">
            <w:pPr>
              <w:pStyle w:val="18"/>
              <w:spacing w:line="240" w:lineRule="atLeast"/>
              <w:ind w:left="1080" w:leftChars="257" w:hanging="540"/>
              <w:jc w:val="left"/>
              <w:rPr>
                <w:rFonts w:hint="eastAsia" w:hAnsi="宋体" w:cs="宋体"/>
                <w:color w:val="000000"/>
                <w:sz w:val="24"/>
                <w:szCs w:val="24"/>
                <w:highlight w:val="none"/>
              </w:rPr>
            </w:pPr>
          </w:p>
        </w:tc>
        <w:tc>
          <w:tcPr>
            <w:tcW w:w="733" w:type="dxa"/>
            <w:noWrap w:val="0"/>
            <w:vAlign w:val="center"/>
          </w:tcPr>
          <w:p w14:paraId="3BA8AB46">
            <w:pPr>
              <w:pStyle w:val="18"/>
              <w:spacing w:line="240" w:lineRule="atLeast"/>
              <w:ind w:left="1080" w:leftChars="257" w:hanging="540"/>
              <w:jc w:val="left"/>
              <w:rPr>
                <w:rFonts w:hint="eastAsia" w:hAnsi="宋体" w:cs="宋体"/>
                <w:color w:val="000000"/>
                <w:sz w:val="24"/>
                <w:szCs w:val="24"/>
                <w:highlight w:val="none"/>
              </w:rPr>
            </w:pPr>
          </w:p>
        </w:tc>
        <w:tc>
          <w:tcPr>
            <w:tcW w:w="1036" w:type="dxa"/>
            <w:noWrap w:val="0"/>
            <w:vAlign w:val="center"/>
          </w:tcPr>
          <w:p w14:paraId="24F1CBBA">
            <w:pPr>
              <w:pStyle w:val="18"/>
              <w:spacing w:line="240" w:lineRule="atLeast"/>
              <w:ind w:left="1080" w:leftChars="257" w:hanging="540"/>
              <w:jc w:val="left"/>
              <w:rPr>
                <w:rFonts w:hint="eastAsia" w:hAnsi="宋体" w:cs="宋体"/>
                <w:color w:val="000000"/>
                <w:sz w:val="24"/>
                <w:szCs w:val="24"/>
                <w:highlight w:val="none"/>
              </w:rPr>
            </w:pPr>
          </w:p>
        </w:tc>
        <w:tc>
          <w:tcPr>
            <w:tcW w:w="843" w:type="dxa"/>
            <w:noWrap w:val="0"/>
            <w:vAlign w:val="center"/>
          </w:tcPr>
          <w:p w14:paraId="0DF7815A">
            <w:pPr>
              <w:pStyle w:val="18"/>
              <w:spacing w:line="240" w:lineRule="atLeast"/>
              <w:ind w:left="1080" w:leftChars="257" w:hanging="540"/>
              <w:jc w:val="left"/>
              <w:rPr>
                <w:rFonts w:hint="eastAsia" w:hAnsi="宋体" w:cs="宋体"/>
                <w:color w:val="000000"/>
                <w:sz w:val="24"/>
                <w:szCs w:val="24"/>
                <w:highlight w:val="none"/>
              </w:rPr>
            </w:pPr>
          </w:p>
        </w:tc>
        <w:tc>
          <w:tcPr>
            <w:tcW w:w="801" w:type="dxa"/>
            <w:noWrap w:val="0"/>
            <w:vAlign w:val="center"/>
          </w:tcPr>
          <w:p w14:paraId="7BB004C8">
            <w:pPr>
              <w:pStyle w:val="18"/>
              <w:spacing w:line="240" w:lineRule="atLeast"/>
              <w:ind w:left="1080" w:leftChars="257" w:hanging="540"/>
              <w:jc w:val="left"/>
              <w:rPr>
                <w:rFonts w:hint="eastAsia" w:hAnsi="宋体" w:cs="宋体"/>
                <w:color w:val="000000"/>
                <w:sz w:val="24"/>
                <w:szCs w:val="24"/>
                <w:highlight w:val="none"/>
              </w:rPr>
            </w:pPr>
          </w:p>
        </w:tc>
      </w:tr>
      <w:tr w14:paraId="5946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637F8F87">
            <w:pPr>
              <w:pStyle w:val="18"/>
              <w:spacing w:line="240" w:lineRule="atLeast"/>
              <w:jc w:val="left"/>
              <w:rPr>
                <w:rFonts w:hint="eastAsia" w:hAnsi="宋体" w:cs="宋体"/>
                <w:color w:val="000000"/>
                <w:sz w:val="24"/>
                <w:szCs w:val="24"/>
                <w:highlight w:val="none"/>
              </w:rPr>
            </w:pPr>
            <w:r>
              <w:rPr>
                <w:rFonts w:hint="eastAsia" w:hAnsi="宋体" w:cs="宋体"/>
                <w:color w:val="000000"/>
                <w:sz w:val="24"/>
                <w:szCs w:val="24"/>
                <w:highlight w:val="none"/>
              </w:rPr>
              <w:t>2.</w:t>
            </w:r>
          </w:p>
        </w:tc>
        <w:tc>
          <w:tcPr>
            <w:tcW w:w="1336" w:type="dxa"/>
            <w:noWrap w:val="0"/>
            <w:vAlign w:val="center"/>
          </w:tcPr>
          <w:p w14:paraId="3267A526">
            <w:pPr>
              <w:pStyle w:val="18"/>
              <w:spacing w:line="240" w:lineRule="atLeast"/>
              <w:jc w:val="left"/>
              <w:rPr>
                <w:rFonts w:hint="eastAsia" w:hAnsi="宋体" w:cs="宋体"/>
                <w:color w:val="000000"/>
                <w:sz w:val="24"/>
                <w:szCs w:val="24"/>
                <w:highlight w:val="none"/>
              </w:rPr>
            </w:pPr>
          </w:p>
        </w:tc>
        <w:tc>
          <w:tcPr>
            <w:tcW w:w="3607" w:type="dxa"/>
            <w:noWrap w:val="0"/>
            <w:vAlign w:val="center"/>
          </w:tcPr>
          <w:p w14:paraId="69B1CC83">
            <w:pPr>
              <w:pStyle w:val="18"/>
              <w:spacing w:line="240" w:lineRule="atLeast"/>
              <w:ind w:left="1080" w:leftChars="257" w:hanging="540"/>
              <w:jc w:val="left"/>
              <w:rPr>
                <w:rFonts w:hint="eastAsia" w:hAnsi="宋体" w:cs="宋体"/>
                <w:color w:val="000000"/>
                <w:sz w:val="24"/>
                <w:szCs w:val="24"/>
                <w:highlight w:val="none"/>
              </w:rPr>
            </w:pPr>
          </w:p>
        </w:tc>
        <w:tc>
          <w:tcPr>
            <w:tcW w:w="750" w:type="dxa"/>
            <w:noWrap w:val="0"/>
            <w:vAlign w:val="center"/>
          </w:tcPr>
          <w:p w14:paraId="56F02D86">
            <w:pPr>
              <w:pStyle w:val="18"/>
              <w:spacing w:line="240" w:lineRule="atLeast"/>
              <w:ind w:left="1080" w:leftChars="257" w:hanging="540"/>
              <w:jc w:val="left"/>
              <w:rPr>
                <w:rFonts w:hint="eastAsia" w:hAnsi="宋体" w:cs="宋体"/>
                <w:color w:val="000000"/>
                <w:sz w:val="24"/>
                <w:szCs w:val="24"/>
                <w:highlight w:val="none"/>
              </w:rPr>
            </w:pPr>
          </w:p>
        </w:tc>
        <w:tc>
          <w:tcPr>
            <w:tcW w:w="733" w:type="dxa"/>
            <w:noWrap w:val="0"/>
            <w:vAlign w:val="center"/>
          </w:tcPr>
          <w:p w14:paraId="2F7310A9">
            <w:pPr>
              <w:pStyle w:val="18"/>
              <w:spacing w:line="240" w:lineRule="atLeast"/>
              <w:ind w:left="1080" w:leftChars="257" w:hanging="540"/>
              <w:jc w:val="left"/>
              <w:rPr>
                <w:rFonts w:hint="eastAsia" w:hAnsi="宋体" w:cs="宋体"/>
                <w:color w:val="000000"/>
                <w:sz w:val="24"/>
                <w:szCs w:val="24"/>
                <w:highlight w:val="none"/>
              </w:rPr>
            </w:pPr>
          </w:p>
        </w:tc>
        <w:tc>
          <w:tcPr>
            <w:tcW w:w="1036" w:type="dxa"/>
            <w:noWrap w:val="0"/>
            <w:vAlign w:val="center"/>
          </w:tcPr>
          <w:p w14:paraId="629ADD01">
            <w:pPr>
              <w:pStyle w:val="18"/>
              <w:spacing w:line="240" w:lineRule="atLeast"/>
              <w:ind w:left="1080" w:leftChars="257" w:hanging="540"/>
              <w:jc w:val="left"/>
              <w:rPr>
                <w:rFonts w:hint="eastAsia" w:hAnsi="宋体" w:cs="宋体"/>
                <w:color w:val="000000"/>
                <w:sz w:val="24"/>
                <w:szCs w:val="24"/>
                <w:highlight w:val="none"/>
              </w:rPr>
            </w:pPr>
          </w:p>
        </w:tc>
        <w:tc>
          <w:tcPr>
            <w:tcW w:w="843" w:type="dxa"/>
            <w:noWrap w:val="0"/>
            <w:vAlign w:val="center"/>
          </w:tcPr>
          <w:p w14:paraId="04BEAC3C">
            <w:pPr>
              <w:pStyle w:val="18"/>
              <w:spacing w:line="240" w:lineRule="atLeast"/>
              <w:ind w:left="1080" w:leftChars="257" w:hanging="540"/>
              <w:jc w:val="left"/>
              <w:rPr>
                <w:rFonts w:hint="eastAsia" w:hAnsi="宋体" w:cs="宋体"/>
                <w:color w:val="000000"/>
                <w:sz w:val="24"/>
                <w:szCs w:val="24"/>
                <w:highlight w:val="none"/>
              </w:rPr>
            </w:pPr>
          </w:p>
        </w:tc>
        <w:tc>
          <w:tcPr>
            <w:tcW w:w="801" w:type="dxa"/>
            <w:noWrap w:val="0"/>
            <w:vAlign w:val="center"/>
          </w:tcPr>
          <w:p w14:paraId="76C19DEE">
            <w:pPr>
              <w:pStyle w:val="18"/>
              <w:spacing w:line="240" w:lineRule="atLeast"/>
              <w:ind w:left="1080" w:leftChars="257" w:hanging="540"/>
              <w:jc w:val="left"/>
              <w:rPr>
                <w:rFonts w:hint="eastAsia" w:hAnsi="宋体" w:cs="宋体"/>
                <w:color w:val="000000"/>
                <w:sz w:val="24"/>
                <w:szCs w:val="24"/>
                <w:highlight w:val="none"/>
              </w:rPr>
            </w:pPr>
          </w:p>
        </w:tc>
      </w:tr>
      <w:tr w14:paraId="65CD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5B72B1E6">
            <w:pPr>
              <w:pStyle w:val="18"/>
              <w:spacing w:line="240" w:lineRule="atLeast"/>
              <w:jc w:val="left"/>
              <w:rPr>
                <w:rFonts w:hint="eastAsia" w:hAnsi="宋体" w:cs="宋体"/>
                <w:color w:val="000000"/>
                <w:sz w:val="24"/>
                <w:szCs w:val="24"/>
                <w:highlight w:val="none"/>
              </w:rPr>
            </w:pPr>
            <w:r>
              <w:rPr>
                <w:rFonts w:hint="eastAsia" w:hAnsi="宋体" w:cs="宋体"/>
                <w:color w:val="000000"/>
                <w:sz w:val="24"/>
                <w:szCs w:val="24"/>
                <w:highlight w:val="none"/>
              </w:rPr>
              <w:t>3.</w:t>
            </w:r>
          </w:p>
        </w:tc>
        <w:tc>
          <w:tcPr>
            <w:tcW w:w="1336" w:type="dxa"/>
            <w:noWrap w:val="0"/>
            <w:vAlign w:val="center"/>
          </w:tcPr>
          <w:p w14:paraId="36B9D81C">
            <w:pPr>
              <w:pStyle w:val="18"/>
              <w:spacing w:line="240" w:lineRule="atLeast"/>
              <w:jc w:val="left"/>
              <w:rPr>
                <w:rFonts w:hint="eastAsia" w:hAnsi="宋体" w:cs="宋体"/>
                <w:color w:val="000000"/>
                <w:sz w:val="24"/>
                <w:szCs w:val="24"/>
                <w:highlight w:val="none"/>
              </w:rPr>
            </w:pPr>
          </w:p>
        </w:tc>
        <w:tc>
          <w:tcPr>
            <w:tcW w:w="3607" w:type="dxa"/>
            <w:noWrap w:val="0"/>
            <w:vAlign w:val="center"/>
          </w:tcPr>
          <w:p w14:paraId="0E687A7A">
            <w:pPr>
              <w:pStyle w:val="18"/>
              <w:spacing w:line="240" w:lineRule="atLeast"/>
              <w:ind w:left="1080" w:leftChars="257" w:hanging="540"/>
              <w:jc w:val="left"/>
              <w:rPr>
                <w:rFonts w:hint="eastAsia" w:hAnsi="宋体" w:cs="宋体"/>
                <w:color w:val="000000"/>
                <w:sz w:val="24"/>
                <w:szCs w:val="24"/>
                <w:highlight w:val="none"/>
              </w:rPr>
            </w:pPr>
          </w:p>
        </w:tc>
        <w:tc>
          <w:tcPr>
            <w:tcW w:w="750" w:type="dxa"/>
            <w:noWrap w:val="0"/>
            <w:vAlign w:val="center"/>
          </w:tcPr>
          <w:p w14:paraId="4EE8A233">
            <w:pPr>
              <w:pStyle w:val="18"/>
              <w:spacing w:line="240" w:lineRule="atLeast"/>
              <w:ind w:left="1080" w:leftChars="257" w:hanging="540"/>
              <w:jc w:val="left"/>
              <w:rPr>
                <w:rFonts w:hint="eastAsia" w:hAnsi="宋体" w:cs="宋体"/>
                <w:color w:val="000000"/>
                <w:sz w:val="24"/>
                <w:szCs w:val="24"/>
                <w:highlight w:val="none"/>
              </w:rPr>
            </w:pPr>
          </w:p>
        </w:tc>
        <w:tc>
          <w:tcPr>
            <w:tcW w:w="733" w:type="dxa"/>
            <w:noWrap w:val="0"/>
            <w:vAlign w:val="center"/>
          </w:tcPr>
          <w:p w14:paraId="330F99EB">
            <w:pPr>
              <w:pStyle w:val="18"/>
              <w:spacing w:line="240" w:lineRule="atLeast"/>
              <w:ind w:left="1080" w:leftChars="257" w:hanging="540"/>
              <w:jc w:val="left"/>
              <w:rPr>
                <w:rFonts w:hint="eastAsia" w:hAnsi="宋体" w:cs="宋体"/>
                <w:color w:val="000000"/>
                <w:sz w:val="24"/>
                <w:szCs w:val="24"/>
                <w:highlight w:val="none"/>
              </w:rPr>
            </w:pPr>
          </w:p>
        </w:tc>
        <w:tc>
          <w:tcPr>
            <w:tcW w:w="1036" w:type="dxa"/>
            <w:noWrap w:val="0"/>
            <w:vAlign w:val="center"/>
          </w:tcPr>
          <w:p w14:paraId="5ACAF77A">
            <w:pPr>
              <w:pStyle w:val="18"/>
              <w:spacing w:line="240" w:lineRule="atLeast"/>
              <w:ind w:left="1080" w:leftChars="257" w:hanging="540"/>
              <w:jc w:val="left"/>
              <w:rPr>
                <w:rFonts w:hint="eastAsia" w:hAnsi="宋体" w:cs="宋体"/>
                <w:color w:val="000000"/>
                <w:sz w:val="24"/>
                <w:szCs w:val="24"/>
                <w:highlight w:val="none"/>
              </w:rPr>
            </w:pPr>
          </w:p>
        </w:tc>
        <w:tc>
          <w:tcPr>
            <w:tcW w:w="843" w:type="dxa"/>
            <w:noWrap w:val="0"/>
            <w:vAlign w:val="center"/>
          </w:tcPr>
          <w:p w14:paraId="530855AD">
            <w:pPr>
              <w:pStyle w:val="18"/>
              <w:spacing w:line="240" w:lineRule="atLeast"/>
              <w:ind w:left="1080" w:leftChars="257" w:hanging="540"/>
              <w:jc w:val="left"/>
              <w:rPr>
                <w:rFonts w:hint="eastAsia" w:hAnsi="宋体" w:cs="宋体"/>
                <w:color w:val="000000"/>
                <w:sz w:val="24"/>
                <w:szCs w:val="24"/>
                <w:highlight w:val="none"/>
              </w:rPr>
            </w:pPr>
          </w:p>
        </w:tc>
        <w:tc>
          <w:tcPr>
            <w:tcW w:w="801" w:type="dxa"/>
            <w:noWrap w:val="0"/>
            <w:vAlign w:val="center"/>
          </w:tcPr>
          <w:p w14:paraId="4A5B0E2C">
            <w:pPr>
              <w:pStyle w:val="18"/>
              <w:spacing w:line="240" w:lineRule="atLeast"/>
              <w:ind w:left="1080" w:leftChars="257" w:hanging="540"/>
              <w:jc w:val="left"/>
              <w:rPr>
                <w:rFonts w:hint="eastAsia" w:hAnsi="宋体" w:cs="宋体"/>
                <w:color w:val="000000"/>
                <w:sz w:val="24"/>
                <w:szCs w:val="24"/>
                <w:highlight w:val="none"/>
              </w:rPr>
            </w:pPr>
          </w:p>
        </w:tc>
      </w:tr>
      <w:tr w14:paraId="6565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580D3A02">
            <w:pPr>
              <w:pStyle w:val="18"/>
              <w:spacing w:line="240" w:lineRule="atLeast"/>
              <w:jc w:val="left"/>
              <w:rPr>
                <w:rFonts w:hint="eastAsia" w:hAnsi="宋体" w:cs="宋体"/>
                <w:color w:val="000000"/>
                <w:sz w:val="24"/>
                <w:szCs w:val="24"/>
                <w:highlight w:val="none"/>
              </w:rPr>
            </w:pPr>
            <w:r>
              <w:rPr>
                <w:rFonts w:hint="eastAsia" w:hAnsi="宋体" w:cs="宋体"/>
                <w:color w:val="000000"/>
                <w:sz w:val="24"/>
                <w:szCs w:val="24"/>
                <w:highlight w:val="none"/>
              </w:rPr>
              <w:t>4.</w:t>
            </w:r>
          </w:p>
        </w:tc>
        <w:tc>
          <w:tcPr>
            <w:tcW w:w="1336" w:type="dxa"/>
            <w:noWrap w:val="0"/>
            <w:vAlign w:val="center"/>
          </w:tcPr>
          <w:p w14:paraId="4DA866C7">
            <w:pPr>
              <w:pStyle w:val="18"/>
              <w:spacing w:line="240" w:lineRule="atLeast"/>
              <w:jc w:val="left"/>
              <w:rPr>
                <w:rFonts w:hint="eastAsia" w:hAnsi="宋体" w:cs="宋体"/>
                <w:color w:val="000000"/>
                <w:sz w:val="24"/>
                <w:szCs w:val="24"/>
                <w:highlight w:val="none"/>
              </w:rPr>
            </w:pPr>
          </w:p>
        </w:tc>
        <w:tc>
          <w:tcPr>
            <w:tcW w:w="3607" w:type="dxa"/>
            <w:noWrap w:val="0"/>
            <w:vAlign w:val="center"/>
          </w:tcPr>
          <w:p w14:paraId="27AE00F0">
            <w:pPr>
              <w:pStyle w:val="18"/>
              <w:spacing w:line="240" w:lineRule="atLeast"/>
              <w:ind w:left="1080" w:leftChars="257" w:hanging="540"/>
              <w:jc w:val="left"/>
              <w:rPr>
                <w:rFonts w:hint="eastAsia" w:hAnsi="宋体" w:cs="宋体"/>
                <w:color w:val="000000"/>
                <w:sz w:val="24"/>
                <w:szCs w:val="24"/>
                <w:highlight w:val="none"/>
              </w:rPr>
            </w:pPr>
          </w:p>
        </w:tc>
        <w:tc>
          <w:tcPr>
            <w:tcW w:w="750" w:type="dxa"/>
            <w:noWrap w:val="0"/>
            <w:vAlign w:val="center"/>
          </w:tcPr>
          <w:p w14:paraId="7E1A4BEE">
            <w:pPr>
              <w:pStyle w:val="18"/>
              <w:spacing w:line="240" w:lineRule="atLeast"/>
              <w:ind w:left="1080" w:leftChars="257" w:hanging="540"/>
              <w:jc w:val="left"/>
              <w:rPr>
                <w:rFonts w:hint="eastAsia" w:hAnsi="宋体" w:cs="宋体"/>
                <w:color w:val="000000"/>
                <w:sz w:val="24"/>
                <w:szCs w:val="24"/>
                <w:highlight w:val="none"/>
              </w:rPr>
            </w:pPr>
          </w:p>
        </w:tc>
        <w:tc>
          <w:tcPr>
            <w:tcW w:w="733" w:type="dxa"/>
            <w:noWrap w:val="0"/>
            <w:vAlign w:val="center"/>
          </w:tcPr>
          <w:p w14:paraId="2358CCEF">
            <w:pPr>
              <w:pStyle w:val="18"/>
              <w:spacing w:line="240" w:lineRule="atLeast"/>
              <w:ind w:left="1080" w:leftChars="257" w:hanging="540"/>
              <w:jc w:val="left"/>
              <w:rPr>
                <w:rFonts w:hint="eastAsia" w:hAnsi="宋体" w:cs="宋体"/>
                <w:color w:val="000000"/>
                <w:sz w:val="24"/>
                <w:szCs w:val="24"/>
                <w:highlight w:val="none"/>
              </w:rPr>
            </w:pPr>
          </w:p>
        </w:tc>
        <w:tc>
          <w:tcPr>
            <w:tcW w:w="1036" w:type="dxa"/>
            <w:noWrap w:val="0"/>
            <w:vAlign w:val="center"/>
          </w:tcPr>
          <w:p w14:paraId="45BDAD2A">
            <w:pPr>
              <w:pStyle w:val="18"/>
              <w:spacing w:line="240" w:lineRule="atLeast"/>
              <w:ind w:left="1080" w:leftChars="257" w:hanging="540"/>
              <w:jc w:val="left"/>
              <w:rPr>
                <w:rFonts w:hint="eastAsia" w:hAnsi="宋体" w:cs="宋体"/>
                <w:color w:val="000000"/>
                <w:sz w:val="24"/>
                <w:szCs w:val="24"/>
                <w:highlight w:val="none"/>
              </w:rPr>
            </w:pPr>
          </w:p>
        </w:tc>
        <w:tc>
          <w:tcPr>
            <w:tcW w:w="843" w:type="dxa"/>
            <w:noWrap w:val="0"/>
            <w:vAlign w:val="center"/>
          </w:tcPr>
          <w:p w14:paraId="67F05DF3">
            <w:pPr>
              <w:pStyle w:val="18"/>
              <w:spacing w:line="240" w:lineRule="atLeast"/>
              <w:ind w:left="1080" w:leftChars="257" w:hanging="540"/>
              <w:jc w:val="left"/>
              <w:rPr>
                <w:rFonts w:hint="eastAsia" w:hAnsi="宋体" w:cs="宋体"/>
                <w:color w:val="000000"/>
                <w:sz w:val="24"/>
                <w:szCs w:val="24"/>
                <w:highlight w:val="none"/>
              </w:rPr>
            </w:pPr>
          </w:p>
        </w:tc>
        <w:tc>
          <w:tcPr>
            <w:tcW w:w="801" w:type="dxa"/>
            <w:noWrap w:val="0"/>
            <w:vAlign w:val="center"/>
          </w:tcPr>
          <w:p w14:paraId="5474AEBE">
            <w:pPr>
              <w:pStyle w:val="18"/>
              <w:spacing w:line="240" w:lineRule="atLeast"/>
              <w:ind w:left="1080" w:leftChars="257" w:hanging="540"/>
              <w:jc w:val="left"/>
              <w:rPr>
                <w:rFonts w:hint="eastAsia" w:hAnsi="宋体" w:cs="宋体"/>
                <w:color w:val="000000"/>
                <w:sz w:val="24"/>
                <w:szCs w:val="24"/>
                <w:highlight w:val="none"/>
              </w:rPr>
            </w:pPr>
          </w:p>
        </w:tc>
      </w:tr>
      <w:tr w14:paraId="6D3E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173D9046">
            <w:pPr>
              <w:pStyle w:val="18"/>
              <w:spacing w:line="240" w:lineRule="atLeast"/>
              <w:jc w:val="left"/>
              <w:rPr>
                <w:rFonts w:hint="eastAsia" w:hAnsi="宋体" w:cs="宋体"/>
                <w:color w:val="000000"/>
                <w:sz w:val="24"/>
                <w:szCs w:val="24"/>
                <w:highlight w:val="none"/>
              </w:rPr>
            </w:pPr>
            <w:r>
              <w:rPr>
                <w:rFonts w:hint="eastAsia" w:hAnsi="宋体" w:cs="宋体"/>
                <w:color w:val="000000"/>
                <w:sz w:val="24"/>
                <w:szCs w:val="24"/>
                <w:highlight w:val="none"/>
              </w:rPr>
              <w:t>5.</w:t>
            </w:r>
          </w:p>
        </w:tc>
        <w:tc>
          <w:tcPr>
            <w:tcW w:w="1336" w:type="dxa"/>
            <w:noWrap w:val="0"/>
            <w:vAlign w:val="center"/>
          </w:tcPr>
          <w:p w14:paraId="6F0211D7">
            <w:pPr>
              <w:pStyle w:val="18"/>
              <w:spacing w:line="240" w:lineRule="atLeast"/>
              <w:jc w:val="left"/>
              <w:rPr>
                <w:rFonts w:hint="eastAsia" w:hAnsi="宋体" w:cs="宋体"/>
                <w:color w:val="000000"/>
                <w:sz w:val="24"/>
                <w:szCs w:val="24"/>
                <w:highlight w:val="none"/>
              </w:rPr>
            </w:pPr>
          </w:p>
        </w:tc>
        <w:tc>
          <w:tcPr>
            <w:tcW w:w="3607" w:type="dxa"/>
            <w:noWrap w:val="0"/>
            <w:vAlign w:val="center"/>
          </w:tcPr>
          <w:p w14:paraId="5C6E61FA">
            <w:pPr>
              <w:pStyle w:val="18"/>
              <w:spacing w:line="240" w:lineRule="atLeast"/>
              <w:ind w:left="1080" w:leftChars="257" w:hanging="540"/>
              <w:jc w:val="left"/>
              <w:rPr>
                <w:rFonts w:hint="eastAsia" w:hAnsi="宋体" w:cs="宋体"/>
                <w:color w:val="000000"/>
                <w:sz w:val="24"/>
                <w:szCs w:val="24"/>
                <w:highlight w:val="none"/>
              </w:rPr>
            </w:pPr>
          </w:p>
        </w:tc>
        <w:tc>
          <w:tcPr>
            <w:tcW w:w="750" w:type="dxa"/>
            <w:noWrap w:val="0"/>
            <w:vAlign w:val="center"/>
          </w:tcPr>
          <w:p w14:paraId="1F75B07A">
            <w:pPr>
              <w:pStyle w:val="18"/>
              <w:spacing w:line="240" w:lineRule="atLeast"/>
              <w:ind w:left="1080" w:leftChars="257" w:hanging="540"/>
              <w:jc w:val="left"/>
              <w:rPr>
                <w:rFonts w:hint="eastAsia" w:hAnsi="宋体" w:cs="宋体"/>
                <w:color w:val="000000"/>
                <w:sz w:val="24"/>
                <w:szCs w:val="24"/>
                <w:highlight w:val="none"/>
              </w:rPr>
            </w:pPr>
          </w:p>
        </w:tc>
        <w:tc>
          <w:tcPr>
            <w:tcW w:w="733" w:type="dxa"/>
            <w:noWrap w:val="0"/>
            <w:vAlign w:val="center"/>
          </w:tcPr>
          <w:p w14:paraId="5206FA5A">
            <w:pPr>
              <w:pStyle w:val="18"/>
              <w:spacing w:line="240" w:lineRule="atLeast"/>
              <w:ind w:left="1080" w:leftChars="257" w:hanging="540"/>
              <w:jc w:val="left"/>
              <w:rPr>
                <w:rFonts w:hint="eastAsia" w:hAnsi="宋体" w:cs="宋体"/>
                <w:color w:val="000000"/>
                <w:sz w:val="24"/>
                <w:szCs w:val="24"/>
                <w:highlight w:val="none"/>
              </w:rPr>
            </w:pPr>
          </w:p>
        </w:tc>
        <w:tc>
          <w:tcPr>
            <w:tcW w:w="1036" w:type="dxa"/>
            <w:noWrap w:val="0"/>
            <w:vAlign w:val="center"/>
          </w:tcPr>
          <w:p w14:paraId="43CBBD2E">
            <w:pPr>
              <w:pStyle w:val="18"/>
              <w:spacing w:line="240" w:lineRule="atLeast"/>
              <w:ind w:left="1080" w:leftChars="257" w:hanging="540"/>
              <w:jc w:val="left"/>
              <w:rPr>
                <w:rFonts w:hint="eastAsia" w:hAnsi="宋体" w:cs="宋体"/>
                <w:color w:val="000000"/>
                <w:sz w:val="24"/>
                <w:szCs w:val="24"/>
                <w:highlight w:val="none"/>
              </w:rPr>
            </w:pPr>
          </w:p>
        </w:tc>
        <w:tc>
          <w:tcPr>
            <w:tcW w:w="843" w:type="dxa"/>
            <w:noWrap w:val="0"/>
            <w:vAlign w:val="center"/>
          </w:tcPr>
          <w:p w14:paraId="67B9EE73">
            <w:pPr>
              <w:pStyle w:val="18"/>
              <w:spacing w:line="240" w:lineRule="atLeast"/>
              <w:ind w:left="1080" w:leftChars="257" w:hanging="540"/>
              <w:jc w:val="left"/>
              <w:rPr>
                <w:rFonts w:hint="eastAsia" w:hAnsi="宋体" w:cs="宋体"/>
                <w:color w:val="000000"/>
                <w:sz w:val="24"/>
                <w:szCs w:val="24"/>
                <w:highlight w:val="none"/>
              </w:rPr>
            </w:pPr>
          </w:p>
        </w:tc>
        <w:tc>
          <w:tcPr>
            <w:tcW w:w="801" w:type="dxa"/>
            <w:noWrap w:val="0"/>
            <w:vAlign w:val="center"/>
          </w:tcPr>
          <w:p w14:paraId="7D75F45B">
            <w:pPr>
              <w:pStyle w:val="18"/>
              <w:spacing w:line="240" w:lineRule="atLeast"/>
              <w:ind w:left="1080" w:leftChars="257" w:hanging="540"/>
              <w:jc w:val="left"/>
              <w:rPr>
                <w:rFonts w:hint="eastAsia" w:hAnsi="宋体" w:cs="宋体"/>
                <w:color w:val="000000"/>
                <w:sz w:val="24"/>
                <w:szCs w:val="24"/>
                <w:highlight w:val="none"/>
              </w:rPr>
            </w:pPr>
          </w:p>
        </w:tc>
      </w:tr>
      <w:tr w14:paraId="538C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6AB2A425">
            <w:pPr>
              <w:pStyle w:val="18"/>
              <w:spacing w:line="240" w:lineRule="atLeast"/>
              <w:ind w:left="1080" w:leftChars="257" w:hanging="540"/>
              <w:jc w:val="left"/>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801" w:type="dxa"/>
            <w:noWrap w:val="0"/>
            <w:vAlign w:val="center"/>
          </w:tcPr>
          <w:p w14:paraId="469DBF35">
            <w:pPr>
              <w:pStyle w:val="18"/>
              <w:spacing w:line="240" w:lineRule="atLeast"/>
              <w:ind w:left="1080" w:leftChars="257" w:hanging="540"/>
              <w:jc w:val="left"/>
              <w:rPr>
                <w:rFonts w:hint="eastAsia" w:hAnsi="宋体" w:cs="宋体"/>
                <w:color w:val="000000"/>
                <w:sz w:val="24"/>
                <w:szCs w:val="24"/>
                <w:highlight w:val="none"/>
              </w:rPr>
            </w:pPr>
          </w:p>
        </w:tc>
      </w:tr>
    </w:tbl>
    <w:p w14:paraId="52235F81">
      <w:pPr>
        <w:pStyle w:val="18"/>
        <w:spacing w:line="240" w:lineRule="atLeast"/>
        <w:ind w:left="1080" w:leftChars="257" w:hanging="540"/>
        <w:rPr>
          <w:rFonts w:hint="eastAsia" w:hAnsi="宋体" w:cs="宋体"/>
          <w:sz w:val="24"/>
          <w:szCs w:val="24"/>
          <w:highlight w:val="none"/>
        </w:rPr>
      </w:pPr>
    </w:p>
    <w:p w14:paraId="597E3DD0">
      <w:pPr>
        <w:pStyle w:val="18"/>
        <w:tabs>
          <w:tab w:val="left" w:pos="5370"/>
        </w:tabs>
        <w:spacing w:line="240" w:lineRule="atLeast"/>
        <w:ind w:left="1154" w:leftChars="485" w:hanging="136" w:hangingChars="57"/>
        <w:rPr>
          <w:rFonts w:hint="eastAsia" w:hAnsi="宋体" w:cs="宋体"/>
          <w:sz w:val="24"/>
          <w:szCs w:val="24"/>
          <w:highlight w:val="none"/>
        </w:rPr>
      </w:pPr>
    </w:p>
    <w:p w14:paraId="271B8A18">
      <w:pPr>
        <w:pStyle w:val="18"/>
        <w:tabs>
          <w:tab w:val="left" w:pos="5370"/>
        </w:tabs>
        <w:spacing w:line="240" w:lineRule="atLeast"/>
        <w:ind w:firstLine="720" w:firstLineChars="300"/>
        <w:rPr>
          <w:rFonts w:hint="eastAsia" w:hAnsi="宋体" w:cs="宋体"/>
          <w:sz w:val="24"/>
          <w:szCs w:val="24"/>
          <w:highlight w:val="none"/>
          <w:u w:val="single"/>
        </w:rPr>
      </w:pPr>
      <w:r>
        <w:rPr>
          <w:rFonts w:hint="eastAsia" w:hAnsi="宋体" w:cs="宋体"/>
          <w:sz w:val="24"/>
          <w:szCs w:val="24"/>
          <w:highlight w:val="none"/>
        </w:rPr>
        <w:t>投标人(盖单位章):</w:t>
      </w:r>
      <w:r>
        <w:rPr>
          <w:rFonts w:hint="eastAsia" w:hAnsi="宋体" w:cs="宋体"/>
          <w:sz w:val="24"/>
          <w:szCs w:val="24"/>
          <w:highlight w:val="none"/>
          <w:u w:val="single"/>
        </w:rPr>
        <w:tab/>
      </w:r>
      <w:r>
        <w:rPr>
          <w:rFonts w:hint="eastAsia" w:hAnsi="宋体" w:cs="宋体"/>
          <w:sz w:val="24"/>
          <w:szCs w:val="24"/>
          <w:highlight w:val="none"/>
          <w:u w:val="single"/>
        </w:rPr>
        <w:t xml:space="preserve">      </w:t>
      </w:r>
    </w:p>
    <w:p w14:paraId="3406FAA0">
      <w:pPr>
        <w:pStyle w:val="18"/>
        <w:tabs>
          <w:tab w:val="left" w:pos="5370"/>
        </w:tabs>
        <w:spacing w:line="240" w:lineRule="atLeast"/>
        <w:ind w:left="1080" w:leftChars="257" w:hanging="540"/>
        <w:rPr>
          <w:rFonts w:hint="eastAsia" w:hAnsi="宋体" w:cs="宋体"/>
          <w:sz w:val="24"/>
          <w:szCs w:val="24"/>
          <w:highlight w:val="none"/>
          <w:u w:val="single"/>
        </w:rPr>
      </w:pPr>
    </w:p>
    <w:p w14:paraId="576DC612">
      <w:pPr>
        <w:pStyle w:val="39"/>
        <w:ind w:firstLine="720" w:firstLineChars="300"/>
        <w:rPr>
          <w:rFonts w:ascii="宋体" w:hAnsi="宋体" w:eastAsia="宋体" w:cs="宋体"/>
          <w:szCs w:val="24"/>
          <w:highlight w:val="none"/>
        </w:rPr>
      </w:pPr>
      <w:r>
        <w:rPr>
          <w:rFonts w:ascii="宋体" w:hAnsi="宋体" w:eastAsia="宋体" w:cs="宋体"/>
          <w:szCs w:val="24"/>
          <w:highlight w:val="none"/>
        </w:rPr>
        <w:t>法定代表人或其委托代理人</w:t>
      </w:r>
      <w:r>
        <w:rPr>
          <w:rFonts w:ascii="宋体" w:hAnsi="宋体" w:eastAsia="宋体" w:cs="宋体"/>
          <w:color w:val="000000"/>
          <w:szCs w:val="24"/>
          <w:highlight w:val="none"/>
        </w:rPr>
        <w:t>（签/章）</w:t>
      </w:r>
      <w:r>
        <w:rPr>
          <w:rFonts w:ascii="宋体" w:hAnsi="宋体" w:eastAsia="宋体" w:cs="宋体"/>
          <w:szCs w:val="24"/>
          <w:highlight w:val="none"/>
        </w:rPr>
        <w:t>:</w:t>
      </w:r>
      <w:r>
        <w:rPr>
          <w:rFonts w:ascii="宋体" w:hAnsi="宋体" w:eastAsia="宋体" w:cs="宋体"/>
          <w:szCs w:val="24"/>
          <w:highlight w:val="none"/>
          <w:u w:val="single"/>
        </w:rPr>
        <w:t xml:space="preserve">     </w:t>
      </w:r>
      <w:r>
        <w:rPr>
          <w:rFonts w:ascii="宋体" w:hAnsi="宋体" w:eastAsia="宋体" w:cs="宋体"/>
          <w:szCs w:val="24"/>
          <w:highlight w:val="none"/>
          <w:u w:val="single"/>
        </w:rPr>
        <w:tab/>
      </w:r>
      <w:r>
        <w:rPr>
          <w:rFonts w:ascii="宋体" w:hAnsi="宋体" w:eastAsia="宋体" w:cs="宋体"/>
          <w:szCs w:val="24"/>
          <w:highlight w:val="none"/>
          <w:u w:val="single"/>
        </w:rPr>
        <w:t xml:space="preserve">   </w:t>
      </w:r>
    </w:p>
    <w:p w14:paraId="417D9CB5">
      <w:pPr>
        <w:pStyle w:val="18"/>
        <w:spacing w:line="240" w:lineRule="atLeast"/>
        <w:ind w:left="1080" w:leftChars="257" w:hanging="540"/>
        <w:rPr>
          <w:rFonts w:hint="eastAsia" w:hAnsi="宋体" w:cs="宋体"/>
          <w:color w:val="000000"/>
          <w:sz w:val="24"/>
          <w:szCs w:val="24"/>
          <w:highlight w:val="none"/>
        </w:rPr>
      </w:pPr>
    </w:p>
    <w:p w14:paraId="6DE5E255">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注:1.如果供应商认为需要，每种服务填写一份该表。</w:t>
      </w:r>
    </w:p>
    <w:p w14:paraId="2629A990">
      <w:pPr>
        <w:pStyle w:val="18"/>
        <w:spacing w:line="240" w:lineRule="atLeast"/>
        <w:ind w:left="1079"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2.如果按单价计算的结果与总价不一致,以单价为准修正总价。</w:t>
      </w:r>
    </w:p>
    <w:p w14:paraId="63335B67">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3.如果不提供详细分项报价将视为没有实质性响应磋商文件。</w:t>
      </w:r>
    </w:p>
    <w:p w14:paraId="58E3BB1F">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4.上述各项的详细分项报价，应另页描述。</w:t>
      </w:r>
    </w:p>
    <w:p w14:paraId="662B2079">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5.如果磋商开启一览表（报价表）内容与磋商文件中明细表内容不一致的，以磋商开启一览表（报价表）内容为准。</w:t>
      </w:r>
      <w:bookmarkStart w:id="322" w:name="_Toc18267"/>
      <w:bookmarkStart w:id="323" w:name="_Toc12151"/>
      <w:bookmarkStart w:id="324" w:name="_Toc25251"/>
      <w:bookmarkStart w:id="325" w:name="_Toc22132"/>
      <w:bookmarkStart w:id="326" w:name="_Toc22216"/>
      <w:bookmarkStart w:id="327" w:name="_Toc216582816"/>
      <w:bookmarkStart w:id="328" w:name="_Toc515647819"/>
      <w:bookmarkStart w:id="329" w:name="_Toc22104"/>
      <w:bookmarkStart w:id="330" w:name="_Toc9921"/>
      <w:bookmarkStart w:id="331" w:name="_Toc6343"/>
      <w:bookmarkStart w:id="332" w:name="_Toc14037"/>
      <w:bookmarkStart w:id="333" w:name="_Toc24292"/>
    </w:p>
    <w:p w14:paraId="62945ADB">
      <w:pPr>
        <w:pStyle w:val="18"/>
        <w:spacing w:line="240" w:lineRule="atLeast"/>
        <w:ind w:left="1080" w:leftChars="257" w:hanging="540"/>
        <w:rPr>
          <w:rFonts w:hint="eastAsia" w:hAnsi="宋体" w:cs="宋体"/>
          <w:color w:val="000000"/>
          <w:sz w:val="24"/>
          <w:szCs w:val="24"/>
          <w:highlight w:val="none"/>
        </w:rPr>
      </w:pPr>
    </w:p>
    <w:p w14:paraId="7B8B8336">
      <w:pPr>
        <w:pStyle w:val="18"/>
        <w:spacing w:line="240" w:lineRule="atLeast"/>
        <w:ind w:left="1080" w:leftChars="257" w:hanging="540"/>
        <w:rPr>
          <w:rFonts w:hint="eastAsia" w:hAnsi="宋体" w:cs="宋体"/>
          <w:color w:val="000000"/>
          <w:sz w:val="24"/>
          <w:szCs w:val="24"/>
          <w:highlight w:val="none"/>
        </w:rPr>
      </w:pPr>
    </w:p>
    <w:p w14:paraId="1B576601">
      <w:pPr>
        <w:pStyle w:val="18"/>
        <w:spacing w:line="240" w:lineRule="atLeast"/>
        <w:ind w:left="1080" w:leftChars="257" w:hanging="540"/>
        <w:rPr>
          <w:rFonts w:hint="eastAsia" w:hAnsi="宋体" w:cs="宋体"/>
          <w:color w:val="000000"/>
          <w:sz w:val="24"/>
          <w:szCs w:val="24"/>
          <w:highlight w:val="none"/>
        </w:rPr>
      </w:pPr>
    </w:p>
    <w:p w14:paraId="32C285B1">
      <w:pPr>
        <w:pStyle w:val="18"/>
        <w:spacing w:line="240" w:lineRule="atLeast"/>
        <w:ind w:left="1080" w:leftChars="257" w:hanging="540"/>
        <w:rPr>
          <w:rFonts w:hint="eastAsia" w:hAnsi="宋体" w:cs="宋体"/>
          <w:color w:val="000000"/>
          <w:sz w:val="24"/>
          <w:szCs w:val="24"/>
          <w:highlight w:val="none"/>
        </w:rPr>
      </w:pPr>
    </w:p>
    <w:p w14:paraId="34D2E49F">
      <w:pPr>
        <w:pStyle w:val="18"/>
        <w:spacing w:line="240" w:lineRule="atLeast"/>
        <w:ind w:left="1080" w:leftChars="257" w:hanging="540"/>
        <w:rPr>
          <w:rFonts w:hint="eastAsia" w:hAnsi="宋体" w:cs="宋体"/>
          <w:color w:val="000000"/>
          <w:sz w:val="24"/>
          <w:szCs w:val="24"/>
          <w:highlight w:val="none"/>
        </w:rPr>
      </w:pPr>
    </w:p>
    <w:p w14:paraId="7D69D47F">
      <w:pPr>
        <w:pStyle w:val="18"/>
        <w:spacing w:line="240" w:lineRule="atLeast"/>
        <w:ind w:left="1080" w:leftChars="257" w:hanging="540"/>
        <w:rPr>
          <w:rFonts w:hint="eastAsia" w:hAnsi="宋体" w:cs="宋体"/>
          <w:color w:val="000000"/>
          <w:sz w:val="24"/>
          <w:szCs w:val="24"/>
          <w:highlight w:val="none"/>
        </w:rPr>
      </w:pPr>
    </w:p>
    <w:p w14:paraId="6BAC24A3">
      <w:pPr>
        <w:pStyle w:val="18"/>
        <w:spacing w:line="240" w:lineRule="atLeast"/>
        <w:ind w:left="1080" w:leftChars="257" w:hanging="540"/>
        <w:rPr>
          <w:rFonts w:hint="eastAsia" w:hAnsi="宋体" w:cs="宋体"/>
          <w:color w:val="000000"/>
          <w:sz w:val="24"/>
          <w:szCs w:val="24"/>
          <w:highlight w:val="none"/>
        </w:rPr>
      </w:pPr>
    </w:p>
    <w:p w14:paraId="1580F445">
      <w:pPr>
        <w:pStyle w:val="18"/>
        <w:spacing w:line="240" w:lineRule="atLeast"/>
        <w:ind w:left="1080" w:leftChars="257" w:hanging="540"/>
        <w:rPr>
          <w:rFonts w:hint="eastAsia" w:hAnsi="宋体" w:cs="宋体"/>
          <w:color w:val="000000"/>
          <w:sz w:val="24"/>
          <w:szCs w:val="24"/>
          <w:highlight w:val="none"/>
        </w:rPr>
      </w:pPr>
    </w:p>
    <w:p w14:paraId="230D622D">
      <w:pPr>
        <w:pStyle w:val="18"/>
        <w:spacing w:line="240" w:lineRule="atLeast"/>
        <w:rPr>
          <w:rFonts w:hint="eastAsia" w:hAnsi="宋体" w:cs="宋体"/>
          <w:color w:val="000000"/>
          <w:sz w:val="24"/>
          <w:szCs w:val="24"/>
          <w:highlight w:val="none"/>
        </w:rPr>
      </w:pPr>
    </w:p>
    <w:bookmarkEnd w:id="322"/>
    <w:bookmarkEnd w:id="323"/>
    <w:bookmarkEnd w:id="324"/>
    <w:bookmarkEnd w:id="325"/>
    <w:bookmarkEnd w:id="326"/>
    <w:bookmarkEnd w:id="327"/>
    <w:bookmarkEnd w:id="328"/>
    <w:bookmarkEnd w:id="329"/>
    <w:bookmarkEnd w:id="330"/>
    <w:bookmarkEnd w:id="331"/>
    <w:bookmarkEnd w:id="332"/>
    <w:bookmarkEnd w:id="333"/>
    <w:p w14:paraId="6B80FAB2">
      <w:pPr>
        <w:pStyle w:val="18"/>
        <w:spacing w:line="240" w:lineRule="atLeast"/>
        <w:ind w:left="1080" w:leftChars="257" w:hanging="540"/>
        <w:jc w:val="center"/>
        <w:rPr>
          <w:rFonts w:hint="eastAsia" w:hAnsi="宋体" w:cs="宋体"/>
          <w:b/>
          <w:bCs/>
          <w:color w:val="000000"/>
          <w:sz w:val="24"/>
          <w:szCs w:val="24"/>
          <w:highlight w:val="none"/>
        </w:rPr>
      </w:pPr>
      <w:r>
        <w:rPr>
          <w:rFonts w:hint="eastAsia" w:hAnsi="宋体" w:cs="宋体"/>
          <w:b/>
          <w:bCs/>
          <w:color w:val="000000"/>
          <w:sz w:val="24"/>
          <w:szCs w:val="24"/>
          <w:highlight w:val="none"/>
        </w:rPr>
        <w:t>3、服务说明一览表</w:t>
      </w:r>
    </w:p>
    <w:p w14:paraId="024D5D0F">
      <w:pPr>
        <w:pStyle w:val="18"/>
        <w:spacing w:line="240" w:lineRule="atLeast"/>
        <w:ind w:left="1080" w:leftChars="257" w:hanging="540"/>
        <w:rPr>
          <w:rFonts w:hint="eastAsia" w:hAnsi="宋体" w:cs="宋体"/>
          <w:color w:val="000000"/>
          <w:sz w:val="24"/>
          <w:szCs w:val="24"/>
          <w:highlight w:val="none"/>
        </w:rPr>
      </w:pPr>
    </w:p>
    <w:p w14:paraId="64986CEF">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p>
    <w:p w14:paraId="67AEA0DC">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项目编号: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14:paraId="455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center"/>
          </w:tcPr>
          <w:p w14:paraId="34561AA8">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1317" w:type="dxa"/>
            <w:noWrap w:val="0"/>
            <w:vAlign w:val="center"/>
          </w:tcPr>
          <w:p w14:paraId="34F762DD">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服务名称</w:t>
            </w:r>
          </w:p>
        </w:tc>
        <w:tc>
          <w:tcPr>
            <w:tcW w:w="1196" w:type="dxa"/>
            <w:noWrap w:val="0"/>
            <w:vAlign w:val="center"/>
          </w:tcPr>
          <w:p w14:paraId="0E9C8636">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服务内容</w:t>
            </w:r>
          </w:p>
        </w:tc>
        <w:tc>
          <w:tcPr>
            <w:tcW w:w="1078" w:type="dxa"/>
            <w:noWrap w:val="0"/>
            <w:vAlign w:val="center"/>
          </w:tcPr>
          <w:p w14:paraId="08ABB656">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数量</w:t>
            </w:r>
          </w:p>
        </w:tc>
        <w:tc>
          <w:tcPr>
            <w:tcW w:w="1317" w:type="dxa"/>
            <w:noWrap w:val="0"/>
            <w:vAlign w:val="center"/>
          </w:tcPr>
          <w:p w14:paraId="484643D1">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服务期限</w:t>
            </w:r>
          </w:p>
        </w:tc>
        <w:tc>
          <w:tcPr>
            <w:tcW w:w="1436" w:type="dxa"/>
            <w:noWrap w:val="0"/>
            <w:vAlign w:val="center"/>
          </w:tcPr>
          <w:p w14:paraId="6C3D6517">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服务地点</w:t>
            </w:r>
          </w:p>
        </w:tc>
        <w:tc>
          <w:tcPr>
            <w:tcW w:w="1317" w:type="dxa"/>
            <w:noWrap w:val="0"/>
            <w:vAlign w:val="center"/>
          </w:tcPr>
          <w:p w14:paraId="6A604F27">
            <w:pPr>
              <w:pStyle w:val="18"/>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其它</w:t>
            </w:r>
          </w:p>
        </w:tc>
      </w:tr>
      <w:tr w14:paraId="263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173447DE">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2A5AC1DD">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7AE3E0D0">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1FE4F849">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6240C8FB">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443FED50">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18A5204E">
            <w:pPr>
              <w:pStyle w:val="18"/>
              <w:spacing w:line="240" w:lineRule="atLeast"/>
              <w:ind w:left="1080" w:leftChars="257" w:hanging="540"/>
              <w:rPr>
                <w:rFonts w:hint="eastAsia" w:hAnsi="宋体" w:cs="宋体"/>
                <w:color w:val="000000"/>
                <w:sz w:val="24"/>
                <w:szCs w:val="24"/>
                <w:highlight w:val="none"/>
              </w:rPr>
            </w:pPr>
          </w:p>
        </w:tc>
      </w:tr>
      <w:tr w14:paraId="22ED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5AB74DF0">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08854999">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7FF6E383">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762F1C1E">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072B4C29">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433B5361">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7C32EDF">
            <w:pPr>
              <w:pStyle w:val="18"/>
              <w:spacing w:line="240" w:lineRule="atLeast"/>
              <w:ind w:left="1080" w:leftChars="257" w:hanging="540"/>
              <w:rPr>
                <w:rFonts w:hint="eastAsia" w:hAnsi="宋体" w:cs="宋体"/>
                <w:color w:val="000000"/>
                <w:sz w:val="24"/>
                <w:szCs w:val="24"/>
                <w:highlight w:val="none"/>
              </w:rPr>
            </w:pPr>
          </w:p>
        </w:tc>
      </w:tr>
      <w:tr w14:paraId="3B2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2239F2F8">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F2E419D">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639A9F41">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39FBBA3C">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675663E">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0D6DDB90">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A08EB44">
            <w:pPr>
              <w:pStyle w:val="18"/>
              <w:spacing w:line="240" w:lineRule="atLeast"/>
              <w:ind w:left="1080" w:leftChars="257" w:hanging="540"/>
              <w:rPr>
                <w:rFonts w:hint="eastAsia" w:hAnsi="宋体" w:cs="宋体"/>
                <w:color w:val="000000"/>
                <w:sz w:val="24"/>
                <w:szCs w:val="24"/>
                <w:highlight w:val="none"/>
              </w:rPr>
            </w:pPr>
          </w:p>
        </w:tc>
      </w:tr>
      <w:tr w14:paraId="69AD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483DC221">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9B09A0E">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625D625C">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47F494AD">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607F8350">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53B24B17">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5B1A13D8">
            <w:pPr>
              <w:pStyle w:val="18"/>
              <w:spacing w:line="240" w:lineRule="atLeast"/>
              <w:ind w:left="1080" w:leftChars="257" w:hanging="540"/>
              <w:rPr>
                <w:rFonts w:hint="eastAsia" w:hAnsi="宋体" w:cs="宋体"/>
                <w:color w:val="000000"/>
                <w:sz w:val="24"/>
                <w:szCs w:val="24"/>
                <w:highlight w:val="none"/>
              </w:rPr>
            </w:pPr>
          </w:p>
        </w:tc>
      </w:tr>
      <w:tr w14:paraId="66A0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5673BB44">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A06BEBE">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150A737A">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110517C7">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5FA22DCE">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142E87F8">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2C8A201">
            <w:pPr>
              <w:pStyle w:val="18"/>
              <w:spacing w:line="240" w:lineRule="atLeast"/>
              <w:ind w:left="1080" w:leftChars="257" w:hanging="540"/>
              <w:rPr>
                <w:rFonts w:hint="eastAsia" w:hAnsi="宋体" w:cs="宋体"/>
                <w:color w:val="000000"/>
                <w:sz w:val="24"/>
                <w:szCs w:val="24"/>
                <w:highlight w:val="none"/>
              </w:rPr>
            </w:pPr>
          </w:p>
        </w:tc>
      </w:tr>
      <w:tr w14:paraId="30F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3FC485E7">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8FB258E">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2CC642C4">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34D91970">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692108EC">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20720E9D">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1CE3784">
            <w:pPr>
              <w:pStyle w:val="18"/>
              <w:spacing w:line="240" w:lineRule="atLeast"/>
              <w:ind w:left="1080" w:leftChars="257" w:hanging="540"/>
              <w:rPr>
                <w:rFonts w:hint="eastAsia" w:hAnsi="宋体" w:cs="宋体"/>
                <w:color w:val="000000"/>
                <w:sz w:val="24"/>
                <w:szCs w:val="24"/>
                <w:highlight w:val="none"/>
              </w:rPr>
            </w:pPr>
          </w:p>
        </w:tc>
      </w:tr>
      <w:tr w14:paraId="09C6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117FFBE6">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68234530">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110CFD68">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2AE60BAA">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4475CD40">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346776F7">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790784B">
            <w:pPr>
              <w:pStyle w:val="18"/>
              <w:spacing w:line="240" w:lineRule="atLeast"/>
              <w:ind w:left="1080" w:leftChars="257" w:hanging="540"/>
              <w:rPr>
                <w:rFonts w:hint="eastAsia" w:hAnsi="宋体" w:cs="宋体"/>
                <w:color w:val="000000"/>
                <w:sz w:val="24"/>
                <w:szCs w:val="24"/>
                <w:highlight w:val="none"/>
              </w:rPr>
            </w:pPr>
          </w:p>
        </w:tc>
      </w:tr>
      <w:tr w14:paraId="4749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3F02CEE7">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791B88E0">
            <w:pPr>
              <w:pStyle w:val="18"/>
              <w:spacing w:line="240" w:lineRule="atLeast"/>
              <w:ind w:left="1080" w:leftChars="257" w:hanging="540"/>
              <w:rPr>
                <w:rFonts w:hint="eastAsia" w:hAnsi="宋体" w:cs="宋体"/>
                <w:color w:val="000000"/>
                <w:sz w:val="24"/>
                <w:szCs w:val="24"/>
                <w:highlight w:val="none"/>
              </w:rPr>
            </w:pPr>
          </w:p>
        </w:tc>
        <w:tc>
          <w:tcPr>
            <w:tcW w:w="1196" w:type="dxa"/>
            <w:noWrap w:val="0"/>
            <w:vAlign w:val="top"/>
          </w:tcPr>
          <w:p w14:paraId="298D5811">
            <w:pPr>
              <w:pStyle w:val="18"/>
              <w:spacing w:line="240" w:lineRule="atLeast"/>
              <w:ind w:left="1080" w:leftChars="257" w:hanging="540"/>
              <w:rPr>
                <w:rFonts w:hint="eastAsia" w:hAnsi="宋体" w:cs="宋体"/>
                <w:color w:val="000000"/>
                <w:sz w:val="24"/>
                <w:szCs w:val="24"/>
                <w:highlight w:val="none"/>
              </w:rPr>
            </w:pPr>
          </w:p>
        </w:tc>
        <w:tc>
          <w:tcPr>
            <w:tcW w:w="1078" w:type="dxa"/>
            <w:noWrap w:val="0"/>
            <w:vAlign w:val="top"/>
          </w:tcPr>
          <w:p w14:paraId="65CDDA51">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085EB43C">
            <w:pPr>
              <w:pStyle w:val="18"/>
              <w:spacing w:line="240" w:lineRule="atLeast"/>
              <w:ind w:left="1080" w:leftChars="257" w:hanging="540"/>
              <w:rPr>
                <w:rFonts w:hint="eastAsia" w:hAnsi="宋体" w:cs="宋体"/>
                <w:color w:val="000000"/>
                <w:sz w:val="24"/>
                <w:szCs w:val="24"/>
                <w:highlight w:val="none"/>
              </w:rPr>
            </w:pPr>
          </w:p>
        </w:tc>
        <w:tc>
          <w:tcPr>
            <w:tcW w:w="1436" w:type="dxa"/>
            <w:noWrap w:val="0"/>
            <w:vAlign w:val="top"/>
          </w:tcPr>
          <w:p w14:paraId="290E5329">
            <w:pPr>
              <w:pStyle w:val="18"/>
              <w:spacing w:line="240" w:lineRule="atLeast"/>
              <w:ind w:left="1080" w:leftChars="257" w:hanging="540"/>
              <w:rPr>
                <w:rFonts w:hint="eastAsia" w:hAnsi="宋体" w:cs="宋体"/>
                <w:color w:val="000000"/>
                <w:sz w:val="24"/>
                <w:szCs w:val="24"/>
                <w:highlight w:val="none"/>
              </w:rPr>
            </w:pPr>
          </w:p>
        </w:tc>
        <w:tc>
          <w:tcPr>
            <w:tcW w:w="1317" w:type="dxa"/>
            <w:noWrap w:val="0"/>
            <w:vAlign w:val="top"/>
          </w:tcPr>
          <w:p w14:paraId="686B27AC">
            <w:pPr>
              <w:pStyle w:val="18"/>
              <w:spacing w:line="240" w:lineRule="atLeast"/>
              <w:ind w:left="1080" w:leftChars="257" w:hanging="540"/>
              <w:rPr>
                <w:rFonts w:hint="eastAsia" w:hAnsi="宋体" w:cs="宋体"/>
                <w:color w:val="000000"/>
                <w:sz w:val="24"/>
                <w:szCs w:val="24"/>
                <w:highlight w:val="none"/>
              </w:rPr>
            </w:pPr>
          </w:p>
        </w:tc>
      </w:tr>
    </w:tbl>
    <w:p w14:paraId="3AC8A436">
      <w:pPr>
        <w:pStyle w:val="18"/>
        <w:spacing w:line="240" w:lineRule="atLeast"/>
        <w:ind w:left="1080" w:leftChars="257" w:hanging="540"/>
        <w:rPr>
          <w:rFonts w:hint="eastAsia" w:hAnsi="宋体" w:cs="宋体"/>
          <w:color w:val="000000"/>
          <w:sz w:val="24"/>
          <w:szCs w:val="24"/>
          <w:highlight w:val="none"/>
        </w:rPr>
      </w:pPr>
    </w:p>
    <w:p w14:paraId="484EACFA">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响应文件中服务条款（包括项目服务期、内容）与磋商文件有偏差的，均应在此表中列出（内容较多的可以标注见投标文件第几页，偏差包括正偏差和负偏差），未在此表中列出的视同完全满足磋商文件要求。</w:t>
      </w:r>
    </w:p>
    <w:p w14:paraId="36BCC1B6">
      <w:pPr>
        <w:pStyle w:val="18"/>
        <w:spacing w:line="240" w:lineRule="atLeast"/>
        <w:ind w:left="1080" w:leftChars="257" w:hanging="540"/>
        <w:rPr>
          <w:rFonts w:hint="eastAsia" w:hAnsi="宋体" w:cs="宋体"/>
          <w:color w:val="000000"/>
          <w:sz w:val="24"/>
          <w:szCs w:val="24"/>
          <w:highlight w:val="none"/>
        </w:rPr>
      </w:pPr>
    </w:p>
    <w:p w14:paraId="456D045C">
      <w:pPr>
        <w:pStyle w:val="39"/>
        <w:ind w:firstLine="240"/>
        <w:rPr>
          <w:rFonts w:ascii="宋体" w:hAnsi="宋体" w:eastAsia="宋体" w:cs="宋体"/>
          <w:color w:val="000000"/>
          <w:szCs w:val="24"/>
          <w:highlight w:val="none"/>
        </w:rPr>
      </w:pPr>
    </w:p>
    <w:p w14:paraId="5F12E073">
      <w:pPr>
        <w:pStyle w:val="18"/>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14:paraId="4895582A">
      <w:pPr>
        <w:pStyle w:val="18"/>
        <w:tabs>
          <w:tab w:val="left" w:pos="5370"/>
        </w:tabs>
        <w:spacing w:line="240" w:lineRule="atLeast"/>
        <w:ind w:left="1080" w:leftChars="257" w:hanging="540"/>
        <w:rPr>
          <w:rFonts w:hint="eastAsia" w:hAnsi="宋体" w:cs="宋体"/>
          <w:color w:val="000000"/>
          <w:sz w:val="24"/>
          <w:szCs w:val="24"/>
          <w:highlight w:val="none"/>
          <w:u w:val="single"/>
        </w:rPr>
      </w:pPr>
    </w:p>
    <w:p w14:paraId="75879659">
      <w:pPr>
        <w:pStyle w:val="39"/>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法定代表人或其委托代理人（签/章）:</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14:paraId="76D24000">
      <w:pPr>
        <w:pStyle w:val="18"/>
        <w:spacing w:line="240" w:lineRule="atLeast"/>
        <w:ind w:left="1080" w:leftChars="257" w:hanging="540"/>
        <w:rPr>
          <w:rFonts w:hint="eastAsia" w:hAnsi="宋体" w:cs="宋体"/>
          <w:color w:val="000000"/>
          <w:sz w:val="24"/>
          <w:szCs w:val="24"/>
          <w:highlight w:val="none"/>
        </w:rPr>
      </w:pPr>
    </w:p>
    <w:p w14:paraId="331D2634">
      <w:pPr>
        <w:pStyle w:val="18"/>
        <w:spacing w:line="240" w:lineRule="atLeast"/>
        <w:ind w:left="1080" w:leftChars="257" w:hanging="540"/>
        <w:jc w:val="center"/>
        <w:rPr>
          <w:rFonts w:hint="eastAsia" w:hAnsi="宋体" w:cs="宋体"/>
          <w:color w:val="000000"/>
          <w:sz w:val="24"/>
          <w:szCs w:val="24"/>
          <w:highlight w:val="none"/>
        </w:rPr>
      </w:pPr>
    </w:p>
    <w:p w14:paraId="4AC81FC0">
      <w:pPr>
        <w:pStyle w:val="18"/>
        <w:spacing w:line="240" w:lineRule="atLeast"/>
        <w:ind w:left="1080" w:leftChars="257" w:hanging="540"/>
        <w:jc w:val="center"/>
        <w:rPr>
          <w:rFonts w:hint="eastAsia" w:hAnsi="宋体" w:cs="宋体"/>
          <w:color w:val="000000"/>
          <w:sz w:val="24"/>
          <w:szCs w:val="24"/>
          <w:highlight w:val="none"/>
        </w:rPr>
        <w:sectPr>
          <w:footerReference r:id="rId5" w:type="default"/>
          <w:pgSz w:w="11906" w:h="16838"/>
          <w:pgMar w:top="1440" w:right="1797" w:bottom="1440" w:left="1797" w:header="851" w:footer="992" w:gutter="0"/>
          <w:pgNumType w:start="1"/>
          <w:cols w:space="720" w:num="1"/>
          <w:docGrid w:linePitch="312" w:charSpace="0"/>
        </w:sectPr>
      </w:pPr>
    </w:p>
    <w:p w14:paraId="76579144">
      <w:pPr>
        <w:pStyle w:val="3"/>
        <w:spacing w:before="0" w:line="240" w:lineRule="atLeast"/>
        <w:ind w:left="1080" w:leftChars="257" w:hanging="540"/>
        <w:rPr>
          <w:rFonts w:hint="eastAsia" w:ascii="宋体" w:hAnsi="宋体" w:eastAsia="宋体" w:cs="宋体"/>
          <w:color w:val="000000"/>
          <w:sz w:val="24"/>
          <w:szCs w:val="24"/>
          <w:highlight w:val="none"/>
        </w:rPr>
      </w:pPr>
      <w:bookmarkStart w:id="334" w:name="_Toc4880"/>
      <w:bookmarkStart w:id="335" w:name="_Toc1232"/>
      <w:bookmarkStart w:id="336" w:name="_Toc22563"/>
      <w:bookmarkStart w:id="337" w:name="_Toc9012"/>
      <w:bookmarkStart w:id="338" w:name="_Toc216582817"/>
      <w:bookmarkStart w:id="339" w:name="_Toc1130"/>
      <w:bookmarkStart w:id="340" w:name="_Toc28959"/>
      <w:bookmarkStart w:id="341" w:name="_Toc24864"/>
      <w:bookmarkStart w:id="342" w:name="_Toc338"/>
      <w:bookmarkStart w:id="343" w:name="_Toc32689"/>
      <w:bookmarkStart w:id="344" w:name="_Toc515647820"/>
      <w:bookmarkStart w:id="345" w:name="_Toc30176"/>
      <w:r>
        <w:rPr>
          <w:rFonts w:hint="eastAsia" w:ascii="宋体" w:hAnsi="宋体" w:eastAsia="宋体" w:cs="宋体"/>
          <w:color w:val="000000"/>
          <w:sz w:val="24"/>
          <w:szCs w:val="24"/>
          <w:highlight w:val="none"/>
        </w:rPr>
        <w:t>4</w:t>
      </w:r>
      <w:bookmarkEnd w:id="334"/>
      <w:bookmarkEnd w:id="335"/>
      <w:bookmarkEnd w:id="336"/>
      <w:bookmarkEnd w:id="337"/>
      <w:bookmarkEnd w:id="338"/>
      <w:bookmarkEnd w:id="339"/>
      <w:bookmarkEnd w:id="340"/>
      <w:bookmarkEnd w:id="341"/>
      <w:bookmarkEnd w:id="342"/>
      <w:bookmarkEnd w:id="343"/>
      <w:bookmarkEnd w:id="344"/>
      <w:bookmarkStart w:id="346" w:name="_Toc13810"/>
      <w:bookmarkStart w:id="347" w:name="_Toc216582818"/>
      <w:bookmarkStart w:id="348" w:name="_Toc24350"/>
      <w:bookmarkStart w:id="349" w:name="_Toc515647821"/>
      <w:bookmarkStart w:id="350" w:name="_Toc3332"/>
      <w:bookmarkStart w:id="351" w:name="_Toc4467"/>
      <w:bookmarkStart w:id="352" w:name="_Toc3484"/>
      <w:bookmarkStart w:id="353" w:name="_Toc23"/>
      <w:bookmarkStart w:id="354" w:name="_Toc3060"/>
      <w:bookmarkStart w:id="355" w:name="_Toc1980"/>
      <w:bookmarkStart w:id="356" w:name="_Toc15724"/>
      <w:r>
        <w:rPr>
          <w:rFonts w:hint="eastAsia" w:ascii="宋体" w:hAnsi="宋体" w:eastAsia="宋体" w:cs="宋体"/>
          <w:color w:val="000000"/>
          <w:sz w:val="24"/>
          <w:szCs w:val="24"/>
          <w:highlight w:val="none"/>
        </w:rPr>
        <w:t>、商务条款偏离表</w:t>
      </w:r>
      <w:bookmarkEnd w:id="345"/>
      <w:bookmarkEnd w:id="346"/>
      <w:bookmarkEnd w:id="347"/>
      <w:bookmarkEnd w:id="348"/>
      <w:bookmarkEnd w:id="349"/>
      <w:bookmarkEnd w:id="350"/>
      <w:bookmarkEnd w:id="351"/>
      <w:bookmarkEnd w:id="352"/>
      <w:bookmarkEnd w:id="353"/>
      <w:bookmarkEnd w:id="354"/>
      <w:bookmarkEnd w:id="355"/>
      <w:bookmarkEnd w:id="356"/>
    </w:p>
    <w:p w14:paraId="3779C327">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p>
    <w:p w14:paraId="775E3408">
      <w:pPr>
        <w:pStyle w:val="1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项目编号:                                  包号:</w:t>
      </w:r>
    </w:p>
    <w:tbl>
      <w:tblPr>
        <w:tblStyle w:val="4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2FB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9D3D10C">
            <w:pPr>
              <w:pStyle w:val="18"/>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2040" w:type="dxa"/>
            <w:noWrap w:val="0"/>
            <w:vAlign w:val="center"/>
          </w:tcPr>
          <w:p w14:paraId="28DBA4C1">
            <w:pPr>
              <w:pStyle w:val="18"/>
              <w:jc w:val="center"/>
              <w:rPr>
                <w:rFonts w:hint="eastAsia" w:hAnsi="宋体" w:cs="宋体"/>
                <w:color w:val="000000"/>
                <w:sz w:val="24"/>
                <w:szCs w:val="24"/>
                <w:highlight w:val="none"/>
              </w:rPr>
            </w:pPr>
            <w:r>
              <w:rPr>
                <w:rFonts w:hint="eastAsia" w:hAnsi="宋体" w:cs="宋体"/>
                <w:color w:val="000000"/>
                <w:sz w:val="24"/>
                <w:szCs w:val="24"/>
                <w:highlight w:val="none"/>
              </w:rPr>
              <w:t>磋商文件条款号</w:t>
            </w:r>
          </w:p>
        </w:tc>
        <w:tc>
          <w:tcPr>
            <w:tcW w:w="2520" w:type="dxa"/>
            <w:noWrap w:val="0"/>
            <w:vAlign w:val="center"/>
          </w:tcPr>
          <w:p w14:paraId="6ECE2168">
            <w:pPr>
              <w:pStyle w:val="18"/>
              <w:jc w:val="center"/>
              <w:rPr>
                <w:rFonts w:hint="eastAsia" w:hAnsi="宋体" w:cs="宋体"/>
                <w:color w:val="000000"/>
                <w:sz w:val="24"/>
                <w:szCs w:val="24"/>
                <w:highlight w:val="none"/>
              </w:rPr>
            </w:pPr>
            <w:r>
              <w:rPr>
                <w:rFonts w:hint="eastAsia" w:hAnsi="宋体" w:cs="宋体"/>
                <w:color w:val="000000"/>
                <w:sz w:val="24"/>
                <w:szCs w:val="24"/>
                <w:highlight w:val="none"/>
              </w:rPr>
              <w:t>磋商文件的商务条款</w:t>
            </w:r>
          </w:p>
        </w:tc>
        <w:tc>
          <w:tcPr>
            <w:tcW w:w="2520" w:type="dxa"/>
            <w:noWrap w:val="0"/>
            <w:vAlign w:val="center"/>
          </w:tcPr>
          <w:p w14:paraId="7CE58530">
            <w:pPr>
              <w:pStyle w:val="18"/>
              <w:jc w:val="center"/>
              <w:rPr>
                <w:rFonts w:hint="eastAsia" w:hAnsi="宋体" w:cs="宋体"/>
                <w:color w:val="000000"/>
                <w:sz w:val="24"/>
                <w:szCs w:val="24"/>
                <w:highlight w:val="none"/>
              </w:rPr>
            </w:pPr>
            <w:r>
              <w:rPr>
                <w:rFonts w:hint="eastAsia" w:hAnsi="宋体" w:cs="宋体"/>
                <w:color w:val="000000"/>
                <w:sz w:val="24"/>
                <w:szCs w:val="24"/>
                <w:highlight w:val="none"/>
              </w:rPr>
              <w:t>磋商文件的商务条款</w:t>
            </w:r>
          </w:p>
        </w:tc>
        <w:tc>
          <w:tcPr>
            <w:tcW w:w="900" w:type="dxa"/>
            <w:noWrap w:val="0"/>
            <w:vAlign w:val="center"/>
          </w:tcPr>
          <w:p w14:paraId="6561B1B8">
            <w:pPr>
              <w:pStyle w:val="18"/>
              <w:jc w:val="center"/>
              <w:rPr>
                <w:rFonts w:hint="eastAsia" w:hAnsi="宋体" w:cs="宋体"/>
                <w:color w:val="000000"/>
                <w:sz w:val="24"/>
                <w:szCs w:val="24"/>
                <w:highlight w:val="none"/>
              </w:rPr>
            </w:pPr>
            <w:r>
              <w:rPr>
                <w:rFonts w:hint="eastAsia" w:hAnsi="宋体" w:cs="宋体"/>
                <w:color w:val="000000"/>
                <w:sz w:val="24"/>
                <w:szCs w:val="24"/>
                <w:highlight w:val="none"/>
              </w:rPr>
              <w:t>说明</w:t>
            </w:r>
          </w:p>
        </w:tc>
      </w:tr>
      <w:tr w14:paraId="64AF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21A3A9D">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5CD6B414">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0DDA5DF8">
            <w:pPr>
              <w:pStyle w:val="18"/>
              <w:spacing w:line="240" w:lineRule="atLeast"/>
              <w:ind w:left="1080" w:leftChars="257" w:hanging="540"/>
              <w:jc w:val="center"/>
              <w:rPr>
                <w:rFonts w:hint="eastAsia" w:hAnsi="宋体" w:cs="宋体"/>
                <w:color w:val="000000"/>
                <w:sz w:val="24"/>
                <w:szCs w:val="24"/>
                <w:highlight w:val="none"/>
              </w:rPr>
            </w:pPr>
          </w:p>
        </w:tc>
        <w:tc>
          <w:tcPr>
            <w:tcW w:w="2520" w:type="dxa"/>
            <w:noWrap w:val="0"/>
            <w:vAlign w:val="top"/>
          </w:tcPr>
          <w:p w14:paraId="653212A8">
            <w:pPr>
              <w:pStyle w:val="18"/>
              <w:spacing w:line="240" w:lineRule="atLeast"/>
              <w:ind w:left="1080" w:leftChars="257" w:hanging="540"/>
              <w:jc w:val="center"/>
              <w:rPr>
                <w:rFonts w:hint="eastAsia" w:hAnsi="宋体" w:cs="宋体"/>
                <w:color w:val="000000"/>
                <w:sz w:val="24"/>
                <w:szCs w:val="24"/>
                <w:highlight w:val="none"/>
              </w:rPr>
            </w:pPr>
          </w:p>
        </w:tc>
        <w:tc>
          <w:tcPr>
            <w:tcW w:w="900" w:type="dxa"/>
            <w:noWrap w:val="0"/>
            <w:vAlign w:val="top"/>
          </w:tcPr>
          <w:p w14:paraId="3193E1B9">
            <w:pPr>
              <w:pStyle w:val="18"/>
              <w:spacing w:line="240" w:lineRule="atLeast"/>
              <w:ind w:left="1080" w:leftChars="257" w:hanging="540"/>
              <w:rPr>
                <w:rFonts w:hint="eastAsia" w:hAnsi="宋体" w:cs="宋体"/>
                <w:color w:val="000000"/>
                <w:sz w:val="24"/>
                <w:szCs w:val="24"/>
                <w:highlight w:val="none"/>
              </w:rPr>
            </w:pPr>
          </w:p>
        </w:tc>
      </w:tr>
      <w:tr w14:paraId="1BD2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A0A4C2">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22B601B7">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164D280E">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27DBFFE0">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09E0CBB4">
            <w:pPr>
              <w:pStyle w:val="18"/>
              <w:spacing w:line="240" w:lineRule="atLeast"/>
              <w:ind w:left="1080" w:leftChars="257" w:hanging="540"/>
              <w:rPr>
                <w:rFonts w:hint="eastAsia" w:hAnsi="宋体" w:cs="宋体"/>
                <w:color w:val="000000"/>
                <w:sz w:val="24"/>
                <w:szCs w:val="24"/>
                <w:highlight w:val="none"/>
              </w:rPr>
            </w:pPr>
          </w:p>
        </w:tc>
      </w:tr>
      <w:tr w14:paraId="19CD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D1D261">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4DBF710F">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17F91617">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6E508ED8">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7EA86245">
            <w:pPr>
              <w:pStyle w:val="18"/>
              <w:spacing w:line="240" w:lineRule="atLeast"/>
              <w:ind w:left="1080" w:leftChars="257" w:hanging="540"/>
              <w:rPr>
                <w:rFonts w:hint="eastAsia" w:hAnsi="宋体" w:cs="宋体"/>
                <w:color w:val="000000"/>
                <w:sz w:val="24"/>
                <w:szCs w:val="24"/>
                <w:highlight w:val="none"/>
              </w:rPr>
            </w:pPr>
          </w:p>
        </w:tc>
      </w:tr>
      <w:tr w14:paraId="450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9668BDD">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63CA9E07">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53D6E2A8">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05888DA7">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11289B32">
            <w:pPr>
              <w:pStyle w:val="18"/>
              <w:spacing w:line="240" w:lineRule="atLeast"/>
              <w:ind w:left="1080" w:leftChars="257" w:hanging="540"/>
              <w:rPr>
                <w:rFonts w:hint="eastAsia" w:hAnsi="宋体" w:cs="宋体"/>
                <w:color w:val="000000"/>
                <w:sz w:val="24"/>
                <w:szCs w:val="24"/>
                <w:highlight w:val="none"/>
              </w:rPr>
            </w:pPr>
          </w:p>
        </w:tc>
      </w:tr>
      <w:tr w14:paraId="5609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C8E574E">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36B64917">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67BBF27F">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5E122A7E">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52158C6F">
            <w:pPr>
              <w:pStyle w:val="18"/>
              <w:spacing w:line="240" w:lineRule="atLeast"/>
              <w:ind w:left="1080" w:leftChars="257" w:hanging="540"/>
              <w:rPr>
                <w:rFonts w:hint="eastAsia" w:hAnsi="宋体" w:cs="宋体"/>
                <w:color w:val="000000"/>
                <w:sz w:val="24"/>
                <w:szCs w:val="24"/>
                <w:highlight w:val="none"/>
              </w:rPr>
            </w:pPr>
          </w:p>
        </w:tc>
      </w:tr>
      <w:tr w14:paraId="5248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5FCBF1A">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457C40AB">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C49B8A6">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6E883ADB">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2539F0FF">
            <w:pPr>
              <w:pStyle w:val="18"/>
              <w:spacing w:line="240" w:lineRule="atLeast"/>
              <w:ind w:left="1080" w:leftChars="257" w:hanging="540"/>
              <w:rPr>
                <w:rFonts w:hint="eastAsia" w:hAnsi="宋体" w:cs="宋体"/>
                <w:color w:val="000000"/>
                <w:sz w:val="24"/>
                <w:szCs w:val="24"/>
                <w:highlight w:val="none"/>
              </w:rPr>
            </w:pPr>
          </w:p>
        </w:tc>
      </w:tr>
      <w:tr w14:paraId="6D7A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1CCB8E9">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244A0B0A">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36D28521">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37D71E4F">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4C2A2A69">
            <w:pPr>
              <w:pStyle w:val="18"/>
              <w:spacing w:line="240" w:lineRule="atLeast"/>
              <w:ind w:left="1080" w:leftChars="257" w:hanging="540"/>
              <w:rPr>
                <w:rFonts w:hint="eastAsia" w:hAnsi="宋体" w:cs="宋体"/>
                <w:color w:val="000000"/>
                <w:sz w:val="24"/>
                <w:szCs w:val="24"/>
                <w:highlight w:val="none"/>
              </w:rPr>
            </w:pPr>
          </w:p>
        </w:tc>
      </w:tr>
      <w:tr w14:paraId="246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A5483F1">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6DB16461">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01558E62">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823BF68">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365A3A2C">
            <w:pPr>
              <w:pStyle w:val="18"/>
              <w:spacing w:line="240" w:lineRule="atLeast"/>
              <w:ind w:left="1080" w:leftChars="257" w:hanging="540"/>
              <w:rPr>
                <w:rFonts w:hint="eastAsia" w:hAnsi="宋体" w:cs="宋体"/>
                <w:color w:val="000000"/>
                <w:sz w:val="24"/>
                <w:szCs w:val="24"/>
                <w:highlight w:val="none"/>
              </w:rPr>
            </w:pPr>
          </w:p>
        </w:tc>
      </w:tr>
      <w:tr w14:paraId="0738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608221D">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3D1F5766">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CB7C408">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01A65367">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37D8FEE7">
            <w:pPr>
              <w:pStyle w:val="18"/>
              <w:spacing w:line="240" w:lineRule="atLeast"/>
              <w:ind w:left="1080" w:leftChars="257" w:hanging="540"/>
              <w:rPr>
                <w:rFonts w:hint="eastAsia" w:hAnsi="宋体" w:cs="宋体"/>
                <w:color w:val="000000"/>
                <w:sz w:val="24"/>
                <w:szCs w:val="24"/>
                <w:highlight w:val="none"/>
              </w:rPr>
            </w:pPr>
          </w:p>
        </w:tc>
      </w:tr>
      <w:tr w14:paraId="5776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1BC0A02">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12928FAF">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61D96E71">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BA13865">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089304BC">
            <w:pPr>
              <w:pStyle w:val="18"/>
              <w:spacing w:line="240" w:lineRule="atLeast"/>
              <w:ind w:left="1080" w:leftChars="257" w:hanging="540"/>
              <w:rPr>
                <w:rFonts w:hint="eastAsia" w:hAnsi="宋体" w:cs="宋体"/>
                <w:color w:val="000000"/>
                <w:sz w:val="24"/>
                <w:szCs w:val="24"/>
                <w:highlight w:val="none"/>
              </w:rPr>
            </w:pPr>
          </w:p>
        </w:tc>
      </w:tr>
      <w:tr w14:paraId="04B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7F2C0CF">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6C5F22D9">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39F5EDD">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0DF12E98">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195D7EA5">
            <w:pPr>
              <w:pStyle w:val="18"/>
              <w:spacing w:line="240" w:lineRule="atLeast"/>
              <w:ind w:left="1080" w:leftChars="257" w:hanging="540"/>
              <w:rPr>
                <w:rFonts w:hint="eastAsia" w:hAnsi="宋体" w:cs="宋体"/>
                <w:color w:val="000000"/>
                <w:sz w:val="24"/>
                <w:szCs w:val="24"/>
                <w:highlight w:val="none"/>
              </w:rPr>
            </w:pPr>
          </w:p>
        </w:tc>
      </w:tr>
      <w:tr w14:paraId="1FE9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46E1B2B">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2929E024">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7289EB9B">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4386E164">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32CB860A">
            <w:pPr>
              <w:pStyle w:val="18"/>
              <w:spacing w:line="240" w:lineRule="atLeast"/>
              <w:ind w:left="1080" w:leftChars="257" w:hanging="540"/>
              <w:rPr>
                <w:rFonts w:hint="eastAsia" w:hAnsi="宋体" w:cs="宋体"/>
                <w:color w:val="000000"/>
                <w:sz w:val="24"/>
                <w:szCs w:val="24"/>
                <w:highlight w:val="none"/>
              </w:rPr>
            </w:pPr>
          </w:p>
        </w:tc>
      </w:tr>
      <w:tr w14:paraId="786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3DA5D3">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01C63CD3">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6568F8B8">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3E604AE1">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63BDB9BB">
            <w:pPr>
              <w:pStyle w:val="18"/>
              <w:spacing w:line="240" w:lineRule="atLeast"/>
              <w:ind w:left="1080" w:leftChars="257" w:hanging="540"/>
              <w:rPr>
                <w:rFonts w:hint="eastAsia" w:hAnsi="宋体" w:cs="宋体"/>
                <w:color w:val="000000"/>
                <w:sz w:val="24"/>
                <w:szCs w:val="24"/>
                <w:highlight w:val="none"/>
              </w:rPr>
            </w:pPr>
          </w:p>
        </w:tc>
      </w:tr>
      <w:tr w14:paraId="7F4A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0BCACD6">
            <w:pPr>
              <w:pStyle w:val="18"/>
              <w:spacing w:line="240" w:lineRule="atLeast"/>
              <w:ind w:left="1080" w:leftChars="257" w:hanging="540"/>
              <w:rPr>
                <w:rFonts w:hint="eastAsia" w:hAnsi="宋体" w:cs="宋体"/>
                <w:color w:val="000000"/>
                <w:sz w:val="24"/>
                <w:szCs w:val="24"/>
                <w:highlight w:val="none"/>
              </w:rPr>
            </w:pPr>
          </w:p>
        </w:tc>
        <w:tc>
          <w:tcPr>
            <w:tcW w:w="2040" w:type="dxa"/>
            <w:noWrap w:val="0"/>
            <w:vAlign w:val="top"/>
          </w:tcPr>
          <w:p w14:paraId="57AE9C8B">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1F3A6D01">
            <w:pPr>
              <w:pStyle w:val="18"/>
              <w:spacing w:line="240" w:lineRule="atLeast"/>
              <w:ind w:left="1080" w:leftChars="257" w:hanging="540"/>
              <w:rPr>
                <w:rFonts w:hint="eastAsia" w:hAnsi="宋体" w:cs="宋体"/>
                <w:color w:val="000000"/>
                <w:sz w:val="24"/>
                <w:szCs w:val="24"/>
                <w:highlight w:val="none"/>
              </w:rPr>
            </w:pPr>
          </w:p>
        </w:tc>
        <w:tc>
          <w:tcPr>
            <w:tcW w:w="2520" w:type="dxa"/>
            <w:noWrap w:val="0"/>
            <w:vAlign w:val="top"/>
          </w:tcPr>
          <w:p w14:paraId="2A5E1E1B">
            <w:pPr>
              <w:pStyle w:val="18"/>
              <w:spacing w:line="240" w:lineRule="atLeast"/>
              <w:ind w:left="1080" w:leftChars="257" w:hanging="540"/>
              <w:rPr>
                <w:rFonts w:hint="eastAsia" w:hAnsi="宋体" w:cs="宋体"/>
                <w:color w:val="000000"/>
                <w:sz w:val="24"/>
                <w:szCs w:val="24"/>
                <w:highlight w:val="none"/>
              </w:rPr>
            </w:pPr>
          </w:p>
        </w:tc>
        <w:tc>
          <w:tcPr>
            <w:tcW w:w="900" w:type="dxa"/>
            <w:noWrap w:val="0"/>
            <w:vAlign w:val="top"/>
          </w:tcPr>
          <w:p w14:paraId="1BB32E70">
            <w:pPr>
              <w:pStyle w:val="18"/>
              <w:spacing w:line="240" w:lineRule="atLeast"/>
              <w:ind w:left="1080" w:leftChars="257" w:hanging="540"/>
              <w:rPr>
                <w:rFonts w:hint="eastAsia" w:hAnsi="宋体" w:cs="宋体"/>
                <w:color w:val="000000"/>
                <w:sz w:val="24"/>
                <w:szCs w:val="24"/>
                <w:highlight w:val="none"/>
              </w:rPr>
            </w:pPr>
          </w:p>
        </w:tc>
      </w:tr>
    </w:tbl>
    <w:p w14:paraId="3C332EAA">
      <w:pPr>
        <w:pStyle w:val="18"/>
        <w:spacing w:line="240" w:lineRule="atLeast"/>
        <w:ind w:left="1080" w:leftChars="257" w:hanging="540"/>
        <w:rPr>
          <w:rFonts w:hint="eastAsia" w:hAnsi="宋体" w:cs="宋体"/>
          <w:color w:val="000000"/>
          <w:sz w:val="24"/>
          <w:szCs w:val="24"/>
          <w:highlight w:val="none"/>
        </w:rPr>
      </w:pPr>
    </w:p>
    <w:p w14:paraId="3772A6A6">
      <w:pPr>
        <w:pStyle w:val="18"/>
        <w:spacing w:line="240" w:lineRule="atLeast"/>
        <w:ind w:left="1080" w:leftChars="257" w:hanging="540"/>
        <w:rPr>
          <w:rFonts w:hint="eastAsia" w:hAnsi="宋体" w:cs="宋体"/>
          <w:color w:val="000000"/>
          <w:sz w:val="24"/>
          <w:szCs w:val="24"/>
          <w:highlight w:val="none"/>
        </w:rPr>
      </w:pPr>
    </w:p>
    <w:p w14:paraId="276F26CB">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注：凡投标文件中商务条款与磋商文件有偏差的，均应在此表中列出（内容较多的可以标注见投标文件第几页，偏差包括正偏差和负偏差），未在此表中列出的视同完全满足磋商文件要求。</w:t>
      </w:r>
    </w:p>
    <w:p w14:paraId="7414DCFE">
      <w:pPr>
        <w:pStyle w:val="18"/>
        <w:spacing w:line="240" w:lineRule="atLeast"/>
        <w:ind w:left="1080" w:leftChars="257" w:hanging="540"/>
        <w:rPr>
          <w:rFonts w:hint="eastAsia" w:hAnsi="宋体" w:cs="宋体"/>
          <w:color w:val="000000"/>
          <w:sz w:val="24"/>
          <w:szCs w:val="24"/>
          <w:highlight w:val="none"/>
        </w:rPr>
      </w:pPr>
    </w:p>
    <w:p w14:paraId="73559B5B">
      <w:pPr>
        <w:rPr>
          <w:rFonts w:ascii="宋体" w:hAnsi="宋体" w:cs="宋体"/>
          <w:color w:val="000000"/>
          <w:highlight w:val="none"/>
        </w:rPr>
      </w:pPr>
    </w:p>
    <w:p w14:paraId="252EE6F4">
      <w:pPr>
        <w:pStyle w:val="29"/>
        <w:rPr>
          <w:highlight w:val="none"/>
        </w:rPr>
      </w:pPr>
    </w:p>
    <w:p w14:paraId="3480D0BD">
      <w:pPr>
        <w:pStyle w:val="18"/>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14:paraId="40A5F450">
      <w:pPr>
        <w:pStyle w:val="18"/>
        <w:tabs>
          <w:tab w:val="left" w:pos="5370"/>
        </w:tabs>
        <w:spacing w:line="240" w:lineRule="atLeast"/>
        <w:ind w:left="1080" w:leftChars="257" w:hanging="540"/>
        <w:rPr>
          <w:rFonts w:hint="eastAsia" w:hAnsi="宋体" w:cs="宋体"/>
          <w:color w:val="000000"/>
          <w:sz w:val="24"/>
          <w:szCs w:val="24"/>
          <w:highlight w:val="none"/>
          <w:u w:val="single"/>
        </w:rPr>
      </w:pPr>
    </w:p>
    <w:p w14:paraId="0E1B5351">
      <w:pPr>
        <w:pStyle w:val="39"/>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法定代表人或其委托代理人（签/章）:</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14:paraId="08FA8571">
      <w:pPr>
        <w:pStyle w:val="18"/>
        <w:tabs>
          <w:tab w:val="left" w:pos="5370"/>
        </w:tabs>
        <w:spacing w:line="240" w:lineRule="atLeast"/>
        <w:ind w:left="1080" w:leftChars="257" w:hanging="540"/>
        <w:rPr>
          <w:rFonts w:hint="eastAsia" w:hAnsi="宋体" w:cs="宋体"/>
          <w:color w:val="000000"/>
          <w:sz w:val="24"/>
          <w:szCs w:val="24"/>
          <w:highlight w:val="none"/>
          <w:u w:val="single"/>
        </w:rPr>
      </w:pPr>
    </w:p>
    <w:p w14:paraId="30058D3B">
      <w:pPr>
        <w:pStyle w:val="18"/>
        <w:spacing w:line="240" w:lineRule="atLeast"/>
        <w:rPr>
          <w:rFonts w:hint="eastAsia" w:hAnsi="宋体" w:cs="宋体"/>
          <w:color w:val="000000"/>
          <w:sz w:val="24"/>
          <w:szCs w:val="24"/>
          <w:highlight w:val="none"/>
        </w:rPr>
      </w:pPr>
    </w:p>
    <w:p w14:paraId="01AD7C69">
      <w:pPr>
        <w:pStyle w:val="18"/>
        <w:spacing w:line="240" w:lineRule="atLeast"/>
        <w:rPr>
          <w:rFonts w:hint="eastAsia" w:hAnsi="宋体" w:cs="宋体"/>
          <w:color w:val="000000"/>
          <w:sz w:val="24"/>
          <w:szCs w:val="24"/>
          <w:highlight w:val="none"/>
        </w:rPr>
      </w:pPr>
    </w:p>
    <w:p w14:paraId="4876861B">
      <w:pPr>
        <w:pStyle w:val="18"/>
        <w:spacing w:line="240" w:lineRule="atLeast"/>
        <w:rPr>
          <w:rFonts w:hint="eastAsia" w:hAnsi="宋体" w:cs="宋体"/>
          <w:color w:val="000000"/>
          <w:sz w:val="24"/>
          <w:szCs w:val="24"/>
          <w:highlight w:val="none"/>
        </w:rPr>
      </w:pPr>
    </w:p>
    <w:p w14:paraId="6CE54D7A">
      <w:pPr>
        <w:pStyle w:val="18"/>
        <w:spacing w:line="240" w:lineRule="atLeast"/>
        <w:rPr>
          <w:rFonts w:hint="eastAsia" w:hAnsi="宋体" w:cs="宋体"/>
          <w:color w:val="000000"/>
          <w:sz w:val="24"/>
          <w:szCs w:val="24"/>
          <w:highlight w:val="none"/>
        </w:rPr>
      </w:pPr>
    </w:p>
    <w:p w14:paraId="317AED7E">
      <w:pPr>
        <w:pStyle w:val="18"/>
        <w:spacing w:line="240" w:lineRule="atLeast"/>
        <w:ind w:left="1080" w:leftChars="257" w:hanging="540"/>
        <w:jc w:val="center"/>
        <w:rPr>
          <w:rFonts w:hint="eastAsia" w:hAnsi="宋体" w:cs="宋体"/>
          <w:b/>
          <w:bCs/>
          <w:color w:val="000000"/>
          <w:sz w:val="24"/>
          <w:szCs w:val="24"/>
          <w:highlight w:val="none"/>
        </w:rPr>
      </w:pPr>
      <w:bookmarkStart w:id="357" w:name="_Toc388"/>
      <w:bookmarkStart w:id="358" w:name="_Toc32368"/>
      <w:bookmarkStart w:id="359" w:name="_Toc10444"/>
      <w:bookmarkStart w:id="360" w:name="_Toc29837"/>
      <w:bookmarkStart w:id="361" w:name="_Toc6526"/>
      <w:bookmarkStart w:id="362" w:name="_Toc15566"/>
      <w:bookmarkStart w:id="363" w:name="_Toc10725"/>
      <w:bookmarkStart w:id="364" w:name="_Toc6055"/>
      <w:bookmarkStart w:id="365" w:name="_Toc22578"/>
      <w:bookmarkStart w:id="366" w:name="_Toc21312"/>
      <w:bookmarkStart w:id="367" w:name="_Toc515647823"/>
      <w:r>
        <w:rPr>
          <w:rFonts w:hint="eastAsia" w:hAnsi="宋体" w:cs="宋体"/>
          <w:b/>
          <w:bCs/>
          <w:color w:val="000000"/>
          <w:sz w:val="24"/>
          <w:szCs w:val="24"/>
          <w:highlight w:val="none"/>
        </w:rPr>
        <w:t>5、</w:t>
      </w:r>
      <w:bookmarkEnd w:id="357"/>
      <w:bookmarkEnd w:id="358"/>
      <w:bookmarkEnd w:id="359"/>
      <w:bookmarkEnd w:id="360"/>
      <w:bookmarkEnd w:id="361"/>
      <w:bookmarkEnd w:id="362"/>
      <w:bookmarkEnd w:id="363"/>
      <w:bookmarkEnd w:id="364"/>
      <w:bookmarkEnd w:id="365"/>
      <w:bookmarkEnd w:id="366"/>
      <w:bookmarkEnd w:id="367"/>
      <w:r>
        <w:rPr>
          <w:rFonts w:hint="eastAsia" w:hAnsi="宋体" w:cs="宋体"/>
          <w:b/>
          <w:bCs/>
          <w:color w:val="000000"/>
          <w:sz w:val="24"/>
          <w:szCs w:val="24"/>
          <w:highlight w:val="none"/>
        </w:rPr>
        <w:t>投标人企业（单位）类型声明函</w:t>
      </w:r>
    </w:p>
    <w:p w14:paraId="4FE77E78">
      <w:pPr>
        <w:spacing w:line="240" w:lineRule="atLeast"/>
        <w:ind w:left="1080" w:leftChars="257" w:hanging="540"/>
        <w:jc w:val="center"/>
        <w:rPr>
          <w:rFonts w:ascii="方正仿宋_GB2312" w:hAnsi="Arial" w:eastAsia="方正仿宋_GB2312"/>
          <w:b/>
          <w:color w:val="000000"/>
          <w:kern w:val="0"/>
          <w:sz w:val="24"/>
          <w:szCs w:val="20"/>
          <w:highlight w:val="none"/>
        </w:rPr>
      </w:pPr>
    </w:p>
    <w:p w14:paraId="310537E5">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14:paraId="64A9BEA7">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14:paraId="7ED9593E">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kern w:val="0"/>
          <w:sz w:val="24"/>
          <w:highlight w:val="none"/>
          <w:shd w:val="clear" w:color="auto" w:fill="FFFFFF"/>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14:paraId="1876E14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14:paraId="541F2F88">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14:paraId="1BA3A4B1">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2、□本企业（单位）为联合体一方，提供本企业（单位）服务，由本企业（单位）提供服务。本企业（单位）提供协议合同金额占到共同投标协议合同总金额的比例为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13416D8">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14:paraId="7F672000">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14:paraId="368CEB25">
      <w:pPr>
        <w:widowControl/>
        <w:spacing w:before="100" w:beforeAutospacing="1" w:after="100" w:afterAutospacing="1" w:line="330" w:lineRule="atLeast"/>
        <w:jc w:val="left"/>
        <w:rPr>
          <w:rFonts w:hint="eastAsia" w:ascii="宋体" w:hAnsi="宋体" w:cs="宋体"/>
          <w:color w:val="000000"/>
          <w:kern w:val="0"/>
          <w:sz w:val="24"/>
          <w:highlight w:val="none"/>
        </w:rPr>
      </w:pPr>
    </w:p>
    <w:p w14:paraId="0FC61BC3">
      <w:pPr>
        <w:widowControl/>
        <w:spacing w:before="100" w:beforeAutospacing="1" w:after="100" w:afterAutospacing="1" w:line="330" w:lineRule="atLeast"/>
        <w:jc w:val="left"/>
        <w:rPr>
          <w:rFonts w:hint="eastAsia" w:ascii="宋体" w:hAnsi="宋体" w:cs="宋体"/>
          <w:color w:val="000000"/>
          <w:kern w:val="0"/>
          <w:sz w:val="24"/>
          <w:highlight w:val="none"/>
        </w:rPr>
      </w:pPr>
    </w:p>
    <w:p w14:paraId="3BF0A5E2">
      <w:pPr>
        <w:pStyle w:val="29"/>
        <w:rPr>
          <w:rFonts w:hint="eastAsia" w:ascii="宋体" w:hAnsi="宋体" w:cs="宋体"/>
          <w:color w:val="000000"/>
          <w:kern w:val="0"/>
          <w:sz w:val="24"/>
          <w:highlight w:val="none"/>
        </w:rPr>
      </w:pPr>
    </w:p>
    <w:p w14:paraId="310B3F74">
      <w:pPr>
        <w:pStyle w:val="12"/>
        <w:rPr>
          <w:rFonts w:hint="eastAsia"/>
          <w:highlight w:val="none"/>
        </w:rPr>
      </w:pPr>
    </w:p>
    <w:p w14:paraId="7F4C08AF">
      <w:pPr>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14:paraId="732F4F7D">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14:paraId="73045CCA">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14:paraId="452CEB69">
      <w:pPr>
        <w:rPr>
          <w:rFonts w:hint="eastAsia" w:ascii="微软雅黑" w:hAnsi="微软雅黑" w:eastAsia="微软雅黑" w:cs="微软雅黑"/>
          <w:b/>
          <w:bCs/>
          <w:kern w:val="0"/>
          <w:sz w:val="32"/>
          <w:szCs w:val="32"/>
          <w:highlight w:val="none"/>
        </w:rPr>
      </w:pPr>
    </w:p>
    <w:p w14:paraId="0B389BC2">
      <w:pPr>
        <w:rPr>
          <w:rFonts w:hint="eastAsia" w:ascii="微软雅黑" w:hAnsi="微软雅黑" w:eastAsia="微软雅黑" w:cs="微软雅黑"/>
          <w:b/>
          <w:bCs/>
          <w:kern w:val="0"/>
          <w:sz w:val="32"/>
          <w:szCs w:val="32"/>
          <w:highlight w:val="none"/>
        </w:rPr>
      </w:pPr>
    </w:p>
    <w:p w14:paraId="42D1B3EC">
      <w:pPr>
        <w:rPr>
          <w:rFonts w:hint="eastAsia" w:ascii="微软雅黑" w:hAnsi="微软雅黑" w:eastAsia="微软雅黑" w:cs="微软雅黑"/>
          <w:b/>
          <w:bCs/>
          <w:kern w:val="0"/>
          <w:sz w:val="32"/>
          <w:szCs w:val="32"/>
          <w:highlight w:val="none"/>
        </w:rPr>
      </w:pPr>
    </w:p>
    <w:p w14:paraId="424D6B94">
      <w:pPr>
        <w:pStyle w:val="3"/>
        <w:spacing w:before="0"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5-1、中小企业声明函</w:t>
      </w:r>
    </w:p>
    <w:p w14:paraId="48D235C0">
      <w:pPr>
        <w:widowControl/>
        <w:spacing w:before="100" w:beforeAutospacing="1" w:after="100" w:afterAutospacing="1" w:line="348" w:lineRule="atLeast"/>
        <w:ind w:firstLine="676" w:firstLineChars="282"/>
        <w:jc w:val="left"/>
        <w:rPr>
          <w:rFonts w:hint="eastAsia" w:ascii="宋体" w:hAnsi="宋体" w:cs="宋体"/>
          <w:sz w:val="24"/>
          <w:highlight w:val="none"/>
        </w:rPr>
      </w:pPr>
      <w:r>
        <w:rPr>
          <w:rFonts w:hint="eastAsia" w:ascii="宋体" w:hAnsi="宋体" w:cs="宋体"/>
          <w:kern w:val="0"/>
          <w:sz w:val="24"/>
          <w:highlight w:val="none"/>
          <w:shd w:val="clear" w:color="auto" w:fill="FFFFFF"/>
        </w:rPr>
        <w:t>本公司（联合体）郑重声明，根据《政府采购促进中小企业发展管理办法》（财库﹝2020﹞46号）的规定，本公司参加</w:t>
      </w:r>
      <w:r>
        <w:rPr>
          <w:rFonts w:hint="eastAsia" w:ascii="宋体" w:hAnsi="宋体" w:cs="宋体"/>
          <w:kern w:val="0"/>
          <w:sz w:val="24"/>
          <w:highlight w:val="none"/>
          <w:u w:val="single"/>
          <w:shd w:val="clear" w:color="auto" w:fill="FFFFFF"/>
        </w:rPr>
        <w:t>     （单位名称）</w:t>
      </w:r>
      <w:r>
        <w:rPr>
          <w:rFonts w:hint="eastAsia" w:ascii="宋体" w:hAnsi="宋体" w:cs="宋体"/>
          <w:kern w:val="0"/>
          <w:sz w:val="24"/>
          <w:highlight w:val="none"/>
          <w:shd w:val="clear" w:color="auto" w:fill="FFFFFF"/>
        </w:rPr>
        <w:t>的</w:t>
      </w:r>
      <w:r>
        <w:rPr>
          <w:rFonts w:hint="eastAsia" w:ascii="宋体" w:hAnsi="宋体" w:cs="宋体"/>
          <w:kern w:val="0"/>
          <w:sz w:val="24"/>
          <w:highlight w:val="none"/>
          <w:u w:val="single"/>
          <w:shd w:val="clear" w:color="auto" w:fill="FFFFFF"/>
        </w:rPr>
        <w:t>    （项目名称）</w:t>
      </w:r>
      <w:r>
        <w:rPr>
          <w:rFonts w:hint="eastAsia" w:ascii="宋体" w:hAnsi="宋体" w:cs="宋体"/>
          <w:kern w:val="0"/>
          <w:sz w:val="24"/>
          <w:highlight w:val="none"/>
          <w:shd w:val="clear" w:color="auto" w:fill="FFFFFF"/>
        </w:rPr>
        <w:t>采购活动，服务全部由符合政策要求的中小企业承接。相关企业（含联合体中的中小企业、签订分包意向协议的中小企业）的具体情况如下：</w:t>
      </w:r>
    </w:p>
    <w:p w14:paraId="69B0B3DB">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1.</w:t>
      </w:r>
      <w:r>
        <w:rPr>
          <w:rFonts w:hint="eastAsia" w:ascii="宋体" w:hAnsi="宋体" w:cs="宋体"/>
          <w:kern w:val="0"/>
          <w:sz w:val="24"/>
          <w:highlight w:val="none"/>
          <w:u w:val="single"/>
          <w:shd w:val="clear" w:color="auto" w:fill="FFFFFF"/>
        </w:rPr>
        <w:t>     （标的名称）</w:t>
      </w:r>
      <w:r>
        <w:rPr>
          <w:rFonts w:hint="eastAsia" w:ascii="宋体" w:hAnsi="宋体" w:cs="宋体"/>
          <w:kern w:val="0"/>
          <w:sz w:val="24"/>
          <w:highlight w:val="none"/>
          <w:shd w:val="clear" w:color="auto" w:fill="FFFFFF"/>
        </w:rPr>
        <w:t>，属于</w:t>
      </w:r>
      <w:r>
        <w:rPr>
          <w:rFonts w:hint="eastAsia" w:ascii="宋体" w:hAnsi="宋体" w:cs="宋体"/>
          <w:kern w:val="0"/>
          <w:sz w:val="24"/>
          <w:highlight w:val="none"/>
          <w:u w:val="single"/>
          <w:shd w:val="clear" w:color="auto" w:fill="FFFFFF"/>
        </w:rPr>
        <w:t>     （采购文件中明确的所属行业）</w:t>
      </w:r>
      <w:r>
        <w:rPr>
          <w:rFonts w:hint="eastAsia" w:ascii="宋体" w:hAnsi="宋体" w:cs="宋体"/>
          <w:kern w:val="0"/>
          <w:sz w:val="24"/>
          <w:highlight w:val="none"/>
          <w:shd w:val="clear" w:color="auto" w:fill="FFFFFF"/>
        </w:rPr>
        <w:t>行业；承接企业为</w:t>
      </w:r>
      <w:r>
        <w:rPr>
          <w:rFonts w:hint="eastAsia" w:ascii="宋体" w:hAnsi="宋体" w:cs="宋体"/>
          <w:kern w:val="0"/>
          <w:sz w:val="24"/>
          <w:highlight w:val="none"/>
          <w:u w:val="single"/>
          <w:shd w:val="clear" w:color="auto" w:fill="FFFFFF"/>
        </w:rPr>
        <w:t>       （企业名称）</w:t>
      </w:r>
      <w:r>
        <w:rPr>
          <w:rFonts w:hint="eastAsia" w:ascii="宋体" w:hAnsi="宋体" w:cs="宋体"/>
          <w:kern w:val="0"/>
          <w:sz w:val="24"/>
          <w:highlight w:val="none"/>
          <w:shd w:val="clear" w:color="auto" w:fill="FFFFFF"/>
        </w:rPr>
        <w:t>，从业人员</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人，营业收入为</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万元，资产总额为</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万元，属于</w:t>
      </w:r>
      <w:r>
        <w:rPr>
          <w:rFonts w:hint="eastAsia" w:ascii="宋体" w:hAnsi="宋体" w:cs="宋体"/>
          <w:kern w:val="0"/>
          <w:sz w:val="24"/>
          <w:highlight w:val="none"/>
          <w:u w:val="single"/>
          <w:shd w:val="clear" w:color="auto" w:fill="FFFFFF"/>
        </w:rPr>
        <w:t>     （中型企业、小型企业、微型企业）</w:t>
      </w:r>
      <w:r>
        <w:rPr>
          <w:rFonts w:hint="eastAsia" w:ascii="宋体" w:hAnsi="宋体" w:cs="宋体"/>
          <w:kern w:val="0"/>
          <w:sz w:val="24"/>
          <w:highlight w:val="none"/>
          <w:shd w:val="clear" w:color="auto" w:fill="FFFFFF"/>
        </w:rPr>
        <w:t>；</w:t>
      </w:r>
    </w:p>
    <w:p w14:paraId="6A3C3558">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2.</w:t>
      </w:r>
      <w:r>
        <w:rPr>
          <w:rFonts w:hint="eastAsia" w:ascii="宋体" w:hAnsi="宋体" w:cs="宋体"/>
          <w:kern w:val="0"/>
          <w:sz w:val="24"/>
          <w:highlight w:val="none"/>
          <w:u w:val="single"/>
          <w:shd w:val="clear" w:color="auto" w:fill="FFFFFF"/>
        </w:rPr>
        <w:t>     （标的名称）</w:t>
      </w:r>
      <w:r>
        <w:rPr>
          <w:rFonts w:hint="eastAsia" w:ascii="宋体" w:hAnsi="宋体" w:cs="宋体"/>
          <w:kern w:val="0"/>
          <w:sz w:val="24"/>
          <w:highlight w:val="none"/>
          <w:shd w:val="clear" w:color="auto" w:fill="FFFFFF"/>
        </w:rPr>
        <w:t>，属于</w:t>
      </w:r>
      <w:r>
        <w:rPr>
          <w:rFonts w:hint="eastAsia" w:ascii="宋体" w:hAnsi="宋体" w:cs="宋体"/>
          <w:kern w:val="0"/>
          <w:sz w:val="24"/>
          <w:highlight w:val="none"/>
          <w:u w:val="single"/>
          <w:shd w:val="clear" w:color="auto" w:fill="FFFFFF"/>
        </w:rPr>
        <w:t>     （采购文件中明确的所属行业）</w:t>
      </w:r>
      <w:r>
        <w:rPr>
          <w:rFonts w:hint="eastAsia" w:ascii="宋体" w:hAnsi="宋体" w:cs="宋体"/>
          <w:kern w:val="0"/>
          <w:sz w:val="24"/>
          <w:highlight w:val="none"/>
          <w:shd w:val="clear" w:color="auto" w:fill="FFFFFF"/>
        </w:rPr>
        <w:t>行业；承接企业为</w:t>
      </w:r>
      <w:r>
        <w:rPr>
          <w:rFonts w:hint="eastAsia" w:ascii="宋体" w:hAnsi="宋体" w:cs="宋体"/>
          <w:kern w:val="0"/>
          <w:sz w:val="24"/>
          <w:highlight w:val="none"/>
          <w:u w:val="single"/>
          <w:shd w:val="clear" w:color="auto" w:fill="FFFFFF"/>
        </w:rPr>
        <w:t>       （企业名称）</w:t>
      </w:r>
      <w:r>
        <w:rPr>
          <w:rFonts w:hint="eastAsia" w:ascii="宋体" w:hAnsi="宋体" w:cs="宋体"/>
          <w:kern w:val="0"/>
          <w:sz w:val="24"/>
          <w:highlight w:val="none"/>
          <w:shd w:val="clear" w:color="auto" w:fill="FFFFFF"/>
        </w:rPr>
        <w:t>，从业人员</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人，营业收入为</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万元，资产总额为</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万元，属于</w:t>
      </w:r>
      <w:r>
        <w:rPr>
          <w:rFonts w:hint="eastAsia" w:ascii="宋体" w:hAnsi="宋体" w:cs="宋体"/>
          <w:kern w:val="0"/>
          <w:sz w:val="24"/>
          <w:highlight w:val="none"/>
          <w:u w:val="single"/>
          <w:shd w:val="clear" w:color="auto" w:fill="FFFFFF"/>
        </w:rPr>
        <w:t>     （中型企业、小型企业、微型企业）</w:t>
      </w:r>
      <w:r>
        <w:rPr>
          <w:rFonts w:hint="eastAsia" w:ascii="宋体" w:hAnsi="宋体" w:cs="宋体"/>
          <w:kern w:val="0"/>
          <w:sz w:val="24"/>
          <w:highlight w:val="none"/>
          <w:shd w:val="clear" w:color="auto" w:fill="FFFFFF"/>
        </w:rPr>
        <w:t>；</w:t>
      </w:r>
    </w:p>
    <w:p w14:paraId="5998651A">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w:t>
      </w:r>
    </w:p>
    <w:p w14:paraId="61B47A1B">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以上企业，不属于大企业的分支机构，不存在控股股东为大企业的情形，也不存在与大企业的负责人为同一人的情形。</w:t>
      </w:r>
    </w:p>
    <w:p w14:paraId="7484B831">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本企业对上述声明内容的真实性负责。如有虚假，将依法承担相应责任。</w:t>
      </w:r>
    </w:p>
    <w:p w14:paraId="7BDA157C">
      <w:pPr>
        <w:widowControl/>
        <w:spacing w:before="100" w:beforeAutospacing="1" w:after="100" w:afterAutospacing="1" w:line="348" w:lineRule="atLeast"/>
        <w:ind w:firstLine="384"/>
        <w:jc w:val="left"/>
        <w:rPr>
          <w:rFonts w:hint="eastAsia" w:ascii="宋体" w:hAnsi="宋体" w:cs="宋体"/>
          <w:sz w:val="24"/>
          <w:highlight w:val="none"/>
        </w:rPr>
      </w:pPr>
      <w:r>
        <w:rPr>
          <w:rFonts w:hint="eastAsia" w:ascii="宋体" w:hAnsi="宋体" w:cs="宋体"/>
          <w:kern w:val="0"/>
          <w:sz w:val="24"/>
          <w:highlight w:val="none"/>
          <w:shd w:val="clear" w:color="auto" w:fill="FFFFFF"/>
        </w:rPr>
        <w:t>  </w:t>
      </w:r>
    </w:p>
    <w:p w14:paraId="39C1DD43">
      <w:pPr>
        <w:widowControl/>
        <w:spacing w:before="100" w:beforeAutospacing="1" w:after="100" w:afterAutospacing="1" w:line="348" w:lineRule="atLeast"/>
        <w:ind w:firstLine="4224"/>
        <w:jc w:val="left"/>
        <w:rPr>
          <w:rFonts w:hint="eastAsia" w:ascii="宋体" w:hAnsi="宋体" w:cs="宋体"/>
          <w:sz w:val="24"/>
          <w:highlight w:val="none"/>
        </w:rPr>
      </w:pPr>
      <w:r>
        <w:rPr>
          <w:rFonts w:hint="eastAsia" w:ascii="宋体" w:hAnsi="宋体" w:cs="宋体"/>
          <w:kern w:val="0"/>
          <w:sz w:val="24"/>
          <w:highlight w:val="none"/>
          <w:shd w:val="clear" w:color="auto" w:fill="FFFFFF"/>
        </w:rPr>
        <w:t>企业名称（盖章）：</w:t>
      </w:r>
    </w:p>
    <w:p w14:paraId="6592BC31">
      <w:pPr>
        <w:jc w:val="center"/>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 期：</w:t>
      </w:r>
    </w:p>
    <w:p w14:paraId="3FD19124">
      <w:pPr>
        <w:rPr>
          <w:rFonts w:hint="eastAsia" w:ascii="微软雅黑" w:hAnsi="微软雅黑" w:eastAsia="微软雅黑" w:cs="微软雅黑"/>
          <w:b/>
          <w:bCs/>
          <w:kern w:val="0"/>
          <w:sz w:val="32"/>
          <w:szCs w:val="32"/>
          <w:highlight w:val="none"/>
        </w:rPr>
      </w:pPr>
    </w:p>
    <w:p w14:paraId="229DCDCA">
      <w:pPr>
        <w:rPr>
          <w:rFonts w:hint="eastAsia" w:ascii="微软雅黑" w:hAnsi="微软雅黑" w:eastAsia="微软雅黑" w:cs="微软雅黑"/>
          <w:b/>
          <w:bCs/>
          <w:kern w:val="0"/>
          <w:sz w:val="32"/>
          <w:szCs w:val="32"/>
          <w:highlight w:val="none"/>
        </w:rPr>
      </w:pPr>
    </w:p>
    <w:p w14:paraId="3F38479D">
      <w:pPr>
        <w:rPr>
          <w:rFonts w:hint="eastAsia" w:ascii="微软雅黑" w:hAnsi="微软雅黑" w:eastAsia="微软雅黑" w:cs="微软雅黑"/>
          <w:b/>
          <w:bCs/>
          <w:kern w:val="0"/>
          <w:sz w:val="32"/>
          <w:szCs w:val="32"/>
          <w:highlight w:val="none"/>
        </w:rPr>
      </w:pPr>
    </w:p>
    <w:p w14:paraId="63F2BF8C">
      <w:pPr>
        <w:pStyle w:val="12"/>
        <w:rPr>
          <w:rFonts w:hint="eastAsia"/>
          <w:highlight w:val="none"/>
        </w:rPr>
      </w:pPr>
    </w:p>
    <w:p w14:paraId="48135472">
      <w:pPr>
        <w:pStyle w:val="39"/>
        <w:ind w:firstLine="240"/>
        <w:rPr>
          <w:highlight w:val="none"/>
        </w:rPr>
      </w:pPr>
    </w:p>
    <w:p w14:paraId="2BCC04C2">
      <w:pPr>
        <w:rPr>
          <w:rFonts w:ascii="宋体" w:hAnsi="宋体" w:eastAsia="微软雅黑" w:cs="宋体"/>
          <w:b/>
          <w:bCs/>
          <w:kern w:val="0"/>
          <w:sz w:val="32"/>
          <w:szCs w:val="32"/>
          <w:highlight w:val="none"/>
        </w:rPr>
      </w:pPr>
      <w:r>
        <w:rPr>
          <w:rFonts w:hint="eastAsia" w:ascii="微软雅黑" w:hAnsi="微软雅黑" w:eastAsia="微软雅黑" w:cs="微软雅黑"/>
          <w:b/>
          <w:bCs/>
          <w:kern w:val="0"/>
          <w:sz w:val="32"/>
          <w:szCs w:val="32"/>
          <w:highlight w:val="none"/>
        </w:rPr>
        <w:t>本项目所属行业为</w:t>
      </w:r>
      <w:r>
        <w:rPr>
          <w:rFonts w:hint="eastAsia" w:ascii="微软雅黑" w:hAnsi="微软雅黑" w:eastAsia="微软雅黑" w:cs="微软雅黑"/>
          <w:b/>
          <w:bCs/>
          <w:kern w:val="0"/>
          <w:sz w:val="32"/>
          <w:szCs w:val="32"/>
          <w:highlight w:val="none"/>
          <w:lang w:eastAsia="zh-CN"/>
        </w:rPr>
        <w:t>其他未列明行业</w:t>
      </w:r>
      <w:r>
        <w:rPr>
          <w:rFonts w:hint="eastAsia" w:ascii="微软雅黑" w:hAnsi="微软雅黑" w:eastAsia="微软雅黑" w:cs="微软雅黑"/>
          <w:b/>
          <w:bCs/>
          <w:kern w:val="0"/>
          <w:sz w:val="32"/>
          <w:szCs w:val="32"/>
          <w:highlight w:val="none"/>
        </w:rPr>
        <w:t>。</w:t>
      </w:r>
    </w:p>
    <w:p w14:paraId="45B52E72">
      <w:pPr>
        <w:rPr>
          <w:rFonts w:hint="eastAsia" w:ascii="宋体" w:hAnsi="宋体" w:cs="宋体"/>
          <w:b/>
          <w:bCs/>
          <w:sz w:val="24"/>
          <w:highlight w:val="none"/>
        </w:rPr>
      </w:pPr>
      <w:r>
        <w:rPr>
          <w:rFonts w:hint="eastAsia" w:ascii="宋体" w:hAnsi="宋体" w:cs="宋体"/>
          <w:b/>
          <w:bCs/>
          <w:sz w:val="24"/>
          <w:highlight w:val="none"/>
        </w:rPr>
        <w:t>注：潜在投标企业属于中小微企业的，请在投标文件中提供“投标人企业（单位）类型声明函”，如果未提供或提供虚假的“中小企业声明函”，投标企业将承担由此造成的一切不利后果。</w:t>
      </w:r>
    </w:p>
    <w:p w14:paraId="594C44DE">
      <w:pPr>
        <w:jc w:val="left"/>
        <w:rPr>
          <w:rFonts w:hint="eastAsia" w:ascii="宋体" w:hAnsi="宋体" w:cs="宋体"/>
          <w:b/>
          <w:bCs/>
          <w:kern w:val="0"/>
          <w:sz w:val="24"/>
          <w:highlight w:val="none"/>
        </w:rPr>
      </w:pPr>
      <w:r>
        <w:rPr>
          <w:rFonts w:hint="eastAsia" w:ascii="宋体" w:hAnsi="宋体" w:cs="宋体"/>
          <w:b/>
          <w:bCs/>
          <w:kern w:val="0"/>
          <w:sz w:val="24"/>
          <w:highlight w:val="none"/>
        </w:rPr>
        <w:t>附：</w:t>
      </w:r>
    </w:p>
    <w:p w14:paraId="4A562EE9">
      <w:pPr>
        <w:jc w:val="center"/>
        <w:rPr>
          <w:rFonts w:hint="eastAsia" w:ascii="宋体" w:hAnsi="宋体" w:cs="宋体"/>
          <w:b/>
          <w:bCs/>
          <w:kern w:val="0"/>
          <w:sz w:val="24"/>
          <w:highlight w:val="none"/>
        </w:rPr>
      </w:pPr>
      <w:r>
        <w:rPr>
          <w:rFonts w:hint="eastAsia" w:ascii="宋体" w:hAnsi="宋体" w:cs="宋体"/>
          <w:b/>
          <w:bCs/>
          <w:kern w:val="0"/>
          <w:sz w:val="24"/>
          <w:highlight w:val="none"/>
        </w:rPr>
        <w:t>中小微企业划型标准</w:t>
      </w:r>
    </w:p>
    <w:tbl>
      <w:tblPr>
        <w:tblStyle w:val="40"/>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1ACA92EA">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77345EA">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E457A81">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442B8EFB">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0DF8772">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2DDF1171">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289D73A">
            <w:pPr>
              <w:widowControl/>
              <w:snapToGrid w:val="0"/>
              <w:contextualSpacing/>
              <w:jc w:val="center"/>
              <w:rPr>
                <w:rFonts w:hint="eastAsia" w:ascii="宋体" w:hAnsi="宋体" w:cs="宋体"/>
                <w:b/>
                <w:kern w:val="0"/>
                <w:sz w:val="24"/>
                <w:highlight w:val="none"/>
              </w:rPr>
            </w:pPr>
            <w:r>
              <w:rPr>
                <w:rFonts w:hint="eastAsia" w:ascii="宋体" w:hAnsi="宋体" w:cs="宋体"/>
                <w:b/>
                <w:kern w:val="0"/>
                <w:sz w:val="24"/>
                <w:highlight w:val="none"/>
              </w:rPr>
              <w:t>微型</w:t>
            </w:r>
          </w:p>
        </w:tc>
      </w:tr>
      <w:tr w14:paraId="2BCF319F">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D747218">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农、林、牧、渔</w:t>
            </w:r>
          </w:p>
        </w:tc>
        <w:tc>
          <w:tcPr>
            <w:tcW w:w="1660" w:type="dxa"/>
            <w:tcBorders>
              <w:top w:val="nil"/>
              <w:left w:val="nil"/>
              <w:bottom w:val="single" w:color="auto" w:sz="4" w:space="0"/>
              <w:right w:val="single" w:color="auto" w:sz="4" w:space="0"/>
            </w:tcBorders>
            <w:noWrap w:val="0"/>
            <w:vAlign w:val="center"/>
          </w:tcPr>
          <w:p w14:paraId="18AAF70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3477D7D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25731F7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500≤Y＜20000</w:t>
            </w:r>
          </w:p>
        </w:tc>
        <w:tc>
          <w:tcPr>
            <w:tcW w:w="1877" w:type="dxa"/>
            <w:tcBorders>
              <w:top w:val="nil"/>
              <w:left w:val="nil"/>
              <w:bottom w:val="single" w:color="auto" w:sz="4" w:space="0"/>
              <w:right w:val="single" w:color="auto" w:sz="4" w:space="0"/>
            </w:tcBorders>
            <w:noWrap w:val="0"/>
            <w:vAlign w:val="center"/>
          </w:tcPr>
          <w:p w14:paraId="478318F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50≤Y＜500</w:t>
            </w:r>
          </w:p>
        </w:tc>
        <w:tc>
          <w:tcPr>
            <w:tcW w:w="1134" w:type="dxa"/>
            <w:tcBorders>
              <w:top w:val="nil"/>
              <w:left w:val="nil"/>
              <w:bottom w:val="single" w:color="auto" w:sz="4" w:space="0"/>
              <w:right w:val="single" w:color="auto" w:sz="4" w:space="0"/>
            </w:tcBorders>
            <w:noWrap w:val="0"/>
            <w:vAlign w:val="center"/>
          </w:tcPr>
          <w:p w14:paraId="109F744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Y＜50</w:t>
            </w:r>
          </w:p>
        </w:tc>
      </w:tr>
      <w:tr w14:paraId="0B1B3E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CBA1DAF">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工业</w:t>
            </w:r>
          </w:p>
        </w:tc>
        <w:tc>
          <w:tcPr>
            <w:tcW w:w="1660" w:type="dxa"/>
            <w:tcBorders>
              <w:top w:val="nil"/>
              <w:left w:val="nil"/>
              <w:bottom w:val="single" w:color="auto" w:sz="4" w:space="0"/>
              <w:right w:val="single" w:color="auto" w:sz="4" w:space="0"/>
            </w:tcBorders>
            <w:noWrap w:val="0"/>
            <w:vAlign w:val="center"/>
          </w:tcPr>
          <w:p w14:paraId="5A6AF62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24F69C1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6344D7B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877" w:type="dxa"/>
            <w:tcBorders>
              <w:top w:val="nil"/>
              <w:left w:val="nil"/>
              <w:bottom w:val="single" w:color="auto" w:sz="4" w:space="0"/>
              <w:right w:val="single" w:color="auto" w:sz="4" w:space="0"/>
            </w:tcBorders>
            <w:noWrap w:val="0"/>
            <w:vAlign w:val="center"/>
          </w:tcPr>
          <w:p w14:paraId="6D6E42C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1134" w:type="dxa"/>
            <w:tcBorders>
              <w:top w:val="nil"/>
              <w:left w:val="nil"/>
              <w:bottom w:val="single" w:color="auto" w:sz="4" w:space="0"/>
              <w:right w:val="single" w:color="auto" w:sz="4" w:space="0"/>
            </w:tcBorders>
            <w:noWrap w:val="0"/>
            <w:vAlign w:val="center"/>
          </w:tcPr>
          <w:p w14:paraId="2B1B47E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X＜20</w:t>
            </w:r>
          </w:p>
        </w:tc>
      </w:tr>
      <w:tr w14:paraId="7BD03F2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0D84A58">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13C2557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6F77697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6062B48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2000≤Y＜40000</w:t>
            </w:r>
          </w:p>
        </w:tc>
        <w:tc>
          <w:tcPr>
            <w:tcW w:w="1877" w:type="dxa"/>
            <w:tcBorders>
              <w:top w:val="nil"/>
              <w:left w:val="nil"/>
              <w:bottom w:val="single" w:color="auto" w:sz="4" w:space="0"/>
              <w:right w:val="single" w:color="auto" w:sz="4" w:space="0"/>
            </w:tcBorders>
            <w:noWrap w:val="0"/>
            <w:vAlign w:val="center"/>
          </w:tcPr>
          <w:p w14:paraId="64732B5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300≤Y＜2000</w:t>
            </w:r>
          </w:p>
        </w:tc>
        <w:tc>
          <w:tcPr>
            <w:tcW w:w="1134" w:type="dxa"/>
            <w:tcBorders>
              <w:top w:val="nil"/>
              <w:left w:val="nil"/>
              <w:bottom w:val="single" w:color="auto" w:sz="4" w:space="0"/>
              <w:right w:val="single" w:color="auto" w:sz="4" w:space="0"/>
            </w:tcBorders>
            <w:noWrap w:val="0"/>
            <w:vAlign w:val="center"/>
          </w:tcPr>
          <w:p w14:paraId="724CC210">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Y＜300</w:t>
            </w:r>
          </w:p>
        </w:tc>
      </w:tr>
      <w:tr w14:paraId="79776C9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1383911">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建筑业</w:t>
            </w:r>
          </w:p>
        </w:tc>
        <w:tc>
          <w:tcPr>
            <w:tcW w:w="1660" w:type="dxa"/>
            <w:tcBorders>
              <w:top w:val="nil"/>
              <w:left w:val="nil"/>
              <w:bottom w:val="single" w:color="auto" w:sz="4" w:space="0"/>
              <w:right w:val="single" w:color="auto" w:sz="4" w:space="0"/>
            </w:tcBorders>
            <w:noWrap w:val="0"/>
            <w:vAlign w:val="center"/>
          </w:tcPr>
          <w:p w14:paraId="3E387D7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181E570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44FB58B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6000≤Y＜80000</w:t>
            </w:r>
          </w:p>
        </w:tc>
        <w:tc>
          <w:tcPr>
            <w:tcW w:w="1877" w:type="dxa"/>
            <w:tcBorders>
              <w:top w:val="nil"/>
              <w:left w:val="nil"/>
              <w:bottom w:val="single" w:color="auto" w:sz="4" w:space="0"/>
              <w:right w:val="single" w:color="auto" w:sz="4" w:space="0"/>
            </w:tcBorders>
            <w:noWrap w:val="0"/>
            <w:vAlign w:val="center"/>
          </w:tcPr>
          <w:p w14:paraId="7F62815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300≤Y＜6000</w:t>
            </w:r>
          </w:p>
        </w:tc>
        <w:tc>
          <w:tcPr>
            <w:tcW w:w="1134" w:type="dxa"/>
            <w:tcBorders>
              <w:top w:val="nil"/>
              <w:left w:val="nil"/>
              <w:bottom w:val="single" w:color="auto" w:sz="4" w:space="0"/>
              <w:right w:val="single" w:color="auto" w:sz="4" w:space="0"/>
            </w:tcBorders>
            <w:noWrap w:val="0"/>
            <w:vAlign w:val="center"/>
          </w:tcPr>
          <w:p w14:paraId="47FAAD3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Y＜300</w:t>
            </w:r>
          </w:p>
        </w:tc>
      </w:tr>
      <w:tr w14:paraId="2E35554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4D5EB0F">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2A65D04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14:paraId="1842C20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1B59B1A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5000≤Z＜80000</w:t>
            </w:r>
          </w:p>
        </w:tc>
        <w:tc>
          <w:tcPr>
            <w:tcW w:w="1877" w:type="dxa"/>
            <w:tcBorders>
              <w:top w:val="nil"/>
              <w:left w:val="nil"/>
              <w:bottom w:val="single" w:color="auto" w:sz="4" w:space="0"/>
              <w:right w:val="single" w:color="auto" w:sz="4" w:space="0"/>
            </w:tcBorders>
            <w:noWrap w:val="0"/>
            <w:vAlign w:val="center"/>
          </w:tcPr>
          <w:p w14:paraId="221A459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300≤Z＜5000</w:t>
            </w:r>
          </w:p>
        </w:tc>
        <w:tc>
          <w:tcPr>
            <w:tcW w:w="1134" w:type="dxa"/>
            <w:tcBorders>
              <w:top w:val="nil"/>
              <w:left w:val="nil"/>
              <w:bottom w:val="single" w:color="auto" w:sz="4" w:space="0"/>
              <w:right w:val="single" w:color="auto" w:sz="4" w:space="0"/>
            </w:tcBorders>
            <w:noWrap w:val="0"/>
            <w:vAlign w:val="center"/>
          </w:tcPr>
          <w:p w14:paraId="5E911CC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Z＜300</w:t>
            </w:r>
          </w:p>
        </w:tc>
      </w:tr>
      <w:tr w14:paraId="0A07165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F291B8D">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批发业</w:t>
            </w:r>
          </w:p>
        </w:tc>
        <w:tc>
          <w:tcPr>
            <w:tcW w:w="1660" w:type="dxa"/>
            <w:tcBorders>
              <w:top w:val="nil"/>
              <w:left w:val="nil"/>
              <w:bottom w:val="single" w:color="auto" w:sz="4" w:space="0"/>
              <w:right w:val="single" w:color="auto" w:sz="4" w:space="0"/>
            </w:tcBorders>
            <w:noWrap w:val="0"/>
            <w:vAlign w:val="center"/>
          </w:tcPr>
          <w:p w14:paraId="51FF34C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1B1AA2D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414C8F2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20≤X＜200</w:t>
            </w:r>
          </w:p>
        </w:tc>
        <w:tc>
          <w:tcPr>
            <w:tcW w:w="1877" w:type="dxa"/>
            <w:tcBorders>
              <w:top w:val="nil"/>
              <w:left w:val="nil"/>
              <w:bottom w:val="single" w:color="auto" w:sz="4" w:space="0"/>
              <w:right w:val="single" w:color="auto" w:sz="4" w:space="0"/>
            </w:tcBorders>
            <w:noWrap w:val="0"/>
            <w:vAlign w:val="center"/>
          </w:tcPr>
          <w:p w14:paraId="33FF79D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5≤X＜20</w:t>
            </w:r>
          </w:p>
        </w:tc>
        <w:tc>
          <w:tcPr>
            <w:tcW w:w="1134" w:type="dxa"/>
            <w:tcBorders>
              <w:top w:val="nil"/>
              <w:left w:val="nil"/>
              <w:bottom w:val="single" w:color="auto" w:sz="4" w:space="0"/>
              <w:right w:val="single" w:color="auto" w:sz="4" w:space="0"/>
            </w:tcBorders>
            <w:noWrap w:val="0"/>
            <w:vAlign w:val="center"/>
          </w:tcPr>
          <w:p w14:paraId="5AFDF05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X＜5</w:t>
            </w:r>
          </w:p>
        </w:tc>
      </w:tr>
      <w:tr w14:paraId="1A1716A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B48C84">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6D87FAD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751502B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0782BB2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5000≤Y＜40000</w:t>
            </w:r>
          </w:p>
        </w:tc>
        <w:tc>
          <w:tcPr>
            <w:tcW w:w="1877" w:type="dxa"/>
            <w:tcBorders>
              <w:top w:val="nil"/>
              <w:left w:val="nil"/>
              <w:bottom w:val="single" w:color="auto" w:sz="4" w:space="0"/>
              <w:right w:val="single" w:color="auto" w:sz="4" w:space="0"/>
            </w:tcBorders>
            <w:noWrap w:val="0"/>
            <w:vAlign w:val="center"/>
          </w:tcPr>
          <w:p w14:paraId="1673662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1000≤Y＜5000</w:t>
            </w:r>
          </w:p>
        </w:tc>
        <w:tc>
          <w:tcPr>
            <w:tcW w:w="1134" w:type="dxa"/>
            <w:tcBorders>
              <w:top w:val="nil"/>
              <w:left w:val="nil"/>
              <w:bottom w:val="single" w:color="auto" w:sz="4" w:space="0"/>
              <w:right w:val="single" w:color="auto" w:sz="4" w:space="0"/>
            </w:tcBorders>
            <w:noWrap w:val="0"/>
            <w:vAlign w:val="center"/>
          </w:tcPr>
          <w:p w14:paraId="46DC282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Y＜1000</w:t>
            </w:r>
          </w:p>
        </w:tc>
      </w:tr>
      <w:tr w14:paraId="67FCC70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085C6B">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零售业</w:t>
            </w:r>
          </w:p>
        </w:tc>
        <w:tc>
          <w:tcPr>
            <w:tcW w:w="1660" w:type="dxa"/>
            <w:tcBorders>
              <w:top w:val="nil"/>
              <w:left w:val="nil"/>
              <w:bottom w:val="single" w:color="auto" w:sz="4" w:space="0"/>
              <w:right w:val="single" w:color="auto" w:sz="4" w:space="0"/>
            </w:tcBorders>
            <w:noWrap w:val="0"/>
            <w:vAlign w:val="center"/>
          </w:tcPr>
          <w:p w14:paraId="1B0689D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1E3416A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53676F2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50≤X＜300</w:t>
            </w:r>
          </w:p>
        </w:tc>
        <w:tc>
          <w:tcPr>
            <w:tcW w:w="1877" w:type="dxa"/>
            <w:tcBorders>
              <w:top w:val="nil"/>
              <w:left w:val="nil"/>
              <w:bottom w:val="single" w:color="auto" w:sz="4" w:space="0"/>
              <w:right w:val="single" w:color="auto" w:sz="4" w:space="0"/>
            </w:tcBorders>
            <w:noWrap w:val="0"/>
            <w:vAlign w:val="center"/>
          </w:tcPr>
          <w:p w14:paraId="0B8AF98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10≤X＜50</w:t>
            </w:r>
          </w:p>
        </w:tc>
        <w:tc>
          <w:tcPr>
            <w:tcW w:w="1134" w:type="dxa"/>
            <w:tcBorders>
              <w:top w:val="nil"/>
              <w:left w:val="nil"/>
              <w:bottom w:val="single" w:color="auto" w:sz="4" w:space="0"/>
              <w:right w:val="single" w:color="auto" w:sz="4" w:space="0"/>
            </w:tcBorders>
            <w:noWrap w:val="0"/>
            <w:vAlign w:val="center"/>
          </w:tcPr>
          <w:p w14:paraId="029CC74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5715F22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B034846">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1870718F">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1661BF0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264B27D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500≤Y＜20000</w:t>
            </w:r>
          </w:p>
        </w:tc>
        <w:tc>
          <w:tcPr>
            <w:tcW w:w="1877" w:type="dxa"/>
            <w:tcBorders>
              <w:top w:val="nil"/>
              <w:left w:val="nil"/>
              <w:bottom w:val="single" w:color="auto" w:sz="4" w:space="0"/>
              <w:right w:val="single" w:color="auto" w:sz="4" w:space="0"/>
            </w:tcBorders>
            <w:noWrap w:val="0"/>
            <w:vAlign w:val="center"/>
          </w:tcPr>
          <w:p w14:paraId="4213FE9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100≤Y＜500</w:t>
            </w:r>
          </w:p>
        </w:tc>
        <w:tc>
          <w:tcPr>
            <w:tcW w:w="1134" w:type="dxa"/>
            <w:tcBorders>
              <w:top w:val="nil"/>
              <w:left w:val="nil"/>
              <w:bottom w:val="single" w:color="auto" w:sz="4" w:space="0"/>
              <w:right w:val="single" w:color="auto" w:sz="4" w:space="0"/>
            </w:tcBorders>
            <w:noWrap w:val="0"/>
            <w:vAlign w:val="center"/>
          </w:tcPr>
          <w:p w14:paraId="798FC60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4B084B6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EBCCF1">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交通运输业</w:t>
            </w:r>
          </w:p>
        </w:tc>
        <w:tc>
          <w:tcPr>
            <w:tcW w:w="1660" w:type="dxa"/>
            <w:tcBorders>
              <w:top w:val="nil"/>
              <w:left w:val="nil"/>
              <w:bottom w:val="single" w:color="auto" w:sz="4" w:space="0"/>
              <w:right w:val="single" w:color="auto" w:sz="4" w:space="0"/>
            </w:tcBorders>
            <w:noWrap w:val="0"/>
            <w:vAlign w:val="center"/>
          </w:tcPr>
          <w:p w14:paraId="43F2D36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10DA13C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3F3C15D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877" w:type="dxa"/>
            <w:tcBorders>
              <w:top w:val="nil"/>
              <w:left w:val="nil"/>
              <w:bottom w:val="single" w:color="auto" w:sz="4" w:space="0"/>
              <w:right w:val="single" w:color="auto" w:sz="4" w:space="0"/>
            </w:tcBorders>
            <w:noWrap w:val="0"/>
            <w:vAlign w:val="center"/>
          </w:tcPr>
          <w:p w14:paraId="5635105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1134" w:type="dxa"/>
            <w:tcBorders>
              <w:top w:val="nil"/>
              <w:left w:val="nil"/>
              <w:bottom w:val="single" w:color="auto" w:sz="4" w:space="0"/>
              <w:right w:val="single" w:color="auto" w:sz="4" w:space="0"/>
            </w:tcBorders>
            <w:noWrap w:val="0"/>
            <w:vAlign w:val="center"/>
          </w:tcPr>
          <w:p w14:paraId="377E636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X＜20</w:t>
            </w:r>
          </w:p>
        </w:tc>
      </w:tr>
      <w:tr w14:paraId="2CC3FB7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7C4CCA1">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24042BA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03A5AC7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189DAE9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3000≤Y＜30000</w:t>
            </w:r>
          </w:p>
        </w:tc>
        <w:tc>
          <w:tcPr>
            <w:tcW w:w="1877" w:type="dxa"/>
            <w:tcBorders>
              <w:top w:val="nil"/>
              <w:left w:val="nil"/>
              <w:bottom w:val="single" w:color="auto" w:sz="4" w:space="0"/>
              <w:right w:val="single" w:color="auto" w:sz="4" w:space="0"/>
            </w:tcBorders>
            <w:noWrap w:val="0"/>
            <w:vAlign w:val="center"/>
          </w:tcPr>
          <w:p w14:paraId="474A954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200≤Y＜3000</w:t>
            </w:r>
          </w:p>
        </w:tc>
        <w:tc>
          <w:tcPr>
            <w:tcW w:w="1134" w:type="dxa"/>
            <w:tcBorders>
              <w:top w:val="nil"/>
              <w:left w:val="nil"/>
              <w:bottom w:val="single" w:color="auto" w:sz="4" w:space="0"/>
              <w:right w:val="single" w:color="auto" w:sz="4" w:space="0"/>
            </w:tcBorders>
            <w:noWrap w:val="0"/>
            <w:vAlign w:val="center"/>
          </w:tcPr>
          <w:p w14:paraId="51D69EB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Y＜200</w:t>
            </w:r>
          </w:p>
        </w:tc>
      </w:tr>
      <w:tr w14:paraId="4CC5B1E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507AC43">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仓储业</w:t>
            </w:r>
          </w:p>
        </w:tc>
        <w:tc>
          <w:tcPr>
            <w:tcW w:w="1660" w:type="dxa"/>
            <w:tcBorders>
              <w:top w:val="nil"/>
              <w:left w:val="nil"/>
              <w:bottom w:val="single" w:color="auto" w:sz="4" w:space="0"/>
              <w:right w:val="single" w:color="auto" w:sz="4" w:space="0"/>
            </w:tcBorders>
            <w:noWrap w:val="0"/>
            <w:vAlign w:val="center"/>
          </w:tcPr>
          <w:p w14:paraId="743D347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272C53E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1A2635D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100≤X＜200</w:t>
            </w:r>
          </w:p>
        </w:tc>
        <w:tc>
          <w:tcPr>
            <w:tcW w:w="1877" w:type="dxa"/>
            <w:tcBorders>
              <w:top w:val="nil"/>
              <w:left w:val="nil"/>
              <w:bottom w:val="single" w:color="auto" w:sz="4" w:space="0"/>
              <w:right w:val="single" w:color="auto" w:sz="4" w:space="0"/>
            </w:tcBorders>
            <w:noWrap w:val="0"/>
            <w:vAlign w:val="center"/>
          </w:tcPr>
          <w:p w14:paraId="7463391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20≤X＜100</w:t>
            </w:r>
          </w:p>
        </w:tc>
        <w:tc>
          <w:tcPr>
            <w:tcW w:w="1134" w:type="dxa"/>
            <w:tcBorders>
              <w:top w:val="nil"/>
              <w:left w:val="nil"/>
              <w:bottom w:val="single" w:color="auto" w:sz="4" w:space="0"/>
              <w:right w:val="single" w:color="auto" w:sz="4" w:space="0"/>
            </w:tcBorders>
            <w:noWrap w:val="0"/>
            <w:vAlign w:val="center"/>
          </w:tcPr>
          <w:p w14:paraId="204F0AB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X＜20</w:t>
            </w:r>
          </w:p>
        </w:tc>
      </w:tr>
      <w:tr w14:paraId="06000F5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2C8C17A">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6BB67BB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166132A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74A57D2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1000≤Y＜30000</w:t>
            </w:r>
          </w:p>
        </w:tc>
        <w:tc>
          <w:tcPr>
            <w:tcW w:w="1877" w:type="dxa"/>
            <w:tcBorders>
              <w:top w:val="nil"/>
              <w:left w:val="nil"/>
              <w:bottom w:val="single" w:color="auto" w:sz="4" w:space="0"/>
              <w:right w:val="single" w:color="auto" w:sz="4" w:space="0"/>
            </w:tcBorders>
            <w:noWrap w:val="0"/>
            <w:vAlign w:val="center"/>
          </w:tcPr>
          <w:p w14:paraId="4C4D2BC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100≤Y＜1000</w:t>
            </w:r>
          </w:p>
        </w:tc>
        <w:tc>
          <w:tcPr>
            <w:tcW w:w="1134" w:type="dxa"/>
            <w:tcBorders>
              <w:top w:val="nil"/>
              <w:left w:val="nil"/>
              <w:bottom w:val="single" w:color="auto" w:sz="4" w:space="0"/>
              <w:right w:val="single" w:color="auto" w:sz="4" w:space="0"/>
            </w:tcBorders>
            <w:noWrap w:val="0"/>
            <w:vAlign w:val="center"/>
          </w:tcPr>
          <w:p w14:paraId="105E161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00EA565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3D65E0A">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邮政业</w:t>
            </w:r>
          </w:p>
        </w:tc>
        <w:tc>
          <w:tcPr>
            <w:tcW w:w="1660" w:type="dxa"/>
            <w:tcBorders>
              <w:top w:val="nil"/>
              <w:left w:val="nil"/>
              <w:bottom w:val="single" w:color="auto" w:sz="4" w:space="0"/>
              <w:right w:val="single" w:color="auto" w:sz="4" w:space="0"/>
            </w:tcBorders>
            <w:noWrap w:val="0"/>
            <w:vAlign w:val="center"/>
          </w:tcPr>
          <w:p w14:paraId="06C8E6D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3AD5F4B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5051BFFF">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877" w:type="dxa"/>
            <w:tcBorders>
              <w:top w:val="nil"/>
              <w:left w:val="nil"/>
              <w:bottom w:val="single" w:color="auto" w:sz="4" w:space="0"/>
              <w:right w:val="single" w:color="auto" w:sz="4" w:space="0"/>
            </w:tcBorders>
            <w:noWrap w:val="0"/>
            <w:vAlign w:val="center"/>
          </w:tcPr>
          <w:p w14:paraId="0595285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1134" w:type="dxa"/>
            <w:tcBorders>
              <w:top w:val="nil"/>
              <w:left w:val="nil"/>
              <w:bottom w:val="single" w:color="auto" w:sz="4" w:space="0"/>
              <w:right w:val="single" w:color="auto" w:sz="4" w:space="0"/>
            </w:tcBorders>
            <w:noWrap w:val="0"/>
            <w:vAlign w:val="center"/>
          </w:tcPr>
          <w:p w14:paraId="4F20C53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X＜20</w:t>
            </w:r>
          </w:p>
        </w:tc>
      </w:tr>
      <w:tr w14:paraId="543969D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78907D">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5D4EB45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14C7274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4B9157F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2000≤Y＜30000</w:t>
            </w:r>
          </w:p>
        </w:tc>
        <w:tc>
          <w:tcPr>
            <w:tcW w:w="1877" w:type="dxa"/>
            <w:tcBorders>
              <w:top w:val="nil"/>
              <w:left w:val="nil"/>
              <w:bottom w:val="single" w:color="auto" w:sz="4" w:space="0"/>
              <w:right w:val="single" w:color="auto" w:sz="4" w:space="0"/>
            </w:tcBorders>
            <w:noWrap w:val="0"/>
            <w:vAlign w:val="center"/>
          </w:tcPr>
          <w:p w14:paraId="1F9B393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1134" w:type="dxa"/>
            <w:tcBorders>
              <w:top w:val="nil"/>
              <w:left w:val="nil"/>
              <w:bottom w:val="single" w:color="auto" w:sz="4" w:space="0"/>
              <w:right w:val="single" w:color="auto" w:sz="4" w:space="0"/>
            </w:tcBorders>
            <w:noWrap w:val="0"/>
            <w:vAlign w:val="center"/>
          </w:tcPr>
          <w:p w14:paraId="437C177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347D487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06EA037">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住宿业</w:t>
            </w:r>
          </w:p>
        </w:tc>
        <w:tc>
          <w:tcPr>
            <w:tcW w:w="1660" w:type="dxa"/>
            <w:tcBorders>
              <w:top w:val="nil"/>
              <w:left w:val="nil"/>
              <w:bottom w:val="single" w:color="auto" w:sz="4" w:space="0"/>
              <w:right w:val="single" w:color="auto" w:sz="4" w:space="0"/>
            </w:tcBorders>
            <w:noWrap w:val="0"/>
            <w:vAlign w:val="center"/>
          </w:tcPr>
          <w:p w14:paraId="4524F6E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0DDFFA8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3069110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877" w:type="dxa"/>
            <w:tcBorders>
              <w:top w:val="nil"/>
              <w:left w:val="nil"/>
              <w:bottom w:val="single" w:color="auto" w:sz="4" w:space="0"/>
              <w:right w:val="single" w:color="auto" w:sz="4" w:space="0"/>
            </w:tcBorders>
            <w:noWrap w:val="0"/>
            <w:vAlign w:val="center"/>
          </w:tcPr>
          <w:p w14:paraId="348335C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7C3BA59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69FEEF9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2E14623">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14A73A3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618BFA8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7CA4885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2000≤Y＜10000</w:t>
            </w:r>
          </w:p>
        </w:tc>
        <w:tc>
          <w:tcPr>
            <w:tcW w:w="1877" w:type="dxa"/>
            <w:tcBorders>
              <w:top w:val="nil"/>
              <w:left w:val="nil"/>
              <w:bottom w:val="single" w:color="auto" w:sz="4" w:space="0"/>
              <w:right w:val="single" w:color="auto" w:sz="4" w:space="0"/>
            </w:tcBorders>
            <w:noWrap w:val="0"/>
            <w:vAlign w:val="center"/>
          </w:tcPr>
          <w:p w14:paraId="6A6BF2A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1134" w:type="dxa"/>
            <w:tcBorders>
              <w:top w:val="nil"/>
              <w:left w:val="nil"/>
              <w:bottom w:val="single" w:color="auto" w:sz="4" w:space="0"/>
              <w:right w:val="single" w:color="auto" w:sz="4" w:space="0"/>
            </w:tcBorders>
            <w:noWrap w:val="0"/>
            <w:vAlign w:val="center"/>
          </w:tcPr>
          <w:p w14:paraId="6BC4062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049C21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1A56986">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餐饮业</w:t>
            </w:r>
          </w:p>
        </w:tc>
        <w:tc>
          <w:tcPr>
            <w:tcW w:w="1660" w:type="dxa"/>
            <w:tcBorders>
              <w:top w:val="nil"/>
              <w:left w:val="nil"/>
              <w:bottom w:val="single" w:color="auto" w:sz="4" w:space="0"/>
              <w:right w:val="single" w:color="auto" w:sz="4" w:space="0"/>
            </w:tcBorders>
            <w:noWrap w:val="0"/>
            <w:vAlign w:val="center"/>
          </w:tcPr>
          <w:p w14:paraId="578216B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6587FF1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2B1C843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877" w:type="dxa"/>
            <w:tcBorders>
              <w:top w:val="nil"/>
              <w:left w:val="nil"/>
              <w:bottom w:val="single" w:color="auto" w:sz="4" w:space="0"/>
              <w:right w:val="single" w:color="auto" w:sz="4" w:space="0"/>
            </w:tcBorders>
            <w:noWrap w:val="0"/>
            <w:vAlign w:val="center"/>
          </w:tcPr>
          <w:p w14:paraId="1B1D061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0DEDDDD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70D046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73F691A">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6CBB6D3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008C5D3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77898C1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2000≤Y＜10000</w:t>
            </w:r>
          </w:p>
        </w:tc>
        <w:tc>
          <w:tcPr>
            <w:tcW w:w="1877" w:type="dxa"/>
            <w:tcBorders>
              <w:top w:val="nil"/>
              <w:left w:val="nil"/>
              <w:bottom w:val="single" w:color="auto" w:sz="4" w:space="0"/>
              <w:right w:val="single" w:color="auto" w:sz="4" w:space="0"/>
            </w:tcBorders>
            <w:noWrap w:val="0"/>
            <w:vAlign w:val="center"/>
          </w:tcPr>
          <w:p w14:paraId="7F80404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1134" w:type="dxa"/>
            <w:tcBorders>
              <w:top w:val="nil"/>
              <w:left w:val="nil"/>
              <w:bottom w:val="single" w:color="auto" w:sz="4" w:space="0"/>
              <w:right w:val="single" w:color="auto" w:sz="4" w:space="0"/>
            </w:tcBorders>
            <w:noWrap w:val="0"/>
            <w:vAlign w:val="center"/>
          </w:tcPr>
          <w:p w14:paraId="1F1326E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334168E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79149A7">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E1A914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44C377B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5C07915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100≤X＜2000</w:t>
            </w:r>
          </w:p>
        </w:tc>
        <w:tc>
          <w:tcPr>
            <w:tcW w:w="1877" w:type="dxa"/>
            <w:tcBorders>
              <w:top w:val="nil"/>
              <w:left w:val="nil"/>
              <w:bottom w:val="single" w:color="auto" w:sz="4" w:space="0"/>
              <w:right w:val="single" w:color="auto" w:sz="4" w:space="0"/>
            </w:tcBorders>
            <w:noWrap w:val="0"/>
            <w:vAlign w:val="center"/>
          </w:tcPr>
          <w:p w14:paraId="1692A77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289DEBC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3F10733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22F70C">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66E6936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5B6A557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257E570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1000≤Y＜100000</w:t>
            </w:r>
          </w:p>
        </w:tc>
        <w:tc>
          <w:tcPr>
            <w:tcW w:w="1877" w:type="dxa"/>
            <w:tcBorders>
              <w:top w:val="nil"/>
              <w:left w:val="nil"/>
              <w:bottom w:val="single" w:color="auto" w:sz="4" w:space="0"/>
              <w:right w:val="single" w:color="auto" w:sz="4" w:space="0"/>
            </w:tcBorders>
            <w:noWrap w:val="0"/>
            <w:vAlign w:val="center"/>
          </w:tcPr>
          <w:p w14:paraId="3FF993F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100≤Y＜1000</w:t>
            </w:r>
          </w:p>
        </w:tc>
        <w:tc>
          <w:tcPr>
            <w:tcW w:w="1134" w:type="dxa"/>
            <w:tcBorders>
              <w:top w:val="nil"/>
              <w:left w:val="nil"/>
              <w:bottom w:val="single" w:color="auto" w:sz="4" w:space="0"/>
              <w:right w:val="single" w:color="auto" w:sz="4" w:space="0"/>
            </w:tcBorders>
            <w:noWrap w:val="0"/>
            <w:vAlign w:val="center"/>
          </w:tcPr>
          <w:p w14:paraId="4FB1A94F">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298C1C0A">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7BAC051">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24409C3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5EC21A9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3093DDD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877" w:type="dxa"/>
            <w:tcBorders>
              <w:top w:val="nil"/>
              <w:left w:val="nil"/>
              <w:bottom w:val="single" w:color="auto" w:sz="4" w:space="0"/>
              <w:right w:val="single" w:color="auto" w:sz="4" w:space="0"/>
            </w:tcBorders>
            <w:noWrap w:val="0"/>
            <w:vAlign w:val="center"/>
          </w:tcPr>
          <w:p w14:paraId="066C4D0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6802C97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00F58D28">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DF2EF08">
            <w:pPr>
              <w:widowControl/>
              <w:snapToGrid w:val="0"/>
              <w:contextualSpacing/>
              <w:jc w:val="center"/>
              <w:rPr>
                <w:rFonts w:hint="eastAsia" w:ascii="宋体" w:hAnsi="宋体" w:cs="宋体"/>
                <w:kern w:val="0"/>
                <w:sz w:val="24"/>
                <w:highlight w:val="none"/>
              </w:rPr>
            </w:pPr>
          </w:p>
        </w:tc>
        <w:tc>
          <w:tcPr>
            <w:tcW w:w="1660" w:type="dxa"/>
            <w:tcBorders>
              <w:top w:val="nil"/>
              <w:left w:val="nil"/>
              <w:bottom w:val="single" w:color="auto" w:sz="4" w:space="0"/>
              <w:right w:val="single" w:color="auto" w:sz="4" w:space="0"/>
            </w:tcBorders>
            <w:noWrap w:val="0"/>
            <w:vAlign w:val="center"/>
          </w:tcPr>
          <w:p w14:paraId="6AB0216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6B34ED97">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39A4FF1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1000≤Y＜10000</w:t>
            </w:r>
          </w:p>
        </w:tc>
        <w:tc>
          <w:tcPr>
            <w:tcW w:w="1877" w:type="dxa"/>
            <w:tcBorders>
              <w:top w:val="nil"/>
              <w:left w:val="nil"/>
              <w:bottom w:val="single" w:color="auto" w:sz="4" w:space="0"/>
              <w:right w:val="single" w:color="auto" w:sz="4" w:space="0"/>
            </w:tcBorders>
            <w:noWrap w:val="0"/>
            <w:vAlign w:val="center"/>
          </w:tcPr>
          <w:p w14:paraId="4D5D2DB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50≤Y＜1000</w:t>
            </w:r>
          </w:p>
        </w:tc>
        <w:tc>
          <w:tcPr>
            <w:tcW w:w="1134" w:type="dxa"/>
            <w:tcBorders>
              <w:top w:val="nil"/>
              <w:left w:val="nil"/>
              <w:bottom w:val="single" w:color="auto" w:sz="4" w:space="0"/>
              <w:right w:val="single" w:color="auto" w:sz="4" w:space="0"/>
            </w:tcBorders>
            <w:noWrap w:val="0"/>
            <w:vAlign w:val="center"/>
          </w:tcPr>
          <w:p w14:paraId="3F9359C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Y＜50</w:t>
            </w:r>
          </w:p>
        </w:tc>
      </w:tr>
      <w:tr w14:paraId="4BAD918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9CB5DD4">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1D32624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7B199CE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051E128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1000≤Y＜200000</w:t>
            </w:r>
          </w:p>
        </w:tc>
        <w:tc>
          <w:tcPr>
            <w:tcW w:w="1877" w:type="dxa"/>
            <w:tcBorders>
              <w:top w:val="nil"/>
              <w:left w:val="nil"/>
              <w:bottom w:val="single" w:color="auto" w:sz="4" w:space="0"/>
              <w:right w:val="single" w:color="auto" w:sz="4" w:space="0"/>
            </w:tcBorders>
            <w:noWrap w:val="0"/>
            <w:vAlign w:val="center"/>
          </w:tcPr>
          <w:p w14:paraId="1AF1A22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100≤X＜1000</w:t>
            </w:r>
          </w:p>
        </w:tc>
        <w:tc>
          <w:tcPr>
            <w:tcW w:w="1134" w:type="dxa"/>
            <w:tcBorders>
              <w:top w:val="nil"/>
              <w:left w:val="nil"/>
              <w:bottom w:val="single" w:color="auto" w:sz="4" w:space="0"/>
              <w:right w:val="single" w:color="auto" w:sz="4" w:space="0"/>
            </w:tcBorders>
            <w:noWrap w:val="0"/>
            <w:vAlign w:val="center"/>
          </w:tcPr>
          <w:p w14:paraId="342FF23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X＜100</w:t>
            </w:r>
          </w:p>
        </w:tc>
      </w:tr>
      <w:tr w14:paraId="5599037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668277">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235E581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14:paraId="145A3F8C">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2F2CFA2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5000≤Z＜10000</w:t>
            </w:r>
          </w:p>
        </w:tc>
        <w:tc>
          <w:tcPr>
            <w:tcW w:w="1877" w:type="dxa"/>
            <w:tcBorders>
              <w:top w:val="nil"/>
              <w:left w:val="nil"/>
              <w:bottom w:val="single" w:color="auto" w:sz="4" w:space="0"/>
              <w:right w:val="single" w:color="auto" w:sz="4" w:space="0"/>
            </w:tcBorders>
            <w:noWrap w:val="0"/>
            <w:vAlign w:val="center"/>
          </w:tcPr>
          <w:p w14:paraId="529E16F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2000≤Y＜5000</w:t>
            </w:r>
          </w:p>
        </w:tc>
        <w:tc>
          <w:tcPr>
            <w:tcW w:w="1134" w:type="dxa"/>
            <w:tcBorders>
              <w:top w:val="nil"/>
              <w:left w:val="nil"/>
              <w:bottom w:val="single" w:color="auto" w:sz="4" w:space="0"/>
              <w:right w:val="single" w:color="auto" w:sz="4" w:space="0"/>
            </w:tcBorders>
            <w:noWrap w:val="0"/>
            <w:vAlign w:val="center"/>
          </w:tcPr>
          <w:p w14:paraId="4659BB6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Y＜2000</w:t>
            </w:r>
          </w:p>
        </w:tc>
      </w:tr>
      <w:tr w14:paraId="1A7DB24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0BCFE78">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物业管理</w:t>
            </w:r>
          </w:p>
        </w:tc>
        <w:tc>
          <w:tcPr>
            <w:tcW w:w="1660" w:type="dxa"/>
            <w:tcBorders>
              <w:top w:val="nil"/>
              <w:left w:val="nil"/>
              <w:bottom w:val="single" w:color="auto" w:sz="4" w:space="0"/>
              <w:right w:val="single" w:color="auto" w:sz="4" w:space="0"/>
            </w:tcBorders>
            <w:noWrap w:val="0"/>
            <w:vAlign w:val="center"/>
          </w:tcPr>
          <w:p w14:paraId="4236047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490332B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6AFE6A5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877" w:type="dxa"/>
            <w:tcBorders>
              <w:top w:val="nil"/>
              <w:left w:val="nil"/>
              <w:bottom w:val="single" w:color="auto" w:sz="4" w:space="0"/>
              <w:right w:val="single" w:color="auto" w:sz="4" w:space="0"/>
            </w:tcBorders>
            <w:noWrap w:val="0"/>
            <w:vAlign w:val="center"/>
          </w:tcPr>
          <w:p w14:paraId="16579F8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134" w:type="dxa"/>
            <w:tcBorders>
              <w:top w:val="nil"/>
              <w:left w:val="nil"/>
              <w:bottom w:val="single" w:color="auto" w:sz="4" w:space="0"/>
              <w:right w:val="single" w:color="auto" w:sz="4" w:space="0"/>
            </w:tcBorders>
            <w:noWrap w:val="0"/>
            <w:vAlign w:val="center"/>
          </w:tcPr>
          <w:p w14:paraId="60354BD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X＜100</w:t>
            </w:r>
          </w:p>
        </w:tc>
      </w:tr>
      <w:tr w14:paraId="6B3B8ED2">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72C7E13">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2D905EE0">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14:paraId="62A6B76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7ABA4F35">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1000≤Y＜5000</w:t>
            </w:r>
          </w:p>
        </w:tc>
        <w:tc>
          <w:tcPr>
            <w:tcW w:w="1877" w:type="dxa"/>
            <w:tcBorders>
              <w:top w:val="nil"/>
              <w:left w:val="nil"/>
              <w:bottom w:val="single" w:color="auto" w:sz="4" w:space="0"/>
              <w:right w:val="single" w:color="auto" w:sz="4" w:space="0"/>
            </w:tcBorders>
            <w:noWrap w:val="0"/>
            <w:vAlign w:val="center"/>
          </w:tcPr>
          <w:p w14:paraId="6A4525C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500≤Y＜1000</w:t>
            </w:r>
          </w:p>
        </w:tc>
        <w:tc>
          <w:tcPr>
            <w:tcW w:w="1134" w:type="dxa"/>
            <w:tcBorders>
              <w:top w:val="nil"/>
              <w:left w:val="nil"/>
              <w:bottom w:val="single" w:color="auto" w:sz="4" w:space="0"/>
              <w:right w:val="single" w:color="auto" w:sz="4" w:space="0"/>
            </w:tcBorders>
            <w:noWrap w:val="0"/>
            <w:vAlign w:val="center"/>
          </w:tcPr>
          <w:p w14:paraId="767DCD2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Y＜500</w:t>
            </w:r>
          </w:p>
        </w:tc>
      </w:tr>
      <w:tr w14:paraId="5106432B">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155D4A3">
            <w:pPr>
              <w:widowControl/>
              <w:snapToGrid w:val="0"/>
              <w:contextualSpacing/>
              <w:jc w:val="center"/>
              <w:rPr>
                <w:rFonts w:hint="eastAsia" w:ascii="宋体" w:hAnsi="宋体" w:eastAsia="宋体" w:cs="宋体"/>
                <w:b/>
                <w:bCs/>
                <w:kern w:val="0"/>
                <w:sz w:val="24"/>
                <w:highlight w:val="none"/>
                <w:lang w:eastAsia="zh-CN"/>
              </w:rPr>
            </w:pPr>
            <w:r>
              <w:rPr>
                <w:rFonts w:hint="eastAsia" w:ascii="宋体" w:hAnsi="宋体" w:cs="宋体"/>
                <w:b/>
                <w:bCs/>
                <w:kern w:val="0"/>
                <w:sz w:val="24"/>
                <w:highlight w:val="none"/>
                <w:lang w:eastAsia="zh-CN"/>
              </w:rPr>
              <w:t>其他未列明行业</w:t>
            </w:r>
          </w:p>
        </w:tc>
        <w:tc>
          <w:tcPr>
            <w:tcW w:w="1660" w:type="dxa"/>
            <w:tcBorders>
              <w:top w:val="nil"/>
              <w:left w:val="nil"/>
              <w:bottom w:val="single" w:color="auto" w:sz="4" w:space="0"/>
              <w:right w:val="single" w:color="auto" w:sz="4" w:space="0"/>
            </w:tcBorders>
            <w:noWrap w:val="0"/>
            <w:vAlign w:val="center"/>
          </w:tcPr>
          <w:p w14:paraId="6EDE742B">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1A8A48E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3A5F402E">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877" w:type="dxa"/>
            <w:tcBorders>
              <w:top w:val="nil"/>
              <w:left w:val="nil"/>
              <w:bottom w:val="single" w:color="auto" w:sz="4" w:space="0"/>
              <w:right w:val="single" w:color="auto" w:sz="4" w:space="0"/>
            </w:tcBorders>
            <w:noWrap w:val="0"/>
            <w:vAlign w:val="center"/>
          </w:tcPr>
          <w:p w14:paraId="55D1FA02">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38F30EA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r w14:paraId="7C671E9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05E9080">
            <w:pPr>
              <w:widowControl/>
              <w:snapToGrid w:val="0"/>
              <w:contextualSpacing/>
              <w:jc w:val="center"/>
              <w:rPr>
                <w:rFonts w:hint="eastAsia" w:ascii="宋体" w:hAnsi="宋体" w:cs="宋体"/>
                <w:b/>
                <w:bCs/>
                <w:kern w:val="0"/>
                <w:sz w:val="24"/>
                <w:highlight w:val="none"/>
              </w:rPr>
            </w:pPr>
          </w:p>
        </w:tc>
        <w:tc>
          <w:tcPr>
            <w:tcW w:w="1660" w:type="dxa"/>
            <w:tcBorders>
              <w:top w:val="nil"/>
              <w:left w:val="nil"/>
              <w:bottom w:val="single" w:color="auto" w:sz="4" w:space="0"/>
              <w:right w:val="single" w:color="auto" w:sz="4" w:space="0"/>
            </w:tcBorders>
            <w:noWrap w:val="0"/>
            <w:vAlign w:val="center"/>
          </w:tcPr>
          <w:p w14:paraId="393A60C1">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14:paraId="7AD23C4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903" w:type="dxa"/>
            <w:tcBorders>
              <w:top w:val="nil"/>
              <w:left w:val="nil"/>
              <w:bottom w:val="single" w:color="auto" w:sz="4" w:space="0"/>
              <w:right w:val="single" w:color="auto" w:sz="4" w:space="0"/>
            </w:tcBorders>
            <w:noWrap w:val="0"/>
            <w:vAlign w:val="center"/>
          </w:tcPr>
          <w:p w14:paraId="4D50EA84">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8000≤Z＜120000</w:t>
            </w:r>
          </w:p>
        </w:tc>
        <w:tc>
          <w:tcPr>
            <w:tcW w:w="1877" w:type="dxa"/>
            <w:tcBorders>
              <w:top w:val="nil"/>
              <w:left w:val="nil"/>
              <w:bottom w:val="single" w:color="auto" w:sz="4" w:space="0"/>
              <w:right w:val="single" w:color="auto" w:sz="4" w:space="0"/>
            </w:tcBorders>
            <w:noWrap w:val="0"/>
            <w:vAlign w:val="center"/>
          </w:tcPr>
          <w:p w14:paraId="52427C2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100≤Z＜8000</w:t>
            </w:r>
          </w:p>
        </w:tc>
        <w:tc>
          <w:tcPr>
            <w:tcW w:w="1134" w:type="dxa"/>
            <w:tcBorders>
              <w:top w:val="nil"/>
              <w:left w:val="nil"/>
              <w:bottom w:val="single" w:color="auto" w:sz="4" w:space="0"/>
              <w:right w:val="single" w:color="auto" w:sz="4" w:space="0"/>
            </w:tcBorders>
            <w:noWrap w:val="0"/>
            <w:vAlign w:val="center"/>
          </w:tcPr>
          <w:p w14:paraId="19611638">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Y＜100</w:t>
            </w:r>
          </w:p>
        </w:tc>
      </w:tr>
      <w:tr w14:paraId="6588761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766F3EB">
            <w:pPr>
              <w:widowControl/>
              <w:snapToGrid w:val="0"/>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20A451B9">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14:paraId="4B0BBA36">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903" w:type="dxa"/>
            <w:tcBorders>
              <w:top w:val="nil"/>
              <w:left w:val="nil"/>
              <w:bottom w:val="single" w:color="auto" w:sz="4" w:space="0"/>
              <w:right w:val="single" w:color="auto" w:sz="4" w:space="0"/>
            </w:tcBorders>
            <w:noWrap w:val="0"/>
            <w:vAlign w:val="center"/>
          </w:tcPr>
          <w:p w14:paraId="60F44BAD">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877" w:type="dxa"/>
            <w:tcBorders>
              <w:top w:val="nil"/>
              <w:left w:val="nil"/>
              <w:bottom w:val="single" w:color="auto" w:sz="4" w:space="0"/>
              <w:right w:val="single" w:color="auto" w:sz="4" w:space="0"/>
            </w:tcBorders>
            <w:noWrap w:val="0"/>
            <w:vAlign w:val="center"/>
          </w:tcPr>
          <w:p w14:paraId="62EB3FFA">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1134" w:type="dxa"/>
            <w:tcBorders>
              <w:top w:val="nil"/>
              <w:left w:val="nil"/>
              <w:bottom w:val="single" w:color="auto" w:sz="4" w:space="0"/>
              <w:right w:val="single" w:color="auto" w:sz="4" w:space="0"/>
            </w:tcBorders>
            <w:noWrap w:val="0"/>
            <w:vAlign w:val="center"/>
          </w:tcPr>
          <w:p w14:paraId="4A767A83">
            <w:pPr>
              <w:widowControl/>
              <w:snapToGrid w:val="0"/>
              <w:contextualSpacing/>
              <w:jc w:val="center"/>
              <w:rPr>
                <w:rFonts w:hint="eastAsia" w:ascii="宋体" w:hAnsi="宋体" w:cs="宋体"/>
                <w:kern w:val="0"/>
                <w:sz w:val="24"/>
                <w:highlight w:val="none"/>
              </w:rPr>
            </w:pPr>
            <w:r>
              <w:rPr>
                <w:rFonts w:hint="eastAsia" w:ascii="宋体" w:hAnsi="宋体" w:cs="宋体"/>
                <w:kern w:val="0"/>
                <w:sz w:val="24"/>
                <w:highlight w:val="none"/>
              </w:rPr>
              <w:t>X＜10</w:t>
            </w:r>
          </w:p>
        </w:tc>
      </w:tr>
    </w:tbl>
    <w:p w14:paraId="1C256493">
      <w:pPr>
        <w:spacing w:line="240" w:lineRule="atLeast"/>
        <w:rPr>
          <w:rFonts w:hint="eastAsia" w:ascii="宋体" w:hAnsi="宋体" w:cs="宋体"/>
          <w:b/>
          <w:color w:val="000000"/>
          <w:kern w:val="0"/>
          <w:sz w:val="24"/>
          <w:highlight w:val="none"/>
        </w:rPr>
      </w:pPr>
      <w:r>
        <w:rPr>
          <w:rFonts w:hint="eastAsia" w:ascii="宋体" w:hAnsi="宋体" w:cs="宋体"/>
          <w:b/>
          <w:sz w:val="24"/>
          <w:highlight w:val="none"/>
        </w:rPr>
        <w:t>说明：</w:t>
      </w:r>
      <w:r>
        <w:rPr>
          <w:rFonts w:hint="eastAsia" w:ascii="宋体" w:hAnsi="宋体" w:cs="宋体"/>
          <w:sz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7C0B5D2A">
      <w:pPr>
        <w:spacing w:line="240" w:lineRule="atLeast"/>
        <w:ind w:left="1080" w:leftChars="257" w:hanging="540"/>
        <w:jc w:val="center"/>
        <w:rPr>
          <w:rFonts w:hint="eastAsia" w:ascii="宋体" w:hAnsi="宋体" w:cs="宋体"/>
          <w:b/>
          <w:color w:val="000000"/>
          <w:kern w:val="0"/>
          <w:sz w:val="24"/>
          <w:highlight w:val="none"/>
        </w:rPr>
      </w:pPr>
    </w:p>
    <w:p w14:paraId="47BAB223">
      <w:pPr>
        <w:pStyle w:val="3"/>
        <w:spacing w:before="0" w:line="240" w:lineRule="atLeast"/>
        <w:ind w:left="1080" w:leftChars="257" w:hanging="540"/>
        <w:rPr>
          <w:rFonts w:hint="eastAsia" w:ascii="宋体" w:hAnsi="宋体" w:eastAsia="宋体" w:cs="宋体"/>
          <w:color w:val="000000"/>
          <w:sz w:val="24"/>
          <w:szCs w:val="24"/>
          <w:highlight w:val="none"/>
        </w:rPr>
      </w:pPr>
      <w:bookmarkStart w:id="368" w:name="_Toc6452"/>
      <w:bookmarkStart w:id="369" w:name="_Toc4574"/>
      <w:bookmarkStart w:id="370" w:name="_Toc28099"/>
      <w:bookmarkStart w:id="371" w:name="_Toc28516"/>
      <w:bookmarkStart w:id="372" w:name="_Toc30054"/>
      <w:bookmarkStart w:id="373" w:name="_Toc30795"/>
      <w:bookmarkStart w:id="374" w:name="_Toc515647827"/>
      <w:bookmarkStart w:id="375" w:name="_Toc3587"/>
      <w:bookmarkStart w:id="376" w:name="_Toc17196"/>
      <w:bookmarkStart w:id="377" w:name="_Toc6531"/>
      <w:bookmarkStart w:id="378" w:name="_Toc18365"/>
      <w:r>
        <w:rPr>
          <w:rFonts w:hint="eastAsia" w:ascii="宋体" w:hAnsi="宋体" w:eastAsia="宋体" w:cs="宋体"/>
          <w:color w:val="000000"/>
          <w:sz w:val="24"/>
          <w:szCs w:val="24"/>
          <w:highlight w:val="none"/>
        </w:rPr>
        <w:t>6、供应商关联单位的说明</w:t>
      </w:r>
      <w:bookmarkEnd w:id="368"/>
      <w:bookmarkEnd w:id="369"/>
      <w:bookmarkEnd w:id="370"/>
      <w:bookmarkEnd w:id="371"/>
      <w:bookmarkEnd w:id="372"/>
      <w:bookmarkEnd w:id="373"/>
      <w:bookmarkEnd w:id="374"/>
      <w:bookmarkEnd w:id="375"/>
      <w:bookmarkEnd w:id="376"/>
      <w:bookmarkEnd w:id="377"/>
      <w:bookmarkEnd w:id="378"/>
    </w:p>
    <w:p w14:paraId="371A0587">
      <w:pPr>
        <w:pStyle w:val="5"/>
        <w:jc w:val="center"/>
        <w:rPr>
          <w:rFonts w:hint="eastAsia" w:hAnsi="宋体" w:cs="宋体"/>
          <w:color w:val="000000"/>
          <w:szCs w:val="24"/>
          <w:highlight w:val="none"/>
        </w:rPr>
      </w:pPr>
    </w:p>
    <w:p w14:paraId="353FCC8E">
      <w:pPr>
        <w:pStyle w:val="5"/>
        <w:ind w:firstLine="480" w:firstLineChars="200"/>
        <w:rPr>
          <w:rFonts w:hint="eastAsia" w:hAnsi="宋体" w:cs="宋体"/>
          <w:color w:val="000000"/>
          <w:szCs w:val="24"/>
          <w:highlight w:val="none"/>
        </w:rPr>
      </w:pPr>
      <w:r>
        <w:rPr>
          <w:rFonts w:hint="eastAsia" w:hAnsi="宋体" w:cs="宋体"/>
          <w:color w:val="000000"/>
          <w:szCs w:val="24"/>
          <w:highlight w:val="none"/>
        </w:rPr>
        <w:t>说明：供应商应当如实披露与本单位存在下列关联关系的单位名称：</w:t>
      </w:r>
    </w:p>
    <w:p w14:paraId="551C36A2">
      <w:pPr>
        <w:pStyle w:val="5"/>
        <w:numPr>
          <w:ilvl w:val="0"/>
          <w:numId w:val="2"/>
        </w:numPr>
        <w:ind w:firstLine="480" w:firstLineChars="200"/>
        <w:rPr>
          <w:rFonts w:hint="eastAsia" w:hAnsi="宋体" w:cs="宋体"/>
          <w:color w:val="000000"/>
          <w:szCs w:val="24"/>
          <w:highlight w:val="none"/>
        </w:rPr>
      </w:pPr>
      <w:r>
        <w:rPr>
          <w:rFonts w:hint="eastAsia" w:hAnsi="宋体" w:cs="宋体"/>
          <w:color w:val="000000"/>
          <w:szCs w:val="24"/>
          <w:highlight w:val="none"/>
        </w:rPr>
        <w:t>与供应商单位负责人为同一人的其他单位；</w:t>
      </w:r>
    </w:p>
    <w:p w14:paraId="41EF6F99">
      <w:pPr>
        <w:pStyle w:val="5"/>
        <w:numPr>
          <w:ilvl w:val="0"/>
          <w:numId w:val="2"/>
        </w:numPr>
        <w:ind w:firstLine="480" w:firstLineChars="200"/>
        <w:rPr>
          <w:rFonts w:hint="eastAsia" w:hAnsi="宋体" w:cs="宋体"/>
          <w:color w:val="000000"/>
          <w:szCs w:val="24"/>
          <w:highlight w:val="none"/>
        </w:rPr>
      </w:pPr>
      <w:r>
        <w:rPr>
          <w:rFonts w:hint="eastAsia" w:hAnsi="宋体" w:cs="宋体"/>
          <w:color w:val="000000"/>
          <w:szCs w:val="24"/>
          <w:highlight w:val="none"/>
        </w:rPr>
        <w:t>与供应商存在直接控股、管理关系的其他单位。</w:t>
      </w:r>
    </w:p>
    <w:p w14:paraId="2DC5E24C">
      <w:pPr>
        <w:pStyle w:val="18"/>
        <w:spacing w:line="240" w:lineRule="atLeast"/>
        <w:ind w:left="1080" w:leftChars="257" w:hanging="540"/>
        <w:rPr>
          <w:rFonts w:hint="eastAsia" w:hAnsi="宋体" w:cs="宋体"/>
          <w:color w:val="000000"/>
          <w:sz w:val="24"/>
          <w:szCs w:val="24"/>
          <w:highlight w:val="none"/>
        </w:rPr>
      </w:pPr>
    </w:p>
    <w:p w14:paraId="7CAEB33C">
      <w:pPr>
        <w:pStyle w:val="18"/>
        <w:spacing w:line="240" w:lineRule="atLeast"/>
        <w:ind w:left="1080" w:leftChars="257" w:hanging="540"/>
        <w:rPr>
          <w:rFonts w:hint="eastAsia" w:hAnsi="宋体" w:cs="宋体"/>
          <w:color w:val="000000"/>
          <w:sz w:val="24"/>
          <w:szCs w:val="24"/>
          <w:highlight w:val="none"/>
        </w:rPr>
      </w:pPr>
    </w:p>
    <w:p w14:paraId="7D9E6A3D">
      <w:pPr>
        <w:pStyle w:val="18"/>
        <w:spacing w:line="240" w:lineRule="atLeast"/>
        <w:ind w:left="1080" w:leftChars="257" w:hanging="540"/>
        <w:rPr>
          <w:rFonts w:hint="eastAsia" w:hAnsi="宋体" w:cs="宋体"/>
          <w:color w:val="000000"/>
          <w:sz w:val="24"/>
          <w:szCs w:val="24"/>
          <w:highlight w:val="none"/>
        </w:rPr>
      </w:pPr>
    </w:p>
    <w:p w14:paraId="63C92281">
      <w:pPr>
        <w:pStyle w:val="18"/>
        <w:spacing w:line="240" w:lineRule="atLeast"/>
        <w:ind w:left="1080" w:leftChars="257" w:hanging="540"/>
        <w:rPr>
          <w:rFonts w:hint="eastAsia" w:hAnsi="宋体" w:cs="宋体"/>
          <w:color w:val="000000"/>
          <w:sz w:val="24"/>
          <w:szCs w:val="24"/>
          <w:highlight w:val="none"/>
        </w:rPr>
      </w:pPr>
    </w:p>
    <w:p w14:paraId="7813BEAB">
      <w:pPr>
        <w:pStyle w:val="18"/>
        <w:spacing w:line="240" w:lineRule="atLeast"/>
        <w:ind w:left="1080" w:leftChars="257" w:hanging="540"/>
        <w:rPr>
          <w:rFonts w:hint="eastAsia" w:hAnsi="宋体" w:cs="宋体"/>
          <w:color w:val="000000"/>
          <w:sz w:val="24"/>
          <w:szCs w:val="24"/>
          <w:highlight w:val="none"/>
        </w:rPr>
      </w:pPr>
    </w:p>
    <w:p w14:paraId="642911A2">
      <w:pPr>
        <w:pStyle w:val="18"/>
        <w:spacing w:line="240" w:lineRule="atLeast"/>
        <w:ind w:left="1080" w:leftChars="257" w:hanging="540"/>
        <w:rPr>
          <w:rFonts w:hint="eastAsia" w:hAnsi="宋体" w:cs="宋体"/>
          <w:color w:val="000000"/>
          <w:sz w:val="24"/>
          <w:szCs w:val="24"/>
          <w:highlight w:val="none"/>
        </w:rPr>
      </w:pPr>
    </w:p>
    <w:p w14:paraId="02B283CC">
      <w:pPr>
        <w:pStyle w:val="18"/>
        <w:spacing w:line="240" w:lineRule="atLeast"/>
        <w:ind w:left="1080" w:leftChars="257" w:hanging="540"/>
        <w:rPr>
          <w:rFonts w:hint="eastAsia" w:hAnsi="宋体" w:cs="宋体"/>
          <w:color w:val="000000"/>
          <w:sz w:val="24"/>
          <w:szCs w:val="24"/>
          <w:highlight w:val="none"/>
        </w:rPr>
      </w:pPr>
    </w:p>
    <w:p w14:paraId="61DBCCB1">
      <w:pPr>
        <w:pStyle w:val="18"/>
        <w:spacing w:line="240" w:lineRule="atLeast"/>
        <w:ind w:left="1080" w:leftChars="257" w:hanging="540"/>
        <w:rPr>
          <w:rFonts w:hint="eastAsia" w:hAnsi="宋体" w:cs="宋体"/>
          <w:color w:val="000000"/>
          <w:sz w:val="24"/>
          <w:szCs w:val="24"/>
          <w:highlight w:val="none"/>
        </w:rPr>
      </w:pPr>
    </w:p>
    <w:p w14:paraId="5452366A">
      <w:pPr>
        <w:pStyle w:val="18"/>
        <w:spacing w:line="240" w:lineRule="atLeast"/>
        <w:ind w:left="1080" w:leftChars="257" w:hanging="540"/>
        <w:rPr>
          <w:rFonts w:hint="eastAsia" w:hAnsi="宋体" w:cs="宋体"/>
          <w:color w:val="000000"/>
          <w:sz w:val="24"/>
          <w:szCs w:val="24"/>
          <w:highlight w:val="none"/>
        </w:rPr>
      </w:pPr>
    </w:p>
    <w:p w14:paraId="109A2438">
      <w:pPr>
        <w:pStyle w:val="18"/>
        <w:spacing w:line="240" w:lineRule="atLeast"/>
        <w:ind w:left="1080" w:leftChars="257" w:hanging="540"/>
        <w:rPr>
          <w:rFonts w:hint="eastAsia" w:hAnsi="宋体" w:cs="宋体"/>
          <w:color w:val="000000"/>
          <w:sz w:val="24"/>
          <w:szCs w:val="24"/>
          <w:highlight w:val="none"/>
        </w:rPr>
      </w:pPr>
    </w:p>
    <w:p w14:paraId="0EE9BA16">
      <w:pPr>
        <w:pStyle w:val="18"/>
        <w:spacing w:line="240" w:lineRule="atLeast"/>
        <w:ind w:left="1080" w:leftChars="257" w:hanging="540"/>
        <w:rPr>
          <w:rFonts w:hint="eastAsia" w:hAnsi="宋体" w:cs="宋体"/>
          <w:color w:val="000000"/>
          <w:sz w:val="24"/>
          <w:szCs w:val="24"/>
          <w:highlight w:val="none"/>
        </w:rPr>
      </w:pPr>
    </w:p>
    <w:p w14:paraId="70DC62F7">
      <w:pPr>
        <w:pStyle w:val="18"/>
        <w:spacing w:line="240" w:lineRule="atLeast"/>
        <w:ind w:left="1080" w:leftChars="257" w:hanging="540"/>
        <w:rPr>
          <w:rFonts w:hint="eastAsia" w:hAnsi="宋体" w:cs="宋体"/>
          <w:color w:val="000000"/>
          <w:sz w:val="24"/>
          <w:szCs w:val="24"/>
          <w:highlight w:val="none"/>
        </w:rPr>
      </w:pPr>
    </w:p>
    <w:p w14:paraId="1F5D17F3">
      <w:pPr>
        <w:pStyle w:val="18"/>
        <w:spacing w:line="240" w:lineRule="atLeast"/>
        <w:ind w:left="1080" w:leftChars="257" w:hanging="540"/>
        <w:rPr>
          <w:rFonts w:hint="eastAsia" w:hAnsi="宋体" w:cs="宋体"/>
          <w:color w:val="000000"/>
          <w:sz w:val="24"/>
          <w:szCs w:val="24"/>
          <w:highlight w:val="none"/>
        </w:rPr>
      </w:pPr>
    </w:p>
    <w:p w14:paraId="3C0FC902">
      <w:pPr>
        <w:pStyle w:val="18"/>
        <w:spacing w:line="240" w:lineRule="atLeast"/>
        <w:ind w:left="1080" w:leftChars="257" w:hanging="540"/>
        <w:rPr>
          <w:rFonts w:hint="eastAsia" w:hAnsi="宋体" w:cs="宋体"/>
          <w:color w:val="000000"/>
          <w:sz w:val="24"/>
          <w:szCs w:val="24"/>
          <w:highlight w:val="none"/>
        </w:rPr>
      </w:pPr>
    </w:p>
    <w:p w14:paraId="71C6825E">
      <w:pPr>
        <w:pStyle w:val="18"/>
        <w:spacing w:line="240" w:lineRule="atLeast"/>
        <w:ind w:left="1080" w:leftChars="257" w:hanging="540"/>
        <w:rPr>
          <w:rFonts w:hint="eastAsia" w:hAnsi="宋体" w:cs="宋体"/>
          <w:color w:val="000000"/>
          <w:sz w:val="24"/>
          <w:szCs w:val="24"/>
          <w:highlight w:val="none"/>
        </w:rPr>
      </w:pPr>
    </w:p>
    <w:p w14:paraId="668A00C7">
      <w:pPr>
        <w:pStyle w:val="18"/>
        <w:spacing w:line="240" w:lineRule="atLeast"/>
        <w:ind w:left="1080" w:leftChars="257" w:hanging="540"/>
        <w:rPr>
          <w:rFonts w:hint="eastAsia" w:hAnsi="宋体" w:cs="宋体"/>
          <w:color w:val="000000"/>
          <w:sz w:val="24"/>
          <w:szCs w:val="24"/>
          <w:highlight w:val="none"/>
        </w:rPr>
      </w:pPr>
    </w:p>
    <w:p w14:paraId="67D12395">
      <w:pPr>
        <w:pStyle w:val="18"/>
        <w:spacing w:line="240" w:lineRule="atLeast"/>
        <w:ind w:left="1080" w:leftChars="257" w:hanging="540"/>
        <w:rPr>
          <w:rFonts w:hint="eastAsia" w:hAnsi="宋体" w:cs="宋体"/>
          <w:color w:val="000000"/>
          <w:sz w:val="24"/>
          <w:szCs w:val="24"/>
          <w:highlight w:val="none"/>
        </w:rPr>
      </w:pPr>
    </w:p>
    <w:p w14:paraId="522F033D">
      <w:pPr>
        <w:pStyle w:val="18"/>
        <w:spacing w:line="240" w:lineRule="atLeast"/>
        <w:ind w:left="1080" w:leftChars="257" w:hanging="540"/>
        <w:rPr>
          <w:rFonts w:hint="eastAsia" w:hAnsi="宋体" w:cs="宋体"/>
          <w:color w:val="000000"/>
          <w:sz w:val="24"/>
          <w:szCs w:val="24"/>
          <w:highlight w:val="none"/>
        </w:rPr>
      </w:pPr>
    </w:p>
    <w:p w14:paraId="236ED60A">
      <w:pPr>
        <w:pStyle w:val="18"/>
        <w:spacing w:line="240" w:lineRule="atLeast"/>
        <w:ind w:left="1080" w:leftChars="257" w:hanging="540"/>
        <w:rPr>
          <w:rFonts w:hint="eastAsia" w:hAnsi="宋体" w:cs="宋体"/>
          <w:color w:val="000000"/>
          <w:sz w:val="24"/>
          <w:szCs w:val="24"/>
          <w:highlight w:val="none"/>
        </w:rPr>
      </w:pPr>
    </w:p>
    <w:p w14:paraId="7B037272">
      <w:pPr>
        <w:pStyle w:val="18"/>
        <w:spacing w:line="240" w:lineRule="atLeast"/>
        <w:ind w:left="1080" w:leftChars="257" w:hanging="540"/>
        <w:rPr>
          <w:rFonts w:hint="eastAsia" w:hAnsi="宋体" w:cs="宋体"/>
          <w:color w:val="000000"/>
          <w:sz w:val="24"/>
          <w:szCs w:val="24"/>
          <w:highlight w:val="none"/>
        </w:rPr>
      </w:pPr>
    </w:p>
    <w:p w14:paraId="4B4890DE">
      <w:pPr>
        <w:pStyle w:val="18"/>
        <w:spacing w:line="240" w:lineRule="atLeast"/>
        <w:ind w:left="1080" w:leftChars="257" w:hanging="540"/>
        <w:rPr>
          <w:rFonts w:hint="eastAsia" w:hAnsi="宋体" w:cs="宋体"/>
          <w:color w:val="000000"/>
          <w:sz w:val="24"/>
          <w:szCs w:val="24"/>
          <w:highlight w:val="none"/>
        </w:rPr>
      </w:pPr>
    </w:p>
    <w:p w14:paraId="3B437906">
      <w:pPr>
        <w:pStyle w:val="3"/>
        <w:tabs>
          <w:tab w:val="left" w:pos="540"/>
        </w:tabs>
        <w:jc w:val="both"/>
        <w:rPr>
          <w:rFonts w:hint="eastAsia" w:ascii="宋体" w:hAnsi="宋体" w:eastAsia="宋体" w:cs="宋体"/>
          <w:color w:val="000000"/>
          <w:sz w:val="24"/>
          <w:szCs w:val="24"/>
          <w:highlight w:val="none"/>
        </w:rPr>
      </w:pPr>
    </w:p>
    <w:p w14:paraId="245EF15D">
      <w:pPr>
        <w:pStyle w:val="18"/>
        <w:spacing w:line="360" w:lineRule="auto"/>
        <w:ind w:firstLine="964" w:firstLineChars="400"/>
        <w:rPr>
          <w:rFonts w:hint="eastAsia" w:hAnsi="宋体"/>
          <w:b/>
          <w:bCs/>
          <w:highlight w:val="none"/>
        </w:rPr>
      </w:pPr>
      <w:r>
        <w:rPr>
          <w:rFonts w:hint="eastAsia" w:hAnsi="宋体" w:cs="宋体"/>
          <w:b/>
          <w:bCs/>
          <w:color w:val="000000"/>
          <w:sz w:val="24"/>
          <w:szCs w:val="24"/>
          <w:highlight w:val="none"/>
        </w:rPr>
        <w:br w:type="page"/>
      </w:r>
    </w:p>
    <w:p w14:paraId="10A7B3C7">
      <w:pPr>
        <w:numPr>
          <w:ilvl w:val="0"/>
          <w:numId w:val="0"/>
        </w:numPr>
        <w:snapToGrid w:val="0"/>
        <w:spacing w:line="360" w:lineRule="auto"/>
        <w:jc w:val="center"/>
        <w:rPr>
          <w:rFonts w:hint="eastAsia" w:ascii="宋体" w:hAnsi="宋体" w:cs="宋体"/>
          <w:color w:val="000000"/>
          <w:sz w:val="22"/>
          <w:szCs w:val="22"/>
          <w:highlight w:val="none"/>
        </w:rPr>
      </w:pPr>
      <w:r>
        <w:rPr>
          <w:rFonts w:hint="eastAsia" w:ascii="宋体" w:hAnsi="宋体" w:cs="宋体"/>
          <w:b/>
          <w:bCs/>
          <w:color w:val="000000"/>
          <w:sz w:val="24"/>
          <w:highlight w:val="none"/>
          <w:lang w:val="en-US" w:eastAsia="zh-CN"/>
        </w:rPr>
        <w:t>7、</w:t>
      </w:r>
      <w:r>
        <w:rPr>
          <w:rFonts w:hint="eastAsia" w:ascii="宋体" w:hAnsi="宋体" w:cs="宋体"/>
          <w:b/>
          <w:bCs/>
          <w:color w:val="000000"/>
          <w:sz w:val="24"/>
          <w:highlight w:val="none"/>
        </w:rPr>
        <w:t xml:space="preserve"> 同类项目业绩一览表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6FC2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6488A1EE">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序号</w:t>
            </w:r>
          </w:p>
        </w:tc>
        <w:tc>
          <w:tcPr>
            <w:tcW w:w="2018" w:type="dxa"/>
            <w:noWrap w:val="0"/>
            <w:vAlign w:val="center"/>
          </w:tcPr>
          <w:p w14:paraId="246769D1">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项目名称</w:t>
            </w:r>
          </w:p>
        </w:tc>
        <w:tc>
          <w:tcPr>
            <w:tcW w:w="1401" w:type="dxa"/>
            <w:noWrap w:val="0"/>
            <w:vAlign w:val="center"/>
          </w:tcPr>
          <w:p w14:paraId="3658D9CD">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合同金额</w:t>
            </w:r>
          </w:p>
        </w:tc>
        <w:tc>
          <w:tcPr>
            <w:tcW w:w="1303" w:type="dxa"/>
            <w:noWrap w:val="0"/>
            <w:vAlign w:val="center"/>
          </w:tcPr>
          <w:p w14:paraId="27C06657">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业主名称</w:t>
            </w:r>
          </w:p>
        </w:tc>
        <w:tc>
          <w:tcPr>
            <w:tcW w:w="1374" w:type="dxa"/>
            <w:noWrap w:val="0"/>
            <w:vAlign w:val="center"/>
          </w:tcPr>
          <w:p w14:paraId="5AD2A853">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签约时间</w:t>
            </w:r>
          </w:p>
        </w:tc>
        <w:tc>
          <w:tcPr>
            <w:tcW w:w="1256" w:type="dxa"/>
            <w:noWrap w:val="0"/>
            <w:vAlign w:val="center"/>
          </w:tcPr>
          <w:p w14:paraId="47DA519B">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完成情况</w:t>
            </w:r>
          </w:p>
        </w:tc>
        <w:tc>
          <w:tcPr>
            <w:tcW w:w="852" w:type="dxa"/>
            <w:noWrap w:val="0"/>
            <w:vAlign w:val="center"/>
          </w:tcPr>
          <w:p w14:paraId="37ABFE73">
            <w:pPr>
              <w:snapToGrid w:val="0"/>
              <w:jc w:val="center"/>
              <w:rPr>
                <w:rFonts w:hint="eastAsia" w:ascii="宋体" w:hAnsi="宋体" w:cs="宋体"/>
                <w:b/>
                <w:bCs/>
                <w:color w:val="000000"/>
                <w:sz w:val="24"/>
                <w:highlight w:val="none"/>
              </w:rPr>
            </w:pPr>
            <w:r>
              <w:rPr>
                <w:rFonts w:hint="eastAsia" w:ascii="宋体" w:hAnsi="宋体" w:cs="宋体"/>
                <w:b/>
                <w:bCs/>
                <w:color w:val="000000"/>
                <w:sz w:val="24"/>
                <w:highlight w:val="none"/>
              </w:rPr>
              <w:t>备注</w:t>
            </w:r>
          </w:p>
        </w:tc>
      </w:tr>
      <w:tr w14:paraId="40E7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DB865F1">
            <w:pPr>
              <w:snapToGrid w:val="0"/>
              <w:spacing w:line="360" w:lineRule="auto"/>
              <w:rPr>
                <w:rFonts w:hint="eastAsia" w:ascii="宋体" w:hAnsi="宋体" w:cs="宋体"/>
                <w:color w:val="000000"/>
                <w:sz w:val="24"/>
                <w:highlight w:val="none"/>
              </w:rPr>
            </w:pPr>
          </w:p>
        </w:tc>
        <w:tc>
          <w:tcPr>
            <w:tcW w:w="2018" w:type="dxa"/>
            <w:noWrap w:val="0"/>
            <w:vAlign w:val="top"/>
          </w:tcPr>
          <w:p w14:paraId="790603C3">
            <w:pPr>
              <w:snapToGrid w:val="0"/>
              <w:spacing w:line="360" w:lineRule="auto"/>
              <w:rPr>
                <w:rFonts w:hint="eastAsia" w:ascii="宋体" w:hAnsi="宋体" w:cs="宋体"/>
                <w:color w:val="000000"/>
                <w:sz w:val="24"/>
                <w:highlight w:val="none"/>
              </w:rPr>
            </w:pPr>
          </w:p>
        </w:tc>
        <w:tc>
          <w:tcPr>
            <w:tcW w:w="1401" w:type="dxa"/>
            <w:noWrap w:val="0"/>
            <w:vAlign w:val="top"/>
          </w:tcPr>
          <w:p w14:paraId="5185FF7F">
            <w:pPr>
              <w:snapToGrid w:val="0"/>
              <w:spacing w:line="360" w:lineRule="auto"/>
              <w:rPr>
                <w:rFonts w:hint="eastAsia" w:ascii="宋体" w:hAnsi="宋体" w:cs="宋体"/>
                <w:color w:val="000000"/>
                <w:sz w:val="24"/>
                <w:highlight w:val="none"/>
              </w:rPr>
            </w:pPr>
          </w:p>
        </w:tc>
        <w:tc>
          <w:tcPr>
            <w:tcW w:w="1303" w:type="dxa"/>
            <w:noWrap w:val="0"/>
            <w:vAlign w:val="top"/>
          </w:tcPr>
          <w:p w14:paraId="727CA00A">
            <w:pPr>
              <w:snapToGrid w:val="0"/>
              <w:spacing w:line="360" w:lineRule="auto"/>
              <w:rPr>
                <w:rFonts w:hint="eastAsia" w:ascii="宋体" w:hAnsi="宋体" w:cs="宋体"/>
                <w:color w:val="000000"/>
                <w:sz w:val="24"/>
                <w:highlight w:val="none"/>
              </w:rPr>
            </w:pPr>
          </w:p>
        </w:tc>
        <w:tc>
          <w:tcPr>
            <w:tcW w:w="1374" w:type="dxa"/>
            <w:noWrap w:val="0"/>
            <w:vAlign w:val="top"/>
          </w:tcPr>
          <w:p w14:paraId="30EF0B70">
            <w:pPr>
              <w:snapToGrid w:val="0"/>
              <w:spacing w:line="360" w:lineRule="auto"/>
              <w:rPr>
                <w:rFonts w:hint="eastAsia" w:ascii="宋体" w:hAnsi="宋体" w:cs="宋体"/>
                <w:color w:val="000000"/>
                <w:sz w:val="24"/>
                <w:highlight w:val="none"/>
              </w:rPr>
            </w:pPr>
          </w:p>
        </w:tc>
        <w:tc>
          <w:tcPr>
            <w:tcW w:w="1256" w:type="dxa"/>
            <w:noWrap w:val="0"/>
            <w:vAlign w:val="top"/>
          </w:tcPr>
          <w:p w14:paraId="62CBE805">
            <w:pPr>
              <w:snapToGrid w:val="0"/>
              <w:spacing w:line="360" w:lineRule="auto"/>
              <w:rPr>
                <w:rFonts w:hint="eastAsia" w:ascii="宋体" w:hAnsi="宋体" w:cs="宋体"/>
                <w:color w:val="000000"/>
                <w:sz w:val="24"/>
                <w:highlight w:val="none"/>
              </w:rPr>
            </w:pPr>
          </w:p>
        </w:tc>
        <w:tc>
          <w:tcPr>
            <w:tcW w:w="852" w:type="dxa"/>
            <w:noWrap w:val="0"/>
            <w:vAlign w:val="top"/>
          </w:tcPr>
          <w:p w14:paraId="7B8179A9">
            <w:pPr>
              <w:snapToGrid w:val="0"/>
              <w:spacing w:line="360" w:lineRule="auto"/>
              <w:rPr>
                <w:rFonts w:hint="eastAsia" w:ascii="宋体" w:hAnsi="宋体" w:cs="宋体"/>
                <w:color w:val="000000"/>
                <w:sz w:val="24"/>
                <w:highlight w:val="none"/>
              </w:rPr>
            </w:pPr>
          </w:p>
        </w:tc>
      </w:tr>
      <w:tr w14:paraId="7EC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041760F">
            <w:pPr>
              <w:snapToGrid w:val="0"/>
              <w:spacing w:line="360" w:lineRule="auto"/>
              <w:rPr>
                <w:rFonts w:hint="eastAsia" w:ascii="宋体" w:hAnsi="宋体" w:cs="宋体"/>
                <w:color w:val="000000"/>
                <w:sz w:val="24"/>
                <w:highlight w:val="none"/>
              </w:rPr>
            </w:pPr>
          </w:p>
        </w:tc>
        <w:tc>
          <w:tcPr>
            <w:tcW w:w="2018" w:type="dxa"/>
            <w:noWrap w:val="0"/>
            <w:vAlign w:val="top"/>
          </w:tcPr>
          <w:p w14:paraId="7DEF3690">
            <w:pPr>
              <w:snapToGrid w:val="0"/>
              <w:spacing w:line="360" w:lineRule="auto"/>
              <w:rPr>
                <w:rFonts w:hint="eastAsia" w:ascii="宋体" w:hAnsi="宋体" w:cs="宋体"/>
                <w:color w:val="000000"/>
                <w:sz w:val="24"/>
                <w:highlight w:val="none"/>
              </w:rPr>
            </w:pPr>
          </w:p>
        </w:tc>
        <w:tc>
          <w:tcPr>
            <w:tcW w:w="1401" w:type="dxa"/>
            <w:noWrap w:val="0"/>
            <w:vAlign w:val="top"/>
          </w:tcPr>
          <w:p w14:paraId="73EF366A">
            <w:pPr>
              <w:snapToGrid w:val="0"/>
              <w:spacing w:line="360" w:lineRule="auto"/>
              <w:rPr>
                <w:rFonts w:hint="eastAsia" w:ascii="宋体" w:hAnsi="宋体" w:cs="宋体"/>
                <w:color w:val="000000"/>
                <w:sz w:val="24"/>
                <w:highlight w:val="none"/>
              </w:rPr>
            </w:pPr>
          </w:p>
        </w:tc>
        <w:tc>
          <w:tcPr>
            <w:tcW w:w="1303" w:type="dxa"/>
            <w:noWrap w:val="0"/>
            <w:vAlign w:val="top"/>
          </w:tcPr>
          <w:p w14:paraId="42FA51BF">
            <w:pPr>
              <w:snapToGrid w:val="0"/>
              <w:spacing w:line="360" w:lineRule="auto"/>
              <w:rPr>
                <w:rFonts w:hint="eastAsia" w:ascii="宋体" w:hAnsi="宋体" w:cs="宋体"/>
                <w:color w:val="000000"/>
                <w:sz w:val="24"/>
                <w:highlight w:val="none"/>
              </w:rPr>
            </w:pPr>
          </w:p>
        </w:tc>
        <w:tc>
          <w:tcPr>
            <w:tcW w:w="1374" w:type="dxa"/>
            <w:noWrap w:val="0"/>
            <w:vAlign w:val="top"/>
          </w:tcPr>
          <w:p w14:paraId="3E536EFE">
            <w:pPr>
              <w:snapToGrid w:val="0"/>
              <w:spacing w:line="360" w:lineRule="auto"/>
              <w:rPr>
                <w:rFonts w:hint="eastAsia" w:ascii="宋体" w:hAnsi="宋体" w:cs="宋体"/>
                <w:color w:val="000000"/>
                <w:sz w:val="24"/>
                <w:highlight w:val="none"/>
              </w:rPr>
            </w:pPr>
          </w:p>
        </w:tc>
        <w:tc>
          <w:tcPr>
            <w:tcW w:w="1256" w:type="dxa"/>
            <w:noWrap w:val="0"/>
            <w:vAlign w:val="top"/>
          </w:tcPr>
          <w:p w14:paraId="4F9BB442">
            <w:pPr>
              <w:snapToGrid w:val="0"/>
              <w:spacing w:line="360" w:lineRule="auto"/>
              <w:rPr>
                <w:rFonts w:hint="eastAsia" w:ascii="宋体" w:hAnsi="宋体" w:cs="宋体"/>
                <w:color w:val="000000"/>
                <w:sz w:val="24"/>
                <w:highlight w:val="none"/>
              </w:rPr>
            </w:pPr>
          </w:p>
        </w:tc>
        <w:tc>
          <w:tcPr>
            <w:tcW w:w="852" w:type="dxa"/>
            <w:noWrap w:val="0"/>
            <w:vAlign w:val="top"/>
          </w:tcPr>
          <w:p w14:paraId="367358BD">
            <w:pPr>
              <w:snapToGrid w:val="0"/>
              <w:spacing w:line="360" w:lineRule="auto"/>
              <w:rPr>
                <w:rFonts w:hint="eastAsia" w:ascii="宋体" w:hAnsi="宋体" w:cs="宋体"/>
                <w:color w:val="000000"/>
                <w:sz w:val="24"/>
                <w:highlight w:val="none"/>
              </w:rPr>
            </w:pPr>
          </w:p>
        </w:tc>
      </w:tr>
      <w:tr w14:paraId="4721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2CB09682">
            <w:pPr>
              <w:snapToGrid w:val="0"/>
              <w:spacing w:line="360" w:lineRule="auto"/>
              <w:rPr>
                <w:rFonts w:hint="eastAsia" w:ascii="宋体" w:hAnsi="宋体" w:cs="宋体"/>
                <w:color w:val="000000"/>
                <w:sz w:val="24"/>
                <w:highlight w:val="none"/>
              </w:rPr>
            </w:pPr>
          </w:p>
        </w:tc>
        <w:tc>
          <w:tcPr>
            <w:tcW w:w="2018" w:type="dxa"/>
            <w:noWrap w:val="0"/>
            <w:vAlign w:val="top"/>
          </w:tcPr>
          <w:p w14:paraId="3424BF61">
            <w:pPr>
              <w:snapToGrid w:val="0"/>
              <w:spacing w:line="360" w:lineRule="auto"/>
              <w:rPr>
                <w:rFonts w:hint="eastAsia" w:ascii="宋体" w:hAnsi="宋体" w:cs="宋体"/>
                <w:color w:val="000000"/>
                <w:sz w:val="24"/>
                <w:highlight w:val="none"/>
              </w:rPr>
            </w:pPr>
          </w:p>
        </w:tc>
        <w:tc>
          <w:tcPr>
            <w:tcW w:w="1401" w:type="dxa"/>
            <w:noWrap w:val="0"/>
            <w:vAlign w:val="top"/>
          </w:tcPr>
          <w:p w14:paraId="5B4695A3">
            <w:pPr>
              <w:snapToGrid w:val="0"/>
              <w:spacing w:line="360" w:lineRule="auto"/>
              <w:rPr>
                <w:rFonts w:hint="eastAsia" w:ascii="宋体" w:hAnsi="宋体" w:cs="宋体"/>
                <w:color w:val="000000"/>
                <w:sz w:val="24"/>
                <w:highlight w:val="none"/>
              </w:rPr>
            </w:pPr>
          </w:p>
        </w:tc>
        <w:tc>
          <w:tcPr>
            <w:tcW w:w="1303" w:type="dxa"/>
            <w:noWrap w:val="0"/>
            <w:vAlign w:val="top"/>
          </w:tcPr>
          <w:p w14:paraId="498163E0">
            <w:pPr>
              <w:snapToGrid w:val="0"/>
              <w:spacing w:line="360" w:lineRule="auto"/>
              <w:rPr>
                <w:rFonts w:hint="eastAsia" w:ascii="宋体" w:hAnsi="宋体" w:cs="宋体"/>
                <w:color w:val="000000"/>
                <w:sz w:val="24"/>
                <w:highlight w:val="none"/>
              </w:rPr>
            </w:pPr>
          </w:p>
        </w:tc>
        <w:tc>
          <w:tcPr>
            <w:tcW w:w="1374" w:type="dxa"/>
            <w:noWrap w:val="0"/>
            <w:vAlign w:val="top"/>
          </w:tcPr>
          <w:p w14:paraId="042AEBB3">
            <w:pPr>
              <w:snapToGrid w:val="0"/>
              <w:spacing w:line="360" w:lineRule="auto"/>
              <w:rPr>
                <w:rFonts w:hint="eastAsia" w:ascii="宋体" w:hAnsi="宋体" w:cs="宋体"/>
                <w:color w:val="000000"/>
                <w:sz w:val="24"/>
                <w:highlight w:val="none"/>
              </w:rPr>
            </w:pPr>
          </w:p>
        </w:tc>
        <w:tc>
          <w:tcPr>
            <w:tcW w:w="1256" w:type="dxa"/>
            <w:noWrap w:val="0"/>
            <w:vAlign w:val="top"/>
          </w:tcPr>
          <w:p w14:paraId="63425C05">
            <w:pPr>
              <w:snapToGrid w:val="0"/>
              <w:spacing w:line="360" w:lineRule="auto"/>
              <w:rPr>
                <w:rFonts w:hint="eastAsia" w:ascii="宋体" w:hAnsi="宋体" w:cs="宋体"/>
                <w:color w:val="000000"/>
                <w:sz w:val="24"/>
                <w:highlight w:val="none"/>
              </w:rPr>
            </w:pPr>
          </w:p>
        </w:tc>
        <w:tc>
          <w:tcPr>
            <w:tcW w:w="852" w:type="dxa"/>
            <w:noWrap w:val="0"/>
            <w:vAlign w:val="top"/>
          </w:tcPr>
          <w:p w14:paraId="36CCCCF2">
            <w:pPr>
              <w:snapToGrid w:val="0"/>
              <w:spacing w:line="360" w:lineRule="auto"/>
              <w:rPr>
                <w:rFonts w:hint="eastAsia" w:ascii="宋体" w:hAnsi="宋体" w:cs="宋体"/>
                <w:color w:val="000000"/>
                <w:sz w:val="24"/>
                <w:highlight w:val="none"/>
              </w:rPr>
            </w:pPr>
          </w:p>
        </w:tc>
      </w:tr>
      <w:tr w14:paraId="50C5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B6B660A">
            <w:pPr>
              <w:snapToGrid w:val="0"/>
              <w:spacing w:line="360" w:lineRule="auto"/>
              <w:rPr>
                <w:rFonts w:hint="eastAsia" w:ascii="宋体" w:hAnsi="宋体" w:cs="宋体"/>
                <w:color w:val="000000"/>
                <w:sz w:val="24"/>
                <w:highlight w:val="none"/>
              </w:rPr>
            </w:pPr>
          </w:p>
        </w:tc>
        <w:tc>
          <w:tcPr>
            <w:tcW w:w="2018" w:type="dxa"/>
            <w:noWrap w:val="0"/>
            <w:vAlign w:val="top"/>
          </w:tcPr>
          <w:p w14:paraId="54573674">
            <w:pPr>
              <w:snapToGrid w:val="0"/>
              <w:spacing w:line="360" w:lineRule="auto"/>
              <w:rPr>
                <w:rFonts w:hint="eastAsia" w:ascii="宋体" w:hAnsi="宋体" w:cs="宋体"/>
                <w:color w:val="000000"/>
                <w:sz w:val="24"/>
                <w:highlight w:val="none"/>
              </w:rPr>
            </w:pPr>
          </w:p>
        </w:tc>
        <w:tc>
          <w:tcPr>
            <w:tcW w:w="1401" w:type="dxa"/>
            <w:noWrap w:val="0"/>
            <w:vAlign w:val="top"/>
          </w:tcPr>
          <w:p w14:paraId="55B941A7">
            <w:pPr>
              <w:snapToGrid w:val="0"/>
              <w:spacing w:line="360" w:lineRule="auto"/>
              <w:rPr>
                <w:rFonts w:hint="eastAsia" w:ascii="宋体" w:hAnsi="宋体" w:cs="宋体"/>
                <w:color w:val="000000"/>
                <w:sz w:val="24"/>
                <w:highlight w:val="none"/>
              </w:rPr>
            </w:pPr>
          </w:p>
        </w:tc>
        <w:tc>
          <w:tcPr>
            <w:tcW w:w="1303" w:type="dxa"/>
            <w:noWrap w:val="0"/>
            <w:vAlign w:val="top"/>
          </w:tcPr>
          <w:p w14:paraId="2C3C4B28">
            <w:pPr>
              <w:snapToGrid w:val="0"/>
              <w:spacing w:line="360" w:lineRule="auto"/>
              <w:rPr>
                <w:rFonts w:hint="eastAsia" w:ascii="宋体" w:hAnsi="宋体" w:cs="宋体"/>
                <w:color w:val="000000"/>
                <w:sz w:val="24"/>
                <w:highlight w:val="none"/>
              </w:rPr>
            </w:pPr>
          </w:p>
        </w:tc>
        <w:tc>
          <w:tcPr>
            <w:tcW w:w="1374" w:type="dxa"/>
            <w:noWrap w:val="0"/>
            <w:vAlign w:val="top"/>
          </w:tcPr>
          <w:p w14:paraId="091BC79D">
            <w:pPr>
              <w:snapToGrid w:val="0"/>
              <w:spacing w:line="360" w:lineRule="auto"/>
              <w:rPr>
                <w:rFonts w:hint="eastAsia" w:ascii="宋体" w:hAnsi="宋体" w:cs="宋体"/>
                <w:color w:val="000000"/>
                <w:sz w:val="24"/>
                <w:highlight w:val="none"/>
              </w:rPr>
            </w:pPr>
          </w:p>
        </w:tc>
        <w:tc>
          <w:tcPr>
            <w:tcW w:w="1256" w:type="dxa"/>
            <w:noWrap w:val="0"/>
            <w:vAlign w:val="top"/>
          </w:tcPr>
          <w:p w14:paraId="645FC60D">
            <w:pPr>
              <w:snapToGrid w:val="0"/>
              <w:spacing w:line="360" w:lineRule="auto"/>
              <w:rPr>
                <w:rFonts w:hint="eastAsia" w:ascii="宋体" w:hAnsi="宋体" w:cs="宋体"/>
                <w:color w:val="000000"/>
                <w:sz w:val="24"/>
                <w:highlight w:val="none"/>
              </w:rPr>
            </w:pPr>
          </w:p>
        </w:tc>
        <w:tc>
          <w:tcPr>
            <w:tcW w:w="852" w:type="dxa"/>
            <w:noWrap w:val="0"/>
            <w:vAlign w:val="top"/>
          </w:tcPr>
          <w:p w14:paraId="41C6DA8D">
            <w:pPr>
              <w:snapToGrid w:val="0"/>
              <w:spacing w:line="360" w:lineRule="auto"/>
              <w:rPr>
                <w:rFonts w:hint="eastAsia" w:ascii="宋体" w:hAnsi="宋体" w:cs="宋体"/>
                <w:color w:val="000000"/>
                <w:sz w:val="24"/>
                <w:highlight w:val="none"/>
              </w:rPr>
            </w:pPr>
          </w:p>
        </w:tc>
      </w:tr>
      <w:tr w14:paraId="0983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2B06D1B4">
            <w:pPr>
              <w:snapToGrid w:val="0"/>
              <w:spacing w:line="360" w:lineRule="auto"/>
              <w:rPr>
                <w:rFonts w:hint="eastAsia" w:ascii="宋体" w:hAnsi="宋体" w:cs="宋体"/>
                <w:color w:val="000000"/>
                <w:sz w:val="24"/>
                <w:highlight w:val="none"/>
              </w:rPr>
            </w:pPr>
          </w:p>
        </w:tc>
        <w:tc>
          <w:tcPr>
            <w:tcW w:w="2018" w:type="dxa"/>
            <w:noWrap w:val="0"/>
            <w:vAlign w:val="top"/>
          </w:tcPr>
          <w:p w14:paraId="171CC5A2">
            <w:pPr>
              <w:snapToGrid w:val="0"/>
              <w:spacing w:line="360" w:lineRule="auto"/>
              <w:rPr>
                <w:rFonts w:hint="eastAsia" w:ascii="宋体" w:hAnsi="宋体" w:cs="宋体"/>
                <w:color w:val="000000"/>
                <w:sz w:val="24"/>
                <w:highlight w:val="none"/>
              </w:rPr>
            </w:pPr>
          </w:p>
        </w:tc>
        <w:tc>
          <w:tcPr>
            <w:tcW w:w="1401" w:type="dxa"/>
            <w:noWrap w:val="0"/>
            <w:vAlign w:val="top"/>
          </w:tcPr>
          <w:p w14:paraId="7CFD8218">
            <w:pPr>
              <w:snapToGrid w:val="0"/>
              <w:spacing w:line="360" w:lineRule="auto"/>
              <w:rPr>
                <w:rFonts w:hint="eastAsia" w:ascii="宋体" w:hAnsi="宋体" w:cs="宋体"/>
                <w:color w:val="000000"/>
                <w:sz w:val="24"/>
                <w:highlight w:val="none"/>
              </w:rPr>
            </w:pPr>
          </w:p>
        </w:tc>
        <w:tc>
          <w:tcPr>
            <w:tcW w:w="1303" w:type="dxa"/>
            <w:noWrap w:val="0"/>
            <w:vAlign w:val="top"/>
          </w:tcPr>
          <w:p w14:paraId="7DAED92E">
            <w:pPr>
              <w:snapToGrid w:val="0"/>
              <w:spacing w:line="360" w:lineRule="auto"/>
              <w:rPr>
                <w:rFonts w:hint="eastAsia" w:ascii="宋体" w:hAnsi="宋体" w:cs="宋体"/>
                <w:color w:val="000000"/>
                <w:sz w:val="24"/>
                <w:highlight w:val="none"/>
              </w:rPr>
            </w:pPr>
          </w:p>
        </w:tc>
        <w:tc>
          <w:tcPr>
            <w:tcW w:w="1374" w:type="dxa"/>
            <w:noWrap w:val="0"/>
            <w:vAlign w:val="top"/>
          </w:tcPr>
          <w:p w14:paraId="20F49050">
            <w:pPr>
              <w:snapToGrid w:val="0"/>
              <w:spacing w:line="360" w:lineRule="auto"/>
              <w:rPr>
                <w:rFonts w:hint="eastAsia" w:ascii="宋体" w:hAnsi="宋体" w:cs="宋体"/>
                <w:color w:val="000000"/>
                <w:sz w:val="24"/>
                <w:highlight w:val="none"/>
              </w:rPr>
            </w:pPr>
          </w:p>
        </w:tc>
        <w:tc>
          <w:tcPr>
            <w:tcW w:w="1256" w:type="dxa"/>
            <w:noWrap w:val="0"/>
            <w:vAlign w:val="top"/>
          </w:tcPr>
          <w:p w14:paraId="299C733E">
            <w:pPr>
              <w:snapToGrid w:val="0"/>
              <w:spacing w:line="360" w:lineRule="auto"/>
              <w:rPr>
                <w:rFonts w:hint="eastAsia" w:ascii="宋体" w:hAnsi="宋体" w:cs="宋体"/>
                <w:color w:val="000000"/>
                <w:sz w:val="24"/>
                <w:highlight w:val="none"/>
              </w:rPr>
            </w:pPr>
          </w:p>
        </w:tc>
        <w:tc>
          <w:tcPr>
            <w:tcW w:w="852" w:type="dxa"/>
            <w:noWrap w:val="0"/>
            <w:vAlign w:val="top"/>
          </w:tcPr>
          <w:p w14:paraId="08946A06">
            <w:pPr>
              <w:snapToGrid w:val="0"/>
              <w:spacing w:line="360" w:lineRule="auto"/>
              <w:rPr>
                <w:rFonts w:hint="eastAsia" w:ascii="宋体" w:hAnsi="宋体" w:cs="宋体"/>
                <w:color w:val="000000"/>
                <w:sz w:val="24"/>
                <w:highlight w:val="none"/>
              </w:rPr>
            </w:pPr>
          </w:p>
        </w:tc>
      </w:tr>
      <w:tr w14:paraId="52DA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197F4D8">
            <w:pPr>
              <w:snapToGrid w:val="0"/>
              <w:spacing w:line="360" w:lineRule="auto"/>
              <w:rPr>
                <w:rFonts w:hint="eastAsia" w:ascii="宋体" w:hAnsi="宋体" w:cs="宋体"/>
                <w:color w:val="000000"/>
                <w:sz w:val="24"/>
                <w:highlight w:val="none"/>
              </w:rPr>
            </w:pPr>
          </w:p>
        </w:tc>
        <w:tc>
          <w:tcPr>
            <w:tcW w:w="2018" w:type="dxa"/>
            <w:noWrap w:val="0"/>
            <w:vAlign w:val="top"/>
          </w:tcPr>
          <w:p w14:paraId="00670D7D">
            <w:pPr>
              <w:snapToGrid w:val="0"/>
              <w:spacing w:line="360" w:lineRule="auto"/>
              <w:rPr>
                <w:rFonts w:hint="eastAsia" w:ascii="宋体" w:hAnsi="宋体" w:cs="宋体"/>
                <w:color w:val="000000"/>
                <w:sz w:val="24"/>
                <w:highlight w:val="none"/>
              </w:rPr>
            </w:pPr>
          </w:p>
        </w:tc>
        <w:tc>
          <w:tcPr>
            <w:tcW w:w="1401" w:type="dxa"/>
            <w:noWrap w:val="0"/>
            <w:vAlign w:val="top"/>
          </w:tcPr>
          <w:p w14:paraId="1CB8E041">
            <w:pPr>
              <w:snapToGrid w:val="0"/>
              <w:spacing w:line="360" w:lineRule="auto"/>
              <w:rPr>
                <w:rFonts w:hint="eastAsia" w:ascii="宋体" w:hAnsi="宋体" w:cs="宋体"/>
                <w:color w:val="000000"/>
                <w:sz w:val="24"/>
                <w:highlight w:val="none"/>
              </w:rPr>
            </w:pPr>
          </w:p>
        </w:tc>
        <w:tc>
          <w:tcPr>
            <w:tcW w:w="1303" w:type="dxa"/>
            <w:noWrap w:val="0"/>
            <w:vAlign w:val="top"/>
          </w:tcPr>
          <w:p w14:paraId="0589ACB0">
            <w:pPr>
              <w:snapToGrid w:val="0"/>
              <w:spacing w:line="360" w:lineRule="auto"/>
              <w:rPr>
                <w:rFonts w:hint="eastAsia" w:ascii="宋体" w:hAnsi="宋体" w:cs="宋体"/>
                <w:color w:val="000000"/>
                <w:sz w:val="24"/>
                <w:highlight w:val="none"/>
              </w:rPr>
            </w:pPr>
          </w:p>
        </w:tc>
        <w:tc>
          <w:tcPr>
            <w:tcW w:w="1374" w:type="dxa"/>
            <w:noWrap w:val="0"/>
            <w:vAlign w:val="top"/>
          </w:tcPr>
          <w:p w14:paraId="11D6DAD0">
            <w:pPr>
              <w:snapToGrid w:val="0"/>
              <w:spacing w:line="360" w:lineRule="auto"/>
              <w:rPr>
                <w:rFonts w:hint="eastAsia" w:ascii="宋体" w:hAnsi="宋体" w:cs="宋体"/>
                <w:color w:val="000000"/>
                <w:sz w:val="24"/>
                <w:highlight w:val="none"/>
              </w:rPr>
            </w:pPr>
          </w:p>
        </w:tc>
        <w:tc>
          <w:tcPr>
            <w:tcW w:w="1256" w:type="dxa"/>
            <w:noWrap w:val="0"/>
            <w:vAlign w:val="top"/>
          </w:tcPr>
          <w:p w14:paraId="70AC0837">
            <w:pPr>
              <w:snapToGrid w:val="0"/>
              <w:spacing w:line="360" w:lineRule="auto"/>
              <w:rPr>
                <w:rFonts w:hint="eastAsia" w:ascii="宋体" w:hAnsi="宋体" w:cs="宋体"/>
                <w:color w:val="000000"/>
                <w:sz w:val="24"/>
                <w:highlight w:val="none"/>
              </w:rPr>
            </w:pPr>
          </w:p>
        </w:tc>
        <w:tc>
          <w:tcPr>
            <w:tcW w:w="852" w:type="dxa"/>
            <w:noWrap w:val="0"/>
            <w:vAlign w:val="top"/>
          </w:tcPr>
          <w:p w14:paraId="59DB16D4">
            <w:pPr>
              <w:snapToGrid w:val="0"/>
              <w:spacing w:line="360" w:lineRule="auto"/>
              <w:rPr>
                <w:rFonts w:hint="eastAsia" w:ascii="宋体" w:hAnsi="宋体" w:cs="宋体"/>
                <w:color w:val="000000"/>
                <w:sz w:val="24"/>
                <w:highlight w:val="none"/>
              </w:rPr>
            </w:pPr>
          </w:p>
        </w:tc>
      </w:tr>
      <w:tr w14:paraId="618D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82946AA">
            <w:pPr>
              <w:snapToGrid w:val="0"/>
              <w:spacing w:line="360" w:lineRule="auto"/>
              <w:rPr>
                <w:rFonts w:hint="eastAsia" w:ascii="宋体" w:hAnsi="宋体" w:cs="宋体"/>
                <w:color w:val="000000"/>
                <w:sz w:val="24"/>
                <w:highlight w:val="none"/>
              </w:rPr>
            </w:pPr>
          </w:p>
        </w:tc>
        <w:tc>
          <w:tcPr>
            <w:tcW w:w="2018" w:type="dxa"/>
            <w:noWrap w:val="0"/>
            <w:vAlign w:val="top"/>
          </w:tcPr>
          <w:p w14:paraId="5A6BABEE">
            <w:pPr>
              <w:snapToGrid w:val="0"/>
              <w:spacing w:line="360" w:lineRule="auto"/>
              <w:rPr>
                <w:rFonts w:hint="eastAsia" w:ascii="宋体" w:hAnsi="宋体" w:cs="宋体"/>
                <w:color w:val="000000"/>
                <w:sz w:val="24"/>
                <w:highlight w:val="none"/>
              </w:rPr>
            </w:pPr>
          </w:p>
        </w:tc>
        <w:tc>
          <w:tcPr>
            <w:tcW w:w="1401" w:type="dxa"/>
            <w:noWrap w:val="0"/>
            <w:vAlign w:val="top"/>
          </w:tcPr>
          <w:p w14:paraId="4B5259FC">
            <w:pPr>
              <w:snapToGrid w:val="0"/>
              <w:spacing w:line="360" w:lineRule="auto"/>
              <w:rPr>
                <w:rFonts w:hint="eastAsia" w:ascii="宋体" w:hAnsi="宋体" w:cs="宋体"/>
                <w:color w:val="000000"/>
                <w:sz w:val="24"/>
                <w:highlight w:val="none"/>
              </w:rPr>
            </w:pPr>
          </w:p>
        </w:tc>
        <w:tc>
          <w:tcPr>
            <w:tcW w:w="1303" w:type="dxa"/>
            <w:noWrap w:val="0"/>
            <w:vAlign w:val="top"/>
          </w:tcPr>
          <w:p w14:paraId="512E571C">
            <w:pPr>
              <w:snapToGrid w:val="0"/>
              <w:spacing w:line="360" w:lineRule="auto"/>
              <w:rPr>
                <w:rFonts w:hint="eastAsia" w:ascii="宋体" w:hAnsi="宋体" w:cs="宋体"/>
                <w:color w:val="000000"/>
                <w:sz w:val="24"/>
                <w:highlight w:val="none"/>
              </w:rPr>
            </w:pPr>
          </w:p>
        </w:tc>
        <w:tc>
          <w:tcPr>
            <w:tcW w:w="1374" w:type="dxa"/>
            <w:noWrap w:val="0"/>
            <w:vAlign w:val="top"/>
          </w:tcPr>
          <w:p w14:paraId="71EA1420">
            <w:pPr>
              <w:snapToGrid w:val="0"/>
              <w:spacing w:line="360" w:lineRule="auto"/>
              <w:rPr>
                <w:rFonts w:hint="eastAsia" w:ascii="宋体" w:hAnsi="宋体" w:cs="宋体"/>
                <w:color w:val="000000"/>
                <w:sz w:val="24"/>
                <w:highlight w:val="none"/>
              </w:rPr>
            </w:pPr>
          </w:p>
        </w:tc>
        <w:tc>
          <w:tcPr>
            <w:tcW w:w="1256" w:type="dxa"/>
            <w:noWrap w:val="0"/>
            <w:vAlign w:val="top"/>
          </w:tcPr>
          <w:p w14:paraId="55F1E4FB">
            <w:pPr>
              <w:snapToGrid w:val="0"/>
              <w:spacing w:line="360" w:lineRule="auto"/>
              <w:rPr>
                <w:rFonts w:hint="eastAsia" w:ascii="宋体" w:hAnsi="宋体" w:cs="宋体"/>
                <w:color w:val="000000"/>
                <w:sz w:val="24"/>
                <w:highlight w:val="none"/>
              </w:rPr>
            </w:pPr>
          </w:p>
        </w:tc>
        <w:tc>
          <w:tcPr>
            <w:tcW w:w="852" w:type="dxa"/>
            <w:noWrap w:val="0"/>
            <w:vAlign w:val="top"/>
          </w:tcPr>
          <w:p w14:paraId="0D249215">
            <w:pPr>
              <w:snapToGrid w:val="0"/>
              <w:spacing w:line="360" w:lineRule="auto"/>
              <w:rPr>
                <w:rFonts w:hint="eastAsia" w:ascii="宋体" w:hAnsi="宋体" w:cs="宋体"/>
                <w:color w:val="000000"/>
                <w:sz w:val="24"/>
                <w:highlight w:val="none"/>
              </w:rPr>
            </w:pPr>
          </w:p>
        </w:tc>
      </w:tr>
      <w:tr w14:paraId="0C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D5F2829">
            <w:pPr>
              <w:snapToGrid w:val="0"/>
              <w:spacing w:line="360" w:lineRule="auto"/>
              <w:rPr>
                <w:rFonts w:hint="eastAsia" w:ascii="宋体" w:hAnsi="宋体" w:cs="宋体"/>
                <w:color w:val="000000"/>
                <w:sz w:val="24"/>
                <w:highlight w:val="none"/>
              </w:rPr>
            </w:pPr>
          </w:p>
        </w:tc>
        <w:tc>
          <w:tcPr>
            <w:tcW w:w="2018" w:type="dxa"/>
            <w:noWrap w:val="0"/>
            <w:vAlign w:val="top"/>
          </w:tcPr>
          <w:p w14:paraId="09BD88BD">
            <w:pPr>
              <w:snapToGrid w:val="0"/>
              <w:spacing w:line="360" w:lineRule="auto"/>
              <w:rPr>
                <w:rFonts w:hint="eastAsia" w:ascii="宋体" w:hAnsi="宋体" w:cs="宋体"/>
                <w:color w:val="000000"/>
                <w:sz w:val="24"/>
                <w:highlight w:val="none"/>
              </w:rPr>
            </w:pPr>
          </w:p>
        </w:tc>
        <w:tc>
          <w:tcPr>
            <w:tcW w:w="1401" w:type="dxa"/>
            <w:noWrap w:val="0"/>
            <w:vAlign w:val="top"/>
          </w:tcPr>
          <w:p w14:paraId="072CF797">
            <w:pPr>
              <w:snapToGrid w:val="0"/>
              <w:spacing w:line="360" w:lineRule="auto"/>
              <w:rPr>
                <w:rFonts w:hint="eastAsia" w:ascii="宋体" w:hAnsi="宋体" w:cs="宋体"/>
                <w:color w:val="000000"/>
                <w:sz w:val="24"/>
                <w:highlight w:val="none"/>
              </w:rPr>
            </w:pPr>
          </w:p>
        </w:tc>
        <w:tc>
          <w:tcPr>
            <w:tcW w:w="1303" w:type="dxa"/>
            <w:noWrap w:val="0"/>
            <w:vAlign w:val="top"/>
          </w:tcPr>
          <w:p w14:paraId="760C24D6">
            <w:pPr>
              <w:snapToGrid w:val="0"/>
              <w:spacing w:line="360" w:lineRule="auto"/>
              <w:rPr>
                <w:rFonts w:hint="eastAsia" w:ascii="宋体" w:hAnsi="宋体" w:cs="宋体"/>
                <w:color w:val="000000"/>
                <w:sz w:val="24"/>
                <w:highlight w:val="none"/>
              </w:rPr>
            </w:pPr>
          </w:p>
        </w:tc>
        <w:tc>
          <w:tcPr>
            <w:tcW w:w="1374" w:type="dxa"/>
            <w:noWrap w:val="0"/>
            <w:vAlign w:val="top"/>
          </w:tcPr>
          <w:p w14:paraId="1EDCC3B4">
            <w:pPr>
              <w:snapToGrid w:val="0"/>
              <w:spacing w:line="360" w:lineRule="auto"/>
              <w:rPr>
                <w:rFonts w:hint="eastAsia" w:ascii="宋体" w:hAnsi="宋体" w:cs="宋体"/>
                <w:color w:val="000000"/>
                <w:sz w:val="24"/>
                <w:highlight w:val="none"/>
              </w:rPr>
            </w:pPr>
          </w:p>
        </w:tc>
        <w:tc>
          <w:tcPr>
            <w:tcW w:w="1256" w:type="dxa"/>
            <w:noWrap w:val="0"/>
            <w:vAlign w:val="top"/>
          </w:tcPr>
          <w:p w14:paraId="19683A8D">
            <w:pPr>
              <w:snapToGrid w:val="0"/>
              <w:spacing w:line="360" w:lineRule="auto"/>
              <w:rPr>
                <w:rFonts w:hint="eastAsia" w:ascii="宋体" w:hAnsi="宋体" w:cs="宋体"/>
                <w:color w:val="000000"/>
                <w:sz w:val="24"/>
                <w:highlight w:val="none"/>
              </w:rPr>
            </w:pPr>
          </w:p>
        </w:tc>
        <w:tc>
          <w:tcPr>
            <w:tcW w:w="852" w:type="dxa"/>
            <w:noWrap w:val="0"/>
            <w:vAlign w:val="top"/>
          </w:tcPr>
          <w:p w14:paraId="5B9084E3">
            <w:pPr>
              <w:snapToGrid w:val="0"/>
              <w:spacing w:line="360" w:lineRule="auto"/>
              <w:rPr>
                <w:rFonts w:hint="eastAsia" w:ascii="宋体" w:hAnsi="宋体" w:cs="宋体"/>
                <w:color w:val="000000"/>
                <w:sz w:val="24"/>
                <w:highlight w:val="none"/>
              </w:rPr>
            </w:pPr>
          </w:p>
        </w:tc>
      </w:tr>
      <w:tr w14:paraId="641C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CF0A23A">
            <w:pPr>
              <w:snapToGrid w:val="0"/>
              <w:spacing w:line="360" w:lineRule="auto"/>
              <w:rPr>
                <w:rFonts w:hint="eastAsia" w:ascii="宋体" w:hAnsi="宋体" w:cs="宋体"/>
                <w:color w:val="000000"/>
                <w:sz w:val="24"/>
                <w:highlight w:val="none"/>
              </w:rPr>
            </w:pPr>
          </w:p>
        </w:tc>
        <w:tc>
          <w:tcPr>
            <w:tcW w:w="2018" w:type="dxa"/>
            <w:noWrap w:val="0"/>
            <w:vAlign w:val="top"/>
          </w:tcPr>
          <w:p w14:paraId="20916EA4">
            <w:pPr>
              <w:snapToGrid w:val="0"/>
              <w:spacing w:line="360" w:lineRule="auto"/>
              <w:rPr>
                <w:rFonts w:hint="eastAsia" w:ascii="宋体" w:hAnsi="宋体" w:cs="宋体"/>
                <w:color w:val="000000"/>
                <w:sz w:val="24"/>
                <w:highlight w:val="none"/>
              </w:rPr>
            </w:pPr>
          </w:p>
        </w:tc>
        <w:tc>
          <w:tcPr>
            <w:tcW w:w="1401" w:type="dxa"/>
            <w:noWrap w:val="0"/>
            <w:vAlign w:val="top"/>
          </w:tcPr>
          <w:p w14:paraId="0D2A0309">
            <w:pPr>
              <w:snapToGrid w:val="0"/>
              <w:spacing w:line="360" w:lineRule="auto"/>
              <w:rPr>
                <w:rFonts w:hint="eastAsia" w:ascii="宋体" w:hAnsi="宋体" w:cs="宋体"/>
                <w:color w:val="000000"/>
                <w:sz w:val="24"/>
                <w:highlight w:val="none"/>
              </w:rPr>
            </w:pPr>
          </w:p>
        </w:tc>
        <w:tc>
          <w:tcPr>
            <w:tcW w:w="1303" w:type="dxa"/>
            <w:noWrap w:val="0"/>
            <w:vAlign w:val="top"/>
          </w:tcPr>
          <w:p w14:paraId="3262A035">
            <w:pPr>
              <w:snapToGrid w:val="0"/>
              <w:spacing w:line="360" w:lineRule="auto"/>
              <w:rPr>
                <w:rFonts w:hint="eastAsia" w:ascii="宋体" w:hAnsi="宋体" w:cs="宋体"/>
                <w:color w:val="000000"/>
                <w:sz w:val="24"/>
                <w:highlight w:val="none"/>
              </w:rPr>
            </w:pPr>
          </w:p>
        </w:tc>
        <w:tc>
          <w:tcPr>
            <w:tcW w:w="1374" w:type="dxa"/>
            <w:noWrap w:val="0"/>
            <w:vAlign w:val="top"/>
          </w:tcPr>
          <w:p w14:paraId="6E859905">
            <w:pPr>
              <w:snapToGrid w:val="0"/>
              <w:spacing w:line="360" w:lineRule="auto"/>
              <w:rPr>
                <w:rFonts w:hint="eastAsia" w:ascii="宋体" w:hAnsi="宋体" w:cs="宋体"/>
                <w:color w:val="000000"/>
                <w:sz w:val="24"/>
                <w:highlight w:val="none"/>
              </w:rPr>
            </w:pPr>
          </w:p>
        </w:tc>
        <w:tc>
          <w:tcPr>
            <w:tcW w:w="1256" w:type="dxa"/>
            <w:noWrap w:val="0"/>
            <w:vAlign w:val="top"/>
          </w:tcPr>
          <w:p w14:paraId="4EA0B641">
            <w:pPr>
              <w:snapToGrid w:val="0"/>
              <w:spacing w:line="360" w:lineRule="auto"/>
              <w:rPr>
                <w:rFonts w:hint="eastAsia" w:ascii="宋体" w:hAnsi="宋体" w:cs="宋体"/>
                <w:color w:val="000000"/>
                <w:sz w:val="24"/>
                <w:highlight w:val="none"/>
              </w:rPr>
            </w:pPr>
          </w:p>
        </w:tc>
        <w:tc>
          <w:tcPr>
            <w:tcW w:w="852" w:type="dxa"/>
            <w:noWrap w:val="0"/>
            <w:vAlign w:val="top"/>
          </w:tcPr>
          <w:p w14:paraId="74D1272C">
            <w:pPr>
              <w:snapToGrid w:val="0"/>
              <w:spacing w:line="360" w:lineRule="auto"/>
              <w:rPr>
                <w:rFonts w:hint="eastAsia" w:ascii="宋体" w:hAnsi="宋体" w:cs="宋体"/>
                <w:color w:val="000000"/>
                <w:sz w:val="24"/>
                <w:highlight w:val="none"/>
              </w:rPr>
            </w:pPr>
          </w:p>
        </w:tc>
      </w:tr>
    </w:tbl>
    <w:p w14:paraId="33139517">
      <w:pPr>
        <w:snapToGrid w:val="0"/>
        <w:spacing w:line="360" w:lineRule="auto"/>
        <w:ind w:firstLine="480" w:firstLineChars="200"/>
        <w:rPr>
          <w:rFonts w:hint="eastAsia" w:ascii="宋体" w:hAnsi="宋体" w:cs="宋体"/>
          <w:color w:val="000000"/>
          <w:sz w:val="24"/>
          <w:highlight w:val="none"/>
        </w:rPr>
      </w:pPr>
    </w:p>
    <w:p w14:paraId="71DD45E5">
      <w:pPr>
        <w:snapToGrid w:val="0"/>
        <w:spacing w:line="360" w:lineRule="auto"/>
        <w:ind w:right="105" w:rightChars="50"/>
        <w:rPr>
          <w:rFonts w:hint="eastAsia" w:ascii="宋体" w:hAnsi="宋体" w:cs="宋体"/>
          <w:color w:val="000000"/>
          <w:sz w:val="24"/>
          <w:highlight w:val="none"/>
        </w:rPr>
      </w:pPr>
    </w:p>
    <w:p w14:paraId="4954E1A7">
      <w:pPr>
        <w:pStyle w:val="18"/>
        <w:rPr>
          <w:rFonts w:hint="eastAsia" w:hAnsi="宋体" w:cs="宋体"/>
          <w:b/>
          <w:bCs/>
          <w:color w:val="000000"/>
          <w:sz w:val="24"/>
          <w:szCs w:val="24"/>
          <w:highlight w:val="none"/>
        </w:rPr>
      </w:pPr>
    </w:p>
    <w:p w14:paraId="2807921E">
      <w:pPr>
        <w:pStyle w:val="18"/>
        <w:ind w:firstLine="241" w:firstLineChars="100"/>
        <w:rPr>
          <w:rFonts w:hint="eastAsia" w:hAnsi="宋体" w:cs="宋体"/>
          <w:color w:val="000000"/>
          <w:sz w:val="24"/>
          <w:szCs w:val="24"/>
          <w:highlight w:val="none"/>
        </w:rPr>
      </w:pPr>
      <w:r>
        <w:rPr>
          <w:rFonts w:hint="eastAsia" w:hAnsi="宋体" w:cs="宋体"/>
          <w:b/>
          <w:bCs/>
          <w:color w:val="000000"/>
          <w:sz w:val="24"/>
          <w:highlight w:val="none"/>
        </w:rPr>
        <w:t>注：证明材料(成交通知书或中标通知书以及合同协议书)需是原件的扫描件，并加盖公章，不提供不得分。提供的证明材料均不得涂改遮挡，如有因与该项目案例甲方签有协议而确需遮挡关键信息的情况，须同时提交该项目协议扫描件，否则不予认定计分。（附中标通知书或合同等其他有效证明材料复印件）；</w:t>
      </w:r>
    </w:p>
    <w:p w14:paraId="1FC7CC40">
      <w:pPr>
        <w:widowControl/>
        <w:autoSpaceDE w:val="0"/>
        <w:autoSpaceDN w:val="0"/>
        <w:adjustRightInd w:val="0"/>
        <w:spacing w:line="360" w:lineRule="auto"/>
        <w:rPr>
          <w:rFonts w:hint="eastAsia" w:ascii="宋体" w:hAnsi="宋体" w:cs="宋体"/>
          <w:b/>
          <w:bCs/>
          <w:color w:val="000000"/>
          <w:sz w:val="24"/>
          <w:highlight w:val="none"/>
          <w:u w:val="single"/>
        </w:rPr>
      </w:pPr>
    </w:p>
    <w:p w14:paraId="63F0AC6D">
      <w:pPr>
        <w:widowControl/>
        <w:autoSpaceDE w:val="0"/>
        <w:autoSpaceDN w:val="0"/>
        <w:adjustRightInd w:val="0"/>
        <w:spacing w:line="360" w:lineRule="auto"/>
        <w:rPr>
          <w:rFonts w:hint="eastAsia" w:ascii="宋体" w:hAnsi="宋体" w:cs="宋体"/>
          <w:b/>
          <w:bCs/>
          <w:color w:val="000000"/>
          <w:sz w:val="24"/>
          <w:highlight w:val="none"/>
          <w:u w:val="single"/>
        </w:rPr>
      </w:pPr>
    </w:p>
    <w:p w14:paraId="3D302EE7">
      <w:pPr>
        <w:widowControl/>
        <w:autoSpaceDE w:val="0"/>
        <w:autoSpaceDN w:val="0"/>
        <w:adjustRightInd w:val="0"/>
        <w:spacing w:line="360" w:lineRule="auto"/>
        <w:rPr>
          <w:rFonts w:hint="eastAsia" w:ascii="宋体" w:hAnsi="宋体" w:cs="宋体"/>
          <w:b/>
          <w:bCs/>
          <w:color w:val="000000"/>
          <w:sz w:val="24"/>
          <w:highlight w:val="none"/>
          <w:u w:val="single"/>
        </w:rPr>
      </w:pPr>
    </w:p>
    <w:p w14:paraId="1C9867E6">
      <w:pPr>
        <w:pStyle w:val="3"/>
        <w:tabs>
          <w:tab w:val="left" w:pos="540"/>
        </w:tabs>
        <w:rPr>
          <w:rFonts w:hint="eastAsia" w:ascii="宋体" w:hAnsi="宋体" w:eastAsia="宋体" w:cs="宋体"/>
          <w:color w:val="000000"/>
          <w:sz w:val="24"/>
          <w:szCs w:val="24"/>
          <w:highlight w:val="none"/>
        </w:rPr>
      </w:pPr>
    </w:p>
    <w:p w14:paraId="5D197479">
      <w:pPr>
        <w:widowControl/>
        <w:autoSpaceDE w:val="0"/>
        <w:autoSpaceDN w:val="0"/>
        <w:adjustRightInd w:val="0"/>
        <w:spacing w:line="360" w:lineRule="auto"/>
        <w:rPr>
          <w:rFonts w:hint="eastAsia" w:ascii="宋体" w:hAnsi="宋体" w:cs="宋体"/>
          <w:b/>
          <w:bCs/>
          <w:color w:val="000000"/>
          <w:sz w:val="24"/>
          <w:highlight w:val="none"/>
          <w:u w:val="single"/>
        </w:rPr>
      </w:pPr>
    </w:p>
    <w:p w14:paraId="6C84980F">
      <w:pPr>
        <w:snapToGrid w:val="0"/>
        <w:spacing w:line="360" w:lineRule="auto"/>
        <w:jc w:val="left"/>
        <w:rPr>
          <w:rFonts w:hint="eastAsia" w:ascii="宋体" w:hAnsi="宋体" w:cs="宋体"/>
          <w:b/>
          <w:color w:val="000000"/>
          <w:sz w:val="24"/>
          <w:highlight w:val="none"/>
        </w:rPr>
      </w:pPr>
    </w:p>
    <w:p w14:paraId="086C533F">
      <w:pPr>
        <w:tabs>
          <w:tab w:val="left" w:pos="900"/>
        </w:tabs>
        <w:adjustRightInd w:val="0"/>
        <w:snapToGrid w:val="0"/>
        <w:spacing w:line="360" w:lineRule="auto"/>
        <w:jc w:val="left"/>
        <w:rPr>
          <w:rFonts w:hint="eastAsia" w:ascii="宋体" w:hAnsi="宋体" w:cs="宋体"/>
          <w:color w:val="000000"/>
          <w:sz w:val="24"/>
          <w:highlight w:val="none"/>
        </w:rPr>
      </w:pPr>
    </w:p>
    <w:p w14:paraId="37C3D72E">
      <w:pPr>
        <w:snapToGrid w:val="0"/>
        <w:spacing w:line="360" w:lineRule="auto"/>
        <w:jc w:val="center"/>
        <w:rPr>
          <w:rFonts w:hint="eastAsia" w:ascii="宋体" w:hAnsi="宋体" w:cs="宋体"/>
          <w:color w:val="000000"/>
          <w:sz w:val="24"/>
          <w:highlight w:val="none"/>
        </w:rPr>
      </w:pPr>
    </w:p>
    <w:p w14:paraId="6150D67E">
      <w:pPr>
        <w:rPr>
          <w:rFonts w:hint="eastAsia" w:ascii="宋体" w:hAnsi="宋体" w:cs="宋体"/>
          <w:b/>
          <w:color w:val="000000"/>
          <w:sz w:val="24"/>
          <w:highlight w:val="none"/>
        </w:rPr>
      </w:pPr>
    </w:p>
    <w:p w14:paraId="7ABE656B">
      <w:pPr>
        <w:pStyle w:val="3"/>
        <w:tabs>
          <w:tab w:val="left" w:pos="540"/>
        </w:tabs>
        <w:rPr>
          <w:rFonts w:hint="eastAsia" w:ascii="宋体" w:hAnsi="宋体" w:eastAsia="宋体" w:cs="宋体"/>
          <w:color w:val="000000"/>
          <w:sz w:val="24"/>
          <w:szCs w:val="24"/>
          <w:highlight w:val="none"/>
        </w:rPr>
      </w:pPr>
    </w:p>
    <w:p w14:paraId="2E0768C2">
      <w:pPr>
        <w:rPr>
          <w:rFonts w:hint="eastAsia"/>
        </w:rPr>
      </w:pPr>
    </w:p>
    <w:p w14:paraId="1EA76721">
      <w:pPr>
        <w:pStyle w:val="18"/>
        <w:spacing w:line="240" w:lineRule="atLeast"/>
        <w:ind w:firstLine="720" w:firstLineChars="300"/>
        <w:rPr>
          <w:rFonts w:hint="eastAsia" w:hAnsi="宋体" w:cs="宋体"/>
          <w:color w:val="000000"/>
          <w:sz w:val="24"/>
          <w:szCs w:val="24"/>
          <w:highlight w:val="none"/>
        </w:rPr>
      </w:pPr>
      <w:bookmarkStart w:id="379" w:name="_Hlt520271212"/>
      <w:bookmarkEnd w:id="379"/>
      <w:bookmarkStart w:id="380" w:name="_Hlt520343000"/>
      <w:bookmarkEnd w:id="380"/>
      <w:bookmarkStart w:id="381" w:name="_Hlt520350918"/>
      <w:bookmarkEnd w:id="381"/>
      <w:bookmarkStart w:id="382" w:name="_Hlt520274065"/>
      <w:bookmarkEnd w:id="382"/>
      <w:bookmarkStart w:id="383" w:name="_Hlt520273973"/>
      <w:bookmarkEnd w:id="383"/>
      <w:bookmarkStart w:id="384" w:name="_Hlt520350957"/>
      <w:bookmarkEnd w:id="384"/>
      <w:bookmarkStart w:id="385" w:name="_Hlt520274393"/>
      <w:bookmarkEnd w:id="385"/>
      <w:bookmarkStart w:id="386" w:name="_Hlt520343392"/>
      <w:bookmarkEnd w:id="386"/>
      <w:bookmarkStart w:id="387" w:name="_Hlt520274911"/>
      <w:bookmarkEnd w:id="387"/>
      <w:bookmarkStart w:id="388" w:name="_Hlt520274407"/>
      <w:bookmarkEnd w:id="388"/>
      <w:bookmarkStart w:id="389" w:name="_Hlt520273711"/>
      <w:bookmarkEnd w:id="389"/>
    </w:p>
    <w:p w14:paraId="08D8D477">
      <w:pPr>
        <w:pStyle w:val="32"/>
        <w:ind w:left="2520"/>
        <w:rPr>
          <w:rFonts w:hint="eastAsia" w:ascii="宋体" w:hAnsi="宋体" w:cs="宋体"/>
          <w:color w:val="000000"/>
          <w:sz w:val="24"/>
          <w:highlight w:val="none"/>
        </w:rPr>
      </w:pPr>
    </w:p>
    <w:p w14:paraId="01DCBE2D">
      <w:pPr>
        <w:pStyle w:val="18"/>
        <w:spacing w:line="240" w:lineRule="atLeast"/>
        <w:rPr>
          <w:rFonts w:hint="eastAsia" w:ascii="宋体" w:hAnsi="宋体" w:eastAsia="宋体" w:cs="宋体"/>
          <w:b/>
          <w:bCs/>
          <w:color w:val="000000"/>
          <w:sz w:val="24"/>
          <w:szCs w:val="24"/>
          <w:highlight w:val="none"/>
          <w:lang w:eastAsia="zh-CN"/>
        </w:rPr>
      </w:pPr>
    </w:p>
    <w:p w14:paraId="38311CB2">
      <w:pPr>
        <w:pStyle w:val="18"/>
        <w:spacing w:line="48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lang w:eastAsia="zh-CN"/>
        </w:rPr>
        <w:t xml:space="preserve">、人员配备 </w:t>
      </w:r>
    </w:p>
    <w:p w14:paraId="40076478">
      <w:pPr>
        <w:pStyle w:val="18"/>
        <w:spacing w:line="48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lang w:eastAsia="zh-CN"/>
        </w:rPr>
        <w:t xml:space="preserve">、实施方案 </w:t>
      </w:r>
    </w:p>
    <w:p w14:paraId="2F09C88C">
      <w:pPr>
        <w:pStyle w:val="18"/>
        <w:spacing w:line="48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工作进度安排</w:t>
      </w:r>
      <w:r>
        <w:rPr>
          <w:rFonts w:hint="eastAsia" w:ascii="宋体" w:hAnsi="宋体" w:eastAsia="宋体" w:cs="宋体"/>
          <w:b/>
          <w:bCs/>
          <w:color w:val="000000"/>
          <w:sz w:val="24"/>
          <w:szCs w:val="24"/>
          <w:highlight w:val="none"/>
          <w:lang w:eastAsia="zh-CN"/>
        </w:rPr>
        <w:t xml:space="preserve"> </w:t>
      </w:r>
    </w:p>
    <w:p w14:paraId="49FCC369">
      <w:pPr>
        <w:pStyle w:val="18"/>
        <w:spacing w:line="480" w:lineRule="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设计总体规划及实施细则</w:t>
      </w:r>
    </w:p>
    <w:p w14:paraId="78F30C26">
      <w:pPr>
        <w:pStyle w:val="18"/>
        <w:spacing w:line="48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12、重点、难点分析及应对措施</w:t>
      </w:r>
    </w:p>
    <w:p w14:paraId="3EF1F76D">
      <w:pPr>
        <w:pStyle w:val="18"/>
        <w:spacing w:line="48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13、服务承诺</w:t>
      </w:r>
    </w:p>
    <w:p w14:paraId="3C6D65DE">
      <w:pPr>
        <w:pStyle w:val="18"/>
        <w:spacing w:line="480" w:lineRule="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14、服务期</w:t>
      </w:r>
    </w:p>
    <w:p w14:paraId="6E55F360">
      <w:pPr>
        <w:pStyle w:val="18"/>
        <w:spacing w:line="48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1</w:t>
      </w: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eastAsia="zh-CN"/>
        </w:rPr>
        <w:t>、投标文件还应包括投标人须知第10条的所有技术文件（</w:t>
      </w:r>
      <w:r>
        <w:rPr>
          <w:rFonts w:hint="eastAsia" w:ascii="宋体" w:hAnsi="宋体" w:eastAsia="宋体" w:cs="宋体"/>
          <w:b/>
          <w:bCs/>
          <w:color w:val="000000"/>
          <w:sz w:val="24"/>
          <w:szCs w:val="24"/>
          <w:highlight w:val="none"/>
          <w:lang w:val="en-US" w:eastAsia="zh-CN"/>
        </w:rPr>
        <w:t>如有</w:t>
      </w:r>
      <w:r>
        <w:rPr>
          <w:rFonts w:hint="eastAsia" w:ascii="宋体" w:hAnsi="宋体" w:eastAsia="宋体" w:cs="宋体"/>
          <w:b/>
          <w:bCs/>
          <w:color w:val="000000"/>
          <w:sz w:val="24"/>
          <w:szCs w:val="24"/>
          <w:highlight w:val="none"/>
          <w:lang w:eastAsia="zh-CN"/>
        </w:rPr>
        <w:t>）</w:t>
      </w:r>
    </w:p>
    <w:p w14:paraId="75292421">
      <w:pPr>
        <w:pStyle w:val="18"/>
        <w:spacing w:line="240" w:lineRule="atLeast"/>
        <w:rPr>
          <w:rFonts w:hint="eastAsia" w:hAnsi="宋体" w:cs="宋体"/>
          <w:b/>
          <w:bCs/>
          <w:color w:val="000000"/>
          <w:sz w:val="24"/>
          <w:szCs w:val="24"/>
          <w:highlight w:val="none"/>
        </w:rPr>
      </w:pPr>
    </w:p>
    <w:p w14:paraId="21097F5F">
      <w:pPr>
        <w:pStyle w:val="18"/>
        <w:spacing w:line="240" w:lineRule="atLeast"/>
        <w:rPr>
          <w:rFonts w:hint="eastAsia" w:hAnsi="宋体" w:cs="宋体"/>
          <w:b/>
          <w:bCs/>
          <w:color w:val="000000"/>
          <w:sz w:val="24"/>
          <w:szCs w:val="24"/>
          <w:highlight w:val="none"/>
        </w:rPr>
      </w:pPr>
    </w:p>
    <w:p w14:paraId="50F8C758">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9907E8C">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77309AAF">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339203AF">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4130EA94">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8E40CCB">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1B63161">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465F84F">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35C8D668">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CF83EE8">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083D4311">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331F2987">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7C1CC2F">
      <w:pPr>
        <w:pStyle w:val="36"/>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kern w:val="0"/>
          <w:sz w:val="24"/>
          <w:szCs w:val="20"/>
          <w:highlight w:val="none"/>
        </w:rPr>
      </w:pPr>
      <w:r>
        <w:rPr>
          <w:rFonts w:hint="eastAsia" w:ascii="宋体" w:hAnsi="宋体" w:cs="宋体"/>
          <w:b/>
          <w:color w:val="auto"/>
          <w:kern w:val="0"/>
          <w:sz w:val="24"/>
          <w:szCs w:val="20"/>
          <w:highlight w:val="none"/>
          <w:lang w:val="en-US" w:eastAsia="zh-CN"/>
        </w:rPr>
        <w:t>响应文件</w:t>
      </w:r>
      <w:r>
        <w:rPr>
          <w:rFonts w:hint="eastAsia" w:ascii="宋体" w:hAnsi="宋体" w:eastAsia="宋体" w:cs="宋体"/>
          <w:b/>
          <w:color w:val="auto"/>
          <w:kern w:val="0"/>
          <w:sz w:val="24"/>
          <w:szCs w:val="20"/>
          <w:highlight w:val="none"/>
        </w:rPr>
        <w:t>格式范本</w:t>
      </w:r>
    </w:p>
    <w:tbl>
      <w:tblPr>
        <w:tblStyle w:val="40"/>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5FB1D1AE">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5B01F932">
            <w:pPr>
              <w:pStyle w:val="12"/>
              <w:keepNext w:val="0"/>
              <w:keepLines w:val="0"/>
              <w:pageBreakBefore w:val="0"/>
              <w:widowControl w:val="0"/>
              <w:kinsoku/>
              <w:overflowPunct/>
              <w:bidi w:val="0"/>
              <w:jc w:val="right"/>
              <w:rPr>
                <w:rFonts w:hint="eastAsia" w:ascii="宋体" w:hAnsi="宋体" w:eastAsia="宋体" w:cs="宋体"/>
                <w:b/>
                <w:bCs/>
                <w:color w:val="auto"/>
                <w:sz w:val="28"/>
                <w:szCs w:val="28"/>
                <w:highlight w:val="none"/>
              </w:rPr>
            </w:pPr>
          </w:p>
          <w:p w14:paraId="24205427">
            <w:pPr>
              <w:pStyle w:val="12"/>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331E5CDD">
            <w:pPr>
              <w:pStyle w:val="12"/>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146097DA">
            <w:pPr>
              <w:pStyle w:val="12"/>
              <w:keepNext w:val="0"/>
              <w:keepLines w:val="0"/>
              <w:pageBreakBefore w:val="0"/>
              <w:widowControl w:val="0"/>
              <w:kinsoku/>
              <w:overflowPunct/>
              <w:bidi w:val="0"/>
              <w:rPr>
                <w:rFonts w:hint="eastAsia" w:ascii="宋体" w:hAnsi="宋体" w:eastAsia="宋体" w:cs="宋体"/>
                <w:b/>
                <w:bCs/>
                <w:color w:val="auto"/>
                <w:sz w:val="28"/>
                <w:szCs w:val="28"/>
                <w:highlight w:val="none"/>
              </w:rPr>
            </w:pPr>
          </w:p>
          <w:p w14:paraId="74476A3C">
            <w:pPr>
              <w:pStyle w:val="12"/>
              <w:keepNext w:val="0"/>
              <w:keepLines w:val="0"/>
              <w:pageBreakBefore w:val="0"/>
              <w:widowControl w:val="0"/>
              <w:kinsoku/>
              <w:overflowPunct/>
              <w:bidi w:val="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5D69749E">
            <w:pPr>
              <w:pStyle w:val="12"/>
              <w:keepNext w:val="0"/>
              <w:keepLines w:val="0"/>
              <w:pageBreakBefore w:val="0"/>
              <w:widowControl w:val="0"/>
              <w:kinsoku/>
              <w:overflowPunct/>
              <w:bidi w:val="0"/>
              <w:jc w:val="center"/>
              <w:rPr>
                <w:rFonts w:hint="eastAsia" w:ascii="宋体" w:hAnsi="宋体" w:eastAsia="宋体" w:cs="宋体"/>
                <w:b/>
                <w:bCs/>
                <w:color w:val="auto"/>
                <w:sz w:val="21"/>
                <w:szCs w:val="21"/>
                <w:highlight w:val="none"/>
              </w:rPr>
            </w:pPr>
          </w:p>
          <w:p w14:paraId="32AA2ED0">
            <w:pPr>
              <w:pStyle w:val="12"/>
              <w:keepNext w:val="0"/>
              <w:keepLines w:val="0"/>
              <w:pageBreakBefore w:val="0"/>
              <w:widowControl w:val="0"/>
              <w:kinsoku/>
              <w:overflowPunct/>
              <w:bidi w:val="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60288A22">
            <w:pPr>
              <w:pStyle w:val="12"/>
              <w:keepNext w:val="0"/>
              <w:keepLines w:val="0"/>
              <w:pageBreakBefore w:val="0"/>
              <w:widowControl w:val="0"/>
              <w:kinsoku/>
              <w:overflowPunct/>
              <w:bidi w:val="0"/>
              <w:jc w:val="center"/>
              <w:rPr>
                <w:rFonts w:hint="eastAsia" w:ascii="宋体" w:hAnsi="宋体" w:eastAsia="宋体" w:cs="宋体"/>
                <w:b/>
                <w:bCs/>
                <w:color w:val="auto"/>
                <w:sz w:val="48"/>
                <w:highlight w:val="none"/>
              </w:rPr>
            </w:pPr>
          </w:p>
          <w:p w14:paraId="37749425">
            <w:pPr>
              <w:pStyle w:val="12"/>
              <w:keepNext w:val="0"/>
              <w:keepLines w:val="0"/>
              <w:pageBreakBefore w:val="0"/>
              <w:widowControl w:val="0"/>
              <w:kinsoku/>
              <w:overflowPunct/>
              <w:bidi w:val="0"/>
              <w:jc w:val="center"/>
              <w:rPr>
                <w:rFonts w:hint="eastAsia" w:ascii="宋体" w:hAnsi="宋体" w:eastAsia="宋体" w:cs="宋体"/>
                <w:b/>
                <w:bCs/>
                <w:color w:val="auto"/>
                <w:sz w:val="48"/>
                <w:highlight w:val="none"/>
              </w:rPr>
            </w:pPr>
            <w:r>
              <w:rPr>
                <w:rFonts w:hint="eastAsia" w:cs="宋体"/>
                <w:b/>
                <w:bCs/>
                <w:color w:val="auto"/>
                <w:sz w:val="48"/>
                <w:highlight w:val="none"/>
                <w:lang w:val="en-US" w:eastAsia="zh-CN"/>
              </w:rPr>
              <w:t>响应文件</w:t>
            </w:r>
          </w:p>
          <w:p w14:paraId="2A23FEAB">
            <w:pPr>
              <w:keepNext w:val="0"/>
              <w:keepLines w:val="0"/>
              <w:pageBreakBefore w:val="0"/>
              <w:widowControl w:val="0"/>
              <w:kinsoku/>
              <w:overflowPunct/>
              <w:bidi w:val="0"/>
              <w:jc w:val="center"/>
              <w:rPr>
                <w:rFonts w:hint="eastAsia" w:ascii="宋体" w:hAnsi="宋体" w:eastAsia="宋体" w:cs="宋体"/>
                <w:b/>
                <w:color w:val="auto"/>
                <w:sz w:val="32"/>
                <w:highlight w:val="none"/>
              </w:rPr>
            </w:pPr>
          </w:p>
          <w:p w14:paraId="4382A642">
            <w:pPr>
              <w:pStyle w:val="5"/>
              <w:keepNext w:val="0"/>
              <w:keepLines w:val="0"/>
              <w:pageBreakBefore w:val="0"/>
              <w:widowControl w:val="0"/>
              <w:kinsoku/>
              <w:overflowPunct/>
              <w:bidi w:val="0"/>
              <w:rPr>
                <w:rFonts w:hint="eastAsia" w:ascii="宋体" w:hAnsi="宋体" w:eastAsia="宋体" w:cs="宋体"/>
                <w:b/>
                <w:color w:val="auto"/>
                <w:sz w:val="32"/>
                <w:highlight w:val="none"/>
              </w:rPr>
            </w:pPr>
          </w:p>
          <w:p w14:paraId="1E114946">
            <w:pPr>
              <w:pStyle w:val="5"/>
              <w:keepNext w:val="0"/>
              <w:keepLines w:val="0"/>
              <w:pageBreakBefore w:val="0"/>
              <w:widowControl w:val="0"/>
              <w:kinsoku/>
              <w:overflowPunct/>
              <w:bidi w:val="0"/>
              <w:rPr>
                <w:rFonts w:hint="eastAsia" w:ascii="宋体" w:hAnsi="宋体" w:eastAsia="宋体" w:cs="宋体"/>
                <w:b/>
                <w:color w:val="auto"/>
                <w:sz w:val="32"/>
                <w:highlight w:val="none"/>
              </w:rPr>
            </w:pPr>
          </w:p>
          <w:p w14:paraId="689FBE9E">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CE07C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17E8A1C7">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7C19AE6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173016A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19A8247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3E55220D">
            <w:pPr>
              <w:keepNext w:val="0"/>
              <w:keepLines w:val="0"/>
              <w:pageBreakBefore w:val="0"/>
              <w:widowControl w:val="0"/>
              <w:kinsoku/>
              <w:overflowPunct/>
              <w:bidi w:val="0"/>
              <w:spacing w:line="360" w:lineRule="auto"/>
              <w:ind w:left="176" w:leftChars="84" w:firstLine="960" w:firstLineChars="400"/>
              <w:rPr>
                <w:rFonts w:hint="eastAsia" w:ascii="宋体" w:hAnsi="宋体" w:eastAsia="宋体" w:cs="宋体"/>
                <w:color w:val="auto"/>
                <w:sz w:val="24"/>
                <w:highlight w:val="none"/>
              </w:rPr>
            </w:pPr>
          </w:p>
          <w:p w14:paraId="5C32798D">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3E72267A">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686A528E">
            <w:pPr>
              <w:keepNext w:val="0"/>
              <w:keepLines w:val="0"/>
              <w:pageBreakBefore w:val="0"/>
              <w:widowControl w:val="0"/>
              <w:kinsoku/>
              <w:overflowPunct/>
              <w:bidi w:val="0"/>
              <w:jc w:val="center"/>
              <w:rPr>
                <w:rFonts w:hint="eastAsia" w:ascii="宋体" w:hAnsi="宋体" w:eastAsia="宋体" w:cs="宋体"/>
                <w:b/>
                <w:bCs/>
                <w:color w:val="auto"/>
                <w:highlight w:val="none"/>
              </w:rPr>
            </w:pPr>
          </w:p>
        </w:tc>
      </w:tr>
    </w:tbl>
    <w:p w14:paraId="77A193D7">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hAnsi="宋体" w:cs="宋体"/>
          <w:color w:val="auto"/>
          <w:sz w:val="28"/>
          <w:szCs w:val="18"/>
          <w:highlight w:val="none"/>
          <w:lang w:val="en-US" w:eastAsia="zh-CN"/>
        </w:rPr>
        <w:t xml:space="preserve">     </w:t>
      </w:r>
      <w:r>
        <w:rPr>
          <w:rFonts w:hint="eastAsia" w:ascii="宋体" w:hAnsi="宋体" w:eastAsia="宋体" w:cs="宋体"/>
          <w:color w:val="auto"/>
          <w:highlight w:val="none"/>
          <w:lang w:val="en-US" w:eastAsia="zh-CN"/>
        </w:rPr>
        <w:t xml:space="preserve">   </w:t>
      </w:r>
    </w:p>
    <w:p w14:paraId="6880ACBC">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42EADD65">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highlight w:val="none"/>
          <w:lang w:val="en-US" w:eastAsia="zh-CN"/>
        </w:rPr>
        <w:t xml:space="preserve"> 第3章  招标公告</w:t>
      </w:r>
    </w:p>
    <w:p w14:paraId="6781F9EF">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一、项目基本情况</w:t>
      </w:r>
    </w:p>
    <w:p w14:paraId="4CB21E1D">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项目编</w:t>
      </w:r>
      <w:r>
        <w:rPr>
          <w:rFonts w:hint="eastAsia" w:ascii="宋体" w:hAnsi="宋体" w:eastAsia="宋体" w:cs="宋体"/>
          <w:color w:val="000000"/>
          <w:highlight w:val="none"/>
          <w:lang w:eastAsia="zh-CN"/>
        </w:rPr>
        <w:t>号：</w:t>
      </w:r>
      <w:r>
        <w:rPr>
          <w:rFonts w:hint="eastAsia" w:ascii="宋体" w:hAnsi="宋体" w:cs="宋体"/>
          <w:color w:val="000000"/>
          <w:highlight w:val="none"/>
          <w:lang w:val="en-US" w:eastAsia="zh-CN"/>
        </w:rPr>
        <w:t>XJZYH-2026-025</w:t>
      </w:r>
    </w:p>
    <w:p w14:paraId="7B904AB3">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项目名称：</w:t>
      </w:r>
      <w:r>
        <w:rPr>
          <w:rFonts w:hint="eastAsia" w:ascii="宋体" w:hAnsi="宋体" w:cs="宋体"/>
          <w:color w:val="000000"/>
          <w:highlight w:val="none"/>
          <w:lang w:eastAsia="zh-CN"/>
        </w:rPr>
        <w:t>喀什市空天信息产业园220KV输变电工程项目（地质勘查和工程测量）</w:t>
      </w:r>
      <w:r>
        <w:rPr>
          <w:rFonts w:hint="eastAsia" w:ascii="宋体" w:hAnsi="宋体" w:eastAsia="宋体" w:cs="宋体"/>
          <w:color w:val="000000"/>
          <w:highlight w:val="none"/>
        </w:rPr>
        <w:t> </w:t>
      </w:r>
    </w:p>
    <w:p w14:paraId="2877CA95">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采购方式：竞争性磋商 </w:t>
      </w:r>
    </w:p>
    <w:p w14:paraId="082BA667">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预算金额（元）：</w:t>
      </w:r>
      <w:r>
        <w:rPr>
          <w:rFonts w:hint="eastAsia" w:ascii="宋体" w:hAnsi="宋体" w:cs="宋体"/>
          <w:color w:val="000000"/>
          <w:highlight w:val="none"/>
          <w:lang w:val="en-US" w:eastAsia="zh-CN"/>
        </w:rPr>
        <w:t>700000元</w:t>
      </w:r>
    </w:p>
    <w:p w14:paraId="7E4169AF">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highlight w:val="none"/>
          <w:lang w:val="en-US" w:eastAsia="zh-CN"/>
        </w:rPr>
      </w:pPr>
      <w:r>
        <w:rPr>
          <w:rFonts w:hint="eastAsia" w:ascii="宋体" w:hAnsi="宋体" w:eastAsia="宋体" w:cs="宋体"/>
          <w:color w:val="000000"/>
          <w:highlight w:val="none"/>
        </w:rPr>
        <w:t>最高限价（元）：</w:t>
      </w:r>
      <w:r>
        <w:rPr>
          <w:rFonts w:hint="eastAsia" w:ascii="宋体" w:hAnsi="宋体" w:cs="宋体"/>
          <w:color w:val="000000"/>
          <w:highlight w:val="none"/>
          <w:lang w:val="en-US" w:eastAsia="zh-CN"/>
        </w:rPr>
        <w:t>700000元</w:t>
      </w:r>
    </w:p>
    <w:p w14:paraId="538C624C">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采购需求：</w:t>
      </w:r>
      <w:r>
        <w:rPr>
          <w:rFonts w:hint="eastAsia" w:ascii="宋体" w:hAnsi="宋体" w:eastAsia="宋体" w:cs="宋体"/>
          <w:spacing w:val="-1"/>
          <w:sz w:val="24"/>
          <w:szCs w:val="24"/>
          <w:highlight w:val="none"/>
          <w:lang w:val="en-US" w:eastAsia="zh-CN"/>
        </w:rPr>
        <w:t> </w:t>
      </w:r>
    </w:p>
    <w:p w14:paraId="5C74BABE">
      <w:pPr>
        <w:pStyle w:val="29"/>
        <w:keepNext w:val="0"/>
        <w:keepLines w:val="0"/>
        <w:pageBreakBefore w:val="0"/>
        <w:widowControl w:val="0"/>
        <w:kinsoku/>
        <w:wordWrap/>
        <w:overflowPunct/>
        <w:topLinePunct w:val="0"/>
        <w:autoSpaceDE/>
        <w:autoSpaceDN/>
        <w:bidi w:val="0"/>
        <w:adjustRightInd/>
        <w:snapToGrid w:val="0"/>
        <w:spacing w:line="340" w:lineRule="exact"/>
        <w:ind w:firstLine="482" w:firstLineChars="200"/>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标项</w:t>
      </w:r>
      <w:r>
        <w:rPr>
          <w:rFonts w:hint="eastAsia" w:ascii="宋体" w:hAnsi="宋体" w:cs="宋体"/>
          <w:b/>
          <w:bCs/>
          <w:i w:val="0"/>
          <w:caps w:val="0"/>
          <w:color w:val="auto"/>
          <w:spacing w:val="0"/>
          <w:w w:val="100"/>
          <w:sz w:val="24"/>
          <w:szCs w:val="24"/>
          <w:highlight w:val="none"/>
          <w:lang w:val="en-US" w:eastAsia="zh-CN"/>
        </w:rPr>
        <w:t>一</w:t>
      </w:r>
    </w:p>
    <w:p w14:paraId="0D05DD72">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标项名称：</w:t>
      </w:r>
      <w:r>
        <w:rPr>
          <w:rFonts w:hint="eastAsia" w:ascii="宋体" w:hAnsi="宋体" w:cs="宋体"/>
          <w:color w:val="000000"/>
          <w:highlight w:val="none"/>
          <w:lang w:eastAsia="zh-CN"/>
        </w:rPr>
        <w:t>喀什市空天信息产业园220KV输变电工程项目（地质勘查和工程测量）</w:t>
      </w:r>
      <w:r>
        <w:rPr>
          <w:rFonts w:hint="eastAsia" w:ascii="宋体" w:hAnsi="宋体" w:eastAsia="宋体" w:cs="宋体"/>
          <w:color w:val="000000"/>
          <w:highlight w:val="none"/>
        </w:rPr>
        <w:t> </w:t>
      </w:r>
    </w:p>
    <w:p w14:paraId="097F7C37">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数量:1</w:t>
      </w:r>
    </w:p>
    <w:p w14:paraId="04BDC9B2">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预算金额（元）:</w:t>
      </w:r>
      <w:r>
        <w:rPr>
          <w:rFonts w:hint="eastAsia" w:ascii="宋体" w:hAnsi="宋体" w:cs="宋体"/>
          <w:color w:val="000000"/>
          <w:highlight w:val="none"/>
          <w:lang w:val="en-US" w:eastAsia="zh-CN"/>
        </w:rPr>
        <w:t>700000元</w:t>
      </w:r>
    </w:p>
    <w:p w14:paraId="73D27D48">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单位：</w:t>
      </w:r>
      <w:r>
        <w:rPr>
          <w:rFonts w:hint="eastAsia" w:ascii="宋体" w:hAnsi="宋体" w:cs="宋体"/>
          <w:color w:val="000000"/>
          <w:highlight w:val="none"/>
          <w:lang w:val="en-US" w:eastAsia="zh-CN"/>
        </w:rPr>
        <w:t>项</w:t>
      </w:r>
    </w:p>
    <w:p w14:paraId="4E17108A">
      <w:pPr>
        <w:keepNext w:val="0"/>
        <w:keepLines w:val="0"/>
        <w:pageBreakBefore w:val="0"/>
        <w:widowControl w:val="0"/>
        <w:numPr>
          <w:ilvl w:val="0"/>
          <w:numId w:val="0"/>
        </w:numPr>
        <w:kinsoku/>
        <w:wordWrap/>
        <w:overflowPunct/>
        <w:topLinePunct w:val="0"/>
        <w:autoSpaceDE/>
        <w:autoSpaceDN/>
        <w:bidi w:val="0"/>
        <w:adjustRightInd/>
        <w:snapToGrid/>
        <w:spacing w:before="189" w:line="340" w:lineRule="exact"/>
        <w:ind w:firstLine="476"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spacing w:val="-1"/>
          <w:kern w:val="0"/>
          <w:sz w:val="24"/>
          <w:szCs w:val="24"/>
          <w:highlight w:val="none"/>
          <w:lang w:val="en-US" w:eastAsia="zh-CN" w:bidi="ar"/>
        </w:rPr>
        <w:t>简要规格描述：详见磋商文件</w:t>
      </w:r>
      <w:r>
        <w:rPr>
          <w:rFonts w:hint="eastAsia" w:ascii="宋体" w:hAnsi="宋体" w:eastAsia="宋体" w:cs="宋体"/>
          <w:spacing w:val="-1"/>
          <w:sz w:val="24"/>
          <w:szCs w:val="24"/>
          <w:highlight w:val="none"/>
          <w:lang w:val="en-US" w:eastAsia="zh-CN"/>
        </w:rPr>
        <w:t> </w:t>
      </w:r>
    </w:p>
    <w:p w14:paraId="4546E4EA">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highlight w:val="none"/>
        </w:rPr>
      </w:pPr>
      <w:r>
        <w:rPr>
          <w:rFonts w:hint="eastAsia" w:ascii="宋体" w:hAnsi="宋体" w:cs="宋体"/>
          <w:color w:val="000000"/>
          <w:highlight w:val="none"/>
        </w:rPr>
        <w:t>合同履约期限：从签订合同之日起40个日历日完成相关服务。（具体以合同约定为准）</w:t>
      </w:r>
    </w:p>
    <w:p w14:paraId="0706C3A5">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cs="宋体"/>
          <w:color w:val="000000"/>
          <w:highlight w:val="none"/>
        </w:rPr>
      </w:pPr>
      <w:r>
        <w:rPr>
          <w:rFonts w:hint="eastAsia" w:ascii="宋体" w:hAnsi="宋体" w:cs="宋体"/>
          <w:color w:val="000000"/>
          <w:highlight w:val="none"/>
        </w:rPr>
        <w:t>本项目（否）接受联合体投标。  </w:t>
      </w:r>
    </w:p>
    <w:p w14:paraId="733C9876">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二、申请人的资格要求：</w:t>
      </w:r>
    </w:p>
    <w:p w14:paraId="78FE26B4">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1.满足《中华人民共和国政府采购法》第二十二条规定；</w:t>
      </w:r>
    </w:p>
    <w:p w14:paraId="585E7254">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2.落实政府采购政策需满足的资格要求：</w:t>
      </w:r>
      <w:r>
        <w:rPr>
          <w:rFonts w:hint="eastAsia" w:ascii="宋体" w:hAnsi="宋体" w:eastAsia="宋体" w:cs="宋体"/>
          <w:color w:val="auto"/>
          <w:highlight w:val="none"/>
          <w:lang w:eastAsia="zh-CN"/>
        </w:rPr>
        <w:t>标项1</w:t>
      </w:r>
      <w:r>
        <w:rPr>
          <w:rFonts w:hint="eastAsia" w:ascii="宋体" w:hAnsi="宋体" w:eastAsia="宋体" w:cs="宋体"/>
          <w:color w:val="000000"/>
          <w:highlight w:val="none"/>
        </w:rPr>
        <w:t>：</w:t>
      </w:r>
      <w:r>
        <w:rPr>
          <w:rFonts w:hint="eastAsia" w:ascii="宋体" w:hAnsi="宋体" w:cs="宋体"/>
          <w:color w:val="000000"/>
          <w:highlight w:val="none"/>
          <w:lang w:val="en-US" w:eastAsia="zh-CN"/>
        </w:rPr>
        <w:t>专门面向中小微企业</w:t>
      </w:r>
      <w:r>
        <w:rPr>
          <w:rFonts w:hint="eastAsia" w:ascii="宋体" w:hAnsi="宋体" w:eastAsia="宋体" w:cs="宋体"/>
          <w:color w:val="000000"/>
          <w:highlight w:val="none"/>
          <w:lang w:val="en-US" w:eastAsia="zh-CN"/>
        </w:rPr>
        <w:t>；</w:t>
      </w:r>
    </w:p>
    <w:p w14:paraId="7647DAC5">
      <w:pPr>
        <w:pStyle w:val="92"/>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3.本项目的特定资格要求：标项1：</w:t>
      </w:r>
      <w:r>
        <w:rPr>
          <w:rFonts w:hint="eastAsia" w:ascii="宋体" w:hAnsi="宋体" w:eastAsia="宋体" w:cs="宋体"/>
          <w:color w:val="000000"/>
          <w:highlight w:val="none"/>
          <w:lang w:val="en-US" w:eastAsia="zh-CN"/>
        </w:rPr>
        <w:t>投标人资格条件：</w:t>
      </w:r>
      <w:r>
        <w:rPr>
          <w:rFonts w:hint="eastAsia" w:ascii="宋体" w:hAnsi="宋体" w:cs="宋体"/>
          <w:color w:val="000000"/>
          <w:highlight w:val="none"/>
          <w:lang w:val="en-US" w:eastAsia="zh-CN"/>
        </w:rPr>
        <w:t>具备工程勘察资质甲级或具备工程勘察岩土工程专业乙级（含）以上资质；拟派项目负责人须具有注册岩土工程师或地勘类中级（含）以上职称证</w:t>
      </w:r>
      <w:r>
        <w:rPr>
          <w:rFonts w:hint="eastAsia" w:ascii="宋体" w:hAnsi="宋体" w:eastAsia="宋体" w:cs="宋体"/>
          <w:color w:val="000000"/>
          <w:highlight w:val="none"/>
          <w:lang w:val="en-US" w:eastAsia="zh-CN"/>
        </w:rPr>
        <w:t>。</w:t>
      </w:r>
    </w:p>
    <w:p w14:paraId="0E338911">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三、获取采购文件</w:t>
      </w:r>
    </w:p>
    <w:p w14:paraId="245A9198">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auto"/>
          <w:sz w:val="24"/>
          <w:szCs w:val="24"/>
          <w:highlight w:val="none"/>
          <w:lang w:val="en-US"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日，每天上午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0:00至14:00，下午14:00至23:59（北京时间，法定节假日除外）</w:t>
      </w:r>
    </w:p>
    <w:p w14:paraId="017F4F65">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地点：政采云平台线上</w:t>
      </w:r>
    </w:p>
    <w:p w14:paraId="256CE94B">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F33A4D1">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售价（元）：0</w:t>
      </w:r>
    </w:p>
    <w:p w14:paraId="7BE28CED">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四、响应文件提交</w:t>
      </w:r>
    </w:p>
    <w:p w14:paraId="3D073CB7">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截止时间：</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lang w:eastAsia="zh-CN"/>
        </w:rPr>
        <w:t>日11:00</w:t>
      </w:r>
      <w:r>
        <w:rPr>
          <w:rFonts w:hint="eastAsia" w:ascii="宋体" w:hAnsi="宋体" w:eastAsia="宋体" w:cs="宋体"/>
          <w:color w:val="000000"/>
          <w:sz w:val="24"/>
          <w:szCs w:val="24"/>
          <w:highlight w:val="none"/>
          <w:lang w:eastAsia="zh-CN"/>
        </w:rPr>
        <w:t>（北京时间）</w:t>
      </w:r>
    </w:p>
    <w:p w14:paraId="6CC5582A">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地点：请登录政采云投标客户端投标</w:t>
      </w:r>
    </w:p>
    <w:p w14:paraId="13397A11">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五、响应文件开启</w:t>
      </w:r>
    </w:p>
    <w:p w14:paraId="3434C656">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开启时间：</w:t>
      </w:r>
      <w:r>
        <w:rPr>
          <w:rFonts w:hint="eastAsia" w:ascii="宋体" w:hAnsi="宋体" w:cs="宋体"/>
          <w:color w:val="000000"/>
          <w:sz w:val="24"/>
          <w:szCs w:val="24"/>
          <w:highlight w:val="none"/>
          <w:lang w:eastAsia="zh-CN"/>
        </w:rPr>
        <w:t>2026年0</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lang w:eastAsia="zh-CN"/>
        </w:rPr>
        <w:t>日11:00</w:t>
      </w:r>
      <w:r>
        <w:rPr>
          <w:rFonts w:hint="eastAsia" w:ascii="宋体" w:hAnsi="宋体" w:eastAsia="宋体" w:cs="宋体"/>
          <w:color w:val="000000"/>
          <w:sz w:val="24"/>
          <w:szCs w:val="24"/>
          <w:highlight w:val="none"/>
          <w:lang w:eastAsia="zh-CN"/>
        </w:rPr>
        <w:t>（北京时间）</w:t>
      </w:r>
    </w:p>
    <w:p w14:paraId="35C7C942">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地点：投标人登录政采云平台https://www.zcygov.cn/，进入“项目采购-开标评标-右边选择对应项目点击“进入项目”进入开标大厅。</w:t>
      </w:r>
    </w:p>
    <w:p w14:paraId="7E8BFB49">
      <w:pPr>
        <w:pStyle w:val="92"/>
        <w:keepNext w:val="0"/>
        <w:keepLines w:val="0"/>
        <w:pageBreakBefore w:val="0"/>
        <w:widowControl/>
        <w:kinsoku/>
        <w:wordWrap/>
        <w:overflowPunct/>
        <w:topLinePunct w:val="0"/>
        <w:autoSpaceDE/>
        <w:autoSpaceDN/>
        <w:bidi w:val="0"/>
        <w:adjustRightInd/>
        <w:snapToGrid/>
        <w:spacing w:line="340" w:lineRule="exact"/>
        <w:textAlignment w:val="auto"/>
        <w:rPr>
          <w:color w:val="000000"/>
          <w:highlight w:val="none"/>
        </w:rPr>
      </w:pPr>
      <w:r>
        <w:rPr>
          <w:rFonts w:hint="eastAsia" w:ascii="宋体" w:hAnsi="宋体" w:cs="宋体"/>
          <w:b/>
          <w:bCs/>
          <w:color w:val="000000"/>
          <w:highlight w:val="none"/>
        </w:rPr>
        <w:t>六、公告期限</w:t>
      </w:r>
    </w:p>
    <w:p w14:paraId="5269F1FC">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自本公告发布之日起5个工作日。</w:t>
      </w:r>
    </w:p>
    <w:p w14:paraId="5881D92E">
      <w:pPr>
        <w:pStyle w:val="92"/>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rPr>
        <w:t>、其他补充事宜</w:t>
      </w:r>
    </w:p>
    <w:p w14:paraId="55A14A94">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1、本项目实行网上投标，采用电子投标文件。</w:t>
      </w:r>
    </w:p>
    <w:p w14:paraId="0925632F">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6B2D433C">
      <w:pPr>
        <w:pStyle w:val="92"/>
        <w:keepNext w:val="0"/>
        <w:keepLines w:val="0"/>
        <w:pageBreakBefore w:val="0"/>
        <w:widowControl/>
        <w:kinsoku/>
        <w:wordWrap/>
        <w:overflowPunct/>
        <w:topLinePunct w:val="0"/>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C6D5CED">
      <w:pPr>
        <w:pStyle w:val="92"/>
        <w:keepNext w:val="0"/>
        <w:keepLines w:val="0"/>
        <w:pageBreakBefore w:val="0"/>
        <w:widowControl/>
        <w:kinsoku/>
        <w:wordWrap w:val="0"/>
        <w:overflowPunct/>
        <w:topLinePunct/>
        <w:autoSpaceDE/>
        <w:autoSpaceDN/>
        <w:bidi w:val="0"/>
        <w:adjustRightInd/>
        <w:snapToGrid/>
        <w:spacing w:before="55" w:after="55"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14:paraId="3F33C2AB">
      <w:pPr>
        <w:pStyle w:val="92"/>
        <w:keepNext w:val="0"/>
        <w:keepLines w:val="0"/>
        <w:pageBreakBefore w:val="0"/>
        <w:widowControl/>
        <w:kinsoku/>
        <w:wordWrap/>
        <w:overflowPunct/>
        <w:topLinePunct w:val="0"/>
        <w:autoSpaceDE/>
        <w:autoSpaceDN/>
        <w:bidi w:val="0"/>
        <w:adjustRightInd/>
        <w:snapToGrid/>
        <w:spacing w:line="340" w:lineRule="exact"/>
        <w:ind w:right="0"/>
        <w:textAlignment w:val="auto"/>
        <w:rPr>
          <w:color w:val="000000"/>
          <w:highlight w:val="none"/>
        </w:rPr>
      </w:pPr>
      <w:r>
        <w:rPr>
          <w:rFonts w:hint="eastAsia" w:ascii="宋体" w:hAnsi="宋体" w:cs="宋体"/>
          <w:b/>
          <w:bCs/>
          <w:color w:val="000000"/>
          <w:highlight w:val="none"/>
          <w:lang w:val="en-US" w:eastAsia="zh-CN"/>
        </w:rPr>
        <w:t>八</w:t>
      </w:r>
      <w:r>
        <w:rPr>
          <w:rFonts w:hint="eastAsia" w:ascii="宋体" w:hAnsi="宋体" w:cs="宋体"/>
          <w:b/>
          <w:bCs/>
          <w:color w:val="000000"/>
          <w:highlight w:val="none"/>
        </w:rPr>
        <w:t>、对本次招标提出询问，请按以下方式联系</w:t>
      </w:r>
    </w:p>
    <w:p w14:paraId="0EAFBB46">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1.采购人信息</w:t>
      </w:r>
    </w:p>
    <w:p w14:paraId="767DFFC5">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bookmarkStart w:id="390" w:name="_Toc28359009"/>
      <w:bookmarkStart w:id="391" w:name="_Toc28359086"/>
      <w:r>
        <w:rPr>
          <w:rFonts w:hint="eastAsia" w:ascii="宋体" w:hAnsi="宋体" w:eastAsia="宋体" w:cs="宋体"/>
          <w:color w:val="000000"/>
          <w:highlight w:val="none"/>
          <w:lang w:val="en-US" w:eastAsia="zh-CN"/>
        </w:rPr>
        <w:t>名 称：</w:t>
      </w:r>
      <w:r>
        <w:rPr>
          <w:rFonts w:hint="eastAsia" w:ascii="宋体" w:hAnsi="宋体" w:cs="宋体"/>
          <w:color w:val="000000"/>
          <w:highlight w:val="none"/>
          <w:lang w:val="en-US" w:eastAsia="zh-CN"/>
        </w:rPr>
        <w:t>喀什市科学技术局</w:t>
      </w:r>
    </w:p>
    <w:p w14:paraId="4ED909BA">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地 址：</w:t>
      </w:r>
      <w:r>
        <w:rPr>
          <w:rFonts w:hint="eastAsia" w:ascii="宋体" w:hAnsi="宋体" w:cs="宋体"/>
          <w:color w:val="000000"/>
          <w:highlight w:val="none"/>
          <w:lang w:val="en-US" w:eastAsia="zh-CN"/>
        </w:rPr>
        <w:t>喀什市</w:t>
      </w:r>
    </w:p>
    <w:p w14:paraId="448AA633">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联系方式：</w:t>
      </w:r>
      <w:bookmarkEnd w:id="390"/>
      <w:bookmarkEnd w:id="391"/>
      <w:r>
        <w:rPr>
          <w:rFonts w:hint="eastAsia" w:ascii="宋体" w:hAnsi="宋体" w:cs="宋体"/>
          <w:color w:val="000000"/>
          <w:highlight w:val="none"/>
          <w:lang w:val="en-US" w:eastAsia="zh-CN"/>
        </w:rPr>
        <w:t>19850820950</w:t>
      </w:r>
    </w:p>
    <w:p w14:paraId="5465DFAC">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2.采购代理机构信息</w:t>
      </w:r>
    </w:p>
    <w:p w14:paraId="2277E0EF">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名 称：</w:t>
      </w:r>
      <w:r>
        <w:rPr>
          <w:rFonts w:hint="eastAsia" w:ascii="宋体" w:hAnsi="宋体" w:cs="宋体"/>
          <w:color w:val="000000"/>
          <w:highlight w:val="none"/>
          <w:lang w:val="en-US" w:eastAsia="zh-CN"/>
        </w:rPr>
        <w:t>新疆泽煜航项目管理有限公司</w:t>
      </w:r>
      <w:r>
        <w:rPr>
          <w:rFonts w:hint="eastAsia" w:ascii="宋体" w:hAnsi="宋体" w:eastAsia="宋体" w:cs="宋体"/>
          <w:color w:val="000000"/>
          <w:highlight w:val="none"/>
          <w:lang w:val="en-US" w:eastAsia="zh-CN"/>
        </w:rPr>
        <w:t>　</w:t>
      </w:r>
    </w:p>
    <w:p w14:paraId="74193B78">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地 址：</w:t>
      </w:r>
      <w:r>
        <w:rPr>
          <w:rFonts w:hint="eastAsia" w:ascii="宋体" w:hAnsi="宋体" w:cs="宋体"/>
          <w:color w:val="000000"/>
          <w:highlight w:val="none"/>
          <w:lang w:val="en-US" w:eastAsia="zh-CN"/>
        </w:rPr>
        <w:t>喀什市西泓世嘉二期3号楼1单元9楼</w:t>
      </w:r>
      <w:r>
        <w:rPr>
          <w:rFonts w:hint="eastAsia" w:ascii="宋体" w:hAnsi="宋体" w:eastAsia="宋体" w:cs="宋体"/>
          <w:color w:val="000000"/>
          <w:highlight w:val="none"/>
          <w:lang w:val="en-US" w:eastAsia="zh-CN"/>
        </w:rPr>
        <w:t>　</w:t>
      </w:r>
    </w:p>
    <w:p w14:paraId="229F7D33">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联系方式：</w:t>
      </w:r>
      <w:bookmarkStart w:id="392" w:name="_Toc28359087"/>
      <w:bookmarkStart w:id="393" w:name="_Toc28359010"/>
      <w:r>
        <w:rPr>
          <w:rFonts w:hint="eastAsia" w:ascii="宋体" w:hAnsi="宋体" w:cs="宋体"/>
          <w:color w:val="000000"/>
          <w:highlight w:val="none"/>
          <w:lang w:val="en-US" w:eastAsia="zh-CN"/>
        </w:rPr>
        <w:t>15509989039</w:t>
      </w:r>
    </w:p>
    <w:p w14:paraId="5E1229A1">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3.项目联系方式</w:t>
      </w:r>
      <w:bookmarkEnd w:id="392"/>
      <w:bookmarkEnd w:id="393"/>
    </w:p>
    <w:p w14:paraId="433699D8">
      <w:pPr>
        <w:pStyle w:val="92"/>
        <w:keepNext w:val="0"/>
        <w:keepLines w:val="0"/>
        <w:pageBreakBefore w:val="0"/>
        <w:widowControl/>
        <w:kinsoku/>
        <w:wordWrap/>
        <w:overflowPunct/>
        <w:topLinePunct w:val="0"/>
        <w:autoSpaceDE/>
        <w:autoSpaceDN/>
        <w:bidi w:val="0"/>
        <w:adjustRightInd/>
        <w:snapToGrid/>
        <w:spacing w:line="340" w:lineRule="exact"/>
        <w:ind w:left="0" w:right="0" w:firstLine="48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项目联系人：</w:t>
      </w:r>
      <w:r>
        <w:rPr>
          <w:rFonts w:hint="eastAsia" w:ascii="宋体" w:hAnsi="宋体" w:cs="宋体"/>
          <w:color w:val="000000"/>
          <w:highlight w:val="none"/>
          <w:lang w:val="en-US" w:eastAsia="zh-CN"/>
        </w:rPr>
        <w:t>江帆</w:t>
      </w:r>
    </w:p>
    <w:p w14:paraId="48EB33D9">
      <w:pPr>
        <w:pStyle w:val="92"/>
        <w:keepNext w:val="0"/>
        <w:keepLines w:val="0"/>
        <w:pageBreakBefore w:val="0"/>
        <w:widowControl/>
        <w:kinsoku/>
        <w:wordWrap/>
        <w:overflowPunct/>
        <w:topLinePunct w:val="0"/>
        <w:autoSpaceDE/>
        <w:autoSpaceDN/>
        <w:bidi w:val="0"/>
        <w:adjustRightInd/>
        <w:snapToGrid/>
        <w:spacing w:before="60" w:after="60" w:line="340" w:lineRule="exact"/>
        <w:ind w:firstLine="48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电 话：</w:t>
      </w:r>
      <w:r>
        <w:rPr>
          <w:rFonts w:hint="eastAsia" w:ascii="宋体" w:hAnsi="宋体" w:cs="宋体"/>
          <w:color w:val="000000"/>
          <w:highlight w:val="none"/>
          <w:lang w:val="en-US" w:eastAsia="zh-CN"/>
        </w:rPr>
        <w:t>15509989039</w:t>
      </w:r>
    </w:p>
    <w:p w14:paraId="0C336AE9">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94" w:name="_Toc10488"/>
      <w:bookmarkStart w:id="395" w:name="_Toc20439"/>
      <w:bookmarkStart w:id="396" w:name="_Toc507399903"/>
      <w:bookmarkStart w:id="397" w:name="_Toc216582823"/>
      <w:bookmarkStart w:id="398" w:name="_Toc515647830"/>
      <w:bookmarkStart w:id="399" w:name="_Toc31583"/>
      <w:bookmarkStart w:id="400" w:name="_Toc512937850"/>
      <w:r>
        <w:rPr>
          <w:rFonts w:hint="eastAsia" w:ascii="宋体" w:hAnsi="宋体" w:eastAsia="宋体" w:cs="宋体"/>
          <w:color w:val="auto"/>
          <w:highlight w:val="none"/>
        </w:rPr>
        <w:t>投标人须知资料表</w:t>
      </w:r>
      <w:bookmarkEnd w:id="394"/>
      <w:bookmarkEnd w:id="395"/>
      <w:bookmarkEnd w:id="396"/>
      <w:bookmarkEnd w:id="397"/>
      <w:bookmarkEnd w:id="398"/>
      <w:bookmarkEnd w:id="399"/>
    </w:p>
    <w:bookmarkEnd w:id="400"/>
    <w:p w14:paraId="6465AD27">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auto"/>
          <w:sz w:val="24"/>
          <w:highlight w:val="none"/>
        </w:rPr>
      </w:pPr>
    </w:p>
    <w:p w14:paraId="635E8021">
      <w:pPr>
        <w:keepNext w:val="0"/>
        <w:keepLines w:val="0"/>
        <w:pageBreakBefore w:val="0"/>
        <w:widowControl w:val="0"/>
        <w:kinsoku/>
        <w:overflowPunct/>
        <w:bidi w:val="0"/>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40"/>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1DE4D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419302F">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38A6FAE6">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5321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04EC0C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11D523F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cs="宋体"/>
                <w:color w:val="auto"/>
                <w:sz w:val="24"/>
                <w:highlight w:val="none"/>
                <w:lang w:val="en-US" w:eastAsia="zh-CN"/>
              </w:rPr>
              <w:t>喀什市科学技术局</w:t>
            </w:r>
          </w:p>
          <w:p w14:paraId="6831B04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联系方式：19850820950</w:t>
            </w:r>
          </w:p>
        </w:tc>
      </w:tr>
      <w:tr w14:paraId="6CC4F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5D731C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730F86EA">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r>
              <w:rPr>
                <w:rFonts w:hint="eastAsia" w:ascii="宋体" w:hAnsi="宋体" w:cs="宋体"/>
                <w:color w:val="auto"/>
                <w:sz w:val="24"/>
                <w:highlight w:val="none"/>
                <w:lang w:eastAsia="zh-CN"/>
              </w:rPr>
              <w:t>新疆泽煜航项目管理有限公司</w:t>
            </w:r>
          </w:p>
          <w:p w14:paraId="546B64F2">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喀什市西泓世嘉二期3号楼1单元9楼</w:t>
            </w:r>
          </w:p>
          <w:p w14:paraId="5BEB841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业务联系人：</w:t>
            </w:r>
            <w:r>
              <w:rPr>
                <w:rFonts w:hint="eastAsia" w:ascii="宋体" w:hAnsi="宋体" w:cs="宋体"/>
                <w:color w:val="auto"/>
                <w:sz w:val="24"/>
                <w:highlight w:val="none"/>
                <w:lang w:eastAsia="zh-CN"/>
              </w:rPr>
              <w:t>江帆</w:t>
            </w:r>
            <w:r>
              <w:rPr>
                <w:rFonts w:hint="eastAsia" w:ascii="宋体" w:hAnsi="宋体" w:eastAsia="宋体" w:cs="宋体"/>
                <w:color w:val="auto"/>
                <w:sz w:val="24"/>
                <w:highlight w:val="none"/>
                <w:lang w:eastAsia="zh-CN"/>
              </w:rPr>
              <w:t xml:space="preserve"> 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eastAsia="zh-CN"/>
              </w:rPr>
              <w:t>15509989039</w:t>
            </w:r>
          </w:p>
        </w:tc>
      </w:tr>
      <w:tr w14:paraId="256E8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7748BDB3">
            <w:pPr>
              <w:pStyle w:val="5"/>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1.3.4</w:t>
            </w:r>
          </w:p>
        </w:tc>
        <w:tc>
          <w:tcPr>
            <w:tcW w:w="7050" w:type="dxa"/>
            <w:noWrap w:val="0"/>
            <w:vAlign w:val="center"/>
          </w:tcPr>
          <w:p w14:paraId="4BA5AC1A">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合格投标人的资格要求：</w:t>
            </w:r>
          </w:p>
          <w:p w14:paraId="7C4F1B21">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498D0E44">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2.单位三证合一营业执照；</w:t>
            </w:r>
          </w:p>
          <w:p w14:paraId="5648EC61">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3.具备工程勘察资质甲级或具备工程勘察岩土工程专业乙级（含）以上资质；拟派项目负责人须具有注册岩土工程师或地勘类中级（含）以上职称证；</w:t>
            </w:r>
          </w:p>
          <w:p w14:paraId="5F24B935">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4.法人投标的需提供法定代表人身份证明书；被授权委托人需提供法人授权委托书；</w:t>
            </w:r>
          </w:p>
          <w:p w14:paraId="6AA5F832">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5.2025年度经会计事务所出具财务审计报告；（新成立的公司须提供近三个月任意一个月的银行资信证明）；</w:t>
            </w:r>
          </w:p>
          <w:p w14:paraId="757BAA8F">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6.依法缴纳近六个月中任意一个月的社保凭证；依法缴纳近六个月任意一个月的税收良好记录证明（零申报需加盖税务机关章、无拖欠税收证明需加盖税务机关章、完税证明为非社保缴纳明细）；</w:t>
            </w:r>
          </w:p>
          <w:p w14:paraId="7C965513">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7.未在“信用中国”网站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附网站截图或报告；</w:t>
            </w:r>
          </w:p>
          <w:p w14:paraId="65AED67B">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8.投标单位（供应商）提供针对本次项目《反商业贿赂承诺书》；</w:t>
            </w:r>
          </w:p>
          <w:p w14:paraId="1F370E41">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9.参加政府采购活动近3年内，在经营活动中没有重大违法记录的书面声明；</w:t>
            </w:r>
          </w:p>
          <w:p w14:paraId="3319A6AD">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10.投标保证金缴纳凭证或投标保函；</w:t>
            </w:r>
          </w:p>
          <w:p w14:paraId="034F3BE8">
            <w:pPr>
              <w:pStyle w:val="5"/>
              <w:ind w:firstLine="0"/>
              <w:rPr>
                <w:rFonts w:hint="eastAsia" w:ascii="宋体" w:hAnsi="宋体" w:eastAsia="宋体" w:cs="宋体"/>
                <w:b/>
                <w:bCs/>
                <w:color w:val="000000"/>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11、中小企业声明函。 </w:t>
            </w:r>
          </w:p>
        </w:tc>
      </w:tr>
      <w:tr w14:paraId="7350B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7241D13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3516C226">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D3BC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58ACEE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4A5DBEF8">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tc>
      </w:tr>
      <w:tr w14:paraId="13E28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485BFDCF">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74A3F0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p>
        </w:tc>
      </w:tr>
      <w:tr w14:paraId="7B79A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39400E6F">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5D235FFC">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预算价700000元；</w:t>
            </w:r>
          </w:p>
          <w:p w14:paraId="01FF9A91">
            <w:pPr>
              <w:pStyle w:val="5"/>
              <w:ind w:firstLine="0"/>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最高限价：700000元；</w:t>
            </w:r>
          </w:p>
        </w:tc>
      </w:tr>
      <w:tr w14:paraId="63043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5CD1DE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6639FA8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保证金形式：☑保函  ☑电汇  ☑支票</w:t>
            </w:r>
          </w:p>
          <w:p w14:paraId="360D83F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☑网银 （本项目允许的其他形式） </w:t>
            </w:r>
          </w:p>
          <w:p w14:paraId="798A0B7C">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保证</w:t>
            </w:r>
            <w:r>
              <w:rPr>
                <w:rFonts w:hint="eastAsia" w:ascii="宋体" w:hAnsi="宋体" w:eastAsia="宋体" w:cs="宋体"/>
                <w:color w:val="auto"/>
                <w:sz w:val="24"/>
                <w:highlight w:val="none"/>
                <w:lang w:val="en-US" w:eastAsia="zh-CN"/>
              </w:rPr>
              <w:t>金金额：</w:t>
            </w:r>
          </w:p>
          <w:p w14:paraId="20D750EC">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10000.00元；</w:t>
            </w:r>
          </w:p>
          <w:p w14:paraId="69099A5F">
            <w:pPr>
              <w:spacing w:line="240" w:lineRule="atLeast"/>
              <w:rPr>
                <w:rFonts w:hint="eastAsia" w:ascii="宋体" w:hAnsi="宋体" w:eastAsia="宋体" w:cs="宋体"/>
                <w:sz w:val="24"/>
                <w:lang w:eastAsia="zh-CN"/>
              </w:rPr>
            </w:pPr>
            <w:r>
              <w:rPr>
                <w:rFonts w:hint="eastAsia" w:ascii="宋体" w:hAnsi="宋体" w:cs="宋体"/>
                <w:sz w:val="24"/>
              </w:rPr>
              <w:t>开户名称：</w:t>
            </w:r>
            <w:r>
              <w:rPr>
                <w:rFonts w:hint="eastAsia" w:ascii="宋体" w:hAnsi="宋体" w:cs="宋体"/>
                <w:sz w:val="24"/>
                <w:lang w:eastAsia="zh-CN"/>
              </w:rPr>
              <w:t>新疆泽煜航项目管理有限公司</w:t>
            </w:r>
          </w:p>
          <w:p w14:paraId="43E21C1F">
            <w:pPr>
              <w:spacing w:line="240" w:lineRule="atLeast"/>
              <w:rPr>
                <w:rFonts w:hint="eastAsia" w:ascii="宋体" w:hAnsi="宋体" w:cs="宋体"/>
                <w:sz w:val="24"/>
              </w:rPr>
            </w:pPr>
            <w:r>
              <w:rPr>
                <w:rFonts w:hint="eastAsia" w:ascii="宋体" w:hAnsi="宋体" w:cs="宋体"/>
                <w:sz w:val="24"/>
              </w:rPr>
              <w:t>开户账号：107084038051</w:t>
            </w:r>
          </w:p>
          <w:p w14:paraId="29C1906E">
            <w:pPr>
              <w:spacing w:line="240" w:lineRule="atLeast"/>
              <w:rPr>
                <w:rFonts w:hint="eastAsia" w:ascii="宋体" w:hAnsi="宋体" w:cs="宋体"/>
                <w:sz w:val="24"/>
              </w:rPr>
            </w:pPr>
            <w:r>
              <w:rPr>
                <w:rFonts w:hint="eastAsia" w:ascii="宋体" w:hAnsi="宋体" w:cs="宋体"/>
                <w:sz w:val="24"/>
              </w:rPr>
              <w:t>开户银行：中国银行股份有限公司喀什市人民西路支行</w:t>
            </w:r>
          </w:p>
          <w:p w14:paraId="72E2C1EC">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cs="宋体"/>
                <w:color w:val="auto"/>
                <w:sz w:val="24"/>
                <w:highlight w:val="none"/>
                <w:lang w:val="en-US" w:eastAsia="zh-CN"/>
              </w:rPr>
              <w:t>15509989039</w:t>
            </w:r>
          </w:p>
          <w:p w14:paraId="2934B680">
            <w:pPr>
              <w:spacing w:line="240" w:lineRule="atLeas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到账截止时间：</w:t>
            </w:r>
            <w:r>
              <w:rPr>
                <w:rFonts w:hint="eastAsia" w:ascii="宋体" w:hAnsi="宋体" w:cs="宋体"/>
                <w:color w:val="auto"/>
                <w:sz w:val="24"/>
                <w:highlight w:val="none"/>
                <w:lang w:val="en-US" w:eastAsia="zh-CN"/>
              </w:rPr>
              <w:t>同投标截止时间</w:t>
            </w:r>
          </w:p>
          <w:p w14:paraId="1D51EC6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661205F9">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1.打款时必须注明投标保证金项目名称或项目编号（否则视为无效打款）。到账截止时间：</w:t>
            </w:r>
            <w:r>
              <w:rPr>
                <w:rFonts w:hint="eastAsia" w:ascii="宋体" w:hAnsi="宋体" w:cs="宋体"/>
                <w:color w:val="000000"/>
                <w:sz w:val="24"/>
                <w:szCs w:val="24"/>
                <w:highlight w:val="none"/>
                <w:lang w:eastAsia="zh-CN"/>
              </w:rPr>
              <w:t>2026年</w:t>
            </w:r>
            <w:r>
              <w:rPr>
                <w:rFonts w:hint="eastAsia" w:ascii="宋体" w:hAnsi="宋体" w:cs="宋体"/>
                <w:color w:val="000000"/>
                <w:sz w:val="24"/>
                <w:szCs w:val="24"/>
                <w:highlight w:val="none"/>
                <w:lang w:val="en-US" w:eastAsia="zh-CN"/>
              </w:rPr>
              <w:t>05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lang w:eastAsia="zh-CN"/>
              </w:rPr>
              <w:t>日11:00</w:t>
            </w:r>
            <w:r>
              <w:rPr>
                <w:rFonts w:hint="eastAsia" w:ascii="宋体" w:hAnsi="宋体" w:eastAsia="宋体" w:cs="宋体"/>
                <w:color w:val="auto"/>
                <w:sz w:val="24"/>
                <w:highlight w:val="none"/>
              </w:rPr>
              <w:t>前（以到账时间为准，节假日除外）。</w:t>
            </w:r>
          </w:p>
          <w:p w14:paraId="5BA20C28">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2.打款后请联系是否到账，</w:t>
            </w:r>
            <w:r>
              <w:rPr>
                <w:rFonts w:hint="eastAsia" w:ascii="宋体" w:hAnsi="宋体" w:eastAsia="宋体" w:cs="宋体"/>
                <w:color w:val="auto"/>
                <w:sz w:val="24"/>
                <w:highlight w:val="none"/>
                <w:lang w:val="en-US" w:eastAsia="zh-CN"/>
              </w:rPr>
              <w:t>投标单位需将投标保证金或投标保函放入投标文件中</w:t>
            </w:r>
            <w:r>
              <w:rPr>
                <w:rFonts w:hint="eastAsia" w:ascii="宋体" w:hAnsi="宋体" w:eastAsia="宋体" w:cs="宋体"/>
                <w:color w:val="auto"/>
                <w:sz w:val="24"/>
                <w:highlight w:val="none"/>
              </w:rPr>
              <w:t>。如因投标人自身原因打款不成功的，代理公司不承担任何责任。</w:t>
            </w:r>
          </w:p>
          <w:p w14:paraId="75F5960D">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3、根据《关于在政府采购活动中进一步推动开展信用担保工作的通知》，鼓励使用电子保函。</w:t>
            </w:r>
          </w:p>
          <w:p w14:paraId="1003D87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4、使用保函的，保函有效期不得低于投标有效期。</w:t>
            </w:r>
          </w:p>
          <w:p w14:paraId="5D4320BD">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本项目接受电子（商业保函、政采云电子保函）均可</w:t>
            </w:r>
          </w:p>
          <w:p w14:paraId="1D65C5EA">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.政采云电子保函须知</w:t>
            </w:r>
          </w:p>
          <w:p w14:paraId="005147C6">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.1政采云电子保函形式缴纳投标保证金，在线完成保函的申请、审核、开票、出函等环节；</w:t>
            </w:r>
          </w:p>
          <w:p w14:paraId="4D11ED81">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5.2如采用政采云电子保函形式，可按照以下形式进行在线申请，电子保函申请链接（https://jinrong.zcygov.cn/finance/letter/product/detail?id=30&amp;source=41），如遇问题可拨打客服电话：4009039583；</w:t>
            </w:r>
          </w:p>
          <w:p w14:paraId="08E0F239">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5.将保函制作到电子投标文件即可。</w:t>
            </w:r>
          </w:p>
          <w:p w14:paraId="24D6913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.中标人应在与采购人签订合同之日起5个工作日内，保证金收受机构根据中标人提供的打款凭证及时办理投标保证金无息退还手续。</w:t>
            </w:r>
          </w:p>
          <w:p w14:paraId="305FAC87">
            <w:pPr>
              <w:pStyle w:val="29"/>
              <w:rPr>
                <w:rFonts w:hint="default"/>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.未中标投标人的投标保证金将在中标通知书发出之日暨中标结果公告公布之日起5个工作日内无息退还，保证金收受机构根据未中标人提供的打款凭证及时办理退还投标保证金手续。</w:t>
            </w:r>
          </w:p>
        </w:tc>
      </w:tr>
      <w:tr w14:paraId="7CFB3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509F98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1C295155">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bl>
    <w:p w14:paraId="13D164A6">
      <w:pPr>
        <w:spacing w:line="240" w:lineRule="atLeast"/>
        <w:ind w:left="1080" w:leftChars="257" w:hanging="540"/>
        <w:rPr>
          <w:rFonts w:hint="eastAsia" w:ascii="宋体" w:hAnsi="宋体" w:cs="宋体"/>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tbl>
      <w:tblPr>
        <w:tblStyle w:val="40"/>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55017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3A006163">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29B56E1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为电子招投标，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A9DDC47">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.供应商将政采云电子交易客户端下载、安装完成后，可通过账号密码或CA登录客户端进行投标文件的制作。在使用政采云投标客户端时，建议使用WIN7及以上操作系统。</w:t>
            </w:r>
          </w:p>
          <w:p w14:paraId="2B7C561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.投标保证金缴纳及确认时间：凡拟参加本次招标项目的供应商，必须在开标前将投标保证金汇入指定账户。否则，届时其投标将被拒绝。</w:t>
            </w:r>
          </w:p>
          <w:p w14:paraId="6DD9460B">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.供应商对不见面开评标系统的技术操作咨询，可通过</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"https://edu.zcygov.cn/luban/xinjiang-e-biding"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https://edu.zcygov.cn/luban/xinjiang-e-biding</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自助查询，也可在政采云帮助中心常见问题解答和操作流程讲解视频中自助查询，网址为：</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"https://service.zcygov.cn/#/help"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https://service.zcygov.cn/#/help</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，“项目采购”—“操作流程-电子招投标”—“政府采购项目电子交易管理操作指南-供应商”版面获取操作指南，同时对自助查询无法解决的问题可通过政采云在线客服获取服务支持。</w:t>
            </w:r>
          </w:p>
          <w:p w14:paraId="762A1F96">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59401DB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.解密时长为30分钟。</w:t>
            </w:r>
          </w:p>
          <w:p w14:paraId="7B4F6E9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.中标单位中标后需提供纸质版投标文件及电子标书（具体以采单位要求为准）</w:t>
            </w:r>
          </w:p>
        </w:tc>
      </w:tr>
      <w:tr w14:paraId="389B6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319132B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45E87C6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000000"/>
                <w:sz w:val="24"/>
                <w:szCs w:val="24"/>
                <w:highlight w:val="none"/>
                <w:lang w:eastAsia="zh-CN"/>
              </w:rPr>
              <w:t>2026年</w:t>
            </w:r>
            <w:r>
              <w:rPr>
                <w:rFonts w:hint="eastAsia" w:ascii="宋体" w:hAnsi="宋体" w:cs="宋体"/>
                <w:color w:val="000000"/>
                <w:sz w:val="24"/>
                <w:szCs w:val="24"/>
                <w:highlight w:val="none"/>
                <w:lang w:val="en-US" w:eastAsia="zh-CN"/>
              </w:rPr>
              <w:t>05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lang w:eastAsia="zh-CN"/>
              </w:rPr>
              <w:t>日11:00</w:t>
            </w:r>
            <w:r>
              <w:rPr>
                <w:rFonts w:hint="eastAsia" w:ascii="宋体" w:hAnsi="宋体" w:cs="宋体"/>
                <w:color w:val="auto"/>
                <w:sz w:val="24"/>
                <w:highlight w:val="none"/>
                <w:lang w:val="en-US" w:eastAsia="zh-CN"/>
              </w:rPr>
              <w:t>（北京时间）</w:t>
            </w:r>
          </w:p>
        </w:tc>
      </w:tr>
      <w:tr w14:paraId="5929F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0A63E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383EAE0A">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000000"/>
                <w:sz w:val="24"/>
                <w:szCs w:val="24"/>
                <w:highlight w:val="none"/>
                <w:lang w:eastAsia="zh-CN"/>
              </w:rPr>
              <w:t>2026年</w:t>
            </w:r>
            <w:r>
              <w:rPr>
                <w:rFonts w:hint="eastAsia" w:ascii="宋体" w:hAnsi="宋体" w:cs="宋体"/>
                <w:color w:val="000000"/>
                <w:sz w:val="24"/>
                <w:szCs w:val="24"/>
                <w:highlight w:val="none"/>
                <w:lang w:val="en-US" w:eastAsia="zh-CN"/>
              </w:rPr>
              <w:t>05</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lang w:eastAsia="zh-CN"/>
              </w:rPr>
              <w:t>日11:00</w:t>
            </w:r>
            <w:r>
              <w:rPr>
                <w:rFonts w:hint="eastAsia" w:ascii="宋体" w:hAnsi="宋体" w:cs="宋体"/>
                <w:color w:val="auto"/>
                <w:sz w:val="24"/>
                <w:highlight w:val="none"/>
                <w:lang w:val="en-US" w:eastAsia="zh-CN"/>
              </w:rPr>
              <w:t>（北京时间）</w:t>
            </w:r>
          </w:p>
          <w:p w14:paraId="52634E0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p>
        </w:tc>
      </w:tr>
      <w:tr w14:paraId="3EE8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7012133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78546DAE">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核心内容：完成220kV输变电工程沿线及站点地质勘查与工程测量，提供准确勘察成果及测量数据，满足工程初步设计、施工图设计要求，确保项目安全、合规推进。</w:t>
            </w:r>
          </w:p>
        </w:tc>
      </w:tr>
      <w:tr w14:paraId="3D2E3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75873B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2D1C43A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7DCCF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3F49037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7D88ED7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推荐中标候选供应商的数量：</w:t>
            </w:r>
            <w:r>
              <w:rPr>
                <w:rFonts w:hint="eastAsia" w:ascii="宋体" w:hAnsi="宋体" w:cs="宋体"/>
                <w:color w:val="auto"/>
                <w:sz w:val="24"/>
                <w:highlight w:val="none"/>
                <w:u w:val="single"/>
              </w:rPr>
              <w:t>3个</w:t>
            </w:r>
          </w:p>
        </w:tc>
      </w:tr>
      <w:tr w14:paraId="7D427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14:paraId="3C1F1723">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51A91ABE">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招标人是否委托评标委员会直接确定中标人：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7F1A0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0489AE7D">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5EF4476">
            <w:pPr>
              <w:pStyle w:val="93"/>
              <w:spacing w:before="147" w:line="225" w:lineRule="auto"/>
              <w:ind w:left="19"/>
              <w:rPr>
                <w:sz w:val="24"/>
                <w:szCs w:val="24"/>
              </w:rPr>
            </w:pPr>
            <w:r>
              <w:rPr>
                <w:sz w:val="24"/>
                <w:szCs w:val="24"/>
              </w:rPr>
              <w:t>履约保证金金额：合同总价的</w:t>
            </w:r>
            <w:r>
              <w:rPr>
                <w:sz w:val="24"/>
                <w:szCs w:val="24"/>
                <w:u w:val="single" w:color="auto"/>
              </w:rPr>
              <w:t xml:space="preserve">   5%    </w:t>
            </w:r>
            <w:r>
              <w:rPr>
                <w:b/>
                <w:bCs/>
                <w:sz w:val="24"/>
                <w:szCs w:val="24"/>
                <w:u w:val="single" w:color="auto"/>
              </w:rPr>
              <w:t>（具</w:t>
            </w:r>
            <w:r>
              <w:rPr>
                <w:b/>
                <w:bCs/>
                <w:spacing w:val="-1"/>
                <w:sz w:val="24"/>
                <w:szCs w:val="24"/>
                <w:u w:val="single" w:color="auto"/>
              </w:rPr>
              <w:t>体以合同签订为准）。</w:t>
            </w:r>
          </w:p>
          <w:p w14:paraId="13FE19E9">
            <w:pPr>
              <w:pStyle w:val="93"/>
              <w:spacing w:before="142" w:line="184" w:lineRule="auto"/>
              <w:ind w:left="19"/>
              <w:rPr>
                <w:sz w:val="24"/>
                <w:szCs w:val="24"/>
              </w:rPr>
            </w:pPr>
            <w:r>
              <w:rPr>
                <w:spacing w:val="-3"/>
                <w:sz w:val="24"/>
                <w:szCs w:val="24"/>
              </w:rPr>
              <w:t>履约保证金形式</w:t>
            </w:r>
            <w:r>
              <w:rPr>
                <w:spacing w:val="-26"/>
                <w:sz w:val="24"/>
                <w:szCs w:val="24"/>
              </w:rPr>
              <w:t xml:space="preserve"> </w:t>
            </w:r>
            <w:r>
              <w:rPr>
                <w:spacing w:val="-3"/>
                <w:sz w:val="24"/>
                <w:szCs w:val="24"/>
              </w:rPr>
              <w:t>：</w:t>
            </w:r>
            <w:r>
              <w:rPr>
                <w:rFonts w:ascii="MS Gothic" w:hAnsi="MS Gothic" w:eastAsia="MS Gothic" w:cs="MS Gothic"/>
                <w:spacing w:val="-3"/>
                <w:sz w:val="24"/>
                <w:szCs w:val="24"/>
              </w:rPr>
              <w:t>☑</w:t>
            </w:r>
            <w:r>
              <w:rPr>
                <w:spacing w:val="-3"/>
                <w:sz w:val="24"/>
                <w:szCs w:val="24"/>
              </w:rPr>
              <w:t>保函</w:t>
            </w:r>
            <w:r>
              <w:rPr>
                <w:spacing w:val="15"/>
                <w:sz w:val="24"/>
                <w:szCs w:val="24"/>
              </w:rPr>
              <w:t xml:space="preserve">   </w:t>
            </w:r>
            <w:r>
              <w:rPr>
                <w:rFonts w:ascii="MS Gothic" w:hAnsi="MS Gothic" w:eastAsia="MS Gothic" w:cs="MS Gothic"/>
                <w:spacing w:val="-3"/>
                <w:sz w:val="24"/>
                <w:szCs w:val="24"/>
              </w:rPr>
              <w:t>☑</w:t>
            </w:r>
            <w:r>
              <w:rPr>
                <w:spacing w:val="-3"/>
                <w:sz w:val="24"/>
                <w:szCs w:val="24"/>
              </w:rPr>
              <w:t>电汇</w:t>
            </w:r>
            <w:r>
              <w:rPr>
                <w:spacing w:val="15"/>
                <w:sz w:val="24"/>
                <w:szCs w:val="24"/>
              </w:rPr>
              <w:t xml:space="preserve">   </w:t>
            </w:r>
            <w:r>
              <w:rPr>
                <w:rFonts w:ascii="MS Gothic" w:hAnsi="MS Gothic" w:eastAsia="MS Gothic" w:cs="MS Gothic"/>
                <w:spacing w:val="-3"/>
                <w:sz w:val="24"/>
                <w:szCs w:val="24"/>
              </w:rPr>
              <w:t>☑</w:t>
            </w:r>
            <w:r>
              <w:rPr>
                <w:spacing w:val="-3"/>
                <w:sz w:val="24"/>
                <w:szCs w:val="24"/>
              </w:rPr>
              <w:t xml:space="preserve">支票     </w:t>
            </w:r>
            <w:r>
              <w:rPr>
                <w:rFonts w:ascii="MS Gothic" w:hAnsi="MS Gothic" w:eastAsia="MS Gothic" w:cs="MS Gothic"/>
                <w:spacing w:val="-3"/>
                <w:sz w:val="24"/>
                <w:szCs w:val="24"/>
              </w:rPr>
              <w:t>☑</w:t>
            </w:r>
            <w:r>
              <w:rPr>
                <w:spacing w:val="-3"/>
                <w:sz w:val="24"/>
                <w:szCs w:val="24"/>
              </w:rPr>
              <w:t>对</w:t>
            </w:r>
            <w:r>
              <w:rPr>
                <w:spacing w:val="-4"/>
                <w:sz w:val="24"/>
                <w:szCs w:val="24"/>
              </w:rPr>
              <w:t>公转账</w:t>
            </w:r>
          </w:p>
          <w:p w14:paraId="19EF7E18">
            <w:pPr>
              <w:spacing w:line="240" w:lineRule="atLeast"/>
              <w:rPr>
                <w:rFonts w:hint="eastAsia" w:ascii="宋体" w:hAnsi="宋体" w:eastAsia="宋体" w:cs="宋体"/>
                <w:color w:val="auto"/>
                <w:sz w:val="24"/>
                <w:highlight w:val="none"/>
                <w:lang w:val="en-US" w:eastAsia="zh-CN"/>
              </w:rPr>
            </w:pPr>
            <w:r>
              <w:rPr>
                <w:spacing w:val="-1"/>
                <w:sz w:val="24"/>
                <w:szCs w:val="24"/>
                <w:u w:val="single" w:color="auto"/>
              </w:rPr>
              <w:t xml:space="preserve">提交履约保证金的时间：签订合同后 </w:t>
            </w:r>
            <w:r>
              <w:rPr>
                <w:rFonts w:hint="eastAsia"/>
                <w:spacing w:val="-1"/>
                <w:sz w:val="24"/>
                <w:szCs w:val="24"/>
                <w:u w:val="single" w:color="auto"/>
                <w:lang w:val="en-US" w:eastAsia="zh-CN"/>
              </w:rPr>
              <w:t>5</w:t>
            </w:r>
            <w:r>
              <w:rPr>
                <w:spacing w:val="-1"/>
                <w:sz w:val="24"/>
                <w:szCs w:val="24"/>
                <w:u w:val="single" w:color="auto"/>
              </w:rPr>
              <w:t xml:space="preserve"> 个工作日（具体以合同签订为准）。</w:t>
            </w:r>
            <w:r>
              <w:rPr>
                <w:sz w:val="24"/>
                <w:szCs w:val="24"/>
                <w:u w:val="single" w:color="auto"/>
              </w:rPr>
              <w:t>退还时间：待项目验收合格无质量问题后</w:t>
            </w:r>
            <w:r>
              <w:rPr>
                <w:rFonts w:hint="eastAsia"/>
                <w:sz w:val="24"/>
                <w:szCs w:val="24"/>
                <w:u w:val="single" w:color="auto"/>
                <w:lang w:val="en-US" w:eastAsia="zh-CN"/>
              </w:rPr>
              <w:t>无息</w:t>
            </w:r>
            <w:r>
              <w:rPr>
                <w:sz w:val="24"/>
                <w:szCs w:val="24"/>
                <w:u w:val="single" w:color="auto"/>
              </w:rPr>
              <w:t>退还（具体以合同签订为准）。</w:t>
            </w:r>
          </w:p>
        </w:tc>
      </w:tr>
      <w:tr w14:paraId="5CB02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6141985">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32</w:t>
            </w:r>
          </w:p>
        </w:tc>
        <w:tc>
          <w:tcPr>
            <w:tcW w:w="7050" w:type="dxa"/>
            <w:noWrap w:val="0"/>
            <w:vAlign w:val="center"/>
          </w:tcPr>
          <w:p w14:paraId="3012B342">
            <w:pPr>
              <w:pStyle w:val="93"/>
              <w:spacing w:before="126" w:line="283" w:lineRule="auto"/>
              <w:ind w:left="26" w:right="15" w:hanging="9"/>
              <w:jc w:val="both"/>
              <w:rPr>
                <w:sz w:val="24"/>
                <w:szCs w:val="24"/>
              </w:rPr>
            </w:pPr>
            <w:r>
              <w:rPr>
                <w:spacing w:val="-2"/>
                <w:sz w:val="24"/>
                <w:szCs w:val="24"/>
              </w:rPr>
              <w:t>成交服务费：根据(发改价格[2015]</w:t>
            </w:r>
            <w:r>
              <w:rPr>
                <w:spacing w:val="-3"/>
                <w:sz w:val="24"/>
                <w:szCs w:val="24"/>
              </w:rPr>
              <w:t>299 号文件)</w:t>
            </w:r>
            <w:r>
              <w:rPr>
                <w:spacing w:val="-36"/>
                <w:sz w:val="24"/>
                <w:szCs w:val="24"/>
              </w:rPr>
              <w:t xml:space="preserve"> </w:t>
            </w:r>
            <w:r>
              <w:rPr>
                <w:spacing w:val="-3"/>
                <w:sz w:val="24"/>
                <w:szCs w:val="24"/>
              </w:rPr>
              <w:t>，根据国家计委关于印发《招</w:t>
            </w:r>
            <w:r>
              <w:rPr>
                <w:spacing w:val="-4"/>
                <w:sz w:val="24"/>
                <w:szCs w:val="24"/>
              </w:rPr>
              <w:t>标代理服务收费管理暂行办法》的通知-计价格〔2002〕1980</w:t>
            </w:r>
            <w:r>
              <w:rPr>
                <w:spacing w:val="-5"/>
                <w:sz w:val="24"/>
                <w:szCs w:val="24"/>
              </w:rPr>
              <w:t xml:space="preserve"> 号文件为参考，</w:t>
            </w:r>
            <w:r>
              <w:rPr>
                <w:spacing w:val="-3"/>
                <w:sz w:val="24"/>
                <w:szCs w:val="24"/>
              </w:rPr>
              <w:t>按差额定率累进法计算，以中标价为计算基数收取代理服务费。100 万以下按</w:t>
            </w:r>
            <w:r>
              <w:rPr>
                <w:spacing w:val="-2"/>
                <w:sz w:val="24"/>
                <w:szCs w:val="24"/>
              </w:rPr>
              <w:t>1.5%收取，</w:t>
            </w:r>
            <w:r>
              <w:rPr>
                <w:spacing w:val="-44"/>
                <w:sz w:val="24"/>
                <w:szCs w:val="24"/>
              </w:rPr>
              <w:t xml:space="preserve"> </w:t>
            </w:r>
            <w:r>
              <w:rPr>
                <w:spacing w:val="-2"/>
                <w:sz w:val="24"/>
                <w:szCs w:val="24"/>
              </w:rPr>
              <w:t>100 万-500 万按 0.8%收取。</w:t>
            </w:r>
            <w:r>
              <w:rPr>
                <w:rFonts w:hint="eastAsia"/>
                <w:spacing w:val="-2"/>
                <w:sz w:val="24"/>
                <w:szCs w:val="24"/>
                <w:lang w:val="en-US" w:eastAsia="zh-CN"/>
              </w:rPr>
              <w:t>下浮20%</w:t>
            </w:r>
            <w:r>
              <w:rPr>
                <w:spacing w:val="-50"/>
                <w:sz w:val="24"/>
                <w:szCs w:val="24"/>
              </w:rPr>
              <w:t xml:space="preserve"> </w:t>
            </w:r>
            <w:r>
              <w:rPr>
                <w:spacing w:val="-2"/>
                <w:sz w:val="24"/>
                <w:szCs w:val="24"/>
              </w:rPr>
              <w:t>(由中成交供应商在领取成交通知书时一次性支付)。</w:t>
            </w:r>
          </w:p>
          <w:p w14:paraId="1C1FB88C">
            <w:pPr>
              <w:pStyle w:val="93"/>
              <w:spacing w:before="27" w:line="183" w:lineRule="auto"/>
              <w:ind w:left="19"/>
              <w:rPr>
                <w:sz w:val="24"/>
                <w:szCs w:val="24"/>
              </w:rPr>
            </w:pPr>
            <w:r>
              <w:rPr>
                <w:spacing w:val="-1"/>
                <w:sz w:val="24"/>
                <w:szCs w:val="24"/>
              </w:rPr>
              <w:t>支付形式：</w:t>
            </w:r>
            <w:r>
              <w:rPr>
                <w:spacing w:val="52"/>
                <w:sz w:val="24"/>
                <w:szCs w:val="24"/>
                <w:u w:val="single" w:color="auto"/>
              </w:rPr>
              <w:t xml:space="preserve"> </w:t>
            </w:r>
            <w:r>
              <w:rPr>
                <w:spacing w:val="-1"/>
                <w:sz w:val="24"/>
                <w:szCs w:val="24"/>
                <w:u w:val="single" w:color="auto"/>
              </w:rPr>
              <w:t>对公转账</w:t>
            </w:r>
            <w:r>
              <w:rPr>
                <w:sz w:val="24"/>
                <w:szCs w:val="24"/>
                <w:u w:val="single" w:color="auto"/>
              </w:rPr>
              <w:t xml:space="preserve">      </w:t>
            </w:r>
          </w:p>
          <w:p w14:paraId="466093F1">
            <w:pPr>
              <w:spacing w:line="240" w:lineRule="atLeast"/>
              <w:rPr>
                <w:rFonts w:hint="eastAsia" w:ascii="宋体" w:hAnsi="宋体" w:eastAsia="宋体" w:cs="宋体"/>
                <w:color w:val="auto"/>
                <w:sz w:val="24"/>
                <w:highlight w:val="none"/>
                <w:lang w:val="en-US" w:eastAsia="zh-CN"/>
              </w:rPr>
            </w:pPr>
            <w:r>
              <w:rPr>
                <w:spacing w:val="-3"/>
                <w:sz w:val="24"/>
                <w:szCs w:val="24"/>
              </w:rPr>
              <w:t>支付时间：</w:t>
            </w:r>
            <w:r>
              <w:rPr>
                <w:spacing w:val="65"/>
                <w:sz w:val="24"/>
                <w:szCs w:val="24"/>
                <w:u w:val="single" w:color="auto"/>
              </w:rPr>
              <w:t xml:space="preserve"> </w:t>
            </w:r>
            <w:r>
              <w:rPr>
                <w:spacing w:val="-3"/>
                <w:sz w:val="24"/>
                <w:szCs w:val="24"/>
                <w:u w:val="single" w:color="auto"/>
              </w:rPr>
              <w:t xml:space="preserve">领取成交通知书时  </w:t>
            </w:r>
          </w:p>
        </w:tc>
      </w:tr>
      <w:tr w14:paraId="366F2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61D830F0">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r w14:paraId="3F994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1468" w:type="dxa"/>
            <w:noWrap w:val="0"/>
            <w:vAlign w:val="center"/>
          </w:tcPr>
          <w:p w14:paraId="031EEDCE">
            <w:pPr>
              <w:spacing w:line="240" w:lineRule="atLeas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备注</w:t>
            </w:r>
          </w:p>
        </w:tc>
        <w:tc>
          <w:tcPr>
            <w:tcW w:w="7050" w:type="dxa"/>
            <w:noWrap w:val="0"/>
            <w:vAlign w:val="center"/>
          </w:tcPr>
          <w:p w14:paraId="2686B6DC">
            <w:pPr>
              <w:spacing w:line="240" w:lineRule="atLeast"/>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根据关于推动解决政府采购异常低价问题的通知财库〔2026〕2号</w:t>
            </w:r>
          </w:p>
          <w:p w14:paraId="608B9931">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（一）采购人应当在采购文件中明确，政府采购评审中出现下列情形之一的，评审委员会应当启动异常低价投标（响应）审查程序： </w:t>
            </w:r>
          </w:p>
          <w:p w14:paraId="17425470">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1.投标（响应）报价低于全部通过符合性审查供应商投标（响应）报价平均值50%的，即投标（响应）报价&lt;全部通过符合性审查供应商投标（响应）报价平均值×50%； </w:t>
            </w:r>
          </w:p>
          <w:p w14:paraId="1F337509">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2.投标（响应）报价低于通过符合性审查的次低报价供应商投标（响应）报价50%的，即投标（响应）报价&lt;通过符合性审查的次低报价供应商投标（响应）报价×50%； </w:t>
            </w:r>
          </w:p>
          <w:p w14:paraId="40872513">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3.投标（响应）报价低于采购项目最高限价45%的，即投标（响应）报价&lt;采购项目最高限价×45%； </w:t>
            </w:r>
          </w:p>
          <w:p w14:paraId="36A61F53">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4.评审委员会基于专业判断，认为供应商报价过低，有可能影响产品质量或者不能诚信履约的其他情形。 </w:t>
            </w:r>
          </w:p>
          <w:p w14:paraId="4C6A1018">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采购人可以结合具体项目实际情况，提高上述第1项至第3项中启动异常低价投标（响应）审查的数值标准，但是最高不得超过65%。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0DB4C9">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94DF914">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7C9EFDF">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2"/>
                <w:szCs w:val="22"/>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bl>
    <w:p w14:paraId="21E12638">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auto"/>
          <w:sz w:val="24"/>
          <w:highlight w:val="none"/>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39"/>
          <w:cols w:space="720" w:num="1"/>
          <w:docGrid w:linePitch="312" w:charSpace="0"/>
        </w:sectPr>
      </w:pPr>
    </w:p>
    <w:p w14:paraId="6745E5B1">
      <w:pPr>
        <w:pStyle w:val="2"/>
        <w:keepNext w:val="0"/>
        <w:keepLines w:val="0"/>
        <w:pageBreakBefore w:val="0"/>
        <w:widowControl w:val="0"/>
        <w:numPr>
          <w:ilvl w:val="0"/>
          <w:numId w:val="3"/>
        </w:numPr>
        <w:tabs>
          <w:tab w:val="left" w:pos="0"/>
        </w:tabs>
        <w:kinsoku/>
        <w:overflowPunct/>
        <w:bidi w:val="0"/>
        <w:spacing w:before="0" w:after="0" w:line="240" w:lineRule="atLeast"/>
        <w:ind w:leftChars="0"/>
        <w:jc w:val="center"/>
        <w:rPr>
          <w:rFonts w:hint="eastAsia" w:hAnsi="宋体" w:cs="宋体"/>
          <w:color w:val="auto"/>
          <w:highlight w:val="none"/>
          <w:lang w:eastAsia="zh-CN"/>
        </w:rPr>
      </w:pPr>
      <w:r>
        <w:rPr>
          <w:rFonts w:hint="eastAsia" w:ascii="宋体" w:hAnsi="宋体" w:eastAsia="宋体" w:cs="宋体"/>
          <w:b/>
          <w:color w:val="auto"/>
          <w:highlight w:val="none"/>
          <w:lang w:val="en-US" w:eastAsia="zh-CN"/>
        </w:rPr>
        <w:t xml:space="preserve"> </w:t>
      </w:r>
      <w:r>
        <w:rPr>
          <w:rFonts w:hint="eastAsia" w:hAnsi="宋体" w:cs="宋体"/>
          <w:color w:val="auto"/>
          <w:highlight w:val="none"/>
          <w:lang w:eastAsia="zh-CN"/>
        </w:rPr>
        <w:t>服务需求一览表及项目要求</w:t>
      </w:r>
    </w:p>
    <w:p w14:paraId="0E7F991C">
      <w:pPr>
        <w:spacing w:line="360" w:lineRule="auto"/>
        <w:rPr>
          <w:rFonts w:hint="eastAsia" w:ascii="仿宋" w:hAnsi="仿宋" w:eastAsia="仿宋"/>
          <w:b w:val="0"/>
          <w:bCs w:val="0"/>
          <w:color w:val="000000" w:themeColor="text1"/>
          <w:sz w:val="24"/>
          <w:szCs w:val="24"/>
          <w14:textFill>
            <w14:solidFill>
              <w14:schemeClr w14:val="tx1"/>
            </w14:solidFill>
          </w14:textFill>
        </w:rPr>
      </w:pPr>
      <w:bookmarkStart w:id="401" w:name="OLE_LINK3"/>
      <w:bookmarkStart w:id="402" w:name="_Toc32647"/>
      <w:bookmarkStart w:id="403" w:name="_Toc515647832"/>
      <w:bookmarkStart w:id="404" w:name="_Toc23331"/>
      <w:bookmarkStart w:id="405" w:name="_Toc507399907"/>
      <w:bookmarkStart w:id="406" w:name="_Toc7971"/>
      <w:r>
        <w:rPr>
          <w:rFonts w:hint="eastAsia" w:ascii="仿宋" w:hAnsi="仿宋" w:eastAsia="仿宋"/>
          <w:b/>
          <w:bCs/>
          <w:color w:val="000000" w:themeColor="text1"/>
          <w:sz w:val="24"/>
          <w:szCs w:val="24"/>
          <w14:textFill>
            <w14:solidFill>
              <w14:schemeClr w14:val="tx1"/>
            </w14:solidFill>
          </w14:textFill>
        </w:rPr>
        <w:t>一、项目名称：</w:t>
      </w:r>
      <w:r>
        <w:rPr>
          <w:rFonts w:hint="eastAsia" w:ascii="仿宋" w:hAnsi="仿宋" w:eastAsia="仿宋"/>
          <w:b w:val="0"/>
          <w:bCs w:val="0"/>
          <w:color w:val="000000" w:themeColor="text1"/>
          <w:sz w:val="24"/>
          <w:szCs w:val="24"/>
          <w14:textFill>
            <w14:solidFill>
              <w14:schemeClr w14:val="tx1"/>
            </w14:solidFill>
          </w14:textFill>
        </w:rPr>
        <w:t>喀什市空天信息产业园220KV输变电工程项目（地质勘查和工程测量）</w:t>
      </w:r>
    </w:p>
    <w:p w14:paraId="20C271A9">
      <w:pPr>
        <w:spacing w:line="360" w:lineRule="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二、采购人：</w:t>
      </w:r>
      <w:r>
        <w:rPr>
          <w:rFonts w:hint="eastAsia" w:ascii="仿宋" w:hAnsi="仿宋" w:eastAsia="仿宋"/>
          <w:b w:val="0"/>
          <w:bCs w:val="0"/>
          <w:color w:val="000000" w:themeColor="text1"/>
          <w:sz w:val="24"/>
          <w:szCs w:val="24"/>
          <w14:textFill>
            <w14:solidFill>
              <w14:schemeClr w14:val="tx1"/>
            </w14:solidFill>
          </w14:textFill>
        </w:rPr>
        <w:t>喀什市科学技术局</w:t>
      </w:r>
    </w:p>
    <w:p w14:paraId="02739159">
      <w:pPr>
        <w:spacing w:line="360" w:lineRule="auto"/>
      </w:pPr>
      <w:r>
        <w:rPr>
          <w:rFonts w:hint="eastAsia" w:ascii="仿宋" w:hAnsi="仿宋" w:eastAsia="仿宋"/>
          <w:b/>
          <w:bCs/>
          <w:color w:val="000000" w:themeColor="text1"/>
          <w:sz w:val="24"/>
          <w:szCs w:val="24"/>
          <w14:textFill>
            <w14:solidFill>
              <w14:schemeClr w14:val="tx1"/>
            </w14:solidFill>
          </w14:textFill>
        </w:rPr>
        <w:t>三、采购范围及内容：</w:t>
      </w:r>
    </w:p>
    <w:p w14:paraId="609A5BDE">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（一）地质勘查</w:t>
      </w:r>
    </w:p>
    <w:p w14:paraId="717473D7">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完成220kV输变电工程沿线及站点地质勘查工作，包括但不限于：</w:t>
      </w:r>
    </w:p>
    <w:p w14:paraId="3C16C1F3">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1. 查明沿线及场地工程地质条件，对岩土层分布、工程特性进行详细勘察与评价；</w:t>
      </w:r>
    </w:p>
    <w:p w14:paraId="1FD4D901">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2. 查明特殊性岩土（如盐渍土、湿陷性黄土等）的分布范围及工程特性，根据地层特点提出合理的地基处理方案；</w:t>
      </w:r>
    </w:p>
    <w:p w14:paraId="1FF88FBE">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3. 查明地下水的埋藏条件、类型、水位变化幅度及腐蚀性，分析地下水对基础施工及运营的影响；</w:t>
      </w:r>
    </w:p>
    <w:p w14:paraId="06834E0C">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4. 查明沿线地质构造特征，对场地的稳定性、地震效应等进行评价；</w:t>
      </w:r>
    </w:p>
    <w:p w14:paraId="5AA84EA3">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5. 查明场地土层的渗透变形破坏形式，对可能存在的渗流相关问题提出工程建议；</w:t>
      </w:r>
    </w:p>
    <w:p w14:paraId="020ED6AA">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6. 提供岩土物理力学参数及承载力特征值，满足变电站及线路基础设计要求；</w:t>
      </w:r>
    </w:p>
    <w:p w14:paraId="3E405737">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7. 对建（构）筑物基础型式、地基处理方案等提出建议，提供施工图设计阶段所需的岩土工程参数；</w:t>
      </w:r>
    </w:p>
    <w:p w14:paraId="029F9302">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8. 编制岩土工程勘察报告，内容须包括勘察方案、岩土参数成果、地基基础建议及结论等。</w:t>
      </w:r>
    </w:p>
    <w:p w14:paraId="076B3E2D">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（二）工程测量</w:t>
      </w:r>
    </w:p>
    <w:p w14:paraId="3D24F05A">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完成220kV输变电工程沿线及站点的工程测量工作，包括但不限于：</w:t>
      </w:r>
    </w:p>
    <w:p w14:paraId="4AC17DFE">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1. 完成变电站站址及输电线路沿线地形图测绘，比例尺满足初步设计与施工图设计要求；</w:t>
      </w:r>
    </w:p>
    <w:p w14:paraId="2CD6E6AD">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2. 完成输电线路塔基定位及平断面测量，成果符合电力工程测量标准；</w:t>
      </w:r>
    </w:p>
    <w:p w14:paraId="31D20A03">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3. 完成沿线重要地物、交叉跨越等项目调查与测量；</w:t>
      </w:r>
    </w:p>
    <w:p w14:paraId="1FE3FEEF">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四、服务期限：</w:t>
      </w:r>
      <w:r>
        <w:rPr>
          <w:rFonts w:hint="eastAsia" w:ascii="仿宋" w:hAnsi="仿宋" w:eastAsia="仿宋"/>
          <w:color w:val="000000" w:themeColor="text1"/>
          <w:sz w:val="24"/>
          <w:szCs w:val="24"/>
          <w14:textFill>
            <w14:solidFill>
              <w14:schemeClr w14:val="tx1"/>
            </w14:solidFill>
          </w14:textFill>
        </w:rPr>
        <w:t>从签订合同之日起</w:t>
      </w:r>
      <w:r>
        <w:rPr>
          <w:rFonts w:hint="eastAsia" w:ascii="仿宋" w:hAnsi="仿宋" w:eastAsia="仿宋"/>
          <w:color w:val="000000" w:themeColor="text1"/>
          <w:sz w:val="24"/>
          <w:szCs w:val="24"/>
          <w:lang w:val="en-US" w:eastAsia="zh-CN"/>
          <w14:textFill>
            <w14:solidFill>
              <w14:schemeClr w14:val="tx1"/>
            </w14:solidFill>
          </w14:textFill>
        </w:rPr>
        <w:t>40</w:t>
      </w:r>
      <w:r>
        <w:rPr>
          <w:rFonts w:hint="eastAsia" w:ascii="仿宋" w:hAnsi="仿宋" w:eastAsia="仿宋"/>
          <w:color w:val="000000" w:themeColor="text1"/>
          <w:sz w:val="24"/>
          <w:szCs w:val="24"/>
          <w14:textFill>
            <w14:solidFill>
              <w14:schemeClr w14:val="tx1"/>
            </w14:solidFill>
          </w14:textFill>
        </w:rPr>
        <w:t>个日历日完成相关服务。（具体以合同约定为准）</w:t>
      </w:r>
    </w:p>
    <w:p w14:paraId="2E6881DA">
      <w:pPr>
        <w:tabs>
          <w:tab w:val="left" w:pos="2352"/>
        </w:tabs>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五、具体要求：</w:t>
      </w:r>
    </w:p>
    <w:p w14:paraId="4535434A">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 xml:space="preserve">（一）工程概况： </w:t>
      </w:r>
    </w:p>
    <w:p w14:paraId="3F57A0BD">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1</w:t>
      </w:r>
      <w:r>
        <w:rPr>
          <w:rFonts w:hint="eastAsia" w:ascii="仿宋" w:hAnsi="仿宋" w:eastAsia="仿宋"/>
          <w:bCs/>
          <w:color w:val="000000" w:themeColor="text1"/>
          <w:sz w:val="24"/>
          <w:szCs w:val="24"/>
          <w14:textFill>
            <w14:solidFill>
              <w14:schemeClr w14:val="tx1"/>
            </w14:solidFill>
          </w14:textFill>
        </w:rPr>
        <w:t>. 采购人：喀什市科学技术局</w:t>
      </w:r>
    </w:p>
    <w:p w14:paraId="2FF8FF79">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2</w:t>
      </w:r>
      <w:r>
        <w:rPr>
          <w:rFonts w:hint="eastAsia" w:ascii="仿宋" w:hAnsi="仿宋" w:eastAsia="仿宋"/>
          <w:bCs/>
          <w:color w:val="000000" w:themeColor="text1"/>
          <w:sz w:val="24"/>
          <w:szCs w:val="24"/>
          <w14:textFill>
            <w14:solidFill>
              <w14:schemeClr w14:val="tx1"/>
            </w14:solidFill>
          </w14:textFill>
        </w:rPr>
        <w:t>. 采购方式：竞争性磋商</w:t>
      </w:r>
    </w:p>
    <w:p w14:paraId="3DAC363B">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3</w:t>
      </w:r>
      <w:r>
        <w:rPr>
          <w:rFonts w:hint="eastAsia" w:ascii="仿宋" w:hAnsi="仿宋" w:eastAsia="仿宋"/>
          <w:bCs/>
          <w:color w:val="000000" w:themeColor="text1"/>
          <w:sz w:val="24"/>
          <w:szCs w:val="24"/>
          <w14:textFill>
            <w14:solidFill>
              <w14:schemeClr w14:val="tx1"/>
            </w14:solidFill>
          </w14:textFill>
        </w:rPr>
        <w:t>. 采购预算：70.00万元人民币</w:t>
      </w:r>
    </w:p>
    <w:p w14:paraId="55A710AF">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4</w:t>
      </w:r>
      <w:r>
        <w:rPr>
          <w:rFonts w:hint="eastAsia" w:ascii="仿宋" w:hAnsi="仿宋" w:eastAsia="仿宋"/>
          <w:bCs/>
          <w:color w:val="000000" w:themeColor="text1"/>
          <w:sz w:val="24"/>
          <w:szCs w:val="24"/>
          <w14:textFill>
            <w14:solidFill>
              <w14:schemeClr w14:val="tx1"/>
            </w14:solidFill>
          </w14:textFill>
        </w:rPr>
        <w:t>. 资金来源：援疆资金</w:t>
      </w:r>
    </w:p>
    <w:p w14:paraId="42FE3805">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5</w:t>
      </w:r>
      <w:r>
        <w:rPr>
          <w:rFonts w:hint="eastAsia" w:ascii="仿宋" w:hAnsi="仿宋" w:eastAsia="仿宋"/>
          <w:bCs/>
          <w:color w:val="000000" w:themeColor="text1"/>
          <w:sz w:val="24"/>
          <w:szCs w:val="24"/>
          <w14:textFill>
            <w14:solidFill>
              <w14:schemeClr w14:val="tx1"/>
            </w14:solidFill>
          </w14:textFill>
        </w:rPr>
        <w:t>. 建设地点：喀什市荒地乡</w:t>
      </w:r>
    </w:p>
    <w:p w14:paraId="1DF63F2D">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6</w:t>
      </w:r>
      <w:r>
        <w:rPr>
          <w:rFonts w:hint="eastAsia" w:ascii="仿宋" w:hAnsi="仿宋" w:eastAsia="仿宋"/>
          <w:bCs/>
          <w:color w:val="000000" w:themeColor="text1"/>
          <w:sz w:val="24"/>
          <w:szCs w:val="24"/>
          <w14:textFill>
            <w14:solidFill>
              <w14:schemeClr w14:val="tx1"/>
            </w14:solidFill>
          </w14:textFill>
        </w:rPr>
        <w:t>. 项目背景：为保障喀什市空天信息产业园用电需求，完善区域电网结构，拟新建220kV输变电工程，需对变电站选址及输电线路沿线进行地质勘查与工程测量，为基础设计与施工提供科学依据。</w:t>
      </w:r>
    </w:p>
    <w:p w14:paraId="2370A563">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（二）质量要求</w:t>
      </w:r>
    </w:p>
    <w:p w14:paraId="6E7D85D0">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1、质量标准：符合现行国家有关工程勘察验收规范和标准的合格要求。</w:t>
      </w:r>
    </w:p>
    <w:p w14:paraId="210175E8">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（三）适用规范、标准和规程</w:t>
      </w:r>
    </w:p>
    <w:p w14:paraId="16B1CD71">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1、除合同另有约定外，本工程适用现行国家、行业和地方规范、标准和规程。</w:t>
      </w:r>
    </w:p>
    <w:p w14:paraId="18346B23">
      <w:pPr>
        <w:tabs>
          <w:tab w:val="left" w:pos="2352"/>
        </w:tabs>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2、除合同另有约定外，材料、施工工艺和本工程都应依照本技术标准和要求以及适用的现行规范、标准和规程的最新版本执行。</w:t>
      </w:r>
    </w:p>
    <w:p w14:paraId="7EF4AD56">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（四）成果要求：1. 供应商提交的岩土工程勘察报告须包括但不限于以下内容：工程概况与勘察目的、勘察方法及工作量、区域地质与工程地质条件、岩土分层及工程特性指标、地下水概况及腐蚀性评价、地震效应评价、地基方案建议、结论与建议。</w:t>
      </w:r>
    </w:p>
    <w:p w14:paraId="1C203C3C">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 测量成果须包括：地形图、塔基定位成果、平断面测量成果、控制测量成果及相关技术说明。</w:t>
      </w:r>
    </w:p>
    <w:p w14:paraId="2504452B">
      <w:pPr>
        <w:tabs>
          <w:tab w:val="left" w:pos="2352"/>
        </w:tabs>
        <w:spacing w:line="360" w:lineRule="auto"/>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3. 最终验收以通过专家评审会和采购人确认为准。</w:t>
      </w:r>
    </w:p>
    <w:p w14:paraId="6F47533D">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eastAsia="zh-CN"/>
          <w14:textFill>
            <w14:solidFill>
              <w14:schemeClr w14:val="tx1"/>
            </w14:solidFill>
          </w14:textFill>
        </w:rPr>
        <w:t>（</w:t>
      </w:r>
      <w:r>
        <w:rPr>
          <w:rFonts w:hint="eastAsia" w:ascii="仿宋" w:hAnsi="仿宋" w:eastAsia="仿宋"/>
          <w:bCs/>
          <w:color w:val="000000" w:themeColor="text1"/>
          <w:sz w:val="24"/>
          <w:szCs w:val="24"/>
          <w:lang w:val="en-US" w:eastAsia="zh-CN"/>
          <w14:textFill>
            <w14:solidFill>
              <w14:schemeClr w14:val="tx1"/>
            </w14:solidFill>
          </w14:textFill>
        </w:rPr>
        <w:t>五</w:t>
      </w:r>
      <w:r>
        <w:rPr>
          <w:rFonts w:hint="eastAsia" w:ascii="仿宋" w:hAnsi="仿宋" w:eastAsia="仿宋"/>
          <w:bCs/>
          <w:color w:val="000000" w:themeColor="text1"/>
          <w:sz w:val="24"/>
          <w:szCs w:val="24"/>
          <w:lang w:eastAsia="zh-CN"/>
          <w14:textFill>
            <w14:solidFill>
              <w14:schemeClr w14:val="tx1"/>
            </w14:solidFill>
          </w14:textFill>
        </w:rPr>
        <w:t>）</w:t>
      </w:r>
      <w:r>
        <w:rPr>
          <w:rFonts w:hint="eastAsia" w:ascii="仿宋" w:hAnsi="仿宋" w:eastAsia="仿宋"/>
          <w:bCs/>
          <w:color w:val="000000" w:themeColor="text1"/>
          <w:sz w:val="24"/>
          <w:szCs w:val="24"/>
          <w:lang w:val="en-US" w:eastAsia="zh-CN"/>
          <w14:textFill>
            <w14:solidFill>
              <w14:schemeClr w14:val="tx1"/>
            </w14:solidFill>
          </w14:textFill>
        </w:rPr>
        <w:t>技术要求：1. 标准化要求：根据新疆地区盐渍土分布广泛、地层复杂的实际情况，勘察工作应特别加强对地基盐渍化程度和湿陷性土层的勘探取样及室内试验分析。勘探点数量、深度、取样、原位测试等均应符合现行国家及行业标准。</w:t>
      </w:r>
    </w:p>
    <w:p w14:paraId="271359CA">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2. 测量精度要求：地形图测绘、塔基定位、平断面测量精度应满足《电力工程测量规范》要求。</w:t>
      </w:r>
    </w:p>
    <w:p w14:paraId="0DB80410">
      <w:pPr>
        <w:tabs>
          <w:tab w:val="left" w:pos="2352"/>
        </w:tabs>
        <w:spacing w:line="360" w:lineRule="auto"/>
        <w:rPr>
          <w:rFonts w:hint="default"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3. 数据管理要求：勘察与测量数据格式需与设计软件兼容，满足数字化交付要求。</w:t>
      </w:r>
    </w:p>
    <w:p w14:paraId="68DBDE30">
      <w:pPr>
        <w:tabs>
          <w:tab w:val="left" w:pos="2352"/>
        </w:tabs>
        <w:spacing w:line="360" w:lineRule="auto"/>
        <w:rPr>
          <w:rFonts w:hint="eastAsia" w:ascii="仿宋" w:hAnsi="仿宋" w:eastAsia="仿宋"/>
          <w:bCs/>
          <w:color w:val="000000" w:themeColor="text1"/>
          <w:sz w:val="24"/>
          <w:szCs w:val="24"/>
          <w:lang w:val="en-US" w:eastAsia="zh-CN"/>
          <w14:textFill>
            <w14:solidFill>
              <w14:schemeClr w14:val="tx1"/>
            </w14:solidFill>
          </w14:textFill>
        </w:rPr>
      </w:pPr>
      <w:r>
        <w:rPr>
          <w:rFonts w:hint="eastAsia" w:ascii="仿宋" w:hAnsi="仿宋" w:eastAsia="仿宋"/>
          <w:bCs/>
          <w:color w:val="000000" w:themeColor="text1"/>
          <w:sz w:val="24"/>
          <w:szCs w:val="24"/>
          <w:lang w:val="en-US" w:eastAsia="zh-CN"/>
          <w14:textFill>
            <w14:solidFill>
              <w14:schemeClr w14:val="tx1"/>
            </w14:solidFill>
          </w14:textFill>
        </w:rPr>
        <w:t>（六）付款方式：签订合同后支付合同价30%；提交完整成果性文件后，累计支付至合同价 80%；工程竣工验收合格且设计后续配合服务完毕后，无息付清剩余20% 尾款。</w:t>
      </w:r>
    </w:p>
    <w:bookmarkEnd w:id="401"/>
    <w:p w14:paraId="2A362BD6">
      <w:pPr>
        <w:tabs>
          <w:tab w:val="left" w:pos="2352"/>
        </w:tabs>
        <w:spacing w:line="360" w:lineRule="auto"/>
        <w:ind w:firstLine="241" w:firstLineChars="1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六、质量保证</w:t>
      </w:r>
    </w:p>
    <w:p w14:paraId="2B336D8F">
      <w:pPr>
        <w:tabs>
          <w:tab w:val="left" w:pos="2352"/>
        </w:tabs>
        <w:spacing w:line="360" w:lineRule="auto"/>
        <w:ind w:firstLine="480" w:firstLineChars="200"/>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按照国家和新疆维吾尔自治区有关规定执行。</w:t>
      </w:r>
    </w:p>
    <w:p w14:paraId="488BA36E">
      <w:pPr>
        <w:tabs>
          <w:tab w:val="left" w:pos="2352"/>
        </w:tabs>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七、其他</w:t>
      </w:r>
    </w:p>
    <w:p w14:paraId="08C5B3B1">
      <w:pPr>
        <w:tabs>
          <w:tab w:val="left" w:pos="2352"/>
        </w:tabs>
        <w:spacing w:line="360" w:lineRule="auto"/>
        <w:ind w:firstLine="480" w:firstLineChars="200"/>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（一）投标人必须在投标文件中对以上条款和服务承诺明确列出，承诺内容必须达到本篇及招标文件其他条款的要求。</w:t>
      </w:r>
    </w:p>
    <w:p w14:paraId="19045F10">
      <w:pPr>
        <w:tabs>
          <w:tab w:val="left" w:pos="2352"/>
        </w:tabs>
        <w:spacing w:line="360" w:lineRule="auto"/>
        <w:ind w:firstLine="480" w:firstLineChars="200"/>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（二）其他未尽事宜由供需双方在采购合同中详细约定。</w:t>
      </w:r>
    </w:p>
    <w:p w14:paraId="3184B080">
      <w:pPr>
        <w:numPr>
          <w:ilvl w:val="0"/>
          <w:numId w:val="0"/>
        </w:numPr>
        <w:rPr>
          <w:rFonts w:hint="default"/>
          <w:lang w:val="en-US" w:eastAsia="zh-CN"/>
        </w:rPr>
      </w:pPr>
    </w:p>
    <w:p w14:paraId="7F6EA8DB">
      <w:pPr>
        <w:numPr>
          <w:ilvl w:val="0"/>
          <w:numId w:val="0"/>
        </w:numPr>
        <w:rPr>
          <w:rFonts w:hint="default"/>
          <w:lang w:val="en-US" w:eastAsia="zh-CN"/>
        </w:rPr>
      </w:pPr>
    </w:p>
    <w:p w14:paraId="42337FB3">
      <w:pPr>
        <w:numPr>
          <w:ilvl w:val="0"/>
          <w:numId w:val="0"/>
        </w:numPr>
        <w:rPr>
          <w:rFonts w:hint="default"/>
          <w:lang w:val="en-US" w:eastAsia="zh-CN"/>
        </w:rPr>
      </w:pPr>
    </w:p>
    <w:p w14:paraId="388B17B2">
      <w:pPr>
        <w:numPr>
          <w:ilvl w:val="0"/>
          <w:numId w:val="0"/>
        </w:numPr>
        <w:rPr>
          <w:rFonts w:hint="default"/>
          <w:lang w:val="en-US" w:eastAsia="zh-CN"/>
        </w:rPr>
      </w:pPr>
    </w:p>
    <w:p w14:paraId="58F3BA4D">
      <w:pPr>
        <w:numPr>
          <w:ilvl w:val="0"/>
          <w:numId w:val="0"/>
        </w:numPr>
        <w:rPr>
          <w:rFonts w:hint="default"/>
          <w:lang w:val="en-US" w:eastAsia="zh-CN"/>
        </w:rPr>
      </w:pPr>
    </w:p>
    <w:p w14:paraId="02532761">
      <w:pPr>
        <w:numPr>
          <w:ilvl w:val="0"/>
          <w:numId w:val="0"/>
        </w:numPr>
        <w:rPr>
          <w:rFonts w:hint="default"/>
          <w:lang w:val="en-US" w:eastAsia="zh-CN"/>
        </w:rPr>
      </w:pPr>
    </w:p>
    <w:p w14:paraId="2B895F1C">
      <w:pPr>
        <w:numPr>
          <w:ilvl w:val="0"/>
          <w:numId w:val="0"/>
        </w:numPr>
        <w:rPr>
          <w:rFonts w:hint="default"/>
          <w:lang w:val="en-US" w:eastAsia="zh-CN"/>
        </w:rPr>
      </w:pPr>
    </w:p>
    <w:p w14:paraId="596F155B">
      <w:pPr>
        <w:numPr>
          <w:ilvl w:val="0"/>
          <w:numId w:val="0"/>
        </w:numPr>
        <w:rPr>
          <w:rFonts w:hint="default"/>
          <w:lang w:val="en-US" w:eastAsia="zh-CN"/>
        </w:rPr>
      </w:pPr>
    </w:p>
    <w:p w14:paraId="737C4389">
      <w:pPr>
        <w:numPr>
          <w:ilvl w:val="0"/>
          <w:numId w:val="0"/>
        </w:numPr>
        <w:rPr>
          <w:rFonts w:hint="default"/>
          <w:lang w:val="en-US" w:eastAsia="zh-CN"/>
        </w:rPr>
      </w:pPr>
    </w:p>
    <w:p w14:paraId="1612FEE4">
      <w:pPr>
        <w:numPr>
          <w:ilvl w:val="0"/>
          <w:numId w:val="0"/>
        </w:numPr>
        <w:rPr>
          <w:rFonts w:hint="default"/>
          <w:lang w:val="en-US" w:eastAsia="zh-CN"/>
        </w:rPr>
      </w:pPr>
    </w:p>
    <w:p w14:paraId="0B9808D5">
      <w:pPr>
        <w:numPr>
          <w:ilvl w:val="0"/>
          <w:numId w:val="0"/>
        </w:numPr>
        <w:rPr>
          <w:rFonts w:hint="default"/>
          <w:lang w:val="en-US" w:eastAsia="zh-CN"/>
        </w:rPr>
      </w:pPr>
    </w:p>
    <w:p w14:paraId="4AA90E06">
      <w:pPr>
        <w:numPr>
          <w:ilvl w:val="0"/>
          <w:numId w:val="0"/>
        </w:numPr>
        <w:rPr>
          <w:rFonts w:hint="default"/>
          <w:lang w:val="en-US" w:eastAsia="zh-CN"/>
        </w:rPr>
      </w:pPr>
    </w:p>
    <w:p w14:paraId="15CFAFE2">
      <w:pPr>
        <w:pStyle w:val="9"/>
        <w:ind w:left="0" w:leftChars="0" w:firstLine="0" w:firstLineChars="0"/>
        <w:rPr>
          <w:rFonts w:hint="eastAsia" w:ascii="宋体" w:hAnsi="宋体" w:eastAsia="宋体" w:cs="宋体"/>
          <w:color w:val="auto"/>
          <w:highlight w:val="none"/>
          <w:lang w:eastAsia="zh-CN"/>
        </w:rPr>
      </w:pPr>
    </w:p>
    <w:p w14:paraId="7F484DD0">
      <w:pPr>
        <w:rPr>
          <w:rFonts w:hint="eastAsia"/>
          <w:lang w:eastAsia="zh-CN"/>
        </w:rPr>
      </w:pPr>
    </w:p>
    <w:p w14:paraId="6E5E99C7">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评标方法和标准</w:t>
      </w:r>
      <w:bookmarkEnd w:id="402"/>
      <w:bookmarkEnd w:id="403"/>
      <w:bookmarkEnd w:id="404"/>
      <w:bookmarkEnd w:id="405"/>
      <w:bookmarkEnd w:id="406"/>
    </w:p>
    <w:p w14:paraId="5670507E">
      <w:pPr>
        <w:pStyle w:val="12"/>
        <w:spacing w:before="172" w:line="280" w:lineRule="auto"/>
        <w:ind w:left="1" w:firstLine="540"/>
        <w:rPr>
          <w:sz w:val="24"/>
          <w:szCs w:val="24"/>
        </w:rPr>
      </w:pPr>
      <w:r>
        <w:rPr>
          <w:spacing w:val="5"/>
          <w:sz w:val="24"/>
          <w:szCs w:val="24"/>
        </w:rPr>
        <w:t>本项目将按照磋商文件第一章供应商须知中“</w:t>
      </w:r>
      <w:r>
        <w:rPr>
          <w:spacing w:val="4"/>
          <w:sz w:val="24"/>
          <w:szCs w:val="24"/>
        </w:rPr>
        <w:t>五</w:t>
      </w:r>
      <w:r>
        <w:rPr>
          <w:spacing w:val="54"/>
          <w:sz w:val="24"/>
          <w:szCs w:val="24"/>
        </w:rPr>
        <w:t xml:space="preserve"> </w:t>
      </w:r>
      <w:r>
        <w:rPr>
          <w:spacing w:val="4"/>
          <w:sz w:val="24"/>
          <w:szCs w:val="24"/>
        </w:rPr>
        <w:t>磋商开启及评审”</w:t>
      </w:r>
      <w:r>
        <w:rPr>
          <w:spacing w:val="-54"/>
          <w:sz w:val="24"/>
          <w:szCs w:val="24"/>
        </w:rPr>
        <w:t xml:space="preserve"> </w:t>
      </w:r>
      <w:r>
        <w:rPr>
          <w:spacing w:val="4"/>
          <w:sz w:val="24"/>
          <w:szCs w:val="24"/>
        </w:rPr>
        <w:t>、“六</w:t>
      </w:r>
      <w:r>
        <w:rPr>
          <w:spacing w:val="55"/>
          <w:sz w:val="24"/>
          <w:szCs w:val="24"/>
        </w:rPr>
        <w:t xml:space="preserve"> </w:t>
      </w:r>
      <w:r>
        <w:rPr>
          <w:spacing w:val="4"/>
          <w:sz w:val="24"/>
          <w:szCs w:val="24"/>
        </w:rPr>
        <w:t>确定成交”</w:t>
      </w:r>
      <w:r>
        <w:rPr>
          <w:spacing w:val="-1"/>
          <w:sz w:val="24"/>
          <w:szCs w:val="24"/>
        </w:rPr>
        <w:t>及本章的规定评标。</w:t>
      </w:r>
    </w:p>
    <w:p w14:paraId="040E64DA">
      <w:pPr>
        <w:pStyle w:val="12"/>
        <w:spacing w:before="1" w:line="228" w:lineRule="auto"/>
        <w:ind w:left="259"/>
        <w:rPr>
          <w:sz w:val="24"/>
          <w:szCs w:val="24"/>
        </w:rPr>
      </w:pPr>
      <w:r>
        <w:rPr>
          <w:b/>
          <w:bCs/>
          <w:spacing w:val="-3"/>
          <w:sz w:val="24"/>
          <w:szCs w:val="24"/>
        </w:rPr>
        <w:t>1、落实政府采购政策</w:t>
      </w:r>
    </w:p>
    <w:p w14:paraId="01227956">
      <w:pPr>
        <w:pStyle w:val="12"/>
        <w:spacing w:before="86" w:line="273" w:lineRule="auto"/>
        <w:ind w:right="112" w:firstLine="482"/>
        <w:rPr>
          <w:sz w:val="24"/>
          <w:szCs w:val="24"/>
        </w:rPr>
      </w:pPr>
      <w:r>
        <w:rPr>
          <w:b/>
          <w:bCs/>
          <w:spacing w:val="2"/>
          <w:sz w:val="24"/>
          <w:szCs w:val="24"/>
        </w:rPr>
        <w:t>①根据《政府采购促进中小企业发展管理办法》（财库﹝2020﹞46</w:t>
      </w:r>
      <w:r>
        <w:rPr>
          <w:b/>
          <w:bCs/>
          <w:spacing w:val="60"/>
          <w:sz w:val="24"/>
          <w:szCs w:val="24"/>
        </w:rPr>
        <w:t xml:space="preserve"> </w:t>
      </w:r>
      <w:r>
        <w:rPr>
          <w:b/>
          <w:bCs/>
          <w:spacing w:val="2"/>
          <w:sz w:val="24"/>
          <w:szCs w:val="24"/>
        </w:rPr>
        <w:t>号）、《关于落实</w:t>
      </w:r>
      <w:r>
        <w:rPr>
          <w:b/>
          <w:bCs/>
          <w:spacing w:val="1"/>
          <w:sz w:val="24"/>
          <w:szCs w:val="24"/>
        </w:rPr>
        <w:t>好政府采购支持中小企业发展的通知》（新财</w:t>
      </w:r>
      <w:r>
        <w:rPr>
          <w:b/>
          <w:bCs/>
          <w:sz w:val="24"/>
          <w:szCs w:val="24"/>
        </w:rPr>
        <w:t>购</w:t>
      </w:r>
      <w:r>
        <w:rPr>
          <w:b/>
          <w:bCs/>
          <w:spacing w:val="51"/>
          <w:sz w:val="24"/>
          <w:szCs w:val="24"/>
        </w:rPr>
        <w:t xml:space="preserve"> </w:t>
      </w:r>
      <w:r>
        <w:rPr>
          <w:b/>
          <w:bCs/>
          <w:sz w:val="24"/>
          <w:szCs w:val="24"/>
        </w:rPr>
        <w:t>〔2022〕22 号）、《财政部司法部关于政</w:t>
      </w:r>
      <w:r>
        <w:rPr>
          <w:b/>
          <w:bCs/>
          <w:spacing w:val="-2"/>
          <w:sz w:val="24"/>
          <w:szCs w:val="24"/>
        </w:rPr>
        <w:t>府采购支持监狱企业发展有关问题的通知》（财库〔2014〕68 号）和</w:t>
      </w:r>
      <w:r>
        <w:rPr>
          <w:b/>
          <w:bCs/>
          <w:spacing w:val="-3"/>
          <w:sz w:val="24"/>
          <w:szCs w:val="24"/>
        </w:rPr>
        <w:t>《三部门联合发布关于</w:t>
      </w:r>
      <w:r>
        <w:rPr>
          <w:b/>
          <w:bCs/>
          <w:sz w:val="24"/>
          <w:szCs w:val="24"/>
        </w:rPr>
        <w:t>促进残疾人就业政府采购政策的通知》（财库〔2017〕</w:t>
      </w:r>
      <w:r>
        <w:rPr>
          <w:b/>
          <w:bCs/>
          <w:spacing w:val="-37"/>
          <w:sz w:val="24"/>
          <w:szCs w:val="24"/>
        </w:rPr>
        <w:t xml:space="preserve"> </w:t>
      </w:r>
      <w:r>
        <w:rPr>
          <w:b/>
          <w:bCs/>
          <w:sz w:val="24"/>
          <w:szCs w:val="24"/>
        </w:rPr>
        <w:t>141号）的规定</w:t>
      </w:r>
      <w:r>
        <w:rPr>
          <w:b/>
          <w:bCs/>
          <w:spacing w:val="-38"/>
          <w:sz w:val="24"/>
          <w:szCs w:val="24"/>
        </w:rPr>
        <w:t xml:space="preserve"> </w:t>
      </w:r>
      <w:r>
        <w:rPr>
          <w:b/>
          <w:bCs/>
          <w:sz w:val="24"/>
          <w:szCs w:val="24"/>
        </w:rPr>
        <w:t>，其中小型、微型企</w:t>
      </w:r>
      <w:r>
        <w:rPr>
          <w:b/>
          <w:bCs/>
          <w:spacing w:val="-2"/>
          <w:sz w:val="24"/>
          <w:szCs w:val="24"/>
        </w:rPr>
        <w:t>业在响应文件中提交了《中小企业声明函》、《残疾人福</w:t>
      </w:r>
      <w:r>
        <w:rPr>
          <w:b/>
          <w:bCs/>
          <w:spacing w:val="-3"/>
          <w:sz w:val="24"/>
          <w:szCs w:val="24"/>
        </w:rPr>
        <w:t>利性单位声明函》或省级以上监狱管</w:t>
      </w:r>
      <w:r>
        <w:rPr>
          <w:b/>
          <w:bCs/>
          <w:spacing w:val="-2"/>
          <w:sz w:val="24"/>
          <w:szCs w:val="24"/>
        </w:rPr>
        <w:t>理局、戒毒管理局（含新疆生产建设兵团）出具的属于监</w:t>
      </w:r>
      <w:r>
        <w:rPr>
          <w:b/>
          <w:bCs/>
          <w:spacing w:val="-3"/>
          <w:sz w:val="24"/>
          <w:szCs w:val="24"/>
        </w:rPr>
        <w:t>狱企业的证明文件的供应商，其报价</w:t>
      </w:r>
      <w:r>
        <w:rPr>
          <w:b/>
          <w:bCs/>
          <w:spacing w:val="-1"/>
          <w:sz w:val="24"/>
          <w:szCs w:val="24"/>
        </w:rPr>
        <w:t>扣除</w:t>
      </w:r>
      <w:r>
        <w:rPr>
          <w:b/>
          <w:bCs/>
          <w:spacing w:val="72"/>
          <w:sz w:val="24"/>
          <w:szCs w:val="24"/>
          <w:u w:val="single" w:color="auto"/>
        </w:rPr>
        <w:t xml:space="preserve"> </w:t>
      </w:r>
      <w:r>
        <w:rPr>
          <w:b/>
          <w:bCs/>
          <w:spacing w:val="-1"/>
          <w:sz w:val="24"/>
          <w:szCs w:val="24"/>
          <w:u w:val="single" w:color="auto"/>
        </w:rPr>
        <w:t>10</w:t>
      </w:r>
      <w:r>
        <w:rPr>
          <w:b/>
          <w:bCs/>
          <w:spacing w:val="-1"/>
          <w:sz w:val="24"/>
          <w:szCs w:val="24"/>
        </w:rPr>
        <w:t>%后参与评审。对于同时属于小型、微型及小微企业、监狱企业或残疾人福利性单位</w:t>
      </w:r>
      <w:r>
        <w:rPr>
          <w:b/>
          <w:bCs/>
          <w:spacing w:val="-2"/>
          <w:sz w:val="24"/>
          <w:szCs w:val="24"/>
        </w:rPr>
        <w:t>的</w:t>
      </w:r>
      <w:r>
        <w:rPr>
          <w:b/>
          <w:bCs/>
          <w:spacing w:val="-22"/>
          <w:sz w:val="24"/>
          <w:szCs w:val="24"/>
        </w:rPr>
        <w:t xml:space="preserve"> </w:t>
      </w:r>
      <w:r>
        <w:rPr>
          <w:b/>
          <w:bCs/>
          <w:spacing w:val="-2"/>
          <w:sz w:val="24"/>
          <w:szCs w:val="24"/>
        </w:rPr>
        <w:t>，不重复进行报价扣除。（本项目专门面向中小企业采购）</w:t>
      </w:r>
    </w:p>
    <w:p w14:paraId="7D266B56">
      <w:pPr>
        <w:pStyle w:val="12"/>
        <w:spacing w:before="143" w:line="238" w:lineRule="auto"/>
        <w:ind w:right="115" w:firstLine="481"/>
        <w:rPr>
          <w:sz w:val="24"/>
          <w:szCs w:val="24"/>
        </w:rPr>
      </w:pPr>
      <w:r>
        <w:rPr>
          <w:b/>
          <w:bCs/>
          <w:spacing w:val="-3"/>
          <w:sz w:val="24"/>
          <w:szCs w:val="24"/>
        </w:rPr>
        <w:t>②联合协议中约定，小型、微型企业和监狱企业的协议合同金额占到联合体协议合同总金</w:t>
      </w:r>
      <w:r>
        <w:rPr>
          <w:b/>
          <w:bCs/>
          <w:spacing w:val="-1"/>
          <w:sz w:val="24"/>
          <w:szCs w:val="24"/>
        </w:rPr>
        <w:t>额40%以上的</w:t>
      </w:r>
      <w:r>
        <w:rPr>
          <w:b/>
          <w:bCs/>
          <w:spacing w:val="-40"/>
          <w:sz w:val="24"/>
          <w:szCs w:val="24"/>
        </w:rPr>
        <w:t xml:space="preserve"> </w:t>
      </w:r>
      <w:r>
        <w:rPr>
          <w:b/>
          <w:bCs/>
          <w:spacing w:val="-1"/>
          <w:sz w:val="24"/>
          <w:szCs w:val="24"/>
        </w:rPr>
        <w:t>，可给予联合体4%~6%的价格扣除。（本项目</w:t>
      </w:r>
      <w:r>
        <w:rPr>
          <w:b/>
          <w:bCs/>
          <w:spacing w:val="-2"/>
          <w:sz w:val="24"/>
          <w:szCs w:val="24"/>
        </w:rPr>
        <w:t>不适用）</w:t>
      </w:r>
    </w:p>
    <w:p w14:paraId="13535DA6">
      <w:pPr>
        <w:pStyle w:val="12"/>
        <w:spacing w:before="143" w:line="183" w:lineRule="auto"/>
        <w:rPr>
          <w:sz w:val="24"/>
          <w:szCs w:val="24"/>
        </w:rPr>
      </w:pPr>
      <w:r>
        <w:rPr>
          <w:b/>
          <w:bCs/>
          <w:spacing w:val="-1"/>
          <w:sz w:val="24"/>
          <w:szCs w:val="24"/>
        </w:rPr>
        <w:t>联合体各方均为小型、微型企业和监狱企业的</w:t>
      </w:r>
      <w:r>
        <w:rPr>
          <w:b/>
          <w:bCs/>
          <w:spacing w:val="-36"/>
          <w:sz w:val="24"/>
          <w:szCs w:val="24"/>
        </w:rPr>
        <w:t xml:space="preserve"> </w:t>
      </w:r>
      <w:r>
        <w:rPr>
          <w:b/>
          <w:bCs/>
          <w:spacing w:val="-1"/>
          <w:sz w:val="24"/>
          <w:szCs w:val="24"/>
        </w:rPr>
        <w:t>，联合体视同为小型、微型企业和监狱企业。</w:t>
      </w:r>
    </w:p>
    <w:p w14:paraId="1280D50D">
      <w:pPr>
        <w:pStyle w:val="12"/>
        <w:spacing w:before="164" w:line="266" w:lineRule="auto"/>
        <w:ind w:right="115" w:firstLine="482"/>
        <w:rPr>
          <w:sz w:val="24"/>
          <w:szCs w:val="24"/>
        </w:rPr>
      </w:pPr>
      <w:r>
        <w:rPr>
          <w:b/>
          <w:bCs/>
          <w:sz w:val="24"/>
          <w:szCs w:val="24"/>
        </w:rPr>
        <w:t>③供应商所投产品如被列入财政部与国家主管部门颁发的节能产品目录</w:t>
      </w:r>
      <w:r>
        <w:rPr>
          <w:b/>
          <w:bCs/>
          <w:spacing w:val="-1"/>
          <w:sz w:val="24"/>
          <w:szCs w:val="24"/>
        </w:rPr>
        <w:t>或环境标志产品</w:t>
      </w:r>
      <w:r>
        <w:rPr>
          <w:b/>
          <w:bCs/>
          <w:spacing w:val="-4"/>
          <w:sz w:val="24"/>
          <w:szCs w:val="24"/>
        </w:rPr>
        <w:t>目录或无线局域网产品目录，应提供相关证明，在评标时予以优先采购，具体优惠措施为： 投</w:t>
      </w:r>
      <w:r>
        <w:rPr>
          <w:b/>
          <w:bCs/>
          <w:spacing w:val="-2"/>
          <w:sz w:val="24"/>
          <w:szCs w:val="24"/>
        </w:rPr>
        <w:t>标商所投产品应优先选择《财政部国家发展改革委关于调</w:t>
      </w:r>
      <w:r>
        <w:rPr>
          <w:b/>
          <w:bCs/>
          <w:spacing w:val="-3"/>
          <w:sz w:val="24"/>
          <w:szCs w:val="24"/>
        </w:rPr>
        <w:t>整公布第二十四期节能产品政府采购</w:t>
      </w:r>
      <w:r>
        <w:rPr>
          <w:b/>
          <w:bCs/>
          <w:sz w:val="24"/>
          <w:szCs w:val="24"/>
        </w:rPr>
        <w:t>清单的通知》（财库〔2018〕73号）、《财政部</w:t>
      </w:r>
      <w:r>
        <w:rPr>
          <w:b/>
          <w:bCs/>
          <w:spacing w:val="51"/>
          <w:w w:val="101"/>
          <w:sz w:val="24"/>
          <w:szCs w:val="24"/>
        </w:rPr>
        <w:t xml:space="preserve"> </w:t>
      </w:r>
      <w:r>
        <w:rPr>
          <w:b/>
          <w:bCs/>
          <w:sz w:val="24"/>
          <w:szCs w:val="24"/>
        </w:rPr>
        <w:t>环境保护部关于调整公布</w:t>
      </w:r>
      <w:r>
        <w:rPr>
          <w:b/>
          <w:bCs/>
          <w:spacing w:val="-1"/>
          <w:sz w:val="24"/>
          <w:szCs w:val="24"/>
        </w:rPr>
        <w:t>第二十二期环境标志产品政府采购清单的通知》（财库〔2018〕70号）</w:t>
      </w:r>
      <w:r>
        <w:rPr>
          <w:b/>
          <w:bCs/>
          <w:spacing w:val="-46"/>
          <w:sz w:val="24"/>
          <w:szCs w:val="24"/>
        </w:rPr>
        <w:t xml:space="preserve"> </w:t>
      </w:r>
      <w:r>
        <w:rPr>
          <w:b/>
          <w:bCs/>
          <w:spacing w:val="-1"/>
          <w:sz w:val="24"/>
          <w:szCs w:val="24"/>
        </w:rPr>
        <w:t>目录内的产品（须</w:t>
      </w:r>
      <w:r>
        <w:rPr>
          <w:b/>
          <w:bCs/>
          <w:spacing w:val="-2"/>
          <w:sz w:val="24"/>
          <w:szCs w:val="24"/>
        </w:rPr>
        <w:t>提供节能、环保认</w:t>
      </w:r>
      <w:r>
        <w:rPr>
          <w:b/>
          <w:bCs/>
          <w:sz w:val="24"/>
          <w:szCs w:val="24"/>
        </w:rPr>
        <w:t>证证书复印件加盖公章）。</w:t>
      </w:r>
    </w:p>
    <w:p w14:paraId="7181688E">
      <w:pPr>
        <w:pStyle w:val="12"/>
        <w:spacing w:before="142" w:line="232" w:lineRule="auto"/>
        <w:ind w:right="115" w:firstLine="482"/>
        <w:rPr>
          <w:sz w:val="24"/>
          <w:szCs w:val="24"/>
        </w:rPr>
      </w:pPr>
      <w:r>
        <w:rPr>
          <w:b/>
          <w:bCs/>
          <w:spacing w:val="-3"/>
          <w:sz w:val="24"/>
          <w:szCs w:val="24"/>
        </w:rPr>
        <w:t>④如采购人所采购产品为政府强制采购的节能产品，供应商所投产品的品牌及型号必须为</w:t>
      </w:r>
      <w:r>
        <w:rPr>
          <w:b/>
          <w:bCs/>
          <w:spacing w:val="-1"/>
          <w:sz w:val="24"/>
          <w:szCs w:val="24"/>
        </w:rPr>
        <w:t>清单中有效期内产品并提供证明文件</w:t>
      </w:r>
      <w:r>
        <w:rPr>
          <w:b/>
          <w:bCs/>
          <w:spacing w:val="-40"/>
          <w:sz w:val="24"/>
          <w:szCs w:val="24"/>
        </w:rPr>
        <w:t xml:space="preserve"> </w:t>
      </w:r>
      <w:r>
        <w:rPr>
          <w:b/>
          <w:bCs/>
          <w:spacing w:val="-1"/>
          <w:sz w:val="24"/>
          <w:szCs w:val="24"/>
        </w:rPr>
        <w:t>，否则其投标将被认定为投</w:t>
      </w:r>
      <w:r>
        <w:rPr>
          <w:b/>
          <w:bCs/>
          <w:spacing w:val="-2"/>
          <w:sz w:val="24"/>
          <w:szCs w:val="24"/>
        </w:rPr>
        <w:t>标无效。</w:t>
      </w:r>
    </w:p>
    <w:p w14:paraId="5828BC53">
      <w:pPr>
        <w:pStyle w:val="12"/>
        <w:spacing w:before="144" w:line="220" w:lineRule="auto"/>
        <w:ind w:left="482"/>
        <w:rPr>
          <w:sz w:val="24"/>
          <w:szCs w:val="24"/>
        </w:rPr>
      </w:pPr>
      <w:r>
        <w:rPr>
          <w:b/>
          <w:bCs/>
          <w:sz w:val="24"/>
          <w:szCs w:val="24"/>
        </w:rPr>
        <w:t>⑤对创新产品或创新性企业的优惠措施为：</w:t>
      </w:r>
      <w:r>
        <w:rPr>
          <w:b/>
          <w:bCs/>
          <w:sz w:val="24"/>
          <w:szCs w:val="24"/>
          <w:u w:val="single" w:color="auto"/>
        </w:rPr>
        <w:t xml:space="preserve">      /         </w:t>
      </w:r>
    </w:p>
    <w:p w14:paraId="0106E188">
      <w:pPr>
        <w:pStyle w:val="12"/>
        <w:spacing w:before="227" w:line="230" w:lineRule="auto"/>
        <w:ind w:left="489"/>
        <w:rPr>
          <w:sz w:val="24"/>
          <w:szCs w:val="24"/>
        </w:rPr>
      </w:pPr>
      <w:r>
        <w:rPr>
          <w:b/>
          <w:bCs/>
          <w:spacing w:val="-5"/>
          <w:sz w:val="24"/>
          <w:szCs w:val="24"/>
        </w:rPr>
        <w:t>2、</w:t>
      </w:r>
      <w:r>
        <w:rPr>
          <w:b/>
          <w:bCs/>
          <w:spacing w:val="55"/>
          <w:w w:val="101"/>
          <w:sz w:val="24"/>
          <w:szCs w:val="24"/>
        </w:rPr>
        <w:t xml:space="preserve"> </w:t>
      </w:r>
      <w:r>
        <w:rPr>
          <w:b/>
          <w:bCs/>
          <w:spacing w:val="-5"/>
          <w:sz w:val="24"/>
          <w:szCs w:val="24"/>
        </w:rPr>
        <w:t>开标</w:t>
      </w:r>
    </w:p>
    <w:p w14:paraId="20E23B40">
      <w:pPr>
        <w:pStyle w:val="12"/>
        <w:spacing w:before="87" w:line="229" w:lineRule="auto"/>
        <w:ind w:left="489"/>
        <w:rPr>
          <w:sz w:val="24"/>
          <w:szCs w:val="24"/>
        </w:rPr>
      </w:pPr>
      <w:r>
        <w:rPr>
          <w:b/>
          <w:bCs/>
          <w:spacing w:val="-3"/>
          <w:sz w:val="24"/>
          <w:szCs w:val="24"/>
        </w:rPr>
        <w:t>2.1 开标邀请</w:t>
      </w:r>
    </w:p>
    <w:p w14:paraId="028E47F0">
      <w:pPr>
        <w:pStyle w:val="12"/>
        <w:spacing w:before="93" w:line="244" w:lineRule="auto"/>
        <w:ind w:right="115" w:firstLine="518"/>
        <w:rPr>
          <w:sz w:val="24"/>
          <w:szCs w:val="24"/>
        </w:rPr>
      </w:pPr>
      <w:r>
        <w:rPr>
          <w:spacing w:val="-2"/>
          <w:sz w:val="24"/>
          <w:szCs w:val="24"/>
        </w:rPr>
        <w:t>（1）开标准备：本项目开标的准备工作由采购组织机构负责落实</w:t>
      </w:r>
      <w:r>
        <w:rPr>
          <w:spacing w:val="-30"/>
          <w:sz w:val="24"/>
          <w:szCs w:val="24"/>
        </w:rPr>
        <w:t xml:space="preserve"> </w:t>
      </w:r>
      <w:r>
        <w:rPr>
          <w:spacing w:val="-2"/>
          <w:sz w:val="24"/>
          <w:szCs w:val="24"/>
        </w:rPr>
        <w:t>，开标过程由采购组织</w:t>
      </w:r>
      <w:r>
        <w:rPr>
          <w:spacing w:val="-1"/>
          <w:sz w:val="24"/>
          <w:szCs w:val="24"/>
        </w:rPr>
        <w:t>机构负责记录；</w:t>
      </w:r>
    </w:p>
    <w:p w14:paraId="5DF19CB4">
      <w:pPr>
        <w:spacing w:line="244" w:lineRule="auto"/>
        <w:rPr>
          <w:sz w:val="24"/>
          <w:szCs w:val="24"/>
        </w:rPr>
        <w:sectPr>
          <w:pgSz w:w="11907" w:h="16840"/>
          <w:pgMar w:top="1420" w:right="965" w:bottom="0" w:left="1082" w:header="0" w:footer="0" w:gutter="0"/>
          <w:cols w:space="720" w:num="1"/>
        </w:sectPr>
      </w:pPr>
    </w:p>
    <w:p w14:paraId="427E760E">
      <w:pPr>
        <w:pStyle w:val="12"/>
        <w:spacing w:before="144" w:line="221" w:lineRule="auto"/>
        <w:ind w:left="520"/>
        <w:rPr>
          <w:sz w:val="24"/>
          <w:szCs w:val="24"/>
        </w:rPr>
      </w:pPr>
      <w:r>
        <w:rPr>
          <w:spacing w:val="-2"/>
          <w:sz w:val="24"/>
          <w:szCs w:val="24"/>
        </w:rPr>
        <w:t>（2）开标主持：本项目开标由采购人或者采购代理机构主持；</w:t>
      </w:r>
    </w:p>
    <w:p w14:paraId="23DE5132">
      <w:pPr>
        <w:pStyle w:val="12"/>
        <w:spacing w:before="102" w:line="256" w:lineRule="auto"/>
        <w:ind w:right="72" w:firstLine="520"/>
        <w:rPr>
          <w:sz w:val="24"/>
          <w:szCs w:val="24"/>
        </w:rPr>
      </w:pPr>
      <w:r>
        <w:rPr>
          <w:spacing w:val="-2"/>
          <w:sz w:val="24"/>
          <w:szCs w:val="24"/>
        </w:rPr>
        <w:t>（3）开标邀请：本项目采用电子交易</w:t>
      </w:r>
      <w:r>
        <w:rPr>
          <w:spacing w:val="-30"/>
          <w:sz w:val="24"/>
          <w:szCs w:val="24"/>
        </w:rPr>
        <w:t xml:space="preserve"> </w:t>
      </w:r>
      <w:r>
        <w:rPr>
          <w:spacing w:val="-2"/>
          <w:sz w:val="24"/>
          <w:szCs w:val="24"/>
        </w:rPr>
        <w:t>，采购组织机构将按照竞争性磋商文件规定的时间</w:t>
      </w:r>
      <w:r>
        <w:rPr>
          <w:sz w:val="24"/>
          <w:szCs w:val="24"/>
        </w:rPr>
        <w:t>通过“新疆政府采购云平台，</w:t>
      </w:r>
      <w:r>
        <w:rPr>
          <w:spacing w:val="-38"/>
          <w:sz w:val="24"/>
          <w:szCs w:val="24"/>
        </w:rPr>
        <w:t xml:space="preserve"> </w:t>
      </w:r>
      <w:r>
        <w:rPr>
          <w:sz w:val="24"/>
          <w:szCs w:val="24"/>
        </w:rPr>
        <w:t>网址：</w:t>
      </w:r>
      <w:r>
        <w:fldChar w:fldCharType="begin"/>
      </w:r>
      <w:r>
        <w:instrText xml:space="preserve"> HYPERLINK "http://www.zcygov.cn" </w:instrText>
      </w:r>
      <w:r>
        <w:fldChar w:fldCharType="separate"/>
      </w:r>
      <w:r>
        <w:rPr>
          <w:sz w:val="24"/>
          <w:szCs w:val="24"/>
        </w:rPr>
        <w:t>www.zcygov.cn</w:t>
      </w:r>
      <w:r>
        <w:rPr>
          <w:sz w:val="24"/>
          <w:szCs w:val="24"/>
        </w:rPr>
        <w:fldChar w:fldCharType="end"/>
      </w:r>
      <w:r>
        <w:rPr>
          <w:sz w:val="24"/>
          <w:szCs w:val="24"/>
        </w:rPr>
        <w:t>”组织开标、开启投标响应文件</w:t>
      </w:r>
      <w:r>
        <w:rPr>
          <w:spacing w:val="-30"/>
          <w:sz w:val="24"/>
          <w:szCs w:val="24"/>
        </w:rPr>
        <w:t xml:space="preserve"> </w:t>
      </w:r>
      <w:r>
        <w:rPr>
          <w:sz w:val="24"/>
          <w:szCs w:val="24"/>
        </w:rPr>
        <w:t>，所有</w:t>
      </w:r>
      <w:r>
        <w:rPr>
          <w:spacing w:val="-1"/>
          <w:sz w:val="24"/>
          <w:szCs w:val="24"/>
        </w:rPr>
        <w:t>供应商均应当准时在线参加。</w:t>
      </w:r>
    </w:p>
    <w:p w14:paraId="64FA2699">
      <w:pPr>
        <w:pStyle w:val="12"/>
        <w:spacing w:before="121" w:line="262" w:lineRule="auto"/>
        <w:ind w:left="3" w:right="5" w:firstLine="517"/>
        <w:rPr>
          <w:sz w:val="24"/>
          <w:szCs w:val="24"/>
        </w:rPr>
      </w:pPr>
      <w:r>
        <w:rPr>
          <w:spacing w:val="-2"/>
          <w:sz w:val="24"/>
          <w:szCs w:val="24"/>
        </w:rPr>
        <w:t>（4）供应商对开标过程和开标记录有疑义</w:t>
      </w:r>
      <w:r>
        <w:rPr>
          <w:spacing w:val="-30"/>
          <w:sz w:val="24"/>
          <w:szCs w:val="24"/>
        </w:rPr>
        <w:t xml:space="preserve"> </w:t>
      </w:r>
      <w:r>
        <w:rPr>
          <w:spacing w:val="-2"/>
          <w:sz w:val="24"/>
          <w:szCs w:val="24"/>
        </w:rPr>
        <w:t>，以及认为采购人、采购代理机构相关工作人</w:t>
      </w:r>
      <w:r>
        <w:rPr>
          <w:spacing w:val="-6"/>
          <w:sz w:val="24"/>
          <w:szCs w:val="24"/>
        </w:rPr>
        <w:t>员有需要回避的情形的，应当场提出询问或回避申</w:t>
      </w:r>
      <w:r>
        <w:rPr>
          <w:spacing w:val="-7"/>
          <w:sz w:val="24"/>
          <w:szCs w:val="24"/>
        </w:rPr>
        <w:t>请。供应商未参加开标的视同认可开标结果，</w:t>
      </w:r>
      <w:r>
        <w:rPr>
          <w:spacing w:val="-2"/>
          <w:sz w:val="24"/>
          <w:szCs w:val="24"/>
        </w:rPr>
        <w:t>事后不得对采购相关人员、开标过程和开标结果提出异</w:t>
      </w:r>
      <w:r>
        <w:rPr>
          <w:spacing w:val="-3"/>
          <w:sz w:val="24"/>
          <w:szCs w:val="24"/>
        </w:rPr>
        <w:t>议，同时供应商因未在线参加开标而导</w:t>
      </w:r>
      <w:r>
        <w:rPr>
          <w:sz w:val="24"/>
          <w:szCs w:val="24"/>
        </w:rPr>
        <w:t>致响应文件无法按时解密等一切后果由供应</w:t>
      </w:r>
      <w:r>
        <w:rPr>
          <w:spacing w:val="-1"/>
          <w:sz w:val="24"/>
          <w:szCs w:val="24"/>
        </w:rPr>
        <w:t>商自行承担。</w:t>
      </w:r>
    </w:p>
    <w:p w14:paraId="05CDDB63">
      <w:pPr>
        <w:pStyle w:val="12"/>
        <w:spacing w:before="116" w:line="225" w:lineRule="auto"/>
        <w:ind w:left="491"/>
        <w:rPr>
          <w:sz w:val="24"/>
          <w:szCs w:val="24"/>
        </w:rPr>
      </w:pPr>
      <w:r>
        <w:rPr>
          <w:b/>
          <w:bCs/>
          <w:spacing w:val="-1"/>
          <w:sz w:val="24"/>
          <w:szCs w:val="24"/>
        </w:rPr>
        <w:t>2.2 开标程序（先资格性、后符合性、最终报价、再商务技术）</w:t>
      </w:r>
    </w:p>
    <w:p w14:paraId="16038683">
      <w:pPr>
        <w:pStyle w:val="12"/>
        <w:spacing w:before="98" w:line="221" w:lineRule="auto"/>
        <w:ind w:left="520"/>
        <w:rPr>
          <w:sz w:val="24"/>
          <w:szCs w:val="24"/>
        </w:rPr>
      </w:pPr>
      <w:r>
        <w:rPr>
          <w:spacing w:val="-4"/>
          <w:sz w:val="24"/>
          <w:szCs w:val="24"/>
        </w:rPr>
        <w:t>（1）开标时间到后</w:t>
      </w:r>
      <w:r>
        <w:rPr>
          <w:spacing w:val="-28"/>
          <w:sz w:val="24"/>
          <w:szCs w:val="24"/>
        </w:rPr>
        <w:t xml:space="preserve"> </w:t>
      </w:r>
      <w:r>
        <w:rPr>
          <w:spacing w:val="-4"/>
          <w:sz w:val="24"/>
          <w:szCs w:val="24"/>
        </w:rPr>
        <w:t>，主持人宣布开标会议开始。</w:t>
      </w:r>
    </w:p>
    <w:p w14:paraId="356A900F">
      <w:pPr>
        <w:pStyle w:val="12"/>
        <w:spacing w:before="96" w:line="225" w:lineRule="auto"/>
        <w:ind w:left="520"/>
        <w:rPr>
          <w:sz w:val="24"/>
          <w:szCs w:val="24"/>
        </w:rPr>
      </w:pPr>
      <w:r>
        <w:rPr>
          <w:spacing w:val="-1"/>
          <w:sz w:val="24"/>
          <w:szCs w:val="24"/>
        </w:rPr>
        <w:t>（2）响应文件解密（</w:t>
      </w:r>
      <w:r>
        <w:rPr>
          <w:b/>
          <w:bCs/>
          <w:spacing w:val="-1"/>
          <w:sz w:val="24"/>
          <w:szCs w:val="24"/>
        </w:rPr>
        <w:t>解密规定见《供应商须知前附表》</w:t>
      </w:r>
      <w:r>
        <w:rPr>
          <w:spacing w:val="-2"/>
          <w:sz w:val="24"/>
          <w:szCs w:val="24"/>
        </w:rPr>
        <w:t>）。</w:t>
      </w:r>
    </w:p>
    <w:p w14:paraId="6C1D7B47">
      <w:pPr>
        <w:pStyle w:val="12"/>
        <w:spacing w:before="93" w:line="225" w:lineRule="auto"/>
        <w:ind w:left="520"/>
        <w:rPr>
          <w:sz w:val="24"/>
          <w:szCs w:val="24"/>
        </w:rPr>
      </w:pPr>
      <w:r>
        <w:rPr>
          <w:spacing w:val="-1"/>
          <w:sz w:val="24"/>
          <w:szCs w:val="24"/>
        </w:rPr>
        <w:t>（3）响应文件解密异常情况处理（</w:t>
      </w:r>
      <w:r>
        <w:rPr>
          <w:b/>
          <w:bCs/>
          <w:spacing w:val="-1"/>
          <w:sz w:val="24"/>
          <w:szCs w:val="24"/>
        </w:rPr>
        <w:t>处理办法见《供应商须知前附表》</w:t>
      </w:r>
      <w:r>
        <w:rPr>
          <w:spacing w:val="-1"/>
          <w:sz w:val="24"/>
          <w:szCs w:val="24"/>
        </w:rPr>
        <w:t>）。</w:t>
      </w:r>
    </w:p>
    <w:p w14:paraId="4ABFE29A">
      <w:pPr>
        <w:pStyle w:val="12"/>
        <w:spacing w:before="100" w:line="221" w:lineRule="auto"/>
        <w:ind w:left="520"/>
        <w:rPr>
          <w:sz w:val="24"/>
          <w:szCs w:val="24"/>
        </w:rPr>
      </w:pPr>
      <w:r>
        <w:rPr>
          <w:spacing w:val="-1"/>
          <w:sz w:val="24"/>
          <w:szCs w:val="24"/>
        </w:rPr>
        <w:t>（4）公布响应文件解密情况（响应文件成功解密的供应商名单等信息）。</w:t>
      </w:r>
    </w:p>
    <w:p w14:paraId="46E13DFC">
      <w:pPr>
        <w:pStyle w:val="12"/>
        <w:spacing w:before="102" w:line="256" w:lineRule="auto"/>
        <w:ind w:left="2" w:right="79" w:firstLine="518"/>
        <w:rPr>
          <w:sz w:val="24"/>
          <w:szCs w:val="24"/>
        </w:rPr>
      </w:pPr>
      <w:r>
        <w:rPr>
          <w:spacing w:val="-2"/>
          <w:sz w:val="24"/>
          <w:szCs w:val="24"/>
        </w:rPr>
        <w:t>（5）开启标书信息（资格证明文件、商务技术文件）。标书信息开启后</w:t>
      </w:r>
      <w:r>
        <w:rPr>
          <w:spacing w:val="-35"/>
          <w:sz w:val="24"/>
          <w:szCs w:val="24"/>
        </w:rPr>
        <w:t xml:space="preserve"> </w:t>
      </w:r>
      <w:r>
        <w:rPr>
          <w:spacing w:val="-2"/>
          <w:sz w:val="24"/>
          <w:szCs w:val="24"/>
        </w:rPr>
        <w:t>，首先由</w:t>
      </w:r>
      <w:r>
        <w:rPr>
          <w:spacing w:val="-3"/>
          <w:sz w:val="24"/>
          <w:szCs w:val="24"/>
        </w:rPr>
        <w:t>采购人</w:t>
      </w:r>
      <w:r>
        <w:rPr>
          <w:sz w:val="24"/>
          <w:szCs w:val="24"/>
        </w:rPr>
        <w:t>依法对供应商的资格证明文件进行</w:t>
      </w:r>
      <w:r>
        <w:rPr>
          <w:spacing w:val="-1"/>
          <w:sz w:val="24"/>
          <w:szCs w:val="24"/>
        </w:rPr>
        <w:t>审查，</w:t>
      </w:r>
      <w:r>
        <w:rPr>
          <w:spacing w:val="62"/>
          <w:sz w:val="24"/>
          <w:szCs w:val="24"/>
        </w:rPr>
        <w:t xml:space="preserve"> </w:t>
      </w:r>
      <w:r>
        <w:rPr>
          <w:spacing w:val="-1"/>
          <w:sz w:val="24"/>
          <w:szCs w:val="24"/>
        </w:rPr>
        <w:t>审查结束公布供应商的资格符合情</w:t>
      </w:r>
      <w:r>
        <w:rPr>
          <w:spacing w:val="-2"/>
          <w:sz w:val="24"/>
          <w:szCs w:val="24"/>
        </w:rPr>
        <w:t>况。资格审查未获通过的供应商</w:t>
      </w:r>
      <w:r>
        <w:rPr>
          <w:spacing w:val="-24"/>
          <w:sz w:val="24"/>
          <w:szCs w:val="24"/>
        </w:rPr>
        <w:t xml:space="preserve"> </w:t>
      </w:r>
      <w:r>
        <w:rPr>
          <w:spacing w:val="-2"/>
          <w:sz w:val="24"/>
          <w:szCs w:val="24"/>
        </w:rPr>
        <w:t>，其符合性不再进入评审。</w:t>
      </w:r>
    </w:p>
    <w:p w14:paraId="52B88C65">
      <w:pPr>
        <w:pStyle w:val="12"/>
        <w:spacing w:before="123" w:line="244" w:lineRule="auto"/>
        <w:ind w:left="2" w:right="30" w:firstLine="518"/>
        <w:rPr>
          <w:sz w:val="24"/>
          <w:szCs w:val="24"/>
        </w:rPr>
      </w:pPr>
      <w:r>
        <w:rPr>
          <w:spacing w:val="-3"/>
          <w:sz w:val="24"/>
          <w:szCs w:val="24"/>
        </w:rPr>
        <w:t>（6）通过资格性审查的供应商，评审小组依法对供应</w:t>
      </w:r>
      <w:r>
        <w:rPr>
          <w:spacing w:val="-4"/>
          <w:sz w:val="24"/>
          <w:szCs w:val="24"/>
        </w:rPr>
        <w:t>商的符合性证明文件进行审查，</w:t>
      </w:r>
      <w:r>
        <w:rPr>
          <w:spacing w:val="24"/>
          <w:sz w:val="24"/>
          <w:szCs w:val="24"/>
        </w:rPr>
        <w:t xml:space="preserve"> </w:t>
      </w:r>
      <w:r>
        <w:rPr>
          <w:spacing w:val="-4"/>
          <w:sz w:val="24"/>
          <w:szCs w:val="24"/>
        </w:rPr>
        <w:t>审</w:t>
      </w:r>
      <w:r>
        <w:rPr>
          <w:spacing w:val="-2"/>
          <w:sz w:val="24"/>
          <w:szCs w:val="24"/>
        </w:rPr>
        <w:t>查结束公布供应商的符合性审查情况。符合性审查未获通过的供应商</w:t>
      </w:r>
      <w:r>
        <w:rPr>
          <w:spacing w:val="-35"/>
          <w:sz w:val="24"/>
          <w:szCs w:val="24"/>
        </w:rPr>
        <w:t xml:space="preserve"> </w:t>
      </w:r>
      <w:r>
        <w:rPr>
          <w:spacing w:val="-2"/>
          <w:sz w:val="24"/>
          <w:szCs w:val="24"/>
        </w:rPr>
        <w:t>，</w:t>
      </w:r>
      <w:r>
        <w:rPr>
          <w:spacing w:val="-3"/>
          <w:sz w:val="24"/>
          <w:szCs w:val="24"/>
        </w:rPr>
        <w:t>其不再进入磋商环节。</w:t>
      </w:r>
    </w:p>
    <w:p w14:paraId="1735FC92">
      <w:pPr>
        <w:pStyle w:val="12"/>
        <w:spacing w:before="121" w:line="262" w:lineRule="auto"/>
        <w:ind w:left="1" w:right="72" w:firstLine="518"/>
        <w:rPr>
          <w:sz w:val="24"/>
          <w:szCs w:val="24"/>
        </w:rPr>
      </w:pPr>
      <w:r>
        <w:rPr>
          <w:spacing w:val="-2"/>
          <w:sz w:val="24"/>
          <w:szCs w:val="24"/>
        </w:rPr>
        <w:t>（7）通过符合性审查的供应商</w:t>
      </w:r>
      <w:r>
        <w:rPr>
          <w:spacing w:val="-30"/>
          <w:sz w:val="24"/>
          <w:szCs w:val="24"/>
        </w:rPr>
        <w:t xml:space="preserve"> </w:t>
      </w:r>
      <w:r>
        <w:rPr>
          <w:spacing w:val="-2"/>
          <w:sz w:val="24"/>
          <w:szCs w:val="24"/>
        </w:rPr>
        <w:t>，评审小组所有成员集中于单一供应商分别进行磋商；并给予所有参加磋商的供应商平等的磋商机会。在磋商中，</w:t>
      </w:r>
      <w:r>
        <w:rPr>
          <w:spacing w:val="-3"/>
          <w:sz w:val="24"/>
          <w:szCs w:val="24"/>
        </w:rPr>
        <w:t>磋商的任何一方不得透露与磋商有关</w:t>
      </w:r>
      <w:r>
        <w:rPr>
          <w:spacing w:val="-2"/>
          <w:sz w:val="24"/>
          <w:szCs w:val="24"/>
        </w:rPr>
        <w:t>的其他供应商的技术资料、价格和其他信息。磋商文件有</w:t>
      </w:r>
      <w:r>
        <w:rPr>
          <w:spacing w:val="-3"/>
          <w:sz w:val="24"/>
          <w:szCs w:val="24"/>
        </w:rPr>
        <w:t>实质性变动的，磋商小组应当以书面</w:t>
      </w:r>
      <w:r>
        <w:rPr>
          <w:spacing w:val="-1"/>
          <w:sz w:val="24"/>
          <w:szCs w:val="24"/>
        </w:rPr>
        <w:t>形式通知所有参加磋商的供应商。</w:t>
      </w:r>
    </w:p>
    <w:p w14:paraId="60B0BC49">
      <w:pPr>
        <w:pStyle w:val="12"/>
        <w:spacing w:before="123" w:line="256" w:lineRule="auto"/>
        <w:ind w:left="1" w:right="72" w:firstLine="518"/>
        <w:rPr>
          <w:sz w:val="24"/>
          <w:szCs w:val="24"/>
        </w:rPr>
      </w:pPr>
      <w:r>
        <w:rPr>
          <w:spacing w:val="-1"/>
          <w:sz w:val="24"/>
          <w:szCs w:val="24"/>
        </w:rPr>
        <w:t>（8）磋商结束后，磋商小组应当要求所有实质性响应的供应商在规定时间</w:t>
      </w:r>
      <w:r>
        <w:rPr>
          <w:spacing w:val="-2"/>
          <w:sz w:val="24"/>
          <w:szCs w:val="24"/>
        </w:rPr>
        <w:t>内提交最终报价，供应商对最终报价进行在线签字确认（不予确认的应</w:t>
      </w:r>
      <w:r>
        <w:rPr>
          <w:spacing w:val="-3"/>
          <w:sz w:val="24"/>
          <w:szCs w:val="24"/>
        </w:rPr>
        <w:t>说明理由，否则视为无异议）。开标</w:t>
      </w:r>
      <w:r>
        <w:rPr>
          <w:spacing w:val="-1"/>
          <w:sz w:val="24"/>
          <w:szCs w:val="24"/>
        </w:rPr>
        <w:t>结束后，</w:t>
      </w:r>
      <w:r>
        <w:rPr>
          <w:spacing w:val="-47"/>
          <w:sz w:val="24"/>
          <w:szCs w:val="24"/>
        </w:rPr>
        <w:t xml:space="preserve"> </w:t>
      </w:r>
      <w:r>
        <w:rPr>
          <w:spacing w:val="-1"/>
          <w:sz w:val="24"/>
          <w:szCs w:val="24"/>
        </w:rPr>
        <w:t>由评审小组对报价的合理性、准确性等进行审查核实。</w:t>
      </w:r>
    </w:p>
    <w:p w14:paraId="4A24B156">
      <w:pPr>
        <w:pStyle w:val="12"/>
        <w:spacing w:before="121" w:line="221" w:lineRule="auto"/>
        <w:ind w:left="520"/>
        <w:rPr>
          <w:sz w:val="24"/>
          <w:szCs w:val="24"/>
        </w:rPr>
      </w:pPr>
      <w:r>
        <w:rPr>
          <w:spacing w:val="-3"/>
          <w:sz w:val="24"/>
          <w:szCs w:val="24"/>
        </w:rPr>
        <w:t>（9）最终报价结束后</w:t>
      </w:r>
      <w:r>
        <w:rPr>
          <w:spacing w:val="-23"/>
          <w:sz w:val="24"/>
          <w:szCs w:val="24"/>
        </w:rPr>
        <w:t xml:space="preserve"> </w:t>
      </w:r>
      <w:r>
        <w:rPr>
          <w:spacing w:val="-3"/>
          <w:sz w:val="24"/>
          <w:szCs w:val="24"/>
        </w:rPr>
        <w:t>，评审小组依法对供应商的商务技术进行评分。</w:t>
      </w:r>
    </w:p>
    <w:p w14:paraId="7534E488">
      <w:pPr>
        <w:pStyle w:val="12"/>
        <w:spacing w:before="101" w:line="221" w:lineRule="auto"/>
        <w:ind w:left="520"/>
        <w:rPr>
          <w:sz w:val="24"/>
          <w:szCs w:val="24"/>
        </w:rPr>
      </w:pPr>
      <w:r>
        <w:rPr>
          <w:spacing w:val="-3"/>
          <w:sz w:val="24"/>
          <w:szCs w:val="24"/>
        </w:rPr>
        <w:t>（8）评审结束后</w:t>
      </w:r>
      <w:r>
        <w:rPr>
          <w:spacing w:val="-35"/>
          <w:sz w:val="24"/>
          <w:szCs w:val="24"/>
        </w:rPr>
        <w:t xml:space="preserve"> </w:t>
      </w:r>
      <w:r>
        <w:rPr>
          <w:spacing w:val="-3"/>
          <w:sz w:val="24"/>
          <w:szCs w:val="24"/>
        </w:rPr>
        <w:t>，采购代理机构在系统上公布评审</w:t>
      </w:r>
      <w:r>
        <w:rPr>
          <w:spacing w:val="-4"/>
          <w:sz w:val="24"/>
          <w:szCs w:val="24"/>
        </w:rPr>
        <w:t>结果。</w:t>
      </w:r>
    </w:p>
    <w:p w14:paraId="0992D2E8">
      <w:pPr>
        <w:pStyle w:val="12"/>
        <w:spacing w:before="145" w:line="183" w:lineRule="auto"/>
        <w:ind w:left="482"/>
        <w:rPr>
          <w:sz w:val="24"/>
          <w:szCs w:val="24"/>
        </w:rPr>
      </w:pPr>
      <w:r>
        <w:rPr>
          <w:b/>
          <w:bCs/>
          <w:spacing w:val="-1"/>
          <w:sz w:val="24"/>
          <w:szCs w:val="24"/>
        </w:rPr>
        <w:t>特别情况说明：</w:t>
      </w:r>
    </w:p>
    <w:p w14:paraId="5740E8EA">
      <w:pPr>
        <w:pStyle w:val="12"/>
        <w:spacing w:before="189" w:line="183" w:lineRule="auto"/>
        <w:rPr>
          <w:sz w:val="24"/>
          <w:szCs w:val="24"/>
        </w:rPr>
      </w:pPr>
      <w:r>
        <w:rPr>
          <w:b/>
          <w:bCs/>
          <w:spacing w:val="-4"/>
          <w:sz w:val="24"/>
          <w:szCs w:val="24"/>
        </w:rPr>
        <w:t>（1）本项目采用电子交易，如遇“新疆政府采购云平台”电子化开标或评审程序调整的，</w:t>
      </w:r>
      <w:r>
        <w:rPr>
          <w:b/>
          <w:bCs/>
          <w:spacing w:val="-1"/>
          <w:sz w:val="24"/>
          <w:szCs w:val="24"/>
        </w:rPr>
        <w:t>按调整后程序执行。</w:t>
      </w:r>
    </w:p>
    <w:p w14:paraId="1FDF4BDC">
      <w:pPr>
        <w:pStyle w:val="12"/>
        <w:spacing w:before="114" w:line="280" w:lineRule="auto"/>
        <w:ind w:firstLine="458"/>
        <w:jc w:val="both"/>
        <w:rPr>
          <w:sz w:val="24"/>
          <w:szCs w:val="24"/>
        </w:rPr>
      </w:pPr>
      <w:r>
        <w:rPr>
          <w:b/>
          <w:bCs/>
          <w:spacing w:val="2"/>
          <w:sz w:val="24"/>
          <w:szCs w:val="24"/>
        </w:rPr>
        <w:t>（2）开标过程中需要相关当事人进行签字或盖章确认的材料将通过“政府采购云平台”</w:t>
      </w:r>
      <w:r>
        <w:rPr>
          <w:b/>
          <w:bCs/>
          <w:spacing w:val="-2"/>
          <w:sz w:val="24"/>
          <w:szCs w:val="24"/>
        </w:rPr>
        <w:t>进行，若因“政府采购云平台”技术问题无法进行签字</w:t>
      </w:r>
      <w:r>
        <w:rPr>
          <w:b/>
          <w:bCs/>
          <w:spacing w:val="-3"/>
          <w:sz w:val="24"/>
          <w:szCs w:val="24"/>
        </w:rPr>
        <w:t>或盖章确认的，采购组织机构将通过电</w:t>
      </w:r>
      <w:r>
        <w:rPr>
          <w:b/>
          <w:bCs/>
          <w:spacing w:val="-2"/>
          <w:sz w:val="24"/>
          <w:szCs w:val="24"/>
        </w:rPr>
        <w:t>子邮件等形式予以确认，</w:t>
      </w:r>
      <w:r>
        <w:rPr>
          <w:b/>
          <w:bCs/>
          <w:spacing w:val="-2"/>
          <w:sz w:val="24"/>
          <w:szCs w:val="24"/>
          <w:u w:val="single" w:color="auto"/>
        </w:rPr>
        <w:t>请供应商保证办理投标事宜人</w:t>
      </w:r>
      <w:r>
        <w:rPr>
          <w:b/>
          <w:bCs/>
          <w:spacing w:val="-3"/>
          <w:sz w:val="24"/>
          <w:szCs w:val="24"/>
          <w:u w:val="single" w:color="auto"/>
        </w:rPr>
        <w:t>员电话畅通、网络在线，签字或盖章确</w:t>
      </w:r>
      <w:r>
        <w:rPr>
          <w:b/>
          <w:bCs/>
          <w:spacing w:val="-2"/>
          <w:sz w:val="24"/>
          <w:szCs w:val="24"/>
          <w:u w:val="single" w:color="auto"/>
        </w:rPr>
        <w:t xml:space="preserve">认的时间为 </w:t>
      </w:r>
      <w:r>
        <w:rPr>
          <w:rFonts w:hint="eastAsia"/>
          <w:b/>
          <w:bCs/>
          <w:spacing w:val="-2"/>
          <w:sz w:val="24"/>
          <w:szCs w:val="24"/>
          <w:u w:val="single" w:color="auto"/>
          <w:lang w:val="en-US" w:eastAsia="zh-CN"/>
        </w:rPr>
        <w:t>3</w:t>
      </w:r>
      <w:r>
        <w:rPr>
          <w:b/>
          <w:bCs/>
          <w:spacing w:val="-2"/>
          <w:sz w:val="24"/>
          <w:szCs w:val="24"/>
          <w:u w:val="single" w:color="auto"/>
        </w:rPr>
        <w:t>0 分钟。如未及时签字或盖章确认的</w:t>
      </w:r>
      <w:r>
        <w:rPr>
          <w:b/>
          <w:bCs/>
          <w:spacing w:val="-38"/>
          <w:sz w:val="24"/>
          <w:szCs w:val="24"/>
          <w:u w:val="single" w:color="auto"/>
        </w:rPr>
        <w:t xml:space="preserve"> </w:t>
      </w:r>
      <w:r>
        <w:rPr>
          <w:b/>
          <w:bCs/>
          <w:spacing w:val="-2"/>
          <w:sz w:val="24"/>
          <w:szCs w:val="24"/>
          <w:u w:val="single" w:color="auto"/>
        </w:rPr>
        <w:t>，视为无异议</w:t>
      </w:r>
      <w:r>
        <w:rPr>
          <w:b/>
          <w:bCs/>
          <w:spacing w:val="-2"/>
          <w:sz w:val="24"/>
          <w:szCs w:val="24"/>
        </w:rPr>
        <w:t>。</w:t>
      </w:r>
    </w:p>
    <w:p w14:paraId="38DF49AE">
      <w:pPr>
        <w:pStyle w:val="12"/>
        <w:spacing w:before="1" w:line="229" w:lineRule="auto"/>
        <w:ind w:left="489"/>
        <w:rPr>
          <w:sz w:val="24"/>
          <w:szCs w:val="24"/>
        </w:rPr>
      </w:pPr>
      <w:r>
        <w:rPr>
          <w:b/>
          <w:bCs/>
          <w:spacing w:val="-2"/>
          <w:sz w:val="24"/>
          <w:szCs w:val="24"/>
        </w:rPr>
        <w:t>2.3</w:t>
      </w:r>
      <w:r>
        <w:rPr>
          <w:b/>
          <w:bCs/>
          <w:spacing w:val="57"/>
          <w:sz w:val="24"/>
          <w:szCs w:val="24"/>
        </w:rPr>
        <w:t xml:space="preserve"> </w:t>
      </w:r>
      <w:r>
        <w:rPr>
          <w:b/>
          <w:bCs/>
          <w:spacing w:val="-2"/>
          <w:sz w:val="24"/>
          <w:szCs w:val="24"/>
        </w:rPr>
        <w:t>供应商资格审查：</w:t>
      </w:r>
    </w:p>
    <w:p w14:paraId="0A247579">
      <w:pPr>
        <w:pStyle w:val="12"/>
        <w:spacing w:before="91" w:line="265" w:lineRule="auto"/>
        <w:ind w:right="62" w:firstLine="518"/>
        <w:rPr>
          <w:sz w:val="24"/>
          <w:szCs w:val="24"/>
        </w:rPr>
      </w:pPr>
      <w:r>
        <w:rPr>
          <w:spacing w:val="-2"/>
          <w:sz w:val="24"/>
          <w:szCs w:val="24"/>
        </w:rPr>
        <w:t>（1）开标（标书信息开启）后</w:t>
      </w:r>
      <w:r>
        <w:rPr>
          <w:spacing w:val="-33"/>
          <w:sz w:val="24"/>
          <w:szCs w:val="24"/>
        </w:rPr>
        <w:t xml:space="preserve"> </w:t>
      </w:r>
      <w:r>
        <w:rPr>
          <w:spacing w:val="-2"/>
          <w:sz w:val="24"/>
          <w:szCs w:val="24"/>
        </w:rPr>
        <w:t>，采购人首先依法对供应商的资格文件进行审查，审查各供应商的资格符合情况。采购人</w:t>
      </w:r>
      <w:r>
        <w:rPr>
          <w:spacing w:val="-3"/>
          <w:sz w:val="24"/>
          <w:szCs w:val="24"/>
        </w:rPr>
        <w:t>对供应商所提交的资格证明材</w:t>
      </w:r>
      <w:r>
        <w:rPr>
          <w:spacing w:val="-2"/>
          <w:sz w:val="24"/>
          <w:szCs w:val="24"/>
        </w:rPr>
        <w:t>料仅负审核的责任。如发现供应商所提交的资格证明材料</w:t>
      </w:r>
      <w:r>
        <w:rPr>
          <w:spacing w:val="-3"/>
          <w:sz w:val="24"/>
          <w:szCs w:val="24"/>
        </w:rPr>
        <w:t>不合法或与事实不符，采购人可取消</w:t>
      </w:r>
      <w:r>
        <w:rPr>
          <w:spacing w:val="-1"/>
          <w:sz w:val="24"/>
          <w:szCs w:val="24"/>
        </w:rPr>
        <w:t>其中标(成交)资格并追究供应商的法律责任。</w:t>
      </w:r>
    </w:p>
    <w:p w14:paraId="73FFF65C">
      <w:pPr>
        <w:pStyle w:val="12"/>
        <w:spacing w:before="102" w:line="256" w:lineRule="auto"/>
        <w:ind w:right="62" w:firstLine="517"/>
        <w:rPr>
          <w:sz w:val="24"/>
          <w:szCs w:val="24"/>
        </w:rPr>
      </w:pPr>
      <w:r>
        <w:rPr>
          <w:spacing w:val="-1"/>
          <w:sz w:val="24"/>
          <w:szCs w:val="24"/>
        </w:rPr>
        <w:t>（2）供应商提交的资格证明材料无法证明其符合竞争性磋商文件规定的“供应商资格要</w:t>
      </w:r>
      <w:r>
        <w:rPr>
          <w:spacing w:val="-2"/>
          <w:sz w:val="24"/>
          <w:szCs w:val="24"/>
        </w:rPr>
        <w:t>求”的，采购人或采购代理机构将对其作“资格审查不合格”处理（无效投标</w:t>
      </w:r>
      <w:r>
        <w:rPr>
          <w:spacing w:val="-11"/>
          <w:sz w:val="24"/>
          <w:szCs w:val="24"/>
        </w:rPr>
        <w:t>），</w:t>
      </w:r>
      <w:r>
        <w:rPr>
          <w:spacing w:val="-2"/>
          <w:sz w:val="24"/>
          <w:szCs w:val="24"/>
        </w:rPr>
        <w:t>并不再将其</w:t>
      </w:r>
      <w:r>
        <w:rPr>
          <w:spacing w:val="-1"/>
          <w:sz w:val="24"/>
          <w:szCs w:val="24"/>
        </w:rPr>
        <w:t>投标提交评审小组进行后续评审。</w:t>
      </w:r>
    </w:p>
    <w:p w14:paraId="53DB21D6">
      <w:pPr>
        <w:pStyle w:val="12"/>
        <w:spacing w:before="121" w:line="221" w:lineRule="auto"/>
        <w:ind w:left="518"/>
        <w:rPr>
          <w:sz w:val="24"/>
          <w:szCs w:val="24"/>
        </w:rPr>
      </w:pPr>
      <w:r>
        <w:rPr>
          <w:spacing w:val="-1"/>
          <w:sz w:val="24"/>
          <w:szCs w:val="24"/>
        </w:rPr>
        <w:t>（3）供应商信用记录查询与使用：见《供应商须知前附表》。</w:t>
      </w:r>
    </w:p>
    <w:p w14:paraId="23B869A2">
      <w:pPr>
        <w:pStyle w:val="12"/>
        <w:spacing w:before="95" w:line="229" w:lineRule="auto"/>
        <w:ind w:left="495"/>
        <w:rPr>
          <w:sz w:val="24"/>
          <w:szCs w:val="24"/>
        </w:rPr>
      </w:pPr>
      <w:r>
        <w:rPr>
          <w:b/>
          <w:bCs/>
          <w:spacing w:val="-2"/>
          <w:sz w:val="24"/>
          <w:szCs w:val="24"/>
        </w:rPr>
        <w:t>3、评审工作的组织</w:t>
      </w:r>
    </w:p>
    <w:p w14:paraId="7FA365BF">
      <w:pPr>
        <w:pStyle w:val="12"/>
        <w:spacing w:before="93" w:line="278" w:lineRule="auto"/>
        <w:ind w:right="62" w:firstLine="480"/>
        <w:rPr>
          <w:sz w:val="24"/>
          <w:szCs w:val="24"/>
        </w:rPr>
      </w:pPr>
      <w:r>
        <w:rPr>
          <w:spacing w:val="-2"/>
          <w:sz w:val="24"/>
          <w:szCs w:val="24"/>
        </w:rPr>
        <w:t>采购人或采购代理机构负责组织本项目的评</w:t>
      </w:r>
      <w:r>
        <w:rPr>
          <w:spacing w:val="-3"/>
          <w:sz w:val="24"/>
          <w:szCs w:val="24"/>
        </w:rPr>
        <w:t>审工作，并依据《政府采购货物和服务招标投</w:t>
      </w:r>
      <w:r>
        <w:rPr>
          <w:spacing w:val="-1"/>
          <w:sz w:val="24"/>
          <w:szCs w:val="24"/>
        </w:rPr>
        <w:t>标管理办法（财政部第 87 号令）》第四十五条的相关规定履行职责。</w:t>
      </w:r>
    </w:p>
    <w:p w14:paraId="79D82AAE">
      <w:pPr>
        <w:pStyle w:val="12"/>
        <w:spacing w:line="230" w:lineRule="auto"/>
        <w:ind w:left="480"/>
        <w:rPr>
          <w:sz w:val="24"/>
          <w:szCs w:val="24"/>
        </w:rPr>
      </w:pPr>
      <w:r>
        <w:rPr>
          <w:b/>
          <w:bCs/>
          <w:spacing w:val="-1"/>
          <w:sz w:val="24"/>
          <w:szCs w:val="24"/>
        </w:rPr>
        <w:t>4、评审小组的组建</w:t>
      </w:r>
    </w:p>
    <w:p w14:paraId="4D4FE875">
      <w:pPr>
        <w:pStyle w:val="12"/>
        <w:spacing w:before="91" w:line="252" w:lineRule="auto"/>
        <w:ind w:left="2" w:right="62" w:firstLine="476"/>
        <w:rPr>
          <w:sz w:val="24"/>
          <w:szCs w:val="24"/>
        </w:rPr>
      </w:pPr>
      <w:r>
        <w:rPr>
          <w:spacing w:val="-1"/>
          <w:sz w:val="24"/>
          <w:szCs w:val="24"/>
        </w:rPr>
        <w:t>4.1 评审小组由采购人或采购代理机构依法组建，成员由采购人代表和评审专家组成，成</w:t>
      </w:r>
      <w:r>
        <w:rPr>
          <w:spacing w:val="-2"/>
          <w:sz w:val="24"/>
          <w:szCs w:val="24"/>
        </w:rPr>
        <w:t>员人数为 3 人或以上单数</w:t>
      </w:r>
      <w:r>
        <w:rPr>
          <w:spacing w:val="-35"/>
          <w:sz w:val="24"/>
          <w:szCs w:val="24"/>
        </w:rPr>
        <w:t xml:space="preserve"> </w:t>
      </w:r>
      <w:r>
        <w:rPr>
          <w:spacing w:val="-2"/>
          <w:sz w:val="24"/>
          <w:szCs w:val="24"/>
        </w:rPr>
        <w:t>，其中评审专家不少于成员总数的三分之二。</w:t>
      </w:r>
    </w:p>
    <w:p w14:paraId="65F6E25F">
      <w:pPr>
        <w:pStyle w:val="12"/>
        <w:spacing w:before="91" w:line="257" w:lineRule="auto"/>
        <w:ind w:right="62" w:firstLine="478"/>
        <w:rPr>
          <w:sz w:val="24"/>
          <w:szCs w:val="24"/>
        </w:rPr>
      </w:pPr>
      <w:r>
        <w:rPr>
          <w:spacing w:val="-1"/>
          <w:sz w:val="24"/>
          <w:szCs w:val="24"/>
        </w:rPr>
        <w:t xml:space="preserve">4.2 </w:t>
      </w:r>
      <w:r>
        <w:rPr>
          <w:b/>
          <w:bCs/>
          <w:spacing w:val="-1"/>
          <w:sz w:val="24"/>
          <w:szCs w:val="24"/>
        </w:rPr>
        <w:t>按照《中华人民共和国政府采购法》、《中华人民共和国政府采购法实施条例》及本</w:t>
      </w:r>
      <w:r>
        <w:rPr>
          <w:b/>
          <w:bCs/>
          <w:sz w:val="24"/>
          <w:szCs w:val="24"/>
        </w:rPr>
        <w:t>项目本级和上级财政部门的有关规定依法在政采云平台随机抽取</w:t>
      </w:r>
      <w:r>
        <w:rPr>
          <w:rFonts w:hint="eastAsia"/>
          <w:b/>
          <w:bCs/>
          <w:sz w:val="24"/>
          <w:szCs w:val="24"/>
          <w:lang w:val="en-US" w:eastAsia="zh-CN"/>
        </w:rPr>
        <w:t>3</w:t>
      </w:r>
      <w:r>
        <w:rPr>
          <w:b/>
          <w:bCs/>
          <w:sz w:val="24"/>
          <w:szCs w:val="24"/>
        </w:rPr>
        <w:t>人、组</w:t>
      </w:r>
      <w:r>
        <w:rPr>
          <w:b/>
          <w:bCs/>
          <w:spacing w:val="-3"/>
          <w:sz w:val="24"/>
          <w:szCs w:val="24"/>
        </w:rPr>
        <w:t>成磋商小组</w:t>
      </w:r>
      <w:r>
        <w:rPr>
          <w:b/>
          <w:bCs/>
          <w:spacing w:val="-37"/>
          <w:sz w:val="24"/>
          <w:szCs w:val="24"/>
        </w:rPr>
        <w:t xml:space="preserve"> </w:t>
      </w:r>
      <w:r>
        <w:rPr>
          <w:b/>
          <w:bCs/>
          <w:spacing w:val="-3"/>
          <w:sz w:val="24"/>
          <w:szCs w:val="24"/>
        </w:rPr>
        <w:t>，负责评审工作</w:t>
      </w:r>
      <w:r>
        <w:rPr>
          <w:spacing w:val="-3"/>
          <w:sz w:val="24"/>
          <w:szCs w:val="24"/>
        </w:rPr>
        <w:t>。</w:t>
      </w:r>
    </w:p>
    <w:p w14:paraId="00F9A39C">
      <w:pPr>
        <w:pStyle w:val="12"/>
        <w:spacing w:before="116" w:line="230" w:lineRule="auto"/>
        <w:ind w:left="497"/>
        <w:rPr>
          <w:sz w:val="24"/>
          <w:szCs w:val="24"/>
        </w:rPr>
      </w:pPr>
      <w:r>
        <w:rPr>
          <w:b/>
          <w:bCs/>
          <w:spacing w:val="-3"/>
          <w:sz w:val="24"/>
          <w:szCs w:val="24"/>
        </w:rPr>
        <w:t>5、评审小组的职责</w:t>
      </w:r>
    </w:p>
    <w:p w14:paraId="79845E7F">
      <w:pPr>
        <w:pStyle w:val="12"/>
        <w:spacing w:before="91" w:line="225" w:lineRule="auto"/>
        <w:ind w:left="497"/>
        <w:rPr>
          <w:sz w:val="24"/>
          <w:szCs w:val="24"/>
        </w:rPr>
      </w:pPr>
      <w:r>
        <w:rPr>
          <w:spacing w:val="-1"/>
          <w:sz w:val="24"/>
          <w:szCs w:val="24"/>
        </w:rPr>
        <w:t>5.1 审查、评价响应文件是否符合竞争性磋商文件的商务、技术等实质性要求。</w:t>
      </w:r>
    </w:p>
    <w:p w14:paraId="69898E1A">
      <w:pPr>
        <w:pStyle w:val="12"/>
        <w:spacing w:before="93" w:line="225" w:lineRule="auto"/>
        <w:ind w:left="497"/>
        <w:rPr>
          <w:sz w:val="24"/>
          <w:szCs w:val="24"/>
        </w:rPr>
      </w:pPr>
      <w:r>
        <w:rPr>
          <w:spacing w:val="-1"/>
          <w:sz w:val="24"/>
          <w:szCs w:val="24"/>
        </w:rPr>
        <w:t>5.2 要求供应商对响应文件有关事项作出</w:t>
      </w:r>
      <w:r>
        <w:rPr>
          <w:spacing w:val="-2"/>
          <w:sz w:val="24"/>
          <w:szCs w:val="24"/>
        </w:rPr>
        <w:t>澄清或者说明。</w:t>
      </w:r>
    </w:p>
    <w:p w14:paraId="6ABF5A09">
      <w:pPr>
        <w:pStyle w:val="12"/>
        <w:spacing w:before="95" w:line="225" w:lineRule="auto"/>
        <w:ind w:left="497"/>
        <w:rPr>
          <w:sz w:val="24"/>
          <w:szCs w:val="24"/>
        </w:rPr>
      </w:pPr>
      <w:r>
        <w:rPr>
          <w:spacing w:val="-2"/>
          <w:sz w:val="24"/>
          <w:szCs w:val="24"/>
        </w:rPr>
        <w:t>5.3 对响应文件进行比较和评价。</w:t>
      </w:r>
    </w:p>
    <w:p w14:paraId="7933969C">
      <w:pPr>
        <w:pStyle w:val="12"/>
        <w:spacing w:before="94" w:line="225" w:lineRule="auto"/>
        <w:ind w:left="497"/>
        <w:rPr>
          <w:sz w:val="24"/>
          <w:szCs w:val="24"/>
        </w:rPr>
      </w:pPr>
      <w:r>
        <w:rPr>
          <w:spacing w:val="-2"/>
          <w:sz w:val="24"/>
          <w:szCs w:val="24"/>
        </w:rPr>
        <w:t>5.4 确定成交候选人名单</w:t>
      </w:r>
      <w:r>
        <w:rPr>
          <w:spacing w:val="-35"/>
          <w:sz w:val="24"/>
          <w:szCs w:val="24"/>
        </w:rPr>
        <w:t xml:space="preserve"> </w:t>
      </w:r>
      <w:r>
        <w:rPr>
          <w:spacing w:val="-2"/>
          <w:sz w:val="24"/>
          <w:szCs w:val="24"/>
        </w:rPr>
        <w:t>，以及根据采购人委托</w:t>
      </w:r>
      <w:r>
        <w:rPr>
          <w:spacing w:val="-3"/>
          <w:sz w:val="24"/>
          <w:szCs w:val="24"/>
        </w:rPr>
        <w:t>直接确定成交人。</w:t>
      </w:r>
    </w:p>
    <w:p w14:paraId="0E6F2F5C">
      <w:pPr>
        <w:pStyle w:val="12"/>
        <w:spacing w:before="94" w:line="225" w:lineRule="auto"/>
        <w:ind w:left="497"/>
        <w:rPr>
          <w:sz w:val="24"/>
          <w:szCs w:val="24"/>
        </w:rPr>
      </w:pPr>
      <w:r>
        <w:rPr>
          <w:spacing w:val="-1"/>
          <w:sz w:val="24"/>
          <w:szCs w:val="24"/>
        </w:rPr>
        <w:t>5.5 向采购人、采购代理机构或者有关部门报告评审中发现的违法行为。</w:t>
      </w:r>
    </w:p>
    <w:p w14:paraId="61767D95">
      <w:pPr>
        <w:spacing w:line="225" w:lineRule="auto"/>
        <w:rPr>
          <w:sz w:val="24"/>
          <w:szCs w:val="24"/>
        </w:rPr>
        <w:sectPr>
          <w:pgSz w:w="11907" w:h="16840"/>
          <w:pgMar w:top="1431" w:right="1018" w:bottom="0" w:left="1082" w:header="0" w:footer="0" w:gutter="0"/>
          <w:cols w:space="720" w:num="1"/>
        </w:sectPr>
      </w:pPr>
    </w:p>
    <w:p w14:paraId="2244B8FF">
      <w:pPr>
        <w:pStyle w:val="12"/>
        <w:spacing w:before="140" w:line="229" w:lineRule="auto"/>
        <w:ind w:left="492"/>
        <w:rPr>
          <w:sz w:val="24"/>
          <w:szCs w:val="24"/>
        </w:rPr>
      </w:pPr>
      <w:r>
        <w:rPr>
          <w:b/>
          <w:bCs/>
          <w:spacing w:val="-3"/>
          <w:sz w:val="24"/>
          <w:szCs w:val="24"/>
        </w:rPr>
        <w:t>6、评审原则</w:t>
      </w:r>
    </w:p>
    <w:p w14:paraId="7F5C6960">
      <w:pPr>
        <w:pStyle w:val="12"/>
        <w:spacing w:before="93" w:line="244" w:lineRule="auto"/>
        <w:ind w:left="2" w:right="1" w:firstLine="490"/>
        <w:rPr>
          <w:sz w:val="24"/>
          <w:szCs w:val="24"/>
        </w:rPr>
      </w:pPr>
      <w:r>
        <w:rPr>
          <w:spacing w:val="-5"/>
          <w:sz w:val="24"/>
          <w:szCs w:val="24"/>
        </w:rPr>
        <w:t>6.1 评审小组会将遵循公平、公正、科学的原则，对供应商提交的响应文件进行综合评</w:t>
      </w:r>
      <w:r>
        <w:rPr>
          <w:spacing w:val="-6"/>
          <w:sz w:val="24"/>
          <w:szCs w:val="24"/>
        </w:rPr>
        <w:t>审，</w:t>
      </w:r>
      <w:r>
        <w:rPr>
          <w:sz w:val="24"/>
          <w:szCs w:val="24"/>
        </w:rPr>
        <w:t>评审小组按照竞争性磋商文件规定的评标细则</w:t>
      </w:r>
      <w:r>
        <w:rPr>
          <w:spacing w:val="-1"/>
          <w:sz w:val="24"/>
          <w:szCs w:val="24"/>
        </w:rPr>
        <w:t>进行评分。</w:t>
      </w:r>
    </w:p>
    <w:p w14:paraId="6624CD99">
      <w:pPr>
        <w:pStyle w:val="12"/>
        <w:spacing w:before="121" w:line="225" w:lineRule="auto"/>
        <w:ind w:left="492"/>
        <w:rPr>
          <w:sz w:val="24"/>
          <w:szCs w:val="24"/>
        </w:rPr>
      </w:pPr>
      <w:r>
        <w:rPr>
          <w:spacing w:val="-2"/>
          <w:sz w:val="24"/>
          <w:szCs w:val="24"/>
        </w:rPr>
        <w:t>6.2 客观公正对待所有供应商</w:t>
      </w:r>
      <w:r>
        <w:rPr>
          <w:spacing w:val="-28"/>
          <w:sz w:val="24"/>
          <w:szCs w:val="24"/>
        </w:rPr>
        <w:t xml:space="preserve"> </w:t>
      </w:r>
      <w:r>
        <w:rPr>
          <w:spacing w:val="-2"/>
          <w:sz w:val="24"/>
          <w:szCs w:val="24"/>
        </w:rPr>
        <w:t>，对所有投标评价均采用相同的程序和标准。</w:t>
      </w:r>
    </w:p>
    <w:p w14:paraId="0ED07313">
      <w:pPr>
        <w:pStyle w:val="12"/>
        <w:spacing w:before="95" w:line="244" w:lineRule="auto"/>
        <w:ind w:left="2" w:firstLine="490"/>
        <w:rPr>
          <w:sz w:val="24"/>
          <w:szCs w:val="24"/>
        </w:rPr>
      </w:pPr>
      <w:r>
        <w:rPr>
          <w:spacing w:val="-5"/>
          <w:sz w:val="24"/>
          <w:szCs w:val="24"/>
        </w:rPr>
        <w:t>6.3 评审小组成员对需要共同认定的事项存在争议的，按照少数服从多数的原则作出结论。</w:t>
      </w:r>
      <w:r>
        <w:rPr>
          <w:spacing w:val="-2"/>
          <w:sz w:val="24"/>
          <w:szCs w:val="24"/>
        </w:rPr>
        <w:t>持不同意见的评审小组成员应当在评审报告上签署不同意见及理由</w:t>
      </w:r>
      <w:r>
        <w:rPr>
          <w:spacing w:val="-35"/>
          <w:sz w:val="24"/>
          <w:szCs w:val="24"/>
        </w:rPr>
        <w:t xml:space="preserve"> </w:t>
      </w:r>
      <w:r>
        <w:rPr>
          <w:spacing w:val="-2"/>
          <w:sz w:val="24"/>
          <w:szCs w:val="24"/>
        </w:rPr>
        <w:t>，否则视为同意</w:t>
      </w:r>
      <w:r>
        <w:rPr>
          <w:spacing w:val="-3"/>
          <w:sz w:val="24"/>
          <w:szCs w:val="24"/>
        </w:rPr>
        <w:t>评审报告。</w:t>
      </w:r>
    </w:p>
    <w:p w14:paraId="0526B043">
      <w:pPr>
        <w:pStyle w:val="12"/>
        <w:spacing w:before="120" w:line="270" w:lineRule="auto"/>
        <w:ind w:right="69" w:firstLine="492"/>
        <w:rPr>
          <w:sz w:val="24"/>
          <w:szCs w:val="24"/>
        </w:rPr>
      </w:pPr>
      <w:r>
        <w:rPr>
          <w:spacing w:val="-1"/>
          <w:sz w:val="24"/>
          <w:szCs w:val="24"/>
        </w:rPr>
        <w:t>6.4</w:t>
      </w:r>
      <w:r>
        <w:rPr>
          <w:spacing w:val="59"/>
          <w:sz w:val="24"/>
          <w:szCs w:val="24"/>
        </w:rPr>
        <w:t xml:space="preserve"> </w:t>
      </w:r>
      <w:r>
        <w:rPr>
          <w:spacing w:val="-1"/>
          <w:sz w:val="24"/>
          <w:szCs w:val="24"/>
        </w:rPr>
        <w:t>财政部令第 87 号《政府采购货物和服务招标投标管理办法》第三十一条规定：使用</w:t>
      </w:r>
      <w:r>
        <w:rPr>
          <w:spacing w:val="-2"/>
          <w:sz w:val="24"/>
          <w:szCs w:val="24"/>
        </w:rPr>
        <w:t>综合评分法的采购项目，提供相同品牌产品且通过资格审查、</w:t>
      </w:r>
      <w:r>
        <w:rPr>
          <w:spacing w:val="-3"/>
          <w:sz w:val="24"/>
          <w:szCs w:val="24"/>
        </w:rPr>
        <w:t>符合性审查的不同供应商参加同</w:t>
      </w:r>
      <w:r>
        <w:rPr>
          <w:sz w:val="24"/>
          <w:szCs w:val="24"/>
        </w:rPr>
        <w:t>一合同项下投标的，按一家供应商计算，评审后得分最高</w:t>
      </w:r>
      <w:r>
        <w:rPr>
          <w:spacing w:val="-1"/>
          <w:sz w:val="24"/>
          <w:szCs w:val="24"/>
        </w:rPr>
        <w:t>的同品牌供应商获得中标(成交)人推</w:t>
      </w:r>
      <w:r>
        <w:rPr>
          <w:spacing w:val="-2"/>
          <w:sz w:val="24"/>
          <w:szCs w:val="24"/>
        </w:rPr>
        <w:t>荐资格；评审得分相同的，由采购人或者采购人委托评审小组</w:t>
      </w:r>
      <w:r>
        <w:rPr>
          <w:spacing w:val="-3"/>
          <w:sz w:val="24"/>
          <w:szCs w:val="24"/>
        </w:rPr>
        <w:t>按照竞争性磋商文件规定的方式</w:t>
      </w:r>
      <w:r>
        <w:rPr>
          <w:spacing w:val="4"/>
          <w:sz w:val="24"/>
          <w:szCs w:val="24"/>
        </w:rPr>
        <w:t>确定一个供应商获得中标(成交)人推荐资格</w:t>
      </w:r>
      <w:r>
        <w:rPr>
          <w:spacing w:val="-12"/>
          <w:sz w:val="24"/>
          <w:szCs w:val="24"/>
        </w:rPr>
        <w:t xml:space="preserve"> </w:t>
      </w:r>
      <w:r>
        <w:rPr>
          <w:spacing w:val="4"/>
          <w:sz w:val="24"/>
          <w:szCs w:val="24"/>
        </w:rPr>
        <w:t>，竞争性磋商文件未规定的采取随机抽取方式确</w:t>
      </w:r>
      <w:r>
        <w:rPr>
          <w:spacing w:val="-2"/>
          <w:sz w:val="24"/>
          <w:szCs w:val="24"/>
        </w:rPr>
        <w:t>定</w:t>
      </w:r>
      <w:r>
        <w:rPr>
          <w:spacing w:val="-27"/>
          <w:sz w:val="24"/>
          <w:szCs w:val="24"/>
        </w:rPr>
        <w:t xml:space="preserve"> </w:t>
      </w:r>
      <w:r>
        <w:rPr>
          <w:spacing w:val="-2"/>
          <w:sz w:val="24"/>
          <w:szCs w:val="24"/>
        </w:rPr>
        <w:t>，其他同品牌供应商不作为中标(成交)候选人。</w:t>
      </w:r>
    </w:p>
    <w:p w14:paraId="16D1F0A9">
      <w:pPr>
        <w:pStyle w:val="12"/>
        <w:spacing w:before="146" w:line="265" w:lineRule="auto"/>
        <w:ind w:left="15" w:right="26" w:firstLine="229"/>
        <w:rPr>
          <w:sz w:val="24"/>
          <w:szCs w:val="24"/>
        </w:rPr>
      </w:pPr>
      <w:r>
        <w:rPr>
          <w:spacing w:val="-2"/>
          <w:sz w:val="24"/>
          <w:szCs w:val="24"/>
        </w:rPr>
        <w:t>非单一产品采购项目，采购人应当根据采购</w:t>
      </w:r>
      <w:r>
        <w:rPr>
          <w:spacing w:val="-3"/>
          <w:sz w:val="24"/>
          <w:szCs w:val="24"/>
        </w:rPr>
        <w:t>项目技术构成、产品价格比重等合理确定核心产品</w:t>
      </w:r>
      <w:r>
        <w:rPr>
          <w:spacing w:val="-35"/>
          <w:sz w:val="24"/>
          <w:szCs w:val="24"/>
        </w:rPr>
        <w:t xml:space="preserve"> </w:t>
      </w:r>
      <w:r>
        <w:rPr>
          <w:spacing w:val="-3"/>
          <w:sz w:val="24"/>
          <w:szCs w:val="24"/>
        </w:rPr>
        <w:t>，并在竞争性磋商文件中载明。多家供应商提供的</w:t>
      </w:r>
      <w:r>
        <w:rPr>
          <w:spacing w:val="-4"/>
          <w:sz w:val="24"/>
          <w:szCs w:val="24"/>
        </w:rPr>
        <w:t>核心产品品牌相同的</w:t>
      </w:r>
      <w:r>
        <w:rPr>
          <w:spacing w:val="-34"/>
          <w:sz w:val="24"/>
          <w:szCs w:val="24"/>
        </w:rPr>
        <w:t xml:space="preserve"> </w:t>
      </w:r>
      <w:r>
        <w:rPr>
          <w:spacing w:val="-4"/>
          <w:sz w:val="24"/>
          <w:szCs w:val="24"/>
        </w:rPr>
        <w:t>，按前款规定处理。</w:t>
      </w:r>
    </w:p>
    <w:p w14:paraId="40995A8A">
      <w:pPr>
        <w:pStyle w:val="12"/>
        <w:spacing w:line="230" w:lineRule="auto"/>
        <w:ind w:left="490"/>
        <w:rPr>
          <w:sz w:val="24"/>
          <w:szCs w:val="24"/>
        </w:rPr>
      </w:pPr>
      <w:r>
        <w:rPr>
          <w:b/>
          <w:bCs/>
          <w:spacing w:val="-2"/>
          <w:sz w:val="24"/>
          <w:szCs w:val="24"/>
        </w:rPr>
        <w:t>7、评审纪律</w:t>
      </w:r>
    </w:p>
    <w:p w14:paraId="773113AD">
      <w:pPr>
        <w:pStyle w:val="12"/>
        <w:spacing w:before="91" w:line="256" w:lineRule="auto"/>
        <w:ind w:right="69" w:firstLine="492"/>
        <w:rPr>
          <w:sz w:val="24"/>
          <w:szCs w:val="24"/>
        </w:rPr>
      </w:pPr>
      <w:r>
        <w:rPr>
          <w:spacing w:val="-1"/>
          <w:sz w:val="24"/>
          <w:szCs w:val="24"/>
        </w:rPr>
        <w:t>7.1 评审小组成员必须严格遵守保密规定，不得携带手机进入评审场所，不得泄露评审的</w:t>
      </w:r>
      <w:r>
        <w:rPr>
          <w:spacing w:val="-2"/>
          <w:sz w:val="24"/>
          <w:szCs w:val="24"/>
        </w:rPr>
        <w:t>有关情况，任何单位和个人不得干扰、影响评审工作的正常进</w:t>
      </w:r>
      <w:r>
        <w:rPr>
          <w:spacing w:val="-3"/>
          <w:sz w:val="24"/>
          <w:szCs w:val="24"/>
        </w:rPr>
        <w:t>行，评审小组成员不得私下与供</w:t>
      </w:r>
      <w:r>
        <w:rPr>
          <w:spacing w:val="-1"/>
          <w:sz w:val="24"/>
          <w:szCs w:val="24"/>
        </w:rPr>
        <w:t>应商接触</w:t>
      </w:r>
      <w:r>
        <w:rPr>
          <w:spacing w:val="-34"/>
          <w:sz w:val="24"/>
          <w:szCs w:val="24"/>
        </w:rPr>
        <w:t xml:space="preserve"> </w:t>
      </w:r>
      <w:r>
        <w:rPr>
          <w:spacing w:val="-1"/>
          <w:sz w:val="24"/>
          <w:szCs w:val="24"/>
        </w:rPr>
        <w:t>，不得出现新疆政府采购活动现场组织管理办法中规定的其他禁止</w:t>
      </w:r>
      <w:r>
        <w:rPr>
          <w:spacing w:val="-2"/>
          <w:sz w:val="24"/>
          <w:szCs w:val="24"/>
        </w:rPr>
        <w:t>行为。</w:t>
      </w:r>
    </w:p>
    <w:p w14:paraId="40407B1A">
      <w:pPr>
        <w:pStyle w:val="12"/>
        <w:spacing w:before="117" w:line="229" w:lineRule="auto"/>
        <w:ind w:left="490"/>
        <w:rPr>
          <w:sz w:val="24"/>
          <w:szCs w:val="24"/>
        </w:rPr>
      </w:pPr>
      <w:r>
        <w:rPr>
          <w:b/>
          <w:bCs/>
          <w:spacing w:val="-2"/>
          <w:sz w:val="24"/>
          <w:szCs w:val="24"/>
        </w:rPr>
        <w:t>7.2 评审小组成员与供应商有下列利害关系之一的人员</w:t>
      </w:r>
      <w:r>
        <w:rPr>
          <w:b/>
          <w:bCs/>
          <w:spacing w:val="-34"/>
          <w:sz w:val="24"/>
          <w:szCs w:val="24"/>
        </w:rPr>
        <w:t xml:space="preserve"> </w:t>
      </w:r>
      <w:r>
        <w:rPr>
          <w:b/>
          <w:bCs/>
          <w:spacing w:val="-2"/>
          <w:sz w:val="24"/>
          <w:szCs w:val="24"/>
        </w:rPr>
        <w:t>，应当回避</w:t>
      </w:r>
    </w:p>
    <w:p w14:paraId="2BF35FDC">
      <w:pPr>
        <w:pStyle w:val="12"/>
        <w:spacing w:before="91" w:line="221" w:lineRule="auto"/>
        <w:ind w:left="504"/>
        <w:rPr>
          <w:sz w:val="24"/>
          <w:szCs w:val="24"/>
        </w:rPr>
      </w:pPr>
      <w:r>
        <w:rPr>
          <w:spacing w:val="-2"/>
          <w:sz w:val="24"/>
          <w:szCs w:val="24"/>
        </w:rPr>
        <w:t>1）参加采购活动前 3 年内与供应商存在劳动关系；</w:t>
      </w:r>
    </w:p>
    <w:p w14:paraId="3BE53C5E">
      <w:pPr>
        <w:pStyle w:val="12"/>
        <w:spacing w:before="101" w:line="221" w:lineRule="auto"/>
        <w:ind w:left="852"/>
        <w:rPr>
          <w:sz w:val="24"/>
          <w:szCs w:val="24"/>
        </w:rPr>
      </w:pPr>
      <w:r>
        <w:rPr>
          <w:spacing w:val="-2"/>
          <w:sz w:val="24"/>
          <w:szCs w:val="24"/>
        </w:rPr>
        <w:t>2）参加采购活动前 3 年内担任供应商的董事、监事；</w:t>
      </w:r>
    </w:p>
    <w:p w14:paraId="4F5E769D">
      <w:pPr>
        <w:pStyle w:val="12"/>
        <w:spacing w:before="101" w:line="221" w:lineRule="auto"/>
        <w:ind w:left="855"/>
        <w:rPr>
          <w:sz w:val="24"/>
          <w:szCs w:val="24"/>
        </w:rPr>
      </w:pPr>
      <w:r>
        <w:rPr>
          <w:spacing w:val="-1"/>
          <w:sz w:val="24"/>
          <w:szCs w:val="24"/>
        </w:rPr>
        <w:t>3）参加采购活动前 3 年内是供应商的控股</w:t>
      </w:r>
      <w:r>
        <w:rPr>
          <w:spacing w:val="-2"/>
          <w:sz w:val="24"/>
          <w:szCs w:val="24"/>
        </w:rPr>
        <w:t>股东或者实际控制人；</w:t>
      </w:r>
    </w:p>
    <w:p w14:paraId="0E036F49">
      <w:pPr>
        <w:pStyle w:val="12"/>
        <w:spacing w:before="103" w:line="244" w:lineRule="auto"/>
        <w:ind w:left="4" w:right="69" w:firstLine="836"/>
        <w:rPr>
          <w:sz w:val="24"/>
          <w:szCs w:val="24"/>
        </w:rPr>
      </w:pPr>
      <w:r>
        <w:rPr>
          <w:spacing w:val="-3"/>
          <w:sz w:val="24"/>
          <w:szCs w:val="24"/>
        </w:rPr>
        <w:t>4）与供应商的法定代表人或者负责人有夫妻、直系血亲、三代以内旁系血亲</w:t>
      </w:r>
      <w:r>
        <w:rPr>
          <w:spacing w:val="-4"/>
          <w:sz w:val="24"/>
          <w:szCs w:val="24"/>
        </w:rPr>
        <w:t>或者近姻</w:t>
      </w:r>
      <w:r>
        <w:rPr>
          <w:spacing w:val="-2"/>
          <w:sz w:val="24"/>
          <w:szCs w:val="24"/>
        </w:rPr>
        <w:t>亲关系。</w:t>
      </w:r>
    </w:p>
    <w:p w14:paraId="7DD62C78">
      <w:pPr>
        <w:pStyle w:val="12"/>
        <w:spacing w:before="115" w:line="230" w:lineRule="auto"/>
        <w:ind w:left="489"/>
        <w:rPr>
          <w:sz w:val="24"/>
          <w:szCs w:val="24"/>
        </w:rPr>
      </w:pPr>
      <w:r>
        <w:rPr>
          <w:b/>
          <w:bCs/>
          <w:spacing w:val="-2"/>
          <w:sz w:val="24"/>
          <w:szCs w:val="24"/>
        </w:rPr>
        <w:t>8、评审程序</w:t>
      </w:r>
    </w:p>
    <w:p w14:paraId="10827914">
      <w:pPr>
        <w:pStyle w:val="12"/>
        <w:spacing w:before="92" w:line="225" w:lineRule="auto"/>
        <w:ind w:left="490"/>
        <w:rPr>
          <w:sz w:val="24"/>
          <w:szCs w:val="24"/>
        </w:rPr>
      </w:pPr>
      <w:r>
        <w:rPr>
          <w:spacing w:val="-2"/>
          <w:sz w:val="24"/>
          <w:szCs w:val="24"/>
        </w:rPr>
        <w:t>8.1</w:t>
      </w:r>
      <w:r>
        <w:rPr>
          <w:spacing w:val="67"/>
          <w:sz w:val="24"/>
          <w:szCs w:val="24"/>
        </w:rPr>
        <w:t xml:space="preserve"> </w:t>
      </w:r>
      <w:r>
        <w:rPr>
          <w:spacing w:val="-2"/>
          <w:sz w:val="24"/>
          <w:szCs w:val="24"/>
        </w:rPr>
        <w:t>在评审专家中推选评审小组组长</w:t>
      </w:r>
      <w:r>
        <w:rPr>
          <w:spacing w:val="-35"/>
          <w:sz w:val="24"/>
          <w:szCs w:val="24"/>
        </w:rPr>
        <w:t xml:space="preserve"> </w:t>
      </w:r>
      <w:r>
        <w:rPr>
          <w:spacing w:val="-2"/>
          <w:sz w:val="24"/>
          <w:szCs w:val="24"/>
        </w:rPr>
        <w:t>，采购人代表不得担任评审小组组长。</w:t>
      </w:r>
    </w:p>
    <w:p w14:paraId="66535DDB">
      <w:pPr>
        <w:pStyle w:val="12"/>
        <w:spacing w:before="94" w:line="256" w:lineRule="auto"/>
        <w:ind w:left="3" w:right="69" w:firstLine="486"/>
        <w:rPr>
          <w:sz w:val="24"/>
          <w:szCs w:val="24"/>
        </w:rPr>
      </w:pPr>
      <w:r>
        <w:rPr>
          <w:spacing w:val="-2"/>
          <w:sz w:val="24"/>
          <w:szCs w:val="24"/>
        </w:rPr>
        <w:t>8.2</w:t>
      </w:r>
      <w:r>
        <w:rPr>
          <w:spacing w:val="54"/>
          <w:sz w:val="24"/>
          <w:szCs w:val="24"/>
        </w:rPr>
        <w:t xml:space="preserve"> </w:t>
      </w:r>
      <w:r>
        <w:rPr>
          <w:spacing w:val="-2"/>
          <w:sz w:val="24"/>
          <w:szCs w:val="24"/>
        </w:rPr>
        <w:t>评审小组组长召集成员认真阅读竞争性磋商文件以及相关补</w:t>
      </w:r>
      <w:r>
        <w:rPr>
          <w:spacing w:val="-3"/>
          <w:sz w:val="24"/>
          <w:szCs w:val="24"/>
        </w:rPr>
        <w:t>充、质疑、答复文件、项</w:t>
      </w:r>
      <w:r>
        <w:rPr>
          <w:spacing w:val="-2"/>
          <w:sz w:val="24"/>
          <w:szCs w:val="24"/>
        </w:rPr>
        <w:t>目书面说明等材料，熟悉采购项目的基本概况，采购</w:t>
      </w:r>
      <w:r>
        <w:rPr>
          <w:spacing w:val="-3"/>
          <w:sz w:val="24"/>
          <w:szCs w:val="24"/>
        </w:rPr>
        <w:t>项目的质量要求、数量、主要技术标准或服务需求</w:t>
      </w:r>
      <w:r>
        <w:rPr>
          <w:spacing w:val="-33"/>
          <w:sz w:val="24"/>
          <w:szCs w:val="24"/>
        </w:rPr>
        <w:t xml:space="preserve"> </w:t>
      </w:r>
      <w:r>
        <w:rPr>
          <w:spacing w:val="-3"/>
          <w:sz w:val="24"/>
          <w:szCs w:val="24"/>
        </w:rPr>
        <w:t>，采购合同主要条款</w:t>
      </w:r>
      <w:r>
        <w:rPr>
          <w:spacing w:val="-34"/>
          <w:sz w:val="24"/>
          <w:szCs w:val="24"/>
        </w:rPr>
        <w:t xml:space="preserve"> </w:t>
      </w:r>
      <w:r>
        <w:rPr>
          <w:spacing w:val="-3"/>
          <w:sz w:val="24"/>
          <w:szCs w:val="24"/>
        </w:rPr>
        <w:t>，响应文件无效情形</w:t>
      </w:r>
      <w:r>
        <w:rPr>
          <w:spacing w:val="-35"/>
          <w:sz w:val="24"/>
          <w:szCs w:val="24"/>
        </w:rPr>
        <w:t xml:space="preserve"> </w:t>
      </w:r>
      <w:r>
        <w:rPr>
          <w:spacing w:val="-3"/>
          <w:sz w:val="24"/>
          <w:szCs w:val="24"/>
        </w:rPr>
        <w:t>，评审方法、评审依据、评审标准等。</w:t>
      </w:r>
    </w:p>
    <w:p w14:paraId="08D2BA47">
      <w:pPr>
        <w:spacing w:line="256" w:lineRule="auto"/>
        <w:rPr>
          <w:sz w:val="24"/>
          <w:szCs w:val="24"/>
        </w:rPr>
        <w:sectPr>
          <w:pgSz w:w="11907" w:h="16840"/>
          <w:pgMar w:top="1431" w:right="1011" w:bottom="0" w:left="1080" w:header="0" w:footer="0" w:gutter="0"/>
          <w:cols w:space="720" w:num="1"/>
        </w:sectPr>
      </w:pPr>
    </w:p>
    <w:p w14:paraId="2B4D606E">
      <w:pPr>
        <w:pStyle w:val="12"/>
        <w:spacing w:before="144" w:line="286" w:lineRule="auto"/>
        <w:ind w:left="11" w:firstLine="478"/>
        <w:rPr>
          <w:sz w:val="24"/>
          <w:szCs w:val="24"/>
        </w:rPr>
      </w:pPr>
      <w:r>
        <w:rPr>
          <w:spacing w:val="-2"/>
          <w:sz w:val="24"/>
          <w:szCs w:val="24"/>
        </w:rPr>
        <w:t>8.3</w:t>
      </w:r>
      <w:r>
        <w:rPr>
          <w:spacing w:val="54"/>
          <w:sz w:val="24"/>
          <w:szCs w:val="24"/>
        </w:rPr>
        <w:t xml:space="preserve"> </w:t>
      </w:r>
      <w:r>
        <w:rPr>
          <w:spacing w:val="-2"/>
          <w:sz w:val="24"/>
          <w:szCs w:val="24"/>
        </w:rPr>
        <w:t>评审专家对符合资格的供应商的响应文件的有效性、符合性</w:t>
      </w:r>
      <w:r>
        <w:rPr>
          <w:spacing w:val="-3"/>
          <w:sz w:val="24"/>
          <w:szCs w:val="24"/>
        </w:rPr>
        <w:t>、完整性和响应程度进行审查</w:t>
      </w:r>
      <w:r>
        <w:rPr>
          <w:spacing w:val="-16"/>
          <w:sz w:val="24"/>
          <w:szCs w:val="24"/>
        </w:rPr>
        <w:t xml:space="preserve"> </w:t>
      </w:r>
      <w:r>
        <w:rPr>
          <w:spacing w:val="-3"/>
          <w:sz w:val="24"/>
          <w:szCs w:val="24"/>
        </w:rPr>
        <w:t>，确定是否对竞争性磋商文件作出实质性响应。</w:t>
      </w:r>
    </w:p>
    <w:p w14:paraId="3A25C88E">
      <w:pPr>
        <w:pStyle w:val="12"/>
        <w:spacing w:before="4" w:line="367" w:lineRule="auto"/>
        <w:ind w:firstLine="488"/>
        <w:jc w:val="both"/>
        <w:rPr>
          <w:sz w:val="24"/>
          <w:szCs w:val="24"/>
        </w:rPr>
      </w:pPr>
      <w:r>
        <w:rPr>
          <w:b/>
          <w:bCs/>
          <w:spacing w:val="-1"/>
          <w:sz w:val="24"/>
          <w:szCs w:val="24"/>
        </w:rPr>
        <w:t>8.4 竞争性磋商共有两次报价，二次报价为</w:t>
      </w:r>
      <w:r>
        <w:rPr>
          <w:b/>
          <w:bCs/>
          <w:spacing w:val="-2"/>
          <w:sz w:val="24"/>
          <w:szCs w:val="24"/>
        </w:rPr>
        <w:t>最终报价，对竞争性磋商文件做出实质性响应的供应商，评审专家所有成员应当集中与单一供应商分别进</w:t>
      </w:r>
      <w:r>
        <w:rPr>
          <w:b/>
          <w:bCs/>
          <w:spacing w:val="-3"/>
          <w:sz w:val="24"/>
          <w:szCs w:val="24"/>
        </w:rPr>
        <w:t>行磋商，并给予所有参加磋商的供</w:t>
      </w:r>
      <w:r>
        <w:rPr>
          <w:b/>
          <w:bCs/>
          <w:spacing w:val="-2"/>
          <w:sz w:val="24"/>
          <w:szCs w:val="24"/>
        </w:rPr>
        <w:t>应商平等的磋商机会。评审专家要求所有实质性响应的供应</w:t>
      </w:r>
      <w:r>
        <w:rPr>
          <w:b/>
          <w:bCs/>
          <w:spacing w:val="-3"/>
          <w:sz w:val="24"/>
          <w:szCs w:val="24"/>
        </w:rPr>
        <w:t>商在规定时间内提交最后报价（提</w:t>
      </w:r>
      <w:r>
        <w:rPr>
          <w:b/>
          <w:bCs/>
          <w:spacing w:val="1"/>
          <w:sz w:val="24"/>
          <w:szCs w:val="24"/>
        </w:rPr>
        <w:t>交最后报价的供应商不得少于 2 家</w:t>
      </w:r>
      <w:r>
        <w:rPr>
          <w:b/>
          <w:bCs/>
          <w:spacing w:val="-10"/>
          <w:sz w:val="24"/>
          <w:szCs w:val="24"/>
        </w:rPr>
        <w:t>）</w:t>
      </w:r>
      <w:r>
        <w:rPr>
          <w:b/>
          <w:bCs/>
          <w:spacing w:val="-33"/>
          <w:sz w:val="24"/>
          <w:szCs w:val="24"/>
        </w:rPr>
        <w:t xml:space="preserve"> </w:t>
      </w:r>
      <w:r>
        <w:rPr>
          <w:b/>
          <w:bCs/>
          <w:spacing w:val="-10"/>
          <w:sz w:val="24"/>
          <w:szCs w:val="24"/>
        </w:rPr>
        <w:t>，</w:t>
      </w:r>
      <w:r>
        <w:rPr>
          <w:b/>
          <w:bCs/>
          <w:spacing w:val="1"/>
          <w:sz w:val="24"/>
          <w:szCs w:val="24"/>
        </w:rPr>
        <w:t>最后报价是供应商响应文件的有效组成部分</w:t>
      </w:r>
      <w:r>
        <w:rPr>
          <w:b/>
          <w:bCs/>
          <w:spacing w:val="-38"/>
          <w:sz w:val="24"/>
          <w:szCs w:val="24"/>
        </w:rPr>
        <w:t xml:space="preserve"> </w:t>
      </w:r>
      <w:r>
        <w:rPr>
          <w:b/>
          <w:bCs/>
          <w:spacing w:val="1"/>
          <w:sz w:val="24"/>
          <w:szCs w:val="24"/>
        </w:rPr>
        <w:t>，经磋商</w:t>
      </w:r>
      <w:r>
        <w:rPr>
          <w:b/>
          <w:bCs/>
          <w:spacing w:val="-2"/>
          <w:sz w:val="24"/>
          <w:szCs w:val="24"/>
        </w:rPr>
        <w:t>确定最终采购需求和提交最后报价的供应商后，由评审专家</w:t>
      </w:r>
      <w:r>
        <w:rPr>
          <w:b/>
          <w:bCs/>
          <w:spacing w:val="-3"/>
          <w:sz w:val="24"/>
          <w:szCs w:val="24"/>
        </w:rPr>
        <w:t>采用综合评分法对提交最后报价的</w:t>
      </w:r>
      <w:r>
        <w:rPr>
          <w:b/>
          <w:bCs/>
          <w:spacing w:val="-1"/>
          <w:sz w:val="24"/>
          <w:szCs w:val="24"/>
        </w:rPr>
        <w:t>供应商的响应文件进行综合评分。</w:t>
      </w:r>
    </w:p>
    <w:p w14:paraId="53E72961">
      <w:pPr>
        <w:pStyle w:val="12"/>
        <w:spacing w:line="287" w:lineRule="auto"/>
        <w:ind w:left="1" w:firstLine="488"/>
        <w:rPr>
          <w:sz w:val="24"/>
          <w:szCs w:val="24"/>
        </w:rPr>
      </w:pPr>
      <w:r>
        <w:rPr>
          <w:spacing w:val="-1"/>
          <w:sz w:val="24"/>
          <w:szCs w:val="24"/>
        </w:rPr>
        <w:t>8.5 评审专家按竞争性磋商文件规定的评审方法和评审标准，依法独立对供应商响应文件</w:t>
      </w:r>
      <w:r>
        <w:rPr>
          <w:spacing w:val="-3"/>
          <w:sz w:val="24"/>
          <w:szCs w:val="24"/>
        </w:rPr>
        <w:t>进行评估、比较</w:t>
      </w:r>
      <w:r>
        <w:rPr>
          <w:spacing w:val="-22"/>
          <w:sz w:val="24"/>
          <w:szCs w:val="24"/>
        </w:rPr>
        <w:t xml:space="preserve"> </w:t>
      </w:r>
      <w:r>
        <w:rPr>
          <w:spacing w:val="-3"/>
          <w:sz w:val="24"/>
          <w:szCs w:val="24"/>
        </w:rPr>
        <w:t>，并给予评价或打分</w:t>
      </w:r>
      <w:r>
        <w:rPr>
          <w:spacing w:val="-34"/>
          <w:sz w:val="24"/>
          <w:szCs w:val="24"/>
        </w:rPr>
        <w:t xml:space="preserve"> </w:t>
      </w:r>
      <w:r>
        <w:rPr>
          <w:spacing w:val="-3"/>
          <w:sz w:val="24"/>
          <w:szCs w:val="24"/>
        </w:rPr>
        <w:t>，不受任何单位和个人的干预。</w:t>
      </w:r>
    </w:p>
    <w:p w14:paraId="50653D7F">
      <w:pPr>
        <w:pStyle w:val="12"/>
        <w:spacing w:before="17" w:line="280" w:lineRule="auto"/>
        <w:ind w:left="2" w:firstLine="479"/>
        <w:rPr>
          <w:sz w:val="24"/>
          <w:szCs w:val="24"/>
        </w:rPr>
      </w:pPr>
      <w:r>
        <w:rPr>
          <w:b/>
          <w:bCs/>
          <w:spacing w:val="-2"/>
          <w:sz w:val="24"/>
          <w:szCs w:val="24"/>
        </w:rPr>
        <w:t>本项目采用：综合评分法，</w:t>
      </w:r>
      <w:r>
        <w:rPr>
          <w:spacing w:val="-2"/>
          <w:sz w:val="24"/>
          <w:szCs w:val="24"/>
        </w:rPr>
        <w:t>是指响应文件满</w:t>
      </w:r>
      <w:r>
        <w:rPr>
          <w:spacing w:val="-3"/>
          <w:sz w:val="24"/>
          <w:szCs w:val="24"/>
        </w:rPr>
        <w:t>足磋商文件全部实质性要求且按评审因素的量</w:t>
      </w:r>
      <w:r>
        <w:rPr>
          <w:sz w:val="24"/>
          <w:szCs w:val="24"/>
        </w:rPr>
        <w:t>化指标评审得分最高的供应商为成交候选供应商的</w:t>
      </w:r>
      <w:r>
        <w:rPr>
          <w:spacing w:val="-1"/>
          <w:sz w:val="24"/>
          <w:szCs w:val="24"/>
        </w:rPr>
        <w:t>评审方法。</w:t>
      </w:r>
    </w:p>
    <w:p w14:paraId="62FD0A3B">
      <w:pPr>
        <w:pStyle w:val="12"/>
        <w:spacing w:before="2" w:line="279" w:lineRule="auto"/>
        <w:ind w:firstLine="483"/>
        <w:rPr>
          <w:sz w:val="24"/>
          <w:szCs w:val="24"/>
        </w:rPr>
      </w:pPr>
      <w:r>
        <w:rPr>
          <w:spacing w:val="-3"/>
          <w:sz w:val="24"/>
          <w:szCs w:val="24"/>
        </w:rPr>
        <w:t>综合评分法中的价格分统一采用低价优先法计算，即满足磋商文件要求且最后报价最低的</w:t>
      </w:r>
      <w:r>
        <w:rPr>
          <w:spacing w:val="-2"/>
          <w:sz w:val="24"/>
          <w:szCs w:val="24"/>
        </w:rPr>
        <w:t>供应商的价格为招标基准价</w:t>
      </w:r>
      <w:r>
        <w:rPr>
          <w:spacing w:val="-31"/>
          <w:sz w:val="24"/>
          <w:szCs w:val="24"/>
        </w:rPr>
        <w:t xml:space="preserve"> </w:t>
      </w:r>
      <w:r>
        <w:rPr>
          <w:spacing w:val="-2"/>
          <w:sz w:val="24"/>
          <w:szCs w:val="24"/>
        </w:rPr>
        <w:t>，其价格分为满分。</w:t>
      </w:r>
    </w:p>
    <w:p w14:paraId="5CD2369B">
      <w:pPr>
        <w:pStyle w:val="12"/>
        <w:spacing w:line="184" w:lineRule="auto"/>
        <w:ind w:left="480"/>
        <w:rPr>
          <w:sz w:val="24"/>
          <w:szCs w:val="24"/>
        </w:rPr>
      </w:pPr>
      <w:r>
        <w:rPr>
          <w:spacing w:val="-2"/>
          <w:sz w:val="24"/>
          <w:szCs w:val="24"/>
        </w:rPr>
        <w:t>项目评审过程中</w:t>
      </w:r>
      <w:r>
        <w:rPr>
          <w:spacing w:val="-18"/>
          <w:sz w:val="24"/>
          <w:szCs w:val="24"/>
        </w:rPr>
        <w:t xml:space="preserve"> </w:t>
      </w:r>
      <w:r>
        <w:rPr>
          <w:spacing w:val="-2"/>
          <w:sz w:val="24"/>
          <w:szCs w:val="24"/>
        </w:rPr>
        <w:t>，不得去掉最后报价中的最高报价和最低报价。</w:t>
      </w:r>
    </w:p>
    <w:p w14:paraId="78725F95">
      <w:pPr>
        <w:pStyle w:val="12"/>
        <w:spacing w:before="122" w:line="262" w:lineRule="auto"/>
        <w:ind w:left="3" w:firstLine="487"/>
        <w:rPr>
          <w:sz w:val="24"/>
          <w:szCs w:val="24"/>
        </w:rPr>
      </w:pPr>
      <w:r>
        <w:rPr>
          <w:spacing w:val="-1"/>
          <w:sz w:val="24"/>
          <w:szCs w:val="24"/>
        </w:rPr>
        <w:t>8.6 评审专家对各供应商响应文件非实质性内容有疑议或异议，或者审查发现明显的文字</w:t>
      </w:r>
      <w:r>
        <w:rPr>
          <w:spacing w:val="-2"/>
          <w:sz w:val="24"/>
          <w:szCs w:val="24"/>
        </w:rPr>
        <w:t>或计算错误等，及时向评审小组组长提出。经评审小组</w:t>
      </w:r>
      <w:r>
        <w:rPr>
          <w:spacing w:val="-3"/>
          <w:sz w:val="24"/>
          <w:szCs w:val="24"/>
        </w:rPr>
        <w:t>商议认为需要供应商作出必要澄清、说</w:t>
      </w:r>
      <w:r>
        <w:rPr>
          <w:spacing w:val="-2"/>
          <w:sz w:val="24"/>
          <w:szCs w:val="24"/>
        </w:rPr>
        <w:t>明或者补正的，应当以在线询标形式要求供应商作出必</w:t>
      </w:r>
      <w:r>
        <w:rPr>
          <w:spacing w:val="-3"/>
          <w:sz w:val="24"/>
          <w:szCs w:val="24"/>
        </w:rPr>
        <w:t>要的澄清、说明或者补正。澄清、说明</w:t>
      </w:r>
      <w:r>
        <w:rPr>
          <w:spacing w:val="-1"/>
          <w:sz w:val="24"/>
          <w:szCs w:val="24"/>
        </w:rPr>
        <w:t>或者补正的内容应作为政府采购项目档案归档留存。</w:t>
      </w:r>
    </w:p>
    <w:p w14:paraId="3E30A585">
      <w:pPr>
        <w:pStyle w:val="12"/>
        <w:spacing w:before="122" w:line="262" w:lineRule="auto"/>
        <w:ind w:left="1" w:firstLine="488"/>
        <w:rPr>
          <w:sz w:val="24"/>
          <w:szCs w:val="24"/>
        </w:rPr>
      </w:pPr>
      <w:r>
        <w:rPr>
          <w:spacing w:val="-2"/>
          <w:sz w:val="24"/>
          <w:szCs w:val="24"/>
        </w:rPr>
        <w:t>8.7</w:t>
      </w:r>
      <w:r>
        <w:rPr>
          <w:spacing w:val="51"/>
          <w:sz w:val="24"/>
          <w:szCs w:val="24"/>
        </w:rPr>
        <w:t xml:space="preserve"> </w:t>
      </w:r>
      <w:r>
        <w:rPr>
          <w:spacing w:val="-2"/>
          <w:sz w:val="24"/>
          <w:szCs w:val="24"/>
        </w:rPr>
        <w:t>评审专家需对采购方工作人员唱票或统计的评审结果进行确认，现</w:t>
      </w:r>
      <w:r>
        <w:rPr>
          <w:spacing w:val="-3"/>
          <w:sz w:val="24"/>
          <w:szCs w:val="24"/>
        </w:rPr>
        <w:t>场监督员应对评审</w:t>
      </w:r>
      <w:r>
        <w:rPr>
          <w:spacing w:val="-2"/>
          <w:sz w:val="24"/>
          <w:szCs w:val="24"/>
        </w:rPr>
        <w:t>结果签署监督意见。如发现分值汇总计算错误、分项评分</w:t>
      </w:r>
      <w:r>
        <w:rPr>
          <w:spacing w:val="-3"/>
          <w:sz w:val="24"/>
          <w:szCs w:val="24"/>
        </w:rPr>
        <w:t>超出评分标准范围、客观评分不一致</w:t>
      </w:r>
      <w:r>
        <w:rPr>
          <w:spacing w:val="-2"/>
          <w:sz w:val="24"/>
          <w:szCs w:val="24"/>
        </w:rPr>
        <w:t>以及存在评分畸高、畸低情形的，应由相关人员当场改正</w:t>
      </w:r>
      <w:r>
        <w:rPr>
          <w:spacing w:val="-3"/>
          <w:sz w:val="24"/>
          <w:szCs w:val="24"/>
        </w:rPr>
        <w:t>或作出书面说明；拒不改正又不作书</w:t>
      </w:r>
      <w:r>
        <w:rPr>
          <w:spacing w:val="-1"/>
          <w:sz w:val="24"/>
          <w:szCs w:val="24"/>
        </w:rPr>
        <w:t>面说明的，</w:t>
      </w:r>
      <w:r>
        <w:rPr>
          <w:spacing w:val="-47"/>
          <w:sz w:val="24"/>
          <w:szCs w:val="24"/>
        </w:rPr>
        <w:t xml:space="preserve"> </w:t>
      </w:r>
      <w:r>
        <w:rPr>
          <w:spacing w:val="-1"/>
          <w:sz w:val="24"/>
          <w:szCs w:val="24"/>
        </w:rPr>
        <w:t>由现场监督员如实记载后存入项目档案</w:t>
      </w:r>
      <w:r>
        <w:rPr>
          <w:spacing w:val="-2"/>
          <w:sz w:val="24"/>
          <w:szCs w:val="24"/>
        </w:rPr>
        <w:t>资料。</w:t>
      </w:r>
    </w:p>
    <w:p w14:paraId="1F0BC844">
      <w:pPr>
        <w:pStyle w:val="12"/>
        <w:spacing w:before="122" w:line="244" w:lineRule="auto"/>
        <w:ind w:right="2" w:firstLine="489"/>
        <w:rPr>
          <w:sz w:val="24"/>
          <w:szCs w:val="24"/>
        </w:rPr>
      </w:pPr>
      <w:r>
        <w:rPr>
          <w:sz w:val="24"/>
          <w:szCs w:val="24"/>
        </w:rPr>
        <w:t>8.8</w:t>
      </w:r>
      <w:r>
        <w:rPr>
          <w:spacing w:val="51"/>
          <w:w w:val="101"/>
          <w:sz w:val="24"/>
          <w:szCs w:val="24"/>
        </w:rPr>
        <w:t xml:space="preserve"> </w:t>
      </w:r>
      <w:r>
        <w:rPr>
          <w:sz w:val="24"/>
          <w:szCs w:val="24"/>
        </w:rPr>
        <w:t>评审小组根据评审汇总情况和竞争性磋商文件规定推荐中标中</w:t>
      </w:r>
      <w:r>
        <w:rPr>
          <w:spacing w:val="-1"/>
          <w:sz w:val="24"/>
          <w:szCs w:val="24"/>
        </w:rPr>
        <w:t>标(成交)候选供应商排序名单。</w:t>
      </w:r>
    </w:p>
    <w:p w14:paraId="4045B801">
      <w:pPr>
        <w:pStyle w:val="12"/>
        <w:spacing w:before="123" w:line="244" w:lineRule="auto"/>
        <w:ind w:left="2" w:firstLine="487"/>
        <w:rPr>
          <w:sz w:val="24"/>
          <w:szCs w:val="24"/>
        </w:rPr>
      </w:pPr>
      <w:r>
        <w:rPr>
          <w:spacing w:val="-2"/>
          <w:sz w:val="24"/>
          <w:szCs w:val="24"/>
        </w:rPr>
        <w:t>8.9</w:t>
      </w:r>
      <w:r>
        <w:rPr>
          <w:spacing w:val="52"/>
          <w:sz w:val="24"/>
          <w:szCs w:val="24"/>
        </w:rPr>
        <w:t xml:space="preserve"> </w:t>
      </w:r>
      <w:r>
        <w:rPr>
          <w:spacing w:val="-2"/>
          <w:sz w:val="24"/>
          <w:szCs w:val="24"/>
        </w:rPr>
        <w:t>起草评审报告，所有评审专家须在评审报告上签字确认，对自己</w:t>
      </w:r>
      <w:r>
        <w:rPr>
          <w:spacing w:val="-3"/>
          <w:sz w:val="24"/>
          <w:szCs w:val="24"/>
        </w:rPr>
        <w:t>的评审意见承担法律</w:t>
      </w:r>
      <w:r>
        <w:rPr>
          <w:spacing w:val="-2"/>
          <w:sz w:val="24"/>
          <w:szCs w:val="24"/>
        </w:rPr>
        <w:t>责任。</w:t>
      </w:r>
    </w:p>
    <w:p w14:paraId="33ED7C5A">
      <w:pPr>
        <w:spacing w:line="244" w:lineRule="auto"/>
        <w:rPr>
          <w:sz w:val="24"/>
          <w:szCs w:val="24"/>
        </w:rPr>
        <w:sectPr>
          <w:pgSz w:w="11907" w:h="16840"/>
          <w:pgMar w:top="1431" w:right="1080" w:bottom="0" w:left="1080" w:header="0" w:footer="0" w:gutter="0"/>
          <w:cols w:space="720" w:num="1"/>
        </w:sectPr>
      </w:pPr>
    </w:p>
    <w:p w14:paraId="28DC696D">
      <w:pPr>
        <w:pStyle w:val="12"/>
        <w:spacing w:before="145" w:line="225" w:lineRule="auto"/>
        <w:ind w:left="490"/>
        <w:rPr>
          <w:sz w:val="24"/>
          <w:szCs w:val="24"/>
        </w:rPr>
      </w:pPr>
      <w:r>
        <w:rPr>
          <w:spacing w:val="-1"/>
          <w:sz w:val="24"/>
          <w:szCs w:val="24"/>
        </w:rPr>
        <w:t>8.10</w:t>
      </w:r>
      <w:r>
        <w:rPr>
          <w:spacing w:val="60"/>
          <w:sz w:val="24"/>
          <w:szCs w:val="24"/>
        </w:rPr>
        <w:t xml:space="preserve"> </w:t>
      </w:r>
      <w:r>
        <w:rPr>
          <w:spacing w:val="-1"/>
          <w:sz w:val="24"/>
          <w:szCs w:val="24"/>
        </w:rPr>
        <w:t>采购组织机构对评审小组评审专家进行评价。</w:t>
      </w:r>
    </w:p>
    <w:p w14:paraId="32036971">
      <w:pPr>
        <w:pStyle w:val="12"/>
        <w:spacing w:before="92" w:line="226" w:lineRule="auto"/>
        <w:ind w:left="490"/>
        <w:rPr>
          <w:sz w:val="24"/>
          <w:szCs w:val="24"/>
        </w:rPr>
      </w:pPr>
      <w:r>
        <w:rPr>
          <w:spacing w:val="-3"/>
          <w:sz w:val="24"/>
          <w:szCs w:val="24"/>
        </w:rPr>
        <w:t>8.11 修改评审结果</w:t>
      </w:r>
    </w:p>
    <w:p w14:paraId="03849813">
      <w:pPr>
        <w:pStyle w:val="12"/>
        <w:spacing w:before="137" w:line="183" w:lineRule="auto"/>
        <w:ind w:left="242"/>
        <w:rPr>
          <w:sz w:val="24"/>
          <w:szCs w:val="24"/>
        </w:rPr>
      </w:pPr>
      <w:r>
        <w:rPr>
          <w:spacing w:val="-3"/>
          <w:sz w:val="24"/>
          <w:szCs w:val="24"/>
        </w:rPr>
        <w:t>评标结果汇总完成后</w:t>
      </w:r>
      <w:r>
        <w:rPr>
          <w:spacing w:val="-26"/>
          <w:sz w:val="24"/>
          <w:szCs w:val="24"/>
        </w:rPr>
        <w:t xml:space="preserve"> </w:t>
      </w:r>
      <w:r>
        <w:rPr>
          <w:spacing w:val="-3"/>
          <w:sz w:val="24"/>
          <w:szCs w:val="24"/>
        </w:rPr>
        <w:t>，除下列情形外</w:t>
      </w:r>
      <w:r>
        <w:rPr>
          <w:spacing w:val="-34"/>
          <w:sz w:val="24"/>
          <w:szCs w:val="24"/>
        </w:rPr>
        <w:t xml:space="preserve"> </w:t>
      </w:r>
      <w:r>
        <w:rPr>
          <w:spacing w:val="-3"/>
          <w:sz w:val="24"/>
          <w:szCs w:val="24"/>
        </w:rPr>
        <w:t>，任何人不得修改评标结果：</w:t>
      </w:r>
    </w:p>
    <w:p w14:paraId="395CE04D">
      <w:pPr>
        <w:pStyle w:val="12"/>
        <w:spacing w:before="121" w:line="221" w:lineRule="auto"/>
        <w:ind w:left="280"/>
        <w:rPr>
          <w:sz w:val="24"/>
          <w:szCs w:val="24"/>
        </w:rPr>
      </w:pPr>
      <w:r>
        <w:rPr>
          <w:spacing w:val="-4"/>
          <w:sz w:val="24"/>
          <w:szCs w:val="24"/>
        </w:rPr>
        <w:t>（1）分值汇总计算错误的；</w:t>
      </w:r>
    </w:p>
    <w:p w14:paraId="505C8B3D">
      <w:pPr>
        <w:pStyle w:val="12"/>
        <w:spacing w:before="100" w:line="221" w:lineRule="auto"/>
        <w:ind w:left="280"/>
        <w:rPr>
          <w:sz w:val="24"/>
          <w:szCs w:val="24"/>
        </w:rPr>
      </w:pPr>
      <w:r>
        <w:rPr>
          <w:spacing w:val="-3"/>
          <w:sz w:val="24"/>
          <w:szCs w:val="24"/>
        </w:rPr>
        <w:t>（2）分项评分超出评分标准范围的；</w:t>
      </w:r>
    </w:p>
    <w:p w14:paraId="59FFEAC6">
      <w:pPr>
        <w:pStyle w:val="12"/>
        <w:spacing w:before="101" w:line="221" w:lineRule="auto"/>
        <w:ind w:left="280"/>
        <w:rPr>
          <w:sz w:val="24"/>
          <w:szCs w:val="24"/>
        </w:rPr>
      </w:pPr>
      <w:r>
        <w:rPr>
          <w:spacing w:val="-2"/>
          <w:sz w:val="24"/>
          <w:szCs w:val="24"/>
        </w:rPr>
        <w:t>（3）评审小组成员对客观评审因素评分不一致的；</w:t>
      </w:r>
    </w:p>
    <w:p w14:paraId="70D15B36">
      <w:pPr>
        <w:pStyle w:val="12"/>
        <w:spacing w:before="101" w:line="221" w:lineRule="auto"/>
        <w:ind w:left="280"/>
        <w:rPr>
          <w:sz w:val="24"/>
          <w:szCs w:val="24"/>
        </w:rPr>
      </w:pPr>
      <w:r>
        <w:rPr>
          <w:spacing w:val="-3"/>
          <w:sz w:val="24"/>
          <w:szCs w:val="24"/>
        </w:rPr>
        <w:t>（4）经评审小组认定评分畸高、畸低的。</w:t>
      </w:r>
    </w:p>
    <w:p w14:paraId="48D321EF">
      <w:pPr>
        <w:pStyle w:val="12"/>
        <w:spacing w:before="146" w:line="270" w:lineRule="auto"/>
        <w:ind w:left="2" w:right="67" w:firstLine="240"/>
        <w:jc w:val="both"/>
        <w:rPr>
          <w:sz w:val="24"/>
          <w:szCs w:val="24"/>
        </w:rPr>
      </w:pPr>
      <w:r>
        <w:rPr>
          <w:spacing w:val="-2"/>
          <w:sz w:val="24"/>
          <w:szCs w:val="24"/>
        </w:rPr>
        <w:t>评标报告签署前，经复核发现存在以上情形之一</w:t>
      </w:r>
      <w:r>
        <w:rPr>
          <w:spacing w:val="-3"/>
          <w:sz w:val="24"/>
          <w:szCs w:val="24"/>
        </w:rPr>
        <w:t>的，评审小组应当当场修改评标结果，并在</w:t>
      </w:r>
      <w:r>
        <w:rPr>
          <w:spacing w:val="-2"/>
          <w:sz w:val="24"/>
          <w:szCs w:val="24"/>
        </w:rPr>
        <w:t>评标报告中记载；评标报告签署后，采购人或者采购代</w:t>
      </w:r>
      <w:r>
        <w:rPr>
          <w:spacing w:val="-3"/>
          <w:sz w:val="24"/>
          <w:szCs w:val="24"/>
        </w:rPr>
        <w:t>理机构发现存在以上情形之一的，应当</w:t>
      </w:r>
      <w:r>
        <w:rPr>
          <w:spacing w:val="-2"/>
          <w:sz w:val="24"/>
          <w:szCs w:val="24"/>
        </w:rPr>
        <w:t>组织原评审小组进行重新评审</w:t>
      </w:r>
      <w:r>
        <w:rPr>
          <w:spacing w:val="-35"/>
          <w:sz w:val="24"/>
          <w:szCs w:val="24"/>
        </w:rPr>
        <w:t xml:space="preserve"> </w:t>
      </w:r>
      <w:r>
        <w:rPr>
          <w:spacing w:val="-2"/>
          <w:sz w:val="24"/>
          <w:szCs w:val="24"/>
        </w:rPr>
        <w:t>，重新评审改变评标结果的</w:t>
      </w:r>
      <w:r>
        <w:rPr>
          <w:spacing w:val="-34"/>
          <w:sz w:val="24"/>
          <w:szCs w:val="24"/>
        </w:rPr>
        <w:t xml:space="preserve"> </w:t>
      </w:r>
      <w:r>
        <w:rPr>
          <w:spacing w:val="-2"/>
          <w:sz w:val="24"/>
          <w:szCs w:val="24"/>
        </w:rPr>
        <w:t>，书面报告本级财</w:t>
      </w:r>
      <w:r>
        <w:rPr>
          <w:spacing w:val="-3"/>
          <w:sz w:val="24"/>
          <w:szCs w:val="24"/>
        </w:rPr>
        <w:t>政部门。</w:t>
      </w:r>
    </w:p>
    <w:p w14:paraId="777F7D06">
      <w:pPr>
        <w:pStyle w:val="12"/>
        <w:spacing w:before="1" w:line="228" w:lineRule="auto"/>
        <w:ind w:left="489"/>
        <w:rPr>
          <w:sz w:val="24"/>
          <w:szCs w:val="24"/>
        </w:rPr>
      </w:pPr>
      <w:r>
        <w:rPr>
          <w:b/>
          <w:bCs/>
          <w:spacing w:val="-1"/>
          <w:sz w:val="24"/>
          <w:szCs w:val="24"/>
        </w:rPr>
        <w:t>9、澄清、说明或补正的形式</w:t>
      </w:r>
    </w:p>
    <w:p w14:paraId="543DFF4C">
      <w:pPr>
        <w:pStyle w:val="12"/>
        <w:spacing w:before="91" w:line="262" w:lineRule="auto"/>
        <w:ind w:left="2" w:firstLine="488"/>
        <w:rPr>
          <w:sz w:val="24"/>
          <w:szCs w:val="24"/>
        </w:rPr>
      </w:pPr>
      <w:r>
        <w:rPr>
          <w:spacing w:val="-5"/>
          <w:sz w:val="24"/>
          <w:szCs w:val="24"/>
        </w:rPr>
        <w:t>9.1 对于响应文件中含义不明确、同类问题表述不一致或者有明显文字和计算错误的内容，</w:t>
      </w:r>
      <w:r>
        <w:rPr>
          <w:spacing w:val="-2"/>
          <w:sz w:val="24"/>
          <w:szCs w:val="24"/>
        </w:rPr>
        <w:t>评审小组将通过“政府采购云平台”在线询标的方式要求</w:t>
      </w:r>
      <w:r>
        <w:rPr>
          <w:spacing w:val="-3"/>
          <w:sz w:val="24"/>
          <w:szCs w:val="24"/>
        </w:rPr>
        <w:t>供应商在规定的时间内作出必要的澄</w:t>
      </w:r>
      <w:r>
        <w:rPr>
          <w:spacing w:val="-2"/>
          <w:sz w:val="24"/>
          <w:szCs w:val="24"/>
        </w:rPr>
        <w:t>清、说明或者补正</w:t>
      </w:r>
      <w:r>
        <w:rPr>
          <w:spacing w:val="-34"/>
          <w:sz w:val="24"/>
          <w:szCs w:val="24"/>
        </w:rPr>
        <w:t xml:space="preserve"> </w:t>
      </w:r>
      <w:r>
        <w:rPr>
          <w:spacing w:val="-2"/>
          <w:sz w:val="24"/>
          <w:szCs w:val="24"/>
        </w:rPr>
        <w:t>，</w:t>
      </w:r>
      <w:r>
        <w:rPr>
          <w:b/>
          <w:bCs/>
          <w:spacing w:val="-2"/>
          <w:sz w:val="24"/>
          <w:szCs w:val="24"/>
        </w:rPr>
        <w:t xml:space="preserve">供应商澄清、说明或补正时间为 </w:t>
      </w:r>
      <w:r>
        <w:rPr>
          <w:rFonts w:hint="eastAsia"/>
          <w:b/>
          <w:bCs/>
          <w:spacing w:val="-2"/>
          <w:sz w:val="24"/>
          <w:szCs w:val="24"/>
          <w:lang w:val="en-US" w:eastAsia="zh-CN"/>
        </w:rPr>
        <w:t>30</w:t>
      </w:r>
      <w:r>
        <w:rPr>
          <w:b/>
          <w:bCs/>
          <w:spacing w:val="-3"/>
          <w:sz w:val="24"/>
          <w:szCs w:val="24"/>
        </w:rPr>
        <w:t xml:space="preserve"> 分钟</w:t>
      </w:r>
      <w:r>
        <w:rPr>
          <w:spacing w:val="-3"/>
          <w:sz w:val="24"/>
          <w:szCs w:val="24"/>
        </w:rPr>
        <w:t>。</w:t>
      </w:r>
    </w:p>
    <w:p w14:paraId="671A437C">
      <w:pPr>
        <w:pStyle w:val="12"/>
        <w:spacing w:before="94" w:line="262" w:lineRule="auto"/>
        <w:ind w:right="26" w:firstLine="490"/>
        <w:rPr>
          <w:sz w:val="24"/>
          <w:szCs w:val="24"/>
        </w:rPr>
      </w:pPr>
      <w:r>
        <w:rPr>
          <w:spacing w:val="-2"/>
          <w:sz w:val="24"/>
          <w:szCs w:val="24"/>
        </w:rPr>
        <w:t>9.2 供应商的澄清、说明或者补正应当通过“政府采购云平台”在线答复的方式提交</w:t>
      </w:r>
      <w:r>
        <w:rPr>
          <w:spacing w:val="-26"/>
          <w:sz w:val="24"/>
          <w:szCs w:val="24"/>
        </w:rPr>
        <w:t xml:space="preserve"> </w:t>
      </w:r>
      <w:r>
        <w:rPr>
          <w:spacing w:val="-2"/>
          <w:sz w:val="24"/>
          <w:szCs w:val="24"/>
        </w:rPr>
        <w:t>，并</w:t>
      </w:r>
      <w:r>
        <w:rPr>
          <w:spacing w:val="-1"/>
          <w:sz w:val="24"/>
          <w:szCs w:val="24"/>
        </w:rPr>
        <w:t>加盖公章（电子印章</w:t>
      </w:r>
      <w:r>
        <w:rPr>
          <w:spacing w:val="-16"/>
          <w:sz w:val="24"/>
          <w:szCs w:val="24"/>
        </w:rPr>
        <w:t>）</w:t>
      </w:r>
      <w:r>
        <w:rPr>
          <w:spacing w:val="-35"/>
          <w:sz w:val="24"/>
          <w:szCs w:val="24"/>
        </w:rPr>
        <w:t xml:space="preserve"> </w:t>
      </w:r>
      <w:r>
        <w:rPr>
          <w:spacing w:val="-16"/>
          <w:sz w:val="24"/>
          <w:szCs w:val="24"/>
        </w:rPr>
        <w:t>，</w:t>
      </w:r>
      <w:r>
        <w:rPr>
          <w:spacing w:val="-1"/>
          <w:sz w:val="24"/>
          <w:szCs w:val="24"/>
        </w:rPr>
        <w:t>或者由法定代表人（负</w:t>
      </w:r>
      <w:r>
        <w:rPr>
          <w:spacing w:val="-2"/>
          <w:sz w:val="24"/>
          <w:szCs w:val="24"/>
        </w:rPr>
        <w:t>责人）或其授权的代表签字。供应商的澄清、说明或者补正不得超出响应文件的范围或者改变响应文件的实</w:t>
      </w:r>
      <w:r>
        <w:rPr>
          <w:spacing w:val="-3"/>
          <w:sz w:val="24"/>
          <w:szCs w:val="24"/>
        </w:rPr>
        <w:t>质性内容，不接受供应商主动对</w:t>
      </w:r>
      <w:r>
        <w:rPr>
          <w:spacing w:val="-1"/>
          <w:sz w:val="24"/>
          <w:szCs w:val="24"/>
        </w:rPr>
        <w:t>响应文件的澄清、说明或者补正。</w:t>
      </w:r>
    </w:p>
    <w:p w14:paraId="7D32A141">
      <w:pPr>
        <w:pStyle w:val="12"/>
        <w:spacing w:before="122" w:line="256" w:lineRule="auto"/>
        <w:ind w:left="2" w:right="67" w:firstLine="488"/>
        <w:rPr>
          <w:sz w:val="24"/>
          <w:szCs w:val="24"/>
        </w:rPr>
      </w:pPr>
      <w:r>
        <w:rPr>
          <w:spacing w:val="-1"/>
          <w:sz w:val="24"/>
          <w:szCs w:val="24"/>
        </w:rPr>
        <w:t>9.3 上述询标、澄清、说明和补正工作如因客观原因无法通过“政府采购云平台”在线进</w:t>
      </w:r>
      <w:r>
        <w:rPr>
          <w:spacing w:val="-2"/>
          <w:sz w:val="24"/>
          <w:szCs w:val="24"/>
        </w:rPr>
        <w:t>行的，将采用电子邮件等形式进行，请供应商保证办理投</w:t>
      </w:r>
      <w:r>
        <w:rPr>
          <w:spacing w:val="-3"/>
          <w:sz w:val="24"/>
          <w:szCs w:val="24"/>
        </w:rPr>
        <w:t>标事宜人员电话畅通、网络在线。如</w:t>
      </w:r>
      <w:r>
        <w:rPr>
          <w:spacing w:val="-1"/>
          <w:sz w:val="24"/>
          <w:szCs w:val="24"/>
        </w:rPr>
        <w:t>未及时进行澄清、说明或者补正的</w:t>
      </w:r>
      <w:r>
        <w:rPr>
          <w:spacing w:val="-35"/>
          <w:sz w:val="24"/>
          <w:szCs w:val="24"/>
        </w:rPr>
        <w:t xml:space="preserve"> </w:t>
      </w:r>
      <w:r>
        <w:rPr>
          <w:spacing w:val="-1"/>
          <w:sz w:val="24"/>
          <w:szCs w:val="24"/>
        </w:rPr>
        <w:t>，视为放弃澄清、说明</w:t>
      </w:r>
      <w:r>
        <w:rPr>
          <w:spacing w:val="-2"/>
          <w:sz w:val="24"/>
          <w:szCs w:val="24"/>
        </w:rPr>
        <w:t>或者补正的权利。</w:t>
      </w:r>
    </w:p>
    <w:p w14:paraId="2C1C2F17">
      <w:pPr>
        <w:pStyle w:val="12"/>
        <w:spacing w:before="117" w:line="229" w:lineRule="auto"/>
        <w:ind w:left="501"/>
        <w:rPr>
          <w:sz w:val="24"/>
          <w:szCs w:val="24"/>
        </w:rPr>
      </w:pPr>
      <w:r>
        <w:rPr>
          <w:b/>
          <w:bCs/>
          <w:spacing w:val="-3"/>
          <w:sz w:val="24"/>
          <w:szCs w:val="24"/>
        </w:rPr>
        <w:t>10、错误修正的原则</w:t>
      </w:r>
    </w:p>
    <w:p w14:paraId="6B6BF21E">
      <w:pPr>
        <w:pStyle w:val="12"/>
        <w:spacing w:before="93" w:line="244" w:lineRule="auto"/>
        <w:ind w:left="2" w:right="153" w:firstLine="501"/>
        <w:rPr>
          <w:sz w:val="24"/>
          <w:szCs w:val="24"/>
        </w:rPr>
      </w:pPr>
      <w:r>
        <w:rPr>
          <w:spacing w:val="-1"/>
          <w:sz w:val="24"/>
          <w:szCs w:val="24"/>
        </w:rPr>
        <w:t>10.1 电子交易平台客户端里开标一览表录入的磋商报价或优惠率与扫描上传的报价文件</w:t>
      </w:r>
      <w:r>
        <w:rPr>
          <w:spacing w:val="-2"/>
          <w:sz w:val="24"/>
          <w:szCs w:val="24"/>
        </w:rPr>
        <w:t>信息不一致的</w:t>
      </w:r>
      <w:r>
        <w:rPr>
          <w:spacing w:val="-24"/>
          <w:sz w:val="24"/>
          <w:szCs w:val="24"/>
        </w:rPr>
        <w:t xml:space="preserve"> </w:t>
      </w:r>
      <w:r>
        <w:rPr>
          <w:spacing w:val="-2"/>
          <w:sz w:val="24"/>
          <w:szCs w:val="24"/>
        </w:rPr>
        <w:t>，以扫描上传的报价文件信息为准进行修正。</w:t>
      </w:r>
    </w:p>
    <w:p w14:paraId="6023C388">
      <w:pPr>
        <w:pStyle w:val="12"/>
        <w:spacing w:before="123" w:line="244" w:lineRule="auto"/>
        <w:ind w:left="2" w:right="153" w:firstLine="501"/>
        <w:rPr>
          <w:sz w:val="24"/>
          <w:szCs w:val="24"/>
        </w:rPr>
      </w:pPr>
      <w:r>
        <w:rPr>
          <w:spacing w:val="-3"/>
          <w:sz w:val="24"/>
          <w:szCs w:val="24"/>
        </w:rPr>
        <w:t>10.2 响应文件报价出现前后不一致的</w:t>
      </w:r>
      <w:r>
        <w:rPr>
          <w:spacing w:val="-22"/>
          <w:sz w:val="24"/>
          <w:szCs w:val="24"/>
        </w:rPr>
        <w:t xml:space="preserve"> </w:t>
      </w:r>
      <w:r>
        <w:rPr>
          <w:spacing w:val="-3"/>
          <w:sz w:val="24"/>
          <w:szCs w:val="24"/>
        </w:rPr>
        <w:t>，除竞争性磋商文件另有规定外</w:t>
      </w:r>
      <w:r>
        <w:rPr>
          <w:spacing w:val="-35"/>
          <w:sz w:val="24"/>
          <w:szCs w:val="24"/>
        </w:rPr>
        <w:t xml:space="preserve"> </w:t>
      </w:r>
      <w:r>
        <w:rPr>
          <w:spacing w:val="-3"/>
          <w:sz w:val="24"/>
          <w:szCs w:val="24"/>
        </w:rPr>
        <w:t>，按照下列规定修</w:t>
      </w:r>
      <w:r>
        <w:rPr>
          <w:spacing w:val="-2"/>
          <w:sz w:val="24"/>
          <w:szCs w:val="24"/>
        </w:rPr>
        <w:t>正：</w:t>
      </w:r>
    </w:p>
    <w:p w14:paraId="309F4200">
      <w:pPr>
        <w:pStyle w:val="12"/>
        <w:spacing w:before="122" w:line="244" w:lineRule="auto"/>
        <w:ind w:left="16" w:right="153" w:firstLine="487"/>
        <w:rPr>
          <w:sz w:val="24"/>
          <w:szCs w:val="24"/>
        </w:rPr>
      </w:pPr>
      <w:r>
        <w:rPr>
          <w:spacing w:val="-2"/>
          <w:sz w:val="24"/>
          <w:szCs w:val="24"/>
        </w:rPr>
        <w:t>10.3 投标函中表述的内容与报价表中不一致的</w:t>
      </w:r>
      <w:r>
        <w:rPr>
          <w:spacing w:val="-26"/>
          <w:sz w:val="24"/>
          <w:szCs w:val="24"/>
        </w:rPr>
        <w:t xml:space="preserve"> </w:t>
      </w:r>
      <w:r>
        <w:rPr>
          <w:spacing w:val="-2"/>
          <w:sz w:val="24"/>
          <w:szCs w:val="24"/>
        </w:rPr>
        <w:t>，以报价表为准；报价表中的内容与报价</w:t>
      </w:r>
      <w:r>
        <w:rPr>
          <w:spacing w:val="-4"/>
          <w:sz w:val="24"/>
          <w:szCs w:val="24"/>
        </w:rPr>
        <w:t>明细表不一致的</w:t>
      </w:r>
      <w:r>
        <w:rPr>
          <w:spacing w:val="-30"/>
          <w:sz w:val="24"/>
          <w:szCs w:val="24"/>
        </w:rPr>
        <w:t xml:space="preserve"> </w:t>
      </w:r>
      <w:r>
        <w:rPr>
          <w:spacing w:val="-4"/>
          <w:sz w:val="24"/>
          <w:szCs w:val="24"/>
        </w:rPr>
        <w:t>，以报价表为准；</w:t>
      </w:r>
    </w:p>
    <w:p w14:paraId="37A61E96">
      <w:pPr>
        <w:pStyle w:val="12"/>
        <w:spacing w:before="121" w:line="225" w:lineRule="auto"/>
        <w:ind w:left="504"/>
        <w:rPr>
          <w:sz w:val="24"/>
          <w:szCs w:val="24"/>
        </w:rPr>
      </w:pPr>
      <w:r>
        <w:rPr>
          <w:spacing w:val="-2"/>
          <w:sz w:val="24"/>
          <w:szCs w:val="24"/>
        </w:rPr>
        <w:t>10.4 响应文件中的大写金额和小写金额不一致的</w:t>
      </w:r>
      <w:r>
        <w:rPr>
          <w:spacing w:val="-34"/>
          <w:sz w:val="24"/>
          <w:szCs w:val="24"/>
        </w:rPr>
        <w:t xml:space="preserve"> </w:t>
      </w:r>
      <w:r>
        <w:rPr>
          <w:spacing w:val="-2"/>
          <w:sz w:val="24"/>
          <w:szCs w:val="24"/>
        </w:rPr>
        <w:t>，</w:t>
      </w:r>
      <w:r>
        <w:rPr>
          <w:spacing w:val="-3"/>
          <w:sz w:val="24"/>
          <w:szCs w:val="24"/>
        </w:rPr>
        <w:t>以大写金额为准；</w:t>
      </w:r>
    </w:p>
    <w:p w14:paraId="0FD76503">
      <w:pPr>
        <w:spacing w:line="225" w:lineRule="auto"/>
        <w:rPr>
          <w:sz w:val="24"/>
          <w:szCs w:val="24"/>
        </w:rPr>
        <w:sectPr>
          <w:pgSz w:w="11907" w:h="16840"/>
          <w:pgMar w:top="1431" w:right="1013" w:bottom="0" w:left="1080" w:header="0" w:footer="0" w:gutter="0"/>
          <w:cols w:space="720" w:num="1"/>
        </w:sectPr>
      </w:pPr>
    </w:p>
    <w:p w14:paraId="64B602CB">
      <w:pPr>
        <w:pStyle w:val="12"/>
        <w:spacing w:before="144" w:line="225" w:lineRule="auto"/>
        <w:jc w:val="right"/>
        <w:rPr>
          <w:sz w:val="24"/>
          <w:szCs w:val="24"/>
        </w:rPr>
      </w:pPr>
      <w:r>
        <w:rPr>
          <w:spacing w:val="-3"/>
          <w:sz w:val="24"/>
          <w:szCs w:val="24"/>
        </w:rPr>
        <w:t>10.5 单价金额小数点或者百分比有明显错位的，以开标一览表的总价为准，并修改单价；</w:t>
      </w:r>
    </w:p>
    <w:p w14:paraId="4E2D24D2">
      <w:pPr>
        <w:pStyle w:val="12"/>
        <w:spacing w:before="94" w:line="225" w:lineRule="auto"/>
        <w:ind w:left="503"/>
        <w:rPr>
          <w:sz w:val="24"/>
          <w:szCs w:val="24"/>
        </w:rPr>
      </w:pPr>
      <w:r>
        <w:rPr>
          <w:spacing w:val="-2"/>
          <w:sz w:val="24"/>
          <w:szCs w:val="24"/>
        </w:rPr>
        <w:t>10.6 总价金额与按单价汇总金额不一致的</w:t>
      </w:r>
      <w:r>
        <w:rPr>
          <w:spacing w:val="-34"/>
          <w:sz w:val="24"/>
          <w:szCs w:val="24"/>
        </w:rPr>
        <w:t xml:space="preserve"> </w:t>
      </w:r>
      <w:r>
        <w:rPr>
          <w:spacing w:val="-2"/>
          <w:sz w:val="24"/>
          <w:szCs w:val="24"/>
        </w:rPr>
        <w:t>，以单价金额计</w:t>
      </w:r>
      <w:r>
        <w:rPr>
          <w:spacing w:val="-3"/>
          <w:sz w:val="24"/>
          <w:szCs w:val="24"/>
        </w:rPr>
        <w:t>算结果为准；</w:t>
      </w:r>
    </w:p>
    <w:p w14:paraId="485F6BFD">
      <w:pPr>
        <w:pStyle w:val="12"/>
        <w:spacing w:before="93" w:line="225" w:lineRule="auto"/>
        <w:ind w:left="503"/>
        <w:rPr>
          <w:sz w:val="24"/>
          <w:szCs w:val="24"/>
        </w:rPr>
      </w:pPr>
      <w:r>
        <w:rPr>
          <w:spacing w:val="-2"/>
          <w:sz w:val="24"/>
          <w:szCs w:val="24"/>
        </w:rPr>
        <w:t>10.7 若用文字表示的数值与用数字表示的数值不一致</w:t>
      </w:r>
      <w:r>
        <w:rPr>
          <w:spacing w:val="-32"/>
          <w:sz w:val="24"/>
          <w:szCs w:val="24"/>
        </w:rPr>
        <w:t xml:space="preserve"> </w:t>
      </w:r>
      <w:r>
        <w:rPr>
          <w:spacing w:val="-2"/>
          <w:sz w:val="24"/>
          <w:szCs w:val="24"/>
        </w:rPr>
        <w:t>，以文字表示的数值为准；</w:t>
      </w:r>
    </w:p>
    <w:p w14:paraId="76C5FDAE">
      <w:pPr>
        <w:pStyle w:val="12"/>
        <w:spacing w:before="96" w:line="244" w:lineRule="auto"/>
        <w:ind w:left="2" w:right="156" w:firstLine="501"/>
        <w:rPr>
          <w:sz w:val="24"/>
          <w:szCs w:val="24"/>
        </w:rPr>
      </w:pPr>
      <w:r>
        <w:rPr>
          <w:spacing w:val="-1"/>
          <w:sz w:val="24"/>
          <w:szCs w:val="24"/>
        </w:rPr>
        <w:t>10.8 如有多报（指数量超出竞争性磋商文件需求）、重报（指同一货物重复报</w:t>
      </w:r>
      <w:r>
        <w:rPr>
          <w:spacing w:val="-2"/>
          <w:sz w:val="24"/>
          <w:szCs w:val="24"/>
        </w:rPr>
        <w:t>价</w:t>
      </w:r>
      <w:r>
        <w:rPr>
          <w:spacing w:val="-17"/>
          <w:sz w:val="24"/>
          <w:szCs w:val="24"/>
        </w:rPr>
        <w:t>）</w:t>
      </w:r>
      <w:r>
        <w:rPr>
          <w:spacing w:val="-33"/>
          <w:sz w:val="24"/>
          <w:szCs w:val="24"/>
        </w:rPr>
        <w:t xml:space="preserve"> </w:t>
      </w:r>
      <w:r>
        <w:rPr>
          <w:spacing w:val="-17"/>
          <w:sz w:val="24"/>
          <w:szCs w:val="24"/>
        </w:rPr>
        <w:t>，</w:t>
      </w:r>
      <w:r>
        <w:rPr>
          <w:spacing w:val="-2"/>
          <w:sz w:val="24"/>
          <w:szCs w:val="24"/>
        </w:rPr>
        <w:t>其投标总价在评标过程中不予调整</w:t>
      </w:r>
      <w:r>
        <w:rPr>
          <w:spacing w:val="-34"/>
          <w:sz w:val="24"/>
          <w:szCs w:val="24"/>
        </w:rPr>
        <w:t xml:space="preserve"> </w:t>
      </w:r>
      <w:r>
        <w:rPr>
          <w:spacing w:val="-2"/>
          <w:sz w:val="24"/>
          <w:szCs w:val="24"/>
        </w:rPr>
        <w:t>，如其中标</w:t>
      </w:r>
      <w:r>
        <w:rPr>
          <w:spacing w:val="-35"/>
          <w:sz w:val="24"/>
          <w:szCs w:val="24"/>
        </w:rPr>
        <w:t xml:space="preserve"> </w:t>
      </w:r>
      <w:r>
        <w:rPr>
          <w:spacing w:val="-2"/>
          <w:sz w:val="24"/>
          <w:szCs w:val="24"/>
        </w:rPr>
        <w:t>，其合同价按其投</w:t>
      </w:r>
      <w:r>
        <w:rPr>
          <w:spacing w:val="-3"/>
          <w:sz w:val="24"/>
          <w:szCs w:val="24"/>
        </w:rPr>
        <w:t>标单价予以调整；</w:t>
      </w:r>
    </w:p>
    <w:p w14:paraId="7AECF7D3">
      <w:pPr>
        <w:pStyle w:val="12"/>
        <w:spacing w:before="121" w:line="225" w:lineRule="auto"/>
        <w:ind w:left="503"/>
        <w:rPr>
          <w:sz w:val="24"/>
          <w:szCs w:val="24"/>
        </w:rPr>
      </w:pPr>
      <w:r>
        <w:rPr>
          <w:spacing w:val="-2"/>
          <w:sz w:val="24"/>
          <w:szCs w:val="24"/>
        </w:rPr>
        <w:t>10.9 对不同文字文本响应文件的解释发生异议的</w:t>
      </w:r>
      <w:r>
        <w:rPr>
          <w:spacing w:val="-34"/>
          <w:sz w:val="24"/>
          <w:szCs w:val="24"/>
        </w:rPr>
        <w:t xml:space="preserve"> </w:t>
      </w:r>
      <w:r>
        <w:rPr>
          <w:spacing w:val="-2"/>
          <w:sz w:val="24"/>
          <w:szCs w:val="24"/>
        </w:rPr>
        <w:t>，</w:t>
      </w:r>
      <w:r>
        <w:rPr>
          <w:spacing w:val="-3"/>
          <w:sz w:val="24"/>
          <w:szCs w:val="24"/>
        </w:rPr>
        <w:t>以中文文本为准；</w:t>
      </w:r>
    </w:p>
    <w:p w14:paraId="5441C1BF">
      <w:pPr>
        <w:pStyle w:val="12"/>
        <w:spacing w:before="134" w:line="273" w:lineRule="auto"/>
        <w:ind w:left="2" w:right="70" w:firstLine="256"/>
        <w:jc w:val="both"/>
        <w:rPr>
          <w:sz w:val="24"/>
          <w:szCs w:val="24"/>
        </w:rPr>
      </w:pPr>
      <w:r>
        <w:rPr>
          <w:spacing w:val="-3"/>
          <w:sz w:val="24"/>
          <w:szCs w:val="24"/>
        </w:rPr>
        <w:t>同时出现两种以上不一致的，按照前款规定的顺序修正。按上述修正错误的原则及方法调整</w:t>
      </w:r>
      <w:r>
        <w:rPr>
          <w:spacing w:val="-2"/>
          <w:sz w:val="24"/>
          <w:szCs w:val="24"/>
        </w:rPr>
        <w:t>或修正响应文件的投标报价，供应商确认后，以调整或</w:t>
      </w:r>
      <w:r>
        <w:rPr>
          <w:spacing w:val="-3"/>
          <w:sz w:val="24"/>
          <w:szCs w:val="24"/>
        </w:rPr>
        <w:t>修正后的投标报价为准。如供应商拒绝</w:t>
      </w:r>
      <w:r>
        <w:rPr>
          <w:spacing w:val="-2"/>
          <w:sz w:val="24"/>
          <w:szCs w:val="24"/>
        </w:rPr>
        <w:t>调整或修正的，其响应文件按无效标处理。</w:t>
      </w:r>
      <w:r>
        <w:rPr>
          <w:b/>
          <w:bCs/>
          <w:spacing w:val="-2"/>
          <w:sz w:val="24"/>
          <w:szCs w:val="24"/>
        </w:rPr>
        <w:t>修正应当采</w:t>
      </w:r>
      <w:r>
        <w:rPr>
          <w:b/>
          <w:bCs/>
          <w:spacing w:val="-3"/>
          <w:sz w:val="24"/>
          <w:szCs w:val="24"/>
        </w:rPr>
        <w:t>用电子标的形式，并加盖公章（电子印</w:t>
      </w:r>
      <w:r>
        <w:rPr>
          <w:b/>
          <w:bCs/>
          <w:spacing w:val="2"/>
          <w:sz w:val="24"/>
          <w:szCs w:val="24"/>
        </w:rPr>
        <w:t>章）。</w:t>
      </w:r>
    </w:p>
    <w:p w14:paraId="0FACE333">
      <w:pPr>
        <w:pStyle w:val="12"/>
        <w:spacing w:before="1" w:line="229" w:lineRule="auto"/>
        <w:ind w:left="500"/>
        <w:rPr>
          <w:sz w:val="24"/>
          <w:szCs w:val="24"/>
        </w:rPr>
      </w:pPr>
      <w:r>
        <w:rPr>
          <w:b/>
          <w:bCs/>
          <w:spacing w:val="-3"/>
          <w:sz w:val="24"/>
          <w:szCs w:val="24"/>
        </w:rPr>
        <w:t>11、有下列情形之一的</w:t>
      </w:r>
      <w:r>
        <w:rPr>
          <w:b/>
          <w:bCs/>
          <w:spacing w:val="-27"/>
          <w:sz w:val="24"/>
          <w:szCs w:val="24"/>
        </w:rPr>
        <w:t xml:space="preserve"> </w:t>
      </w:r>
      <w:r>
        <w:rPr>
          <w:b/>
          <w:bCs/>
          <w:spacing w:val="-3"/>
          <w:sz w:val="24"/>
          <w:szCs w:val="24"/>
        </w:rPr>
        <w:t>，响应文件按无效标处理：</w:t>
      </w:r>
    </w:p>
    <w:p w14:paraId="4AA69722">
      <w:pPr>
        <w:pStyle w:val="12"/>
        <w:spacing w:before="92" w:line="225" w:lineRule="auto"/>
        <w:ind w:left="503"/>
        <w:rPr>
          <w:sz w:val="24"/>
          <w:szCs w:val="24"/>
        </w:rPr>
      </w:pPr>
      <w:r>
        <w:rPr>
          <w:spacing w:val="-1"/>
          <w:sz w:val="24"/>
          <w:szCs w:val="24"/>
        </w:rPr>
        <w:t>11.1</w:t>
      </w:r>
      <w:r>
        <w:rPr>
          <w:spacing w:val="60"/>
          <w:sz w:val="24"/>
          <w:szCs w:val="24"/>
        </w:rPr>
        <w:t xml:space="preserve"> </w:t>
      </w:r>
      <w:r>
        <w:rPr>
          <w:spacing w:val="-1"/>
          <w:sz w:val="24"/>
          <w:szCs w:val="24"/>
        </w:rPr>
        <w:t>报名的供应商与参加投标的供应商发生实质性变更的且未提供有效证明的；</w:t>
      </w:r>
    </w:p>
    <w:p w14:paraId="1DE7AF2B">
      <w:pPr>
        <w:pStyle w:val="12"/>
        <w:spacing w:before="94" w:line="225" w:lineRule="auto"/>
        <w:ind w:left="503"/>
        <w:rPr>
          <w:sz w:val="24"/>
          <w:szCs w:val="24"/>
        </w:rPr>
      </w:pPr>
      <w:r>
        <w:rPr>
          <w:spacing w:val="-2"/>
          <w:sz w:val="24"/>
          <w:szCs w:val="24"/>
        </w:rPr>
        <w:t>11.2 供应商提交两份或两份以上内容不同的响应文件</w:t>
      </w:r>
      <w:r>
        <w:rPr>
          <w:spacing w:val="-34"/>
          <w:sz w:val="24"/>
          <w:szCs w:val="24"/>
        </w:rPr>
        <w:t xml:space="preserve"> </w:t>
      </w:r>
      <w:r>
        <w:rPr>
          <w:spacing w:val="-2"/>
          <w:sz w:val="24"/>
          <w:szCs w:val="24"/>
        </w:rPr>
        <w:t>，未声明哪一份有效的；</w:t>
      </w:r>
    </w:p>
    <w:p w14:paraId="215D6E51">
      <w:pPr>
        <w:pStyle w:val="12"/>
        <w:spacing w:before="94" w:line="225" w:lineRule="auto"/>
        <w:ind w:left="503"/>
        <w:rPr>
          <w:sz w:val="24"/>
          <w:szCs w:val="24"/>
        </w:rPr>
      </w:pPr>
      <w:r>
        <w:rPr>
          <w:spacing w:val="-2"/>
          <w:sz w:val="24"/>
          <w:szCs w:val="24"/>
        </w:rPr>
        <w:t>11.3</w:t>
      </w:r>
      <w:r>
        <w:rPr>
          <w:spacing w:val="66"/>
          <w:w w:val="101"/>
          <w:sz w:val="24"/>
          <w:szCs w:val="24"/>
        </w:rPr>
        <w:t xml:space="preserve"> </w:t>
      </w:r>
      <w:r>
        <w:rPr>
          <w:spacing w:val="-2"/>
          <w:sz w:val="24"/>
          <w:szCs w:val="24"/>
        </w:rPr>
        <w:t>响应文件非供应商法定代表人签署的</w:t>
      </w:r>
      <w:r>
        <w:rPr>
          <w:spacing w:val="-35"/>
          <w:sz w:val="24"/>
          <w:szCs w:val="24"/>
        </w:rPr>
        <w:t xml:space="preserve"> </w:t>
      </w:r>
      <w:r>
        <w:rPr>
          <w:spacing w:val="-2"/>
          <w:sz w:val="24"/>
          <w:szCs w:val="24"/>
        </w:rPr>
        <w:t>，未提供或提供无效的法定代表人授权书的；</w:t>
      </w:r>
    </w:p>
    <w:p w14:paraId="01474FCC">
      <w:pPr>
        <w:pStyle w:val="12"/>
        <w:spacing w:before="94" w:line="225" w:lineRule="auto"/>
        <w:ind w:left="503"/>
        <w:rPr>
          <w:sz w:val="24"/>
          <w:szCs w:val="24"/>
        </w:rPr>
      </w:pPr>
      <w:r>
        <w:rPr>
          <w:spacing w:val="-1"/>
          <w:sz w:val="24"/>
          <w:szCs w:val="24"/>
        </w:rPr>
        <w:t>11.4 响应文件内容未按竞争性磋商文件规</w:t>
      </w:r>
      <w:r>
        <w:rPr>
          <w:spacing w:val="-2"/>
          <w:sz w:val="24"/>
          <w:szCs w:val="24"/>
        </w:rPr>
        <w:t>定签字或盖章的；</w:t>
      </w:r>
    </w:p>
    <w:p w14:paraId="744298DA">
      <w:pPr>
        <w:pStyle w:val="12"/>
        <w:spacing w:before="95" w:line="244" w:lineRule="auto"/>
        <w:ind w:left="1" w:right="96" w:firstLine="501"/>
        <w:rPr>
          <w:sz w:val="24"/>
          <w:szCs w:val="24"/>
        </w:rPr>
      </w:pPr>
      <w:r>
        <w:rPr>
          <w:spacing w:val="-1"/>
          <w:sz w:val="24"/>
          <w:szCs w:val="24"/>
        </w:rPr>
        <w:t>11.5</w:t>
      </w:r>
      <w:r>
        <w:rPr>
          <w:spacing w:val="63"/>
          <w:sz w:val="24"/>
          <w:szCs w:val="24"/>
        </w:rPr>
        <w:t xml:space="preserve"> </w:t>
      </w:r>
      <w:r>
        <w:rPr>
          <w:spacing w:val="-1"/>
          <w:sz w:val="24"/>
          <w:szCs w:val="24"/>
        </w:rPr>
        <w:t>响应文件组成漏项或未按规定的格式编制或上传的响应文件内容不全或内容字迹模糊辨认不清的而导致评标活动无法正常进行；</w:t>
      </w:r>
    </w:p>
    <w:p w14:paraId="0299CD02">
      <w:pPr>
        <w:pStyle w:val="12"/>
        <w:spacing w:before="122" w:line="225" w:lineRule="auto"/>
        <w:ind w:left="503"/>
        <w:rPr>
          <w:sz w:val="24"/>
          <w:szCs w:val="24"/>
        </w:rPr>
      </w:pPr>
      <w:r>
        <w:rPr>
          <w:spacing w:val="-1"/>
          <w:sz w:val="24"/>
          <w:szCs w:val="24"/>
        </w:rPr>
        <w:t>11.6 供应商未按竞争性磋商文件变更通知</w:t>
      </w:r>
      <w:r>
        <w:rPr>
          <w:spacing w:val="-2"/>
          <w:sz w:val="24"/>
          <w:szCs w:val="24"/>
        </w:rPr>
        <w:t>更改响应文件的；</w:t>
      </w:r>
    </w:p>
    <w:p w14:paraId="72D8403E">
      <w:pPr>
        <w:pStyle w:val="12"/>
        <w:spacing w:before="94" w:line="244" w:lineRule="auto"/>
        <w:ind w:left="12" w:right="70" w:firstLine="491"/>
        <w:rPr>
          <w:sz w:val="24"/>
          <w:szCs w:val="24"/>
        </w:rPr>
      </w:pPr>
      <w:r>
        <w:rPr>
          <w:spacing w:val="-3"/>
          <w:sz w:val="24"/>
          <w:szCs w:val="24"/>
        </w:rPr>
        <w:t>11.7《开标一览表》和《投标分项报价表》内容不完整且不接受修正意见或字迹不能辨认</w:t>
      </w:r>
      <w:r>
        <w:rPr>
          <w:spacing w:val="-2"/>
          <w:sz w:val="24"/>
          <w:szCs w:val="24"/>
        </w:rPr>
        <w:t>的或未提供的；</w:t>
      </w:r>
    </w:p>
    <w:p w14:paraId="51006BEC">
      <w:pPr>
        <w:pStyle w:val="12"/>
        <w:spacing w:before="121" w:line="225" w:lineRule="auto"/>
        <w:ind w:left="503"/>
        <w:rPr>
          <w:sz w:val="24"/>
          <w:szCs w:val="24"/>
        </w:rPr>
      </w:pPr>
      <w:r>
        <w:rPr>
          <w:spacing w:val="-1"/>
          <w:sz w:val="24"/>
          <w:szCs w:val="24"/>
        </w:rPr>
        <w:t>11.8 标项投标报价超过竞争性磋商文件规定的预算金额或最</w:t>
      </w:r>
      <w:r>
        <w:rPr>
          <w:spacing w:val="-2"/>
          <w:sz w:val="24"/>
          <w:szCs w:val="24"/>
        </w:rPr>
        <w:t>高限价；</w:t>
      </w:r>
    </w:p>
    <w:p w14:paraId="064311ED">
      <w:pPr>
        <w:pStyle w:val="12"/>
        <w:spacing w:before="95" w:line="225" w:lineRule="auto"/>
        <w:jc w:val="right"/>
        <w:rPr>
          <w:sz w:val="24"/>
          <w:szCs w:val="24"/>
        </w:rPr>
      </w:pPr>
      <w:r>
        <w:rPr>
          <w:spacing w:val="-2"/>
          <w:sz w:val="24"/>
          <w:szCs w:val="24"/>
        </w:rPr>
        <w:t>11.9</w:t>
      </w:r>
      <w:r>
        <w:rPr>
          <w:spacing w:val="67"/>
          <w:sz w:val="24"/>
          <w:szCs w:val="24"/>
        </w:rPr>
        <w:t xml:space="preserve"> </w:t>
      </w:r>
      <w:r>
        <w:rPr>
          <w:spacing w:val="-2"/>
          <w:sz w:val="24"/>
          <w:szCs w:val="24"/>
        </w:rPr>
        <w:t>因供应商原因编制错误造成经评审小组修正</w:t>
      </w:r>
      <w:r>
        <w:rPr>
          <w:spacing w:val="-3"/>
          <w:sz w:val="24"/>
          <w:szCs w:val="24"/>
        </w:rPr>
        <w:t>后的报价达到或超过投标报价的 0.5%；</w:t>
      </w:r>
    </w:p>
    <w:p w14:paraId="47C88417">
      <w:pPr>
        <w:pStyle w:val="12"/>
        <w:spacing w:before="95" w:line="244" w:lineRule="auto"/>
        <w:ind w:right="70" w:firstLine="503"/>
        <w:rPr>
          <w:sz w:val="24"/>
          <w:szCs w:val="24"/>
        </w:rPr>
      </w:pPr>
      <w:r>
        <w:rPr>
          <w:spacing w:val="-2"/>
          <w:sz w:val="24"/>
          <w:szCs w:val="24"/>
        </w:rPr>
        <w:t>11.10 供应商的报价明显低于其他通过符合性审查供应商的报价，有可</w:t>
      </w:r>
      <w:r>
        <w:rPr>
          <w:spacing w:val="-3"/>
          <w:sz w:val="24"/>
          <w:szCs w:val="24"/>
        </w:rPr>
        <w:t>能影响产品质量或</w:t>
      </w:r>
      <w:r>
        <w:rPr>
          <w:spacing w:val="-1"/>
          <w:sz w:val="24"/>
          <w:szCs w:val="24"/>
        </w:rPr>
        <w:t>者不能诚信履约的</w:t>
      </w:r>
      <w:r>
        <w:rPr>
          <w:spacing w:val="-35"/>
          <w:sz w:val="24"/>
          <w:szCs w:val="24"/>
        </w:rPr>
        <w:t xml:space="preserve"> </w:t>
      </w:r>
      <w:r>
        <w:rPr>
          <w:spacing w:val="-1"/>
          <w:sz w:val="24"/>
          <w:szCs w:val="24"/>
        </w:rPr>
        <w:t>，且在规定时间内不能合理说明原因并提供</w:t>
      </w:r>
      <w:r>
        <w:rPr>
          <w:spacing w:val="-2"/>
          <w:sz w:val="24"/>
          <w:szCs w:val="24"/>
        </w:rPr>
        <w:t>证明材料的；</w:t>
      </w:r>
    </w:p>
    <w:p w14:paraId="74FB19E6">
      <w:pPr>
        <w:pStyle w:val="12"/>
        <w:spacing w:before="122" w:line="225" w:lineRule="auto"/>
        <w:ind w:left="503"/>
        <w:rPr>
          <w:sz w:val="24"/>
          <w:szCs w:val="24"/>
        </w:rPr>
      </w:pPr>
      <w:r>
        <w:rPr>
          <w:spacing w:val="-1"/>
          <w:sz w:val="24"/>
          <w:szCs w:val="24"/>
        </w:rPr>
        <w:t>11.11 未实质性响应竞争性磋商文件中条</w:t>
      </w:r>
      <w:r>
        <w:rPr>
          <w:spacing w:val="-2"/>
          <w:sz w:val="24"/>
          <w:szCs w:val="24"/>
        </w:rPr>
        <w:t>款要求的响应文件；</w:t>
      </w:r>
    </w:p>
    <w:p w14:paraId="5C516AC2">
      <w:pPr>
        <w:pStyle w:val="12"/>
        <w:spacing w:before="93" w:line="225" w:lineRule="auto"/>
        <w:ind w:left="503"/>
        <w:rPr>
          <w:sz w:val="24"/>
          <w:szCs w:val="24"/>
        </w:rPr>
      </w:pPr>
      <w:r>
        <w:rPr>
          <w:spacing w:val="-1"/>
          <w:sz w:val="24"/>
          <w:szCs w:val="24"/>
        </w:rPr>
        <w:t>11.12 不符合招标范围、技术规格、技术标准的要求无法满足采购人使用要求；</w:t>
      </w:r>
    </w:p>
    <w:p w14:paraId="51CAFE6F">
      <w:pPr>
        <w:pStyle w:val="12"/>
        <w:spacing w:before="95" w:line="225" w:lineRule="auto"/>
        <w:ind w:left="503"/>
        <w:rPr>
          <w:sz w:val="24"/>
          <w:szCs w:val="24"/>
        </w:rPr>
      </w:pPr>
      <w:r>
        <w:rPr>
          <w:spacing w:val="-2"/>
          <w:sz w:val="24"/>
          <w:szCs w:val="24"/>
        </w:rPr>
        <w:t>11.13 响应文件附有采购人不能接受的条款；</w:t>
      </w:r>
    </w:p>
    <w:p w14:paraId="25CC2301">
      <w:pPr>
        <w:pStyle w:val="12"/>
        <w:spacing w:before="93" w:line="225" w:lineRule="auto"/>
        <w:ind w:left="503"/>
        <w:rPr>
          <w:sz w:val="24"/>
          <w:szCs w:val="24"/>
        </w:rPr>
      </w:pPr>
      <w:r>
        <w:rPr>
          <w:spacing w:val="-1"/>
          <w:sz w:val="24"/>
          <w:szCs w:val="24"/>
        </w:rPr>
        <w:t>11.14 响应文件中提供了赠品或者与本项目采购无关的其他商品</w:t>
      </w:r>
      <w:r>
        <w:rPr>
          <w:spacing w:val="-2"/>
          <w:sz w:val="24"/>
          <w:szCs w:val="24"/>
        </w:rPr>
        <w:t>、服务；</w:t>
      </w:r>
    </w:p>
    <w:p w14:paraId="79C54A59">
      <w:pPr>
        <w:pStyle w:val="12"/>
        <w:spacing w:before="94" w:line="225" w:lineRule="auto"/>
        <w:ind w:left="503"/>
        <w:rPr>
          <w:sz w:val="24"/>
          <w:szCs w:val="24"/>
        </w:rPr>
      </w:pPr>
      <w:r>
        <w:rPr>
          <w:spacing w:val="-1"/>
          <w:sz w:val="24"/>
          <w:szCs w:val="24"/>
        </w:rPr>
        <w:t>11.15 响应文件中承诺的投标有效期少于磋商文件中载明的投标</w:t>
      </w:r>
      <w:r>
        <w:rPr>
          <w:spacing w:val="-2"/>
          <w:sz w:val="24"/>
          <w:szCs w:val="24"/>
        </w:rPr>
        <w:t>有效期；</w:t>
      </w:r>
    </w:p>
    <w:p w14:paraId="0C62E294">
      <w:pPr>
        <w:spacing w:line="225" w:lineRule="auto"/>
        <w:rPr>
          <w:sz w:val="24"/>
          <w:szCs w:val="24"/>
        </w:rPr>
        <w:sectPr>
          <w:pgSz w:w="11907" w:h="16840"/>
          <w:pgMar w:top="1431" w:right="1010" w:bottom="0" w:left="1081" w:header="0" w:footer="0" w:gutter="0"/>
          <w:cols w:space="720" w:num="1"/>
        </w:sectPr>
      </w:pPr>
    </w:p>
    <w:p w14:paraId="0A1B9F0E">
      <w:pPr>
        <w:pStyle w:val="12"/>
        <w:spacing w:before="146" w:line="244" w:lineRule="auto"/>
        <w:ind w:firstLine="502"/>
        <w:rPr>
          <w:sz w:val="24"/>
          <w:szCs w:val="24"/>
        </w:rPr>
      </w:pPr>
      <w:r>
        <w:rPr>
          <w:spacing w:val="-2"/>
          <w:sz w:val="24"/>
          <w:szCs w:val="24"/>
        </w:rPr>
        <w:t>11.16 供应商串通投标，妨碍其他供应商的竞争行为，损害采购人或者</w:t>
      </w:r>
      <w:r>
        <w:rPr>
          <w:spacing w:val="-3"/>
          <w:sz w:val="24"/>
          <w:szCs w:val="24"/>
        </w:rPr>
        <w:t>其他供应商的合法</w:t>
      </w:r>
      <w:r>
        <w:rPr>
          <w:spacing w:val="-1"/>
          <w:sz w:val="24"/>
          <w:szCs w:val="24"/>
        </w:rPr>
        <w:t>权益；</w:t>
      </w:r>
    </w:p>
    <w:p w14:paraId="71F960A3">
      <w:pPr>
        <w:pStyle w:val="12"/>
        <w:spacing w:before="122" w:line="244" w:lineRule="auto"/>
        <w:ind w:firstLine="501"/>
        <w:rPr>
          <w:sz w:val="24"/>
          <w:szCs w:val="24"/>
        </w:rPr>
      </w:pPr>
      <w:r>
        <w:rPr>
          <w:spacing w:val="-2"/>
          <w:sz w:val="24"/>
          <w:szCs w:val="24"/>
        </w:rPr>
        <w:t>11.17 违反国家及政府部门相关法律、法规、文件规定或经评审小组认</w:t>
      </w:r>
      <w:r>
        <w:rPr>
          <w:spacing w:val="-3"/>
          <w:sz w:val="24"/>
          <w:szCs w:val="24"/>
        </w:rPr>
        <w:t>定的其他属于重大</w:t>
      </w:r>
      <w:r>
        <w:rPr>
          <w:spacing w:val="-2"/>
          <w:sz w:val="24"/>
          <w:szCs w:val="24"/>
        </w:rPr>
        <w:t>偏离；</w:t>
      </w:r>
    </w:p>
    <w:p w14:paraId="73262954">
      <w:pPr>
        <w:pStyle w:val="12"/>
        <w:spacing w:before="115" w:line="230" w:lineRule="auto"/>
        <w:ind w:left="499"/>
        <w:rPr>
          <w:sz w:val="24"/>
          <w:szCs w:val="24"/>
        </w:rPr>
      </w:pPr>
      <w:r>
        <w:rPr>
          <w:b/>
          <w:bCs/>
          <w:spacing w:val="-5"/>
          <w:sz w:val="24"/>
          <w:szCs w:val="24"/>
        </w:rPr>
        <w:t>12、废标</w:t>
      </w:r>
    </w:p>
    <w:p w14:paraId="0B180D71">
      <w:pPr>
        <w:pStyle w:val="12"/>
        <w:spacing w:before="91" w:line="225" w:lineRule="auto"/>
        <w:ind w:left="502"/>
        <w:rPr>
          <w:sz w:val="24"/>
          <w:szCs w:val="24"/>
        </w:rPr>
      </w:pPr>
      <w:r>
        <w:rPr>
          <w:spacing w:val="-2"/>
          <w:sz w:val="24"/>
          <w:szCs w:val="24"/>
        </w:rPr>
        <w:t>12.1 符合竞争性磋商文件规定废标情形的；</w:t>
      </w:r>
    </w:p>
    <w:p w14:paraId="25C1F9A8">
      <w:pPr>
        <w:pStyle w:val="12"/>
        <w:spacing w:before="93" w:line="225" w:lineRule="auto"/>
        <w:ind w:left="502"/>
        <w:rPr>
          <w:sz w:val="24"/>
          <w:szCs w:val="24"/>
        </w:rPr>
      </w:pPr>
      <w:r>
        <w:rPr>
          <w:spacing w:val="-2"/>
          <w:sz w:val="24"/>
          <w:szCs w:val="24"/>
        </w:rPr>
        <w:t>12.2 出现影响采购公正的违法、违规行为的；</w:t>
      </w:r>
    </w:p>
    <w:p w14:paraId="69650A96">
      <w:pPr>
        <w:pStyle w:val="12"/>
        <w:spacing w:before="94" w:line="221" w:lineRule="auto"/>
        <w:ind w:left="502"/>
        <w:rPr>
          <w:sz w:val="24"/>
          <w:szCs w:val="24"/>
        </w:rPr>
      </w:pPr>
      <w:r>
        <w:rPr>
          <w:spacing w:val="-1"/>
          <w:sz w:val="24"/>
          <w:szCs w:val="24"/>
        </w:rPr>
        <w:t>12.3 供应商的报价均超过了采购预算（或最高限价</w:t>
      </w:r>
      <w:r>
        <w:rPr>
          <w:spacing w:val="-17"/>
          <w:sz w:val="24"/>
          <w:szCs w:val="24"/>
        </w:rPr>
        <w:t>）</w:t>
      </w:r>
      <w:r>
        <w:rPr>
          <w:spacing w:val="-33"/>
          <w:sz w:val="24"/>
          <w:szCs w:val="24"/>
        </w:rPr>
        <w:t xml:space="preserve"> </w:t>
      </w:r>
      <w:r>
        <w:rPr>
          <w:spacing w:val="-17"/>
          <w:sz w:val="24"/>
          <w:szCs w:val="24"/>
        </w:rPr>
        <w:t>，</w:t>
      </w:r>
      <w:r>
        <w:rPr>
          <w:spacing w:val="-1"/>
          <w:sz w:val="24"/>
          <w:szCs w:val="24"/>
        </w:rPr>
        <w:t>采购</w:t>
      </w:r>
      <w:r>
        <w:rPr>
          <w:spacing w:val="-2"/>
          <w:sz w:val="24"/>
          <w:szCs w:val="24"/>
        </w:rPr>
        <w:t>人不能支付的;</w:t>
      </w:r>
    </w:p>
    <w:p w14:paraId="10B9C5B8">
      <w:pPr>
        <w:pStyle w:val="12"/>
        <w:spacing w:before="101" w:line="225" w:lineRule="auto"/>
        <w:ind w:left="502"/>
        <w:rPr>
          <w:sz w:val="24"/>
          <w:szCs w:val="24"/>
        </w:rPr>
      </w:pPr>
      <w:r>
        <w:rPr>
          <w:spacing w:val="-4"/>
          <w:sz w:val="24"/>
          <w:szCs w:val="24"/>
        </w:rPr>
        <w:t>12.4 因重大变故</w:t>
      </w:r>
      <w:r>
        <w:rPr>
          <w:spacing w:val="-32"/>
          <w:sz w:val="24"/>
          <w:szCs w:val="24"/>
        </w:rPr>
        <w:t xml:space="preserve"> </w:t>
      </w:r>
      <w:r>
        <w:rPr>
          <w:spacing w:val="-4"/>
          <w:sz w:val="24"/>
          <w:szCs w:val="24"/>
        </w:rPr>
        <w:t>，采购任务取消的。</w:t>
      </w:r>
    </w:p>
    <w:p w14:paraId="104FFA28">
      <w:pPr>
        <w:pStyle w:val="12"/>
        <w:spacing w:before="89" w:line="229" w:lineRule="auto"/>
        <w:ind w:left="499"/>
        <w:rPr>
          <w:sz w:val="24"/>
          <w:szCs w:val="24"/>
        </w:rPr>
      </w:pPr>
      <w:r>
        <w:rPr>
          <w:b/>
          <w:bCs/>
          <w:spacing w:val="-3"/>
          <w:sz w:val="24"/>
          <w:szCs w:val="24"/>
        </w:rPr>
        <w:t>13、突发情况处理</w:t>
      </w:r>
    </w:p>
    <w:p w14:paraId="76F82163">
      <w:pPr>
        <w:pStyle w:val="12"/>
        <w:spacing w:before="91" w:line="280" w:lineRule="auto"/>
        <w:ind w:left="1" w:right="86" w:firstLine="500"/>
        <w:rPr>
          <w:sz w:val="24"/>
          <w:szCs w:val="24"/>
        </w:rPr>
      </w:pPr>
      <w:r>
        <w:rPr>
          <w:spacing w:val="-3"/>
          <w:sz w:val="24"/>
          <w:szCs w:val="24"/>
        </w:rPr>
        <w:t>13.1 采购过程中出现以下情形</w:t>
      </w:r>
      <w:r>
        <w:rPr>
          <w:spacing w:val="-22"/>
          <w:sz w:val="24"/>
          <w:szCs w:val="24"/>
        </w:rPr>
        <w:t xml:space="preserve"> </w:t>
      </w:r>
      <w:r>
        <w:rPr>
          <w:spacing w:val="-3"/>
          <w:sz w:val="24"/>
          <w:szCs w:val="24"/>
        </w:rPr>
        <w:t>，导致电子交易平台无法正常运行</w:t>
      </w:r>
      <w:r>
        <w:rPr>
          <w:spacing w:val="-35"/>
          <w:sz w:val="24"/>
          <w:szCs w:val="24"/>
        </w:rPr>
        <w:t xml:space="preserve"> </w:t>
      </w:r>
      <w:r>
        <w:rPr>
          <w:spacing w:val="-3"/>
          <w:sz w:val="24"/>
          <w:szCs w:val="24"/>
        </w:rPr>
        <w:t>，或者无法保证电子交</w:t>
      </w:r>
      <w:r>
        <w:rPr>
          <w:spacing w:val="-2"/>
          <w:sz w:val="24"/>
          <w:szCs w:val="24"/>
        </w:rPr>
        <w:t>易的公平、公正和安全时</w:t>
      </w:r>
      <w:r>
        <w:rPr>
          <w:spacing w:val="-21"/>
          <w:sz w:val="24"/>
          <w:szCs w:val="24"/>
        </w:rPr>
        <w:t xml:space="preserve"> </w:t>
      </w:r>
      <w:r>
        <w:rPr>
          <w:spacing w:val="-2"/>
          <w:sz w:val="24"/>
          <w:szCs w:val="24"/>
        </w:rPr>
        <w:t>，采购组织机构可中止电子交易活动：</w:t>
      </w:r>
    </w:p>
    <w:p w14:paraId="15A43EDD">
      <w:pPr>
        <w:pStyle w:val="12"/>
        <w:spacing w:before="2" w:line="220" w:lineRule="auto"/>
        <w:ind w:left="279"/>
        <w:rPr>
          <w:sz w:val="24"/>
          <w:szCs w:val="24"/>
        </w:rPr>
      </w:pPr>
      <w:r>
        <w:rPr>
          <w:spacing w:val="-2"/>
          <w:sz w:val="24"/>
          <w:szCs w:val="24"/>
        </w:rPr>
        <w:t>（1）电子交易平台发生故障而无法登录访问的；</w:t>
      </w:r>
    </w:p>
    <w:p w14:paraId="0AE0D34C">
      <w:pPr>
        <w:pStyle w:val="12"/>
        <w:spacing w:before="100" w:line="221" w:lineRule="auto"/>
        <w:ind w:left="279"/>
        <w:rPr>
          <w:sz w:val="24"/>
          <w:szCs w:val="24"/>
        </w:rPr>
      </w:pPr>
      <w:r>
        <w:rPr>
          <w:spacing w:val="-3"/>
          <w:sz w:val="24"/>
          <w:szCs w:val="24"/>
        </w:rPr>
        <w:t>（2）电子交易平台应用或数据库出现错误</w:t>
      </w:r>
      <w:r>
        <w:rPr>
          <w:spacing w:val="-26"/>
          <w:sz w:val="24"/>
          <w:szCs w:val="24"/>
        </w:rPr>
        <w:t xml:space="preserve"> </w:t>
      </w:r>
      <w:r>
        <w:rPr>
          <w:spacing w:val="-3"/>
          <w:sz w:val="24"/>
          <w:szCs w:val="24"/>
        </w:rPr>
        <w:t>，不能进行正常操作的；</w:t>
      </w:r>
    </w:p>
    <w:p w14:paraId="1FE5AEFF">
      <w:pPr>
        <w:pStyle w:val="12"/>
        <w:spacing w:before="101" w:line="221" w:lineRule="auto"/>
        <w:ind w:left="279"/>
        <w:rPr>
          <w:sz w:val="24"/>
          <w:szCs w:val="24"/>
        </w:rPr>
      </w:pPr>
      <w:r>
        <w:rPr>
          <w:spacing w:val="-3"/>
          <w:sz w:val="24"/>
          <w:szCs w:val="24"/>
        </w:rPr>
        <w:t>（3）电子交易平台发现严重安全漏洞</w:t>
      </w:r>
      <w:r>
        <w:rPr>
          <w:spacing w:val="-35"/>
          <w:sz w:val="24"/>
          <w:szCs w:val="24"/>
        </w:rPr>
        <w:t xml:space="preserve"> </w:t>
      </w:r>
      <w:r>
        <w:rPr>
          <w:spacing w:val="-3"/>
          <w:sz w:val="24"/>
          <w:szCs w:val="24"/>
        </w:rPr>
        <w:t>，有潜在泄密危险的；</w:t>
      </w:r>
    </w:p>
    <w:p w14:paraId="71A14A77">
      <w:pPr>
        <w:pStyle w:val="12"/>
        <w:spacing w:before="101" w:line="221" w:lineRule="auto"/>
        <w:ind w:left="279"/>
        <w:rPr>
          <w:sz w:val="24"/>
          <w:szCs w:val="24"/>
        </w:rPr>
      </w:pPr>
      <w:r>
        <w:rPr>
          <w:spacing w:val="-3"/>
          <w:sz w:val="24"/>
          <w:szCs w:val="24"/>
        </w:rPr>
        <w:t>（4）病毒发作导致不能进行正常操作的；</w:t>
      </w:r>
    </w:p>
    <w:p w14:paraId="7A9BF596">
      <w:pPr>
        <w:pStyle w:val="12"/>
        <w:spacing w:before="101" w:line="221" w:lineRule="auto"/>
        <w:ind w:left="279"/>
        <w:rPr>
          <w:sz w:val="24"/>
          <w:szCs w:val="24"/>
        </w:rPr>
      </w:pPr>
      <w:r>
        <w:rPr>
          <w:spacing w:val="-2"/>
          <w:sz w:val="24"/>
          <w:szCs w:val="24"/>
        </w:rPr>
        <w:t>（5）其他无法保证电子交易的公平、公正和安全的情况。</w:t>
      </w:r>
    </w:p>
    <w:p w14:paraId="4B1DF693">
      <w:pPr>
        <w:pStyle w:val="12"/>
        <w:spacing w:before="146" w:line="271" w:lineRule="auto"/>
        <w:ind w:left="2" w:firstLine="257"/>
        <w:jc w:val="both"/>
        <w:rPr>
          <w:sz w:val="24"/>
          <w:szCs w:val="24"/>
        </w:rPr>
      </w:pPr>
      <w:r>
        <w:rPr>
          <w:spacing w:val="-3"/>
          <w:sz w:val="24"/>
          <w:szCs w:val="24"/>
        </w:rPr>
        <w:t>出现前款规定情形，不影响采购公平、公正性的，采购组织机构可以待上述情形消除后继续</w:t>
      </w:r>
      <w:r>
        <w:rPr>
          <w:spacing w:val="-2"/>
          <w:sz w:val="24"/>
          <w:szCs w:val="24"/>
        </w:rPr>
        <w:t>组织电子交易活动，也可以决定某些环节以纸质形式</w:t>
      </w:r>
      <w:r>
        <w:rPr>
          <w:spacing w:val="-3"/>
          <w:sz w:val="24"/>
          <w:szCs w:val="24"/>
        </w:rPr>
        <w:t>进行；影响或可能影响采购公平、公正性</w:t>
      </w:r>
      <w:r>
        <w:rPr>
          <w:spacing w:val="-5"/>
          <w:sz w:val="24"/>
          <w:szCs w:val="24"/>
        </w:rPr>
        <w:t>的</w:t>
      </w:r>
      <w:r>
        <w:rPr>
          <w:spacing w:val="-33"/>
          <w:sz w:val="24"/>
          <w:szCs w:val="24"/>
        </w:rPr>
        <w:t xml:space="preserve"> </w:t>
      </w:r>
      <w:r>
        <w:rPr>
          <w:spacing w:val="-5"/>
          <w:sz w:val="24"/>
          <w:szCs w:val="24"/>
        </w:rPr>
        <w:t>，应当重新采购。</w:t>
      </w:r>
    </w:p>
    <w:p w14:paraId="5C72505D">
      <w:pPr>
        <w:pStyle w:val="12"/>
        <w:spacing w:before="3" w:line="279" w:lineRule="auto"/>
        <w:ind w:right="86" w:firstLine="502"/>
        <w:rPr>
          <w:sz w:val="24"/>
          <w:szCs w:val="24"/>
        </w:rPr>
      </w:pPr>
      <w:r>
        <w:rPr>
          <w:spacing w:val="-1"/>
          <w:sz w:val="24"/>
          <w:szCs w:val="24"/>
        </w:rPr>
        <w:t>13.2 采购代理机构或评审小组因不可抗力（不可抗力包括但不限于自然灾害、断电、传播疫病等）原因造成电子交易活动无法正常运行</w:t>
      </w:r>
      <w:r>
        <w:rPr>
          <w:spacing w:val="-2"/>
          <w:sz w:val="24"/>
          <w:szCs w:val="24"/>
        </w:rPr>
        <w:t>的</w:t>
      </w:r>
      <w:r>
        <w:rPr>
          <w:spacing w:val="-34"/>
          <w:sz w:val="24"/>
          <w:szCs w:val="24"/>
        </w:rPr>
        <w:t xml:space="preserve"> </w:t>
      </w:r>
      <w:r>
        <w:rPr>
          <w:spacing w:val="-2"/>
          <w:sz w:val="24"/>
          <w:szCs w:val="24"/>
        </w:rPr>
        <w:t>，将采取以下措施：</w:t>
      </w:r>
    </w:p>
    <w:p w14:paraId="19677B1D">
      <w:pPr>
        <w:pStyle w:val="12"/>
        <w:spacing w:before="1" w:line="244" w:lineRule="auto"/>
        <w:ind w:right="7" w:firstLine="278"/>
        <w:rPr>
          <w:sz w:val="24"/>
          <w:szCs w:val="24"/>
        </w:rPr>
      </w:pPr>
      <w:r>
        <w:rPr>
          <w:spacing w:val="-2"/>
          <w:sz w:val="24"/>
          <w:szCs w:val="24"/>
        </w:rPr>
        <w:t>（1）短时间内能消除不可抗力因素的</w:t>
      </w:r>
      <w:r>
        <w:rPr>
          <w:spacing w:val="-35"/>
          <w:sz w:val="24"/>
          <w:szCs w:val="24"/>
        </w:rPr>
        <w:t xml:space="preserve"> </w:t>
      </w:r>
      <w:r>
        <w:rPr>
          <w:spacing w:val="-2"/>
          <w:sz w:val="24"/>
          <w:szCs w:val="24"/>
        </w:rPr>
        <w:t>，采购代理机构或评审小组在消除不可抗力因素后继</w:t>
      </w:r>
      <w:r>
        <w:rPr>
          <w:spacing w:val="-1"/>
          <w:sz w:val="24"/>
          <w:szCs w:val="24"/>
        </w:rPr>
        <w:t>续组织电子交易活动；</w:t>
      </w:r>
    </w:p>
    <w:p w14:paraId="39E0DD3A">
      <w:pPr>
        <w:pStyle w:val="12"/>
        <w:spacing w:before="123" w:line="244" w:lineRule="auto"/>
        <w:ind w:left="17" w:right="58" w:firstLine="261"/>
        <w:rPr>
          <w:sz w:val="24"/>
          <w:szCs w:val="24"/>
        </w:rPr>
      </w:pPr>
      <w:r>
        <w:rPr>
          <w:spacing w:val="-3"/>
          <w:sz w:val="24"/>
          <w:szCs w:val="24"/>
        </w:rPr>
        <w:t>（2）长时间内无法消除不可抗力因素的</w:t>
      </w:r>
      <w:r>
        <w:rPr>
          <w:spacing w:val="-34"/>
          <w:sz w:val="24"/>
          <w:szCs w:val="24"/>
        </w:rPr>
        <w:t xml:space="preserve"> </w:t>
      </w:r>
      <w:r>
        <w:rPr>
          <w:spacing w:val="-3"/>
          <w:sz w:val="24"/>
          <w:szCs w:val="24"/>
        </w:rPr>
        <w:t>，采购代理机构或评审</w:t>
      </w:r>
      <w:r>
        <w:rPr>
          <w:spacing w:val="-4"/>
          <w:sz w:val="24"/>
          <w:szCs w:val="24"/>
        </w:rPr>
        <w:t>小组将中止电子交易活动。</w:t>
      </w:r>
      <w:r>
        <w:rPr>
          <w:spacing w:val="-2"/>
          <w:sz w:val="24"/>
          <w:szCs w:val="24"/>
        </w:rPr>
        <w:t>中止电子交易活动的</w:t>
      </w:r>
      <w:r>
        <w:rPr>
          <w:spacing w:val="-35"/>
          <w:sz w:val="24"/>
          <w:szCs w:val="24"/>
        </w:rPr>
        <w:t xml:space="preserve"> </w:t>
      </w:r>
      <w:r>
        <w:rPr>
          <w:spacing w:val="-2"/>
          <w:sz w:val="24"/>
          <w:szCs w:val="24"/>
        </w:rPr>
        <w:t>，采购人应当重新组织政府</w:t>
      </w:r>
      <w:r>
        <w:rPr>
          <w:spacing w:val="-3"/>
          <w:sz w:val="24"/>
          <w:szCs w:val="24"/>
        </w:rPr>
        <w:t>采购活动。</w:t>
      </w:r>
    </w:p>
    <w:p w14:paraId="7FB47705">
      <w:pPr>
        <w:pStyle w:val="12"/>
        <w:spacing w:before="115" w:line="230" w:lineRule="auto"/>
        <w:ind w:left="499"/>
        <w:rPr>
          <w:sz w:val="24"/>
          <w:szCs w:val="24"/>
        </w:rPr>
      </w:pPr>
      <w:r>
        <w:rPr>
          <w:b/>
          <w:bCs/>
          <w:spacing w:val="-3"/>
          <w:sz w:val="24"/>
          <w:szCs w:val="24"/>
        </w:rPr>
        <w:t>14.保密要求：</w:t>
      </w:r>
    </w:p>
    <w:p w14:paraId="567B29AB">
      <w:pPr>
        <w:spacing w:line="230" w:lineRule="auto"/>
        <w:rPr>
          <w:sz w:val="24"/>
          <w:szCs w:val="24"/>
        </w:rPr>
        <w:sectPr>
          <w:pgSz w:w="11907" w:h="16840"/>
          <w:pgMar w:top="1431" w:right="1080" w:bottom="0" w:left="1082" w:header="0" w:footer="0" w:gutter="0"/>
          <w:cols w:space="720" w:num="1"/>
        </w:sectPr>
      </w:pPr>
    </w:p>
    <w:p w14:paraId="66203225">
      <w:pPr>
        <w:pStyle w:val="12"/>
        <w:spacing w:before="189" w:line="270" w:lineRule="auto"/>
        <w:ind w:left="2" w:firstLine="240"/>
        <w:jc w:val="both"/>
        <w:rPr>
          <w:sz w:val="24"/>
          <w:szCs w:val="24"/>
        </w:rPr>
      </w:pPr>
      <w:r>
        <w:rPr>
          <w:spacing w:val="-7"/>
          <w:sz w:val="24"/>
          <w:szCs w:val="24"/>
        </w:rPr>
        <w:t>采购人、采购代理机构确保评标活动在严格保密的情况下进行。在采购结果确定前，采购人、</w:t>
      </w:r>
      <w:r>
        <w:rPr>
          <w:spacing w:val="-2"/>
          <w:sz w:val="24"/>
          <w:szCs w:val="24"/>
        </w:rPr>
        <w:t>采购代理机构对评审专家名单保密。与评审工作无关的人</w:t>
      </w:r>
      <w:r>
        <w:rPr>
          <w:spacing w:val="-3"/>
          <w:sz w:val="24"/>
          <w:szCs w:val="24"/>
        </w:rPr>
        <w:t>员不得进入现场。有关人员须对评审</w:t>
      </w:r>
      <w:r>
        <w:rPr>
          <w:sz w:val="24"/>
          <w:szCs w:val="24"/>
        </w:rPr>
        <w:t>情况以及在评审过程中获悉的国家秘密、商业秘密负有</w:t>
      </w:r>
      <w:r>
        <w:rPr>
          <w:spacing w:val="-1"/>
          <w:sz w:val="24"/>
          <w:szCs w:val="24"/>
        </w:rPr>
        <w:t>保密责任。</w:t>
      </w:r>
    </w:p>
    <w:p w14:paraId="424C061C">
      <w:pPr>
        <w:pStyle w:val="12"/>
        <w:spacing w:line="230" w:lineRule="auto"/>
        <w:ind w:left="501"/>
        <w:rPr>
          <w:sz w:val="24"/>
          <w:szCs w:val="24"/>
        </w:rPr>
      </w:pPr>
      <w:r>
        <w:rPr>
          <w:b/>
          <w:bCs/>
          <w:spacing w:val="-5"/>
          <w:sz w:val="24"/>
          <w:szCs w:val="24"/>
        </w:rPr>
        <w:t>15.定标</w:t>
      </w:r>
    </w:p>
    <w:p w14:paraId="29451849">
      <w:pPr>
        <w:pStyle w:val="12"/>
        <w:spacing w:before="90" w:line="221" w:lineRule="auto"/>
        <w:ind w:left="504"/>
        <w:rPr>
          <w:sz w:val="24"/>
          <w:szCs w:val="24"/>
        </w:rPr>
      </w:pPr>
      <w:r>
        <w:rPr>
          <w:spacing w:val="-2"/>
          <w:sz w:val="24"/>
          <w:szCs w:val="24"/>
        </w:rPr>
        <w:t>15.1 采购结果确认（确定中标(成交)供应商）</w:t>
      </w:r>
    </w:p>
    <w:p w14:paraId="7DD21FF0">
      <w:pPr>
        <w:pStyle w:val="12"/>
        <w:spacing w:before="100" w:line="280" w:lineRule="auto"/>
        <w:ind w:left="1" w:firstLine="240"/>
        <w:rPr>
          <w:sz w:val="24"/>
          <w:szCs w:val="24"/>
        </w:rPr>
      </w:pPr>
      <w:r>
        <w:rPr>
          <w:spacing w:val="-7"/>
          <w:sz w:val="24"/>
          <w:szCs w:val="24"/>
        </w:rPr>
        <w:t>采购结果确认（确定中标(成交)供应商</w:t>
      </w:r>
      <w:r>
        <w:rPr>
          <w:spacing w:val="-62"/>
          <w:sz w:val="24"/>
          <w:szCs w:val="24"/>
        </w:rPr>
        <w:t>）：</w:t>
      </w:r>
      <w:r>
        <w:rPr>
          <w:spacing w:val="-7"/>
          <w:sz w:val="24"/>
          <w:szCs w:val="24"/>
        </w:rPr>
        <w:t>本项</w:t>
      </w:r>
      <w:r>
        <w:rPr>
          <w:spacing w:val="-8"/>
          <w:sz w:val="24"/>
          <w:szCs w:val="24"/>
        </w:rPr>
        <w:t>目由采购人根据评审专家提交的《评审报告》，</w:t>
      </w:r>
      <w:r>
        <w:rPr>
          <w:sz w:val="24"/>
          <w:szCs w:val="24"/>
        </w:rPr>
        <w:t>通过“政府采购云平台”依法确认采购结果、确定中标(成交)供应商。具体流</w:t>
      </w:r>
      <w:r>
        <w:rPr>
          <w:spacing w:val="-1"/>
          <w:sz w:val="24"/>
          <w:szCs w:val="24"/>
        </w:rPr>
        <w:t>程如下：</w:t>
      </w:r>
    </w:p>
    <w:p w14:paraId="757EBF86">
      <w:pPr>
        <w:pStyle w:val="12"/>
        <w:spacing w:before="1" w:line="244" w:lineRule="auto"/>
        <w:ind w:left="2" w:right="67" w:firstLine="278"/>
        <w:rPr>
          <w:sz w:val="24"/>
          <w:szCs w:val="24"/>
        </w:rPr>
      </w:pPr>
      <w:r>
        <w:rPr>
          <w:spacing w:val="-3"/>
          <w:sz w:val="24"/>
          <w:szCs w:val="24"/>
        </w:rPr>
        <w:t>（1）采购代理机构将在评审结束后 2 个工作日内将评审报告送采购人</w:t>
      </w:r>
      <w:r>
        <w:rPr>
          <w:spacing w:val="-25"/>
          <w:sz w:val="24"/>
          <w:szCs w:val="24"/>
        </w:rPr>
        <w:t xml:space="preserve"> </w:t>
      </w:r>
      <w:r>
        <w:rPr>
          <w:spacing w:val="-3"/>
          <w:sz w:val="24"/>
          <w:szCs w:val="24"/>
        </w:rPr>
        <w:t>，同时在政采云平台</w:t>
      </w:r>
      <w:r>
        <w:rPr>
          <w:spacing w:val="-1"/>
          <w:sz w:val="24"/>
          <w:szCs w:val="24"/>
        </w:rPr>
        <w:t>提交采购结果至采购人确认。</w:t>
      </w:r>
    </w:p>
    <w:p w14:paraId="406AD958">
      <w:pPr>
        <w:pStyle w:val="12"/>
        <w:spacing w:before="122" w:line="256" w:lineRule="auto"/>
        <w:ind w:right="67" w:firstLine="280"/>
        <w:rPr>
          <w:sz w:val="24"/>
          <w:szCs w:val="24"/>
        </w:rPr>
      </w:pPr>
      <w:r>
        <w:rPr>
          <w:spacing w:val="-2"/>
          <w:sz w:val="24"/>
          <w:szCs w:val="24"/>
        </w:rPr>
        <w:t>（2）采购人将在收到评审报告之日起 5 个工作日内</w:t>
      </w:r>
      <w:r>
        <w:rPr>
          <w:spacing w:val="-35"/>
          <w:sz w:val="24"/>
          <w:szCs w:val="24"/>
        </w:rPr>
        <w:t xml:space="preserve"> </w:t>
      </w:r>
      <w:r>
        <w:rPr>
          <w:spacing w:val="-2"/>
          <w:sz w:val="24"/>
          <w:szCs w:val="24"/>
        </w:rPr>
        <w:t>，在评</w:t>
      </w:r>
      <w:r>
        <w:rPr>
          <w:spacing w:val="-3"/>
          <w:sz w:val="24"/>
          <w:szCs w:val="24"/>
        </w:rPr>
        <w:t>审报告推荐的中标(成交)候选供</w:t>
      </w:r>
      <w:r>
        <w:rPr>
          <w:spacing w:val="-1"/>
          <w:sz w:val="24"/>
          <w:szCs w:val="24"/>
        </w:rPr>
        <w:t>应商名单中按顺序确定中标(成交)供应商，并将确认意见以书面形式</w:t>
      </w:r>
      <w:r>
        <w:rPr>
          <w:spacing w:val="-2"/>
          <w:sz w:val="24"/>
          <w:szCs w:val="24"/>
        </w:rPr>
        <w:t>回复采购代理机构</w:t>
      </w:r>
      <w:r>
        <w:rPr>
          <w:spacing w:val="-34"/>
          <w:sz w:val="24"/>
          <w:szCs w:val="24"/>
        </w:rPr>
        <w:t xml:space="preserve"> </w:t>
      </w:r>
      <w:r>
        <w:rPr>
          <w:spacing w:val="-2"/>
          <w:sz w:val="24"/>
          <w:szCs w:val="24"/>
        </w:rPr>
        <w:t>，同时</w:t>
      </w:r>
      <w:r>
        <w:rPr>
          <w:spacing w:val="-1"/>
          <w:sz w:val="24"/>
          <w:szCs w:val="24"/>
        </w:rPr>
        <w:t>在政采云平台线上确认采购结果。</w:t>
      </w:r>
    </w:p>
    <w:p w14:paraId="047500D7">
      <w:pPr>
        <w:pStyle w:val="12"/>
        <w:spacing w:before="121" w:line="278" w:lineRule="auto"/>
        <w:ind w:left="36" w:right="854" w:firstLine="467"/>
        <w:rPr>
          <w:sz w:val="24"/>
          <w:szCs w:val="24"/>
        </w:rPr>
      </w:pPr>
      <w:r>
        <w:rPr>
          <w:spacing w:val="-2"/>
          <w:sz w:val="24"/>
          <w:szCs w:val="24"/>
        </w:rPr>
        <w:t>15.2 采购结果经采购人确认后 2 个工作日</w:t>
      </w:r>
      <w:r>
        <w:rPr>
          <w:spacing w:val="-3"/>
          <w:sz w:val="24"/>
          <w:szCs w:val="24"/>
        </w:rPr>
        <w:t>内</w:t>
      </w:r>
      <w:r>
        <w:rPr>
          <w:spacing w:val="-35"/>
          <w:sz w:val="24"/>
          <w:szCs w:val="24"/>
        </w:rPr>
        <w:t xml:space="preserve"> </w:t>
      </w:r>
      <w:r>
        <w:rPr>
          <w:spacing w:val="-3"/>
          <w:sz w:val="24"/>
          <w:szCs w:val="24"/>
        </w:rPr>
        <w:t>，采购代理机构将在</w:t>
      </w:r>
      <w:r>
        <w:rPr>
          <w:b/>
          <w:bCs/>
          <w:spacing w:val="-3"/>
          <w:sz w:val="24"/>
          <w:szCs w:val="24"/>
        </w:rPr>
        <w:t>新疆政府采购网</w:t>
      </w:r>
      <w:r>
        <w:rPr>
          <w:b/>
          <w:bCs/>
          <w:spacing w:val="-2"/>
          <w:sz w:val="24"/>
          <w:szCs w:val="24"/>
        </w:rPr>
        <w:t>（</w:t>
      </w:r>
      <w:r>
        <w:fldChar w:fldCharType="begin"/>
      </w:r>
      <w:r>
        <w:instrText xml:space="preserve"> HYPERLINK "https://www.zjzfcg.gov.cn" </w:instrText>
      </w:r>
      <w:r>
        <w:fldChar w:fldCharType="separate"/>
      </w:r>
      <w:r>
        <w:rPr>
          <w:b/>
          <w:bCs/>
          <w:spacing w:val="-2"/>
          <w:sz w:val="24"/>
          <w:szCs w:val="24"/>
        </w:rPr>
        <w:t>www.zjzfcg.gov.cn</w:t>
      </w:r>
      <w:r>
        <w:rPr>
          <w:b/>
          <w:bCs/>
          <w:spacing w:val="-2"/>
          <w:sz w:val="24"/>
          <w:szCs w:val="24"/>
        </w:rPr>
        <w:fldChar w:fldCharType="end"/>
      </w:r>
      <w:r>
        <w:rPr>
          <w:b/>
          <w:bCs/>
          <w:spacing w:val="-2"/>
          <w:sz w:val="24"/>
          <w:szCs w:val="24"/>
        </w:rPr>
        <w:t>）上公示采购结果，中标（成交）公示期限为 1 个工作日。</w:t>
      </w:r>
    </w:p>
    <w:p w14:paraId="5DD2E30A">
      <w:pPr>
        <w:pStyle w:val="12"/>
        <w:spacing w:before="1" w:line="225" w:lineRule="auto"/>
        <w:ind w:left="501"/>
        <w:rPr>
          <w:sz w:val="24"/>
          <w:szCs w:val="24"/>
        </w:rPr>
      </w:pPr>
      <w:r>
        <w:rPr>
          <w:b/>
          <w:bCs/>
          <w:spacing w:val="-2"/>
          <w:sz w:val="24"/>
          <w:szCs w:val="24"/>
        </w:rPr>
        <w:t>16.中标（成交）通知书</w:t>
      </w:r>
    </w:p>
    <w:p w14:paraId="4C7B6821">
      <w:pPr>
        <w:pStyle w:val="12"/>
        <w:spacing w:before="100" w:line="250" w:lineRule="auto"/>
        <w:ind w:left="4" w:right="67" w:firstLine="499"/>
        <w:rPr>
          <w:sz w:val="24"/>
          <w:szCs w:val="24"/>
        </w:rPr>
      </w:pPr>
      <w:r>
        <w:rPr>
          <w:spacing w:val="-6"/>
          <w:sz w:val="24"/>
          <w:szCs w:val="24"/>
        </w:rPr>
        <w:t>16.1 采购代理机构将中标（成交）供应商的情况在新疆政府采</w:t>
      </w:r>
      <w:r>
        <w:rPr>
          <w:spacing w:val="-7"/>
          <w:sz w:val="24"/>
          <w:szCs w:val="24"/>
        </w:rPr>
        <w:t>购网予以公示，并向中标(成</w:t>
      </w:r>
      <w:r>
        <w:rPr>
          <w:spacing w:val="-1"/>
          <w:sz w:val="24"/>
          <w:szCs w:val="24"/>
        </w:rPr>
        <w:t>交)供应商发出中标（成交）通知书</w:t>
      </w:r>
      <w:r>
        <w:rPr>
          <w:spacing w:val="-35"/>
          <w:sz w:val="24"/>
          <w:szCs w:val="24"/>
        </w:rPr>
        <w:t xml:space="preserve"> </w:t>
      </w:r>
      <w:r>
        <w:rPr>
          <w:spacing w:val="-1"/>
          <w:sz w:val="24"/>
          <w:szCs w:val="24"/>
        </w:rPr>
        <w:t>，中标（成交</w:t>
      </w:r>
      <w:r>
        <w:rPr>
          <w:spacing w:val="-2"/>
          <w:sz w:val="24"/>
          <w:szCs w:val="24"/>
        </w:rPr>
        <w:t>）</w:t>
      </w:r>
      <w:r>
        <w:rPr>
          <w:b/>
          <w:bCs/>
          <w:spacing w:val="-2"/>
          <w:sz w:val="24"/>
          <w:szCs w:val="24"/>
        </w:rPr>
        <w:t>公示期为一个工作日。</w:t>
      </w:r>
    </w:p>
    <w:p w14:paraId="619D7F30">
      <w:pPr>
        <w:pStyle w:val="12"/>
        <w:spacing w:before="102" w:line="262" w:lineRule="auto"/>
        <w:ind w:left="1" w:right="67" w:firstLine="502"/>
        <w:rPr>
          <w:sz w:val="24"/>
          <w:szCs w:val="24"/>
        </w:rPr>
      </w:pPr>
      <w:r>
        <w:rPr>
          <w:spacing w:val="-3"/>
          <w:sz w:val="24"/>
          <w:szCs w:val="24"/>
        </w:rPr>
        <w:t>16.2中标（成交）通知书作为签订合同的重要依据，对采购人和中标（成交）供应商均具</w:t>
      </w:r>
      <w:r>
        <w:rPr>
          <w:spacing w:val="-2"/>
          <w:sz w:val="24"/>
          <w:szCs w:val="24"/>
        </w:rPr>
        <w:t>有法律效力。采购人改变中标（成交）结果或者中标（成</w:t>
      </w:r>
      <w:r>
        <w:rPr>
          <w:spacing w:val="-3"/>
          <w:sz w:val="24"/>
          <w:szCs w:val="24"/>
        </w:rPr>
        <w:t>交）供应商放弃中标（成交）项目的</w:t>
      </w:r>
      <w:r>
        <w:rPr>
          <w:spacing w:val="-2"/>
          <w:sz w:val="24"/>
          <w:szCs w:val="24"/>
        </w:rPr>
        <w:t>都应承担法律责任。成交供应商不得向他人转让中标（成交</w:t>
      </w:r>
      <w:r>
        <w:rPr>
          <w:spacing w:val="-3"/>
          <w:sz w:val="24"/>
          <w:szCs w:val="24"/>
        </w:rPr>
        <w:t>）项目，也不得将中标（成交）项</w:t>
      </w:r>
      <w:r>
        <w:rPr>
          <w:spacing w:val="-1"/>
          <w:sz w:val="24"/>
          <w:szCs w:val="24"/>
        </w:rPr>
        <w:t>目肢解后分别向他人转让。</w:t>
      </w:r>
    </w:p>
    <w:p w14:paraId="49D4325C">
      <w:pPr>
        <w:pStyle w:val="12"/>
        <w:spacing w:before="115" w:line="230" w:lineRule="auto"/>
        <w:ind w:left="501"/>
        <w:rPr>
          <w:sz w:val="24"/>
          <w:szCs w:val="24"/>
        </w:rPr>
      </w:pPr>
      <w:r>
        <w:rPr>
          <w:b/>
          <w:bCs/>
          <w:spacing w:val="-1"/>
          <w:sz w:val="24"/>
          <w:szCs w:val="24"/>
        </w:rPr>
        <w:t>17.磋商小组推荐成交候选供应商的数量</w:t>
      </w:r>
      <w:r>
        <w:rPr>
          <w:b/>
          <w:bCs/>
          <w:spacing w:val="-1"/>
          <w:sz w:val="24"/>
          <w:szCs w:val="24"/>
          <w:u w:val="single" w:color="auto"/>
        </w:rPr>
        <w:t>：</w:t>
      </w:r>
      <w:r>
        <w:rPr>
          <w:b/>
          <w:bCs/>
          <w:spacing w:val="-2"/>
          <w:sz w:val="24"/>
          <w:szCs w:val="24"/>
          <w:u w:val="single" w:color="auto"/>
        </w:rPr>
        <w:t>3</w:t>
      </w:r>
      <w:r>
        <w:rPr>
          <w:b/>
          <w:bCs/>
          <w:spacing w:val="-2"/>
          <w:sz w:val="24"/>
          <w:szCs w:val="24"/>
        </w:rPr>
        <w:t>。</w:t>
      </w:r>
    </w:p>
    <w:p w14:paraId="22B5BB96">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24D1F06C">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63E54BDB">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3669A7EE">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3445EDB2">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04E040B4">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4E49547E">
      <w:pPr>
        <w:pStyle w:val="29"/>
        <w:rPr>
          <w:rFonts w:hint="eastAsia" w:ascii="宋体" w:hAnsi="宋体" w:eastAsia="宋体" w:cs="宋体"/>
          <w:b/>
          <w:color w:val="auto"/>
          <w:sz w:val="32"/>
          <w:szCs w:val="32"/>
          <w:highlight w:val="none"/>
        </w:rPr>
      </w:pPr>
    </w:p>
    <w:p w14:paraId="3010355B">
      <w:pPr>
        <w:pStyle w:val="39"/>
        <w:ind w:left="0" w:leftChars="0" w:firstLine="0" w:firstLineChars="0"/>
        <w:rPr>
          <w:rFonts w:hint="eastAsia"/>
          <w:lang w:eastAsia="zh-CN"/>
        </w:rPr>
      </w:pPr>
    </w:p>
    <w:p w14:paraId="4F8420D3">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响应文件</w:t>
      </w:r>
      <w:r>
        <w:rPr>
          <w:rFonts w:hint="eastAsia" w:ascii="宋体" w:hAnsi="宋体" w:eastAsia="宋体" w:cs="宋体"/>
          <w:b/>
          <w:color w:val="auto"/>
          <w:sz w:val="32"/>
          <w:szCs w:val="32"/>
          <w:highlight w:val="none"/>
        </w:rPr>
        <w:t>的初审</w:t>
      </w:r>
    </w:p>
    <w:p w14:paraId="48FE479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的初审分为资格性检查和符合性检查。</w:t>
      </w:r>
    </w:p>
    <w:p w14:paraId="1AD250F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的规定，对</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中的资格证明、投标保证金等进行审查，以确定投标投标人是否具备投标资格。</w:t>
      </w:r>
    </w:p>
    <w:p w14:paraId="3EA4DFE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40"/>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37"/>
        <w:gridCol w:w="6626"/>
        <w:gridCol w:w="780"/>
        <w:gridCol w:w="699"/>
      </w:tblGrid>
      <w:tr w14:paraId="6ADD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restart"/>
            <w:noWrap w:val="0"/>
            <w:vAlign w:val="center"/>
          </w:tcPr>
          <w:p w14:paraId="3BF9525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7263" w:type="dxa"/>
            <w:gridSpan w:val="2"/>
            <w:vMerge w:val="restart"/>
            <w:noWrap w:val="0"/>
            <w:vAlign w:val="center"/>
          </w:tcPr>
          <w:p w14:paraId="13BEF76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1479" w:type="dxa"/>
            <w:gridSpan w:val="2"/>
            <w:noWrap w:val="0"/>
            <w:vAlign w:val="center"/>
          </w:tcPr>
          <w:p w14:paraId="6C1916C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是否</w:t>
            </w:r>
          </w:p>
          <w:p w14:paraId="7AF7A21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通过</w:t>
            </w:r>
          </w:p>
        </w:tc>
      </w:tr>
      <w:tr w14:paraId="380E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6907EAF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7263" w:type="dxa"/>
            <w:gridSpan w:val="2"/>
            <w:vMerge w:val="continue"/>
            <w:noWrap w:val="0"/>
            <w:vAlign w:val="top"/>
          </w:tcPr>
          <w:p w14:paraId="3E6ED07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780" w:type="dxa"/>
            <w:noWrap w:val="0"/>
            <w:vAlign w:val="center"/>
          </w:tcPr>
          <w:p w14:paraId="20DD616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noWrap w:val="0"/>
            <w:vAlign w:val="center"/>
          </w:tcPr>
          <w:p w14:paraId="3B36E61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531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8" w:type="dxa"/>
            <w:vMerge w:val="restart"/>
            <w:noWrap w:val="0"/>
            <w:vAlign w:val="center"/>
          </w:tcPr>
          <w:p w14:paraId="5B92901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637" w:type="dxa"/>
            <w:noWrap w:val="0"/>
            <w:vAlign w:val="center"/>
          </w:tcPr>
          <w:p w14:paraId="2985032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626" w:type="dxa"/>
            <w:noWrap w:val="0"/>
            <w:vAlign w:val="center"/>
          </w:tcPr>
          <w:p w14:paraId="693D792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单位三证合一营业执照</w:t>
            </w:r>
          </w:p>
        </w:tc>
        <w:tc>
          <w:tcPr>
            <w:tcW w:w="780" w:type="dxa"/>
            <w:noWrap w:val="0"/>
            <w:vAlign w:val="top"/>
          </w:tcPr>
          <w:p w14:paraId="4C6ED5F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17B5ABC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1818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8" w:type="dxa"/>
            <w:vMerge w:val="continue"/>
            <w:noWrap w:val="0"/>
            <w:vAlign w:val="center"/>
          </w:tcPr>
          <w:p w14:paraId="46A1C31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7EC36D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626" w:type="dxa"/>
            <w:noWrap w:val="0"/>
            <w:vAlign w:val="center"/>
          </w:tcPr>
          <w:p w14:paraId="272829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cs="宋体"/>
                <w:color w:val="000000"/>
                <w:highlight w:val="none"/>
                <w:lang w:val="en-US" w:eastAsia="zh-CN"/>
              </w:rPr>
              <w:t>具备工程勘察资质甲级或具备工程勘察岩土工程专业乙级（含）以上资质；拟派项目负责人须具有注册岩土工程师或地勘类中级（含）以上职称证</w:t>
            </w:r>
            <w:r>
              <w:rPr>
                <w:rFonts w:hint="eastAsia" w:ascii="宋体" w:hAnsi="宋体" w:eastAsia="宋体" w:cs="宋体"/>
                <w:color w:val="000000"/>
                <w:highlight w:val="none"/>
                <w:lang w:val="en-US" w:eastAsia="zh-CN"/>
              </w:rPr>
              <w:t>；</w:t>
            </w:r>
          </w:p>
        </w:tc>
        <w:tc>
          <w:tcPr>
            <w:tcW w:w="780" w:type="dxa"/>
            <w:noWrap w:val="0"/>
            <w:vAlign w:val="top"/>
          </w:tcPr>
          <w:p w14:paraId="06366DE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2FEAD3D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149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8" w:type="dxa"/>
            <w:vMerge w:val="continue"/>
            <w:noWrap w:val="0"/>
            <w:vAlign w:val="center"/>
          </w:tcPr>
          <w:p w14:paraId="486020A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430033F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626" w:type="dxa"/>
            <w:noWrap w:val="0"/>
            <w:vAlign w:val="center"/>
          </w:tcPr>
          <w:p w14:paraId="33F590F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法人本人投标的需提供法定代表人身份证明书；被授权委托人需提供法人授权委托书</w:t>
            </w:r>
          </w:p>
        </w:tc>
        <w:tc>
          <w:tcPr>
            <w:tcW w:w="780" w:type="dxa"/>
            <w:noWrap w:val="0"/>
            <w:vAlign w:val="top"/>
          </w:tcPr>
          <w:p w14:paraId="3B7A51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3DD85F8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4622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10323C6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63F1499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626" w:type="dxa"/>
            <w:noWrap w:val="0"/>
            <w:vAlign w:val="center"/>
          </w:tcPr>
          <w:p w14:paraId="39EFF7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提供202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年度经会计事务所出具财务审计报告；（</w:t>
            </w:r>
            <w:r>
              <w:rPr>
                <w:rFonts w:hint="eastAsia" w:ascii="宋体" w:hAnsi="宋体" w:cs="宋体"/>
                <w:bCs/>
                <w:color w:val="auto"/>
                <w:szCs w:val="21"/>
                <w:highlight w:val="none"/>
                <w:lang w:val="en-US" w:eastAsia="zh-CN"/>
              </w:rPr>
              <w:t>新成立的公司须提供近三个月任意一个月的银行资信证明</w:t>
            </w:r>
            <w:r>
              <w:rPr>
                <w:rFonts w:hint="eastAsia" w:ascii="宋体" w:hAnsi="宋体" w:eastAsia="宋体" w:cs="宋体"/>
                <w:bCs/>
                <w:color w:val="auto"/>
                <w:szCs w:val="21"/>
                <w:highlight w:val="none"/>
                <w:lang w:val="en-US" w:eastAsia="zh-CN"/>
              </w:rPr>
              <w:t>）</w:t>
            </w:r>
          </w:p>
        </w:tc>
        <w:tc>
          <w:tcPr>
            <w:tcW w:w="780" w:type="dxa"/>
            <w:noWrap w:val="0"/>
            <w:vAlign w:val="top"/>
          </w:tcPr>
          <w:p w14:paraId="12A26CD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45974D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10AC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0E8498E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37" w:type="dxa"/>
            <w:shd w:val="clear" w:color="auto" w:fill="auto"/>
            <w:noWrap w:val="0"/>
            <w:vAlign w:val="center"/>
          </w:tcPr>
          <w:p w14:paraId="0D3F172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6626" w:type="dxa"/>
            <w:noWrap w:val="0"/>
            <w:vAlign w:val="center"/>
          </w:tcPr>
          <w:p w14:paraId="2AC15BA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75C332C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38AD2E4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6F7B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518CF4B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37" w:type="dxa"/>
            <w:shd w:val="clear" w:color="auto" w:fill="auto"/>
            <w:noWrap w:val="0"/>
            <w:vAlign w:val="center"/>
          </w:tcPr>
          <w:p w14:paraId="1F0B3E2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6626" w:type="dxa"/>
            <w:noWrap w:val="0"/>
            <w:vAlign w:val="center"/>
          </w:tcPr>
          <w:p w14:paraId="516AE23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附网站截图或报告</w:t>
            </w:r>
          </w:p>
        </w:tc>
        <w:tc>
          <w:tcPr>
            <w:tcW w:w="780" w:type="dxa"/>
            <w:noWrap w:val="0"/>
            <w:vAlign w:val="top"/>
          </w:tcPr>
          <w:p w14:paraId="3693E11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2BEFDD4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4E84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377897E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3D8BF5F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6626" w:type="dxa"/>
            <w:noWrap w:val="0"/>
            <w:vAlign w:val="center"/>
          </w:tcPr>
          <w:p w14:paraId="01DDFD2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提供《反商业贿赂承诺书》</w:t>
            </w:r>
          </w:p>
        </w:tc>
        <w:tc>
          <w:tcPr>
            <w:tcW w:w="780" w:type="dxa"/>
            <w:noWrap w:val="0"/>
            <w:vAlign w:val="top"/>
          </w:tcPr>
          <w:p w14:paraId="0604CCD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7CD5650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4A2D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39BFD2D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177B805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6626" w:type="dxa"/>
            <w:noWrap w:val="0"/>
            <w:vAlign w:val="center"/>
          </w:tcPr>
          <w:p w14:paraId="54F911F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3BEEB83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5544D07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3CBA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vMerge w:val="continue"/>
            <w:noWrap w:val="0"/>
            <w:vAlign w:val="center"/>
          </w:tcPr>
          <w:p w14:paraId="0A576F8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4C8B771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6626" w:type="dxa"/>
            <w:noWrap w:val="0"/>
            <w:vAlign w:val="center"/>
          </w:tcPr>
          <w:p w14:paraId="7E2B500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7D8CB31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4671928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68A3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8" w:type="dxa"/>
            <w:noWrap w:val="0"/>
            <w:vAlign w:val="center"/>
          </w:tcPr>
          <w:p w14:paraId="6970CB9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shd w:val="clear" w:color="auto" w:fill="auto"/>
            <w:noWrap w:val="0"/>
            <w:vAlign w:val="center"/>
          </w:tcPr>
          <w:p w14:paraId="42D0F10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10</w:t>
            </w:r>
          </w:p>
        </w:tc>
        <w:tc>
          <w:tcPr>
            <w:tcW w:w="6626" w:type="dxa"/>
            <w:noWrap w:val="0"/>
            <w:vAlign w:val="center"/>
          </w:tcPr>
          <w:p w14:paraId="78791D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中小企业声明函</w:t>
            </w:r>
          </w:p>
        </w:tc>
        <w:tc>
          <w:tcPr>
            <w:tcW w:w="780" w:type="dxa"/>
            <w:noWrap w:val="0"/>
            <w:vAlign w:val="top"/>
          </w:tcPr>
          <w:p w14:paraId="4123C76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99" w:type="dxa"/>
            <w:noWrap w:val="0"/>
            <w:vAlign w:val="top"/>
          </w:tcPr>
          <w:p w14:paraId="225AC2D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r w14:paraId="1B34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98" w:type="dxa"/>
            <w:noWrap w:val="0"/>
            <w:vAlign w:val="center"/>
          </w:tcPr>
          <w:p w14:paraId="3A2E8D6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37" w:type="dxa"/>
            <w:noWrap w:val="0"/>
            <w:vAlign w:val="top"/>
          </w:tcPr>
          <w:p w14:paraId="40DB0E1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c>
          <w:tcPr>
            <w:tcW w:w="6626" w:type="dxa"/>
            <w:noWrap w:val="0"/>
            <w:vAlign w:val="top"/>
          </w:tcPr>
          <w:p w14:paraId="3817A6F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5D26B87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noWrap w:val="0"/>
            <w:vAlign w:val="top"/>
          </w:tcPr>
          <w:p w14:paraId="328F94A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p>
        </w:tc>
      </w:tr>
    </w:tbl>
    <w:p w14:paraId="000598A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
          <w:color w:val="auto"/>
          <w:sz w:val="32"/>
          <w:szCs w:val="32"/>
          <w:highlight w:val="none"/>
        </w:rPr>
      </w:pPr>
      <w:r>
        <w:rPr>
          <w:rFonts w:hint="eastAsia" w:ascii="宋体" w:hAnsi="宋体" w:eastAsia="宋体" w:cs="宋体"/>
          <w:bCs/>
          <w:color w:val="auto"/>
          <w:szCs w:val="21"/>
          <w:highlight w:val="none"/>
        </w:rPr>
        <w:t>通过上述资格性检查，可初步判定投标人的</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是否符合</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的要求。对于上述审查内容，投标人必须响应，否则其</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469C535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宋体" w:hAnsi="宋体" w:eastAsia="宋体" w:cs="宋体"/>
          <w:b/>
          <w:color w:val="auto"/>
          <w:sz w:val="32"/>
          <w:szCs w:val="32"/>
          <w:highlight w:val="none"/>
        </w:rPr>
      </w:pPr>
    </w:p>
    <w:p w14:paraId="1E577673">
      <w:pPr>
        <w:pStyle w:val="39"/>
        <w:rPr>
          <w:rFonts w:hint="eastAsia"/>
        </w:rPr>
      </w:pPr>
    </w:p>
    <w:p w14:paraId="5E537993">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49838EB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40"/>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0EB9F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771CCADF">
            <w:pPr>
              <w:keepNext w:val="0"/>
              <w:keepLines w:val="0"/>
              <w:pageBreakBefore w:val="0"/>
              <w:widowControl w:val="0"/>
              <w:kinsoku/>
              <w:overflowPunct/>
              <w:bidi w:val="0"/>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5973F2A4">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753EB05D">
            <w:pPr>
              <w:keepNext w:val="0"/>
              <w:keepLines w:val="0"/>
              <w:pageBreakBefore w:val="0"/>
              <w:widowControl w:val="0"/>
              <w:kinsoku/>
              <w:overflowPunct/>
              <w:bidi w:val="0"/>
              <w:spacing w:line="440" w:lineRule="exact"/>
              <w:jc w:val="center"/>
              <w:outlineLvl w:val="0"/>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是否</w:t>
            </w:r>
          </w:p>
          <w:p w14:paraId="0EE0A13C">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通过</w:t>
            </w:r>
          </w:p>
        </w:tc>
      </w:tr>
      <w:tr w14:paraId="31CDC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7B95920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1CEBDEF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0ECB74C4">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2E032BDE">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7D4AC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451391C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45E28B2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2F2853D9">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05847B5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1AE1E9AE">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101912E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3E8799B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531EAC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03C17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7C45E40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0AE8EBD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6FD228E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0BCB54A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2473F76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9C64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0EE30C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5B5804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148A9BA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规定的格式填写，内容不全或关键字迹模糊、无法辨认的；</w:t>
            </w:r>
          </w:p>
        </w:tc>
        <w:tc>
          <w:tcPr>
            <w:tcW w:w="683" w:type="dxa"/>
            <w:tcBorders>
              <w:left w:val="single" w:color="auto" w:sz="4" w:space="0"/>
            </w:tcBorders>
            <w:noWrap w:val="0"/>
            <w:vAlign w:val="top"/>
          </w:tcPr>
          <w:p w14:paraId="0D3AEEC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275F5DF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4A12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4EA2399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0179BC37">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DCB186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5BF3875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F91139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2BD6C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09E1BF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544F452D">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70C533A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要求的；</w:t>
            </w:r>
          </w:p>
        </w:tc>
        <w:tc>
          <w:tcPr>
            <w:tcW w:w="683" w:type="dxa"/>
            <w:tcBorders>
              <w:left w:val="single" w:color="auto" w:sz="4" w:space="0"/>
            </w:tcBorders>
            <w:noWrap w:val="0"/>
            <w:vAlign w:val="top"/>
          </w:tcPr>
          <w:p w14:paraId="2B027C3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A27F36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55D6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2F78ACC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0B9C3DE">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62BF4FD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49B12F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517D5DA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3A25F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6C61BE1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26A832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C89B16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3FDD2A1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4E330E2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2F17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96FE5F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5254D2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EAA294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附有采购人不能接受条件的；</w:t>
            </w:r>
          </w:p>
        </w:tc>
        <w:tc>
          <w:tcPr>
            <w:tcW w:w="683" w:type="dxa"/>
            <w:tcBorders>
              <w:left w:val="single" w:color="auto" w:sz="4" w:space="0"/>
            </w:tcBorders>
            <w:noWrap w:val="0"/>
            <w:vAlign w:val="top"/>
          </w:tcPr>
          <w:p w14:paraId="06DDBE7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2F5FD31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563F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4CAD96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031F88D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13883FB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w:t>
            </w:r>
            <w:r>
              <w:rPr>
                <w:rFonts w:hint="eastAsia" w:ascii="宋体" w:hAnsi="宋体" w:cs="宋体"/>
                <w:bCs/>
                <w:color w:val="auto"/>
                <w:szCs w:val="21"/>
                <w:highlight w:val="none"/>
                <w:lang w:val="en-US" w:eastAsia="zh-CN"/>
              </w:rPr>
              <w:t>磋商</w:t>
            </w:r>
            <w:r>
              <w:rPr>
                <w:rFonts w:hint="eastAsia" w:ascii="宋体" w:hAnsi="宋体" w:eastAsia="宋体" w:cs="宋体"/>
                <w:bCs/>
                <w:color w:val="auto"/>
                <w:szCs w:val="21"/>
                <w:highlight w:val="none"/>
              </w:rPr>
              <w:t>文件实质性要求的其他情形.....</w:t>
            </w:r>
          </w:p>
        </w:tc>
        <w:tc>
          <w:tcPr>
            <w:tcW w:w="683" w:type="dxa"/>
            <w:tcBorders>
              <w:left w:val="single" w:color="auto" w:sz="4" w:space="0"/>
            </w:tcBorders>
            <w:noWrap w:val="0"/>
            <w:vAlign w:val="top"/>
          </w:tcPr>
          <w:p w14:paraId="1434EA5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E1B512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3E37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1044851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76B22D1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6F3033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63885EC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bl>
    <w:p w14:paraId="33A29466">
      <w:pPr>
        <w:pStyle w:val="12"/>
        <w:keepNext w:val="0"/>
        <w:keepLines w:val="0"/>
        <w:pageBreakBefore w:val="0"/>
        <w:widowControl w:val="0"/>
        <w:tabs>
          <w:tab w:val="clear" w:pos="567"/>
        </w:tabs>
        <w:kinsoku/>
        <w:overflowPunct/>
        <w:bidi w:val="0"/>
        <w:spacing w:before="0" w:line="360" w:lineRule="auto"/>
        <w:rPr>
          <w:rFonts w:hint="eastAsia" w:ascii="宋体" w:hAnsi="宋体" w:eastAsia="宋体" w:cs="宋体"/>
          <w:color w:val="auto"/>
          <w:highlight w:val="none"/>
        </w:rPr>
      </w:pPr>
    </w:p>
    <w:p w14:paraId="780A5C8F">
      <w:pPr>
        <w:pStyle w:val="18"/>
        <w:ind w:right="-195"/>
        <w:jc w:val="center"/>
        <w:rPr>
          <w:rFonts w:hint="eastAsia"/>
          <w:highlight w:val="none"/>
        </w:rPr>
      </w:pPr>
      <w:r>
        <w:rPr>
          <w:rFonts w:hint="eastAsia" w:ascii="宋体" w:hAnsi="宋体" w:eastAsia="宋体" w:cs="宋体"/>
          <w:b w:val="0"/>
          <w:bCs/>
          <w:color w:val="auto"/>
          <w:sz w:val="40"/>
          <w:szCs w:val="40"/>
          <w:highlight w:val="none"/>
        </w:rPr>
        <w:br w:type="page"/>
      </w:r>
      <w:r>
        <w:rPr>
          <w:rFonts w:hint="eastAsia" w:hAnsi="宋体" w:cs="宋体"/>
          <w:color w:val="000000"/>
          <w:kern w:val="0"/>
          <w:sz w:val="32"/>
          <w:szCs w:val="32"/>
          <w:highlight w:val="none"/>
        </w:rPr>
        <w:t>评分细则</w:t>
      </w:r>
    </w:p>
    <w:p w14:paraId="665B4642">
      <w:pPr>
        <w:pStyle w:val="12"/>
        <w:rPr>
          <w:rFonts w:hint="eastAsia"/>
          <w:highlight w:val="none"/>
          <w:lang w:val="en-US" w:eastAsia="zh-CN"/>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14"/>
        <w:gridCol w:w="5975"/>
      </w:tblGrid>
      <w:tr w14:paraId="523F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tcPr>
          <w:p w14:paraId="0A13E082">
            <w:pPr>
              <w:spacing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22"/>
                <w:highlight w:val="none"/>
                <w14:textFill>
                  <w14:solidFill>
                    <w14:schemeClr w14:val="tx1"/>
                  </w14:solidFill>
                </w14:textFill>
              </w:rPr>
              <w:t>评分项</w:t>
            </w:r>
          </w:p>
        </w:tc>
      </w:tr>
      <w:tr w14:paraId="7A61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Align w:val="center"/>
          </w:tcPr>
          <w:p w14:paraId="37F4A460">
            <w:pPr>
              <w:spacing w:line="4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价格部分</w:t>
            </w:r>
          </w:p>
          <w:p w14:paraId="6FDA88EC">
            <w:pPr>
              <w:spacing w:line="4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分）</w:t>
            </w:r>
          </w:p>
        </w:tc>
        <w:tc>
          <w:tcPr>
            <w:tcW w:w="811" w:type="pct"/>
            <w:vAlign w:val="center"/>
          </w:tcPr>
          <w:p w14:paraId="1F8200BC">
            <w:pPr>
              <w:spacing w:line="4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报价</w:t>
            </w:r>
          </w:p>
          <w:p w14:paraId="4EE18949">
            <w:pPr>
              <w:spacing w:line="400" w:lineRule="exact"/>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分</w:t>
            </w:r>
            <w:r>
              <w:rPr>
                <w:rFonts w:hint="eastAsia" w:ascii="宋体" w:hAnsi="宋体"/>
                <w:b/>
                <w:bCs/>
                <w:color w:val="auto"/>
                <w:sz w:val="24"/>
                <w:szCs w:val="24"/>
                <w:highlight w:val="none"/>
                <w:lang w:val="en-US" w:eastAsia="zh-CN"/>
              </w:rPr>
              <w:t>）</w:t>
            </w:r>
          </w:p>
        </w:tc>
        <w:tc>
          <w:tcPr>
            <w:tcW w:w="3425" w:type="pct"/>
          </w:tcPr>
          <w:p w14:paraId="2C75478E">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各供应商的价格得分的计算公式：采用低价优先法计算，即 满足招标文件要求且投标价格最低的投标报价为评标基准 价，其价格分为满分。其他投标人的价格分统一按照下列公 式计算：投标报价得分=(评标基准价/投标报价)×价格权 值×100;计算分数时四舍五入取小数点后两位，分数最高不超过10分。</w:t>
            </w:r>
          </w:p>
          <w:p w14:paraId="568C0072">
            <w:pPr>
              <w:rPr>
                <w:rFonts w:hAnsi="宋体"/>
                <w:color w:val="auto"/>
                <w:sz w:val="21"/>
                <w:szCs w:val="21"/>
                <w:highlight w:val="none"/>
              </w:rPr>
            </w:pPr>
            <w:r>
              <w:rPr>
                <w:rFonts w:hint="eastAsia" w:ascii="宋体" w:hAnsi="宋体" w:eastAsia="宋体" w:cs="宋体"/>
                <w:color w:val="auto"/>
                <w:kern w:val="0"/>
                <w:sz w:val="24"/>
                <w:szCs w:val="24"/>
                <w:highlight w:val="none"/>
              </w:rPr>
              <w:t>因落实政府采购政策进行价格调整的，以调整后的价格计算基准价和最后报价。</w:t>
            </w:r>
          </w:p>
        </w:tc>
      </w:tr>
      <w:tr w14:paraId="461F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63" w:type="pct"/>
            <w:vMerge w:val="restart"/>
            <w:vAlign w:val="center"/>
          </w:tcPr>
          <w:p w14:paraId="7C80E223">
            <w:pPr>
              <w:spacing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商务部分</w:t>
            </w:r>
          </w:p>
          <w:p w14:paraId="2DD722C6">
            <w:pPr>
              <w:spacing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分）</w:t>
            </w:r>
          </w:p>
        </w:tc>
        <w:tc>
          <w:tcPr>
            <w:tcW w:w="811" w:type="pct"/>
            <w:vAlign w:val="center"/>
          </w:tcPr>
          <w:p w14:paraId="733D1017">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sz w:val="24"/>
                <w:szCs w:val="24"/>
                <w:highlight w:val="none"/>
              </w:rPr>
              <w:t>企业业绩</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分）</w:t>
            </w:r>
          </w:p>
        </w:tc>
        <w:tc>
          <w:tcPr>
            <w:tcW w:w="3425" w:type="pct"/>
          </w:tcPr>
          <w:p w14:paraId="3293B659">
            <w:pP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提供（202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5月</w:t>
            </w:r>
            <w:r>
              <w:rPr>
                <w:rFonts w:hint="eastAsia" w:ascii="宋体" w:hAnsi="宋体" w:eastAsia="宋体" w:cs="宋体"/>
                <w:color w:val="auto"/>
                <w:kern w:val="0"/>
                <w:sz w:val="24"/>
                <w:szCs w:val="24"/>
                <w:highlight w:val="none"/>
              </w:rPr>
              <w:t>-至今，以</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发放时间</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时间为准）完成的类似业绩，每提供一项加</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分，（业绩须提供</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合同，未提供或经评标委员会认定所提供业绩合同残缺不全、模糊难辨，该项业绩不给予计分），以上材料须提供原件扫描件加盖公章。</w:t>
            </w:r>
          </w:p>
        </w:tc>
      </w:tr>
      <w:tr w14:paraId="3420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63" w:type="pct"/>
            <w:vMerge w:val="continue"/>
            <w:vAlign w:val="center"/>
          </w:tcPr>
          <w:p w14:paraId="3D66AE97">
            <w:pPr>
              <w:spacing w:line="400" w:lineRule="exact"/>
              <w:jc w:val="center"/>
              <w:rPr>
                <w:rFonts w:ascii="宋体" w:hAnsi="宋体"/>
                <w:b/>
                <w:bCs/>
                <w:color w:val="000000" w:themeColor="text1"/>
                <w:szCs w:val="21"/>
                <w:highlight w:val="none"/>
                <w14:textFill>
                  <w14:solidFill>
                    <w14:schemeClr w14:val="tx1"/>
                  </w14:solidFill>
                </w14:textFill>
              </w:rPr>
            </w:pPr>
          </w:p>
        </w:tc>
        <w:tc>
          <w:tcPr>
            <w:tcW w:w="811" w:type="pct"/>
            <w:vAlign w:val="center"/>
          </w:tcPr>
          <w:p w14:paraId="7FFFFAFD">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sz w:val="24"/>
                <w:szCs w:val="24"/>
                <w:highlight w:val="none"/>
              </w:rPr>
              <w:t>项目负责人（</w:t>
            </w:r>
            <w:r>
              <w:rPr>
                <w:rFonts w:hint="eastAsia" w:ascii="宋体" w:hAnsi="宋体" w:cs="宋体"/>
                <w:b/>
                <w:bCs/>
                <w:sz w:val="24"/>
                <w:szCs w:val="24"/>
                <w:highlight w:val="none"/>
                <w:lang w:val="en-US" w:eastAsia="zh-CN"/>
              </w:rPr>
              <w:t>12</w:t>
            </w:r>
            <w:r>
              <w:rPr>
                <w:rFonts w:hint="eastAsia" w:ascii="宋体" w:hAnsi="宋体" w:eastAsia="宋体" w:cs="宋体"/>
                <w:b/>
                <w:bCs/>
                <w:sz w:val="24"/>
                <w:szCs w:val="24"/>
                <w:highlight w:val="none"/>
              </w:rPr>
              <w:t>分）</w:t>
            </w:r>
          </w:p>
        </w:tc>
        <w:tc>
          <w:tcPr>
            <w:tcW w:w="3425" w:type="pct"/>
            <w:vAlign w:val="center"/>
          </w:tcPr>
          <w:p w14:paraId="507E5E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①拟派本项目的项目负责人具备高级工程师职称得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，具备中级职称证书，得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本项满分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须提供相关证书和身份证及社保证明（开标日近半年任意一个月，如无须缴纳社保证明的须提供证明材料）。</w:t>
            </w:r>
          </w:p>
          <w:p w14:paraId="1EA8D22C">
            <w:pP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rPr>
              <w:t>项目负责人须提供（202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5月</w:t>
            </w:r>
            <w:r>
              <w:rPr>
                <w:rFonts w:hint="eastAsia" w:ascii="宋体" w:hAnsi="宋体" w:eastAsia="宋体" w:cs="宋体"/>
                <w:color w:val="auto"/>
                <w:kern w:val="0"/>
                <w:sz w:val="24"/>
                <w:szCs w:val="24"/>
                <w:highlight w:val="none"/>
              </w:rPr>
              <w:t>-至今，以</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发放时间</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时间为准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完成的类似业绩），每提供一项加</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分，（业绩须提供</w:t>
            </w:r>
            <w:r>
              <w:rPr>
                <w:rFonts w:hint="eastAsia" w:ascii="宋体" w:hAnsi="宋体" w:eastAsia="宋体" w:cs="宋体"/>
                <w:color w:val="auto"/>
                <w:kern w:val="0"/>
                <w:sz w:val="24"/>
                <w:szCs w:val="24"/>
                <w:highlight w:val="none"/>
                <w:lang w:eastAsia="zh-CN"/>
              </w:rPr>
              <w:t>中标（成交）通知书</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合同，未提供或经评标委员会认定所提供业绩合同残缺不全、模糊难辨，该项业绩不给予计分，合同需体现项目负责人），以上材料须提供原件扫描件加盖公章。</w:t>
            </w:r>
          </w:p>
        </w:tc>
      </w:tr>
      <w:tr w14:paraId="4D8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763" w:type="pct"/>
            <w:vMerge w:val="continue"/>
            <w:vAlign w:val="center"/>
          </w:tcPr>
          <w:p w14:paraId="0F083229">
            <w:pPr>
              <w:spacing w:line="400" w:lineRule="exact"/>
              <w:jc w:val="center"/>
              <w:rPr>
                <w:rFonts w:ascii="宋体" w:hAnsi="宋体"/>
                <w:b/>
                <w:bCs/>
                <w:color w:val="000000" w:themeColor="text1"/>
                <w:szCs w:val="21"/>
                <w:highlight w:val="none"/>
                <w14:textFill>
                  <w14:solidFill>
                    <w14:schemeClr w14:val="tx1"/>
                  </w14:solidFill>
                </w14:textFill>
              </w:rPr>
            </w:pPr>
          </w:p>
        </w:tc>
        <w:tc>
          <w:tcPr>
            <w:tcW w:w="811" w:type="pct"/>
            <w:vAlign w:val="center"/>
          </w:tcPr>
          <w:p w14:paraId="12962B5D">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sz w:val="24"/>
                <w:szCs w:val="24"/>
                <w:highlight w:val="none"/>
              </w:rPr>
              <w:t>拟派项目</w:t>
            </w:r>
            <w:r>
              <w:rPr>
                <w:rFonts w:hint="eastAsia" w:ascii="宋体" w:hAnsi="宋体" w:eastAsia="宋体" w:cs="宋体"/>
                <w:b/>
                <w:bCs/>
                <w:sz w:val="24"/>
                <w:szCs w:val="24"/>
                <w:highlight w:val="none"/>
                <w:lang w:val="en-US" w:eastAsia="zh-CN"/>
              </w:rPr>
              <w:t>组</w:t>
            </w:r>
            <w:r>
              <w:rPr>
                <w:rFonts w:hint="eastAsia" w:ascii="宋体" w:hAnsi="宋体" w:eastAsia="宋体" w:cs="宋体"/>
                <w:b/>
                <w:bCs/>
                <w:sz w:val="24"/>
                <w:szCs w:val="24"/>
                <w:highlight w:val="none"/>
              </w:rPr>
              <w:t>人员（1</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分）</w:t>
            </w:r>
          </w:p>
        </w:tc>
        <w:tc>
          <w:tcPr>
            <w:tcW w:w="3425" w:type="pct"/>
          </w:tcPr>
          <w:p w14:paraId="438A9E3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拟委派项目组人员（如技术负责人、专业负责人等）具有</w:t>
            </w:r>
            <w:r>
              <w:rPr>
                <w:rFonts w:hint="eastAsia" w:ascii="宋体" w:hAnsi="宋体" w:cs="宋体"/>
                <w:color w:val="auto"/>
                <w:sz w:val="24"/>
                <w:szCs w:val="24"/>
                <w:highlight w:val="none"/>
                <w:lang w:val="en-US" w:eastAsia="zh-CN"/>
              </w:rPr>
              <w:t>电力</w:t>
            </w:r>
            <w:r>
              <w:rPr>
                <w:rFonts w:hint="eastAsia" w:ascii="宋体" w:hAnsi="宋体" w:eastAsia="宋体" w:cs="宋体"/>
                <w:color w:val="auto"/>
                <w:sz w:val="24"/>
                <w:szCs w:val="24"/>
                <w:highlight w:val="none"/>
              </w:rPr>
              <w:t>工程相关专业中级及以上技术职称</w:t>
            </w:r>
            <w:r>
              <w:rPr>
                <w:rFonts w:hint="eastAsia" w:ascii="宋体" w:hAnsi="宋体" w:cs="宋体"/>
                <w:color w:val="auto"/>
                <w:sz w:val="24"/>
                <w:szCs w:val="24"/>
                <w:highlight w:val="none"/>
                <w:lang w:eastAsia="zh-CN"/>
              </w:rPr>
              <w:t>，</w:t>
            </w:r>
            <w:bookmarkStart w:id="594" w:name="_GoBack"/>
            <w:bookmarkEnd w:id="594"/>
            <w:r>
              <w:rPr>
                <w:rFonts w:hint="eastAsia" w:ascii="宋体" w:hAnsi="宋体" w:eastAsia="宋体" w:cs="宋体"/>
                <w:color w:val="auto"/>
                <w:sz w:val="24"/>
                <w:szCs w:val="24"/>
                <w:highlight w:val="none"/>
              </w:rPr>
              <w:t>每有1个加</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1600598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注：提供注册证书或职称证的扫描件及身份证扫描件及社保证明（开标日近半年任意一个月，如无须缴纳社保证明的须提供证明材料），提供不全不得分。</w:t>
            </w:r>
          </w:p>
        </w:tc>
      </w:tr>
      <w:tr w14:paraId="31CA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1012598E">
            <w:pPr>
              <w:spacing w:line="400" w:lineRule="exact"/>
              <w:jc w:val="center"/>
              <w:rPr>
                <w:rFonts w:hint="eastAsia" w:ascii="宋体" w:hAnsi="宋体"/>
                <w:b/>
                <w:bCs/>
                <w:color w:val="auto"/>
                <w:szCs w:val="21"/>
                <w:highlight w:val="none"/>
              </w:rPr>
            </w:pPr>
          </w:p>
          <w:p w14:paraId="5A5662B6">
            <w:pPr>
              <w:spacing w:line="400" w:lineRule="exact"/>
              <w:jc w:val="center"/>
              <w:rPr>
                <w:rFonts w:hint="eastAsia" w:ascii="宋体" w:hAnsi="宋体"/>
                <w:b/>
                <w:bCs/>
                <w:color w:val="auto"/>
                <w:szCs w:val="21"/>
                <w:highlight w:val="none"/>
              </w:rPr>
            </w:pPr>
          </w:p>
          <w:p w14:paraId="56F9A1FA">
            <w:pPr>
              <w:spacing w:line="400" w:lineRule="exact"/>
              <w:jc w:val="center"/>
              <w:rPr>
                <w:rFonts w:hint="eastAsia" w:ascii="宋体" w:hAnsi="宋体"/>
                <w:b/>
                <w:bCs/>
                <w:color w:val="auto"/>
                <w:szCs w:val="21"/>
                <w:highlight w:val="none"/>
              </w:rPr>
            </w:pPr>
          </w:p>
          <w:p w14:paraId="1FA88D8C">
            <w:pPr>
              <w:spacing w:line="400" w:lineRule="exact"/>
              <w:jc w:val="center"/>
              <w:rPr>
                <w:rFonts w:hint="eastAsia" w:ascii="宋体" w:hAnsi="宋体"/>
                <w:b/>
                <w:bCs/>
                <w:color w:val="auto"/>
                <w:szCs w:val="21"/>
                <w:highlight w:val="none"/>
              </w:rPr>
            </w:pPr>
          </w:p>
          <w:p w14:paraId="3AC56E4C">
            <w:pPr>
              <w:spacing w:line="400" w:lineRule="exact"/>
              <w:jc w:val="center"/>
              <w:rPr>
                <w:rFonts w:hint="eastAsia" w:ascii="宋体" w:hAnsi="宋体"/>
                <w:b/>
                <w:bCs/>
                <w:color w:val="auto"/>
                <w:szCs w:val="21"/>
                <w:highlight w:val="none"/>
              </w:rPr>
            </w:pPr>
          </w:p>
          <w:p w14:paraId="4B179621">
            <w:pPr>
              <w:spacing w:line="400" w:lineRule="exact"/>
              <w:jc w:val="center"/>
              <w:rPr>
                <w:rFonts w:hint="eastAsia" w:ascii="宋体" w:hAnsi="宋体"/>
                <w:b/>
                <w:bCs/>
                <w:color w:val="auto"/>
                <w:szCs w:val="21"/>
                <w:highlight w:val="none"/>
              </w:rPr>
            </w:pPr>
          </w:p>
          <w:p w14:paraId="507B5F02">
            <w:pPr>
              <w:spacing w:line="400" w:lineRule="exact"/>
              <w:jc w:val="center"/>
              <w:rPr>
                <w:rFonts w:hint="eastAsia" w:ascii="宋体" w:hAnsi="宋体"/>
                <w:b/>
                <w:bCs/>
                <w:color w:val="auto"/>
                <w:szCs w:val="21"/>
                <w:highlight w:val="none"/>
              </w:rPr>
            </w:pPr>
          </w:p>
          <w:p w14:paraId="4C754FB2">
            <w:pPr>
              <w:spacing w:line="400" w:lineRule="exact"/>
              <w:jc w:val="center"/>
              <w:rPr>
                <w:rFonts w:hint="eastAsia" w:ascii="宋体" w:hAnsi="宋体"/>
                <w:b/>
                <w:bCs/>
                <w:color w:val="auto"/>
                <w:szCs w:val="21"/>
                <w:highlight w:val="none"/>
              </w:rPr>
            </w:pPr>
          </w:p>
          <w:p w14:paraId="06BA8AAA">
            <w:pPr>
              <w:spacing w:line="4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技术部分</w:t>
            </w:r>
          </w:p>
          <w:p w14:paraId="3650091A">
            <w:pPr>
              <w:spacing w:line="400" w:lineRule="exact"/>
              <w:rPr>
                <w:rFonts w:ascii="宋体" w:hAnsi="宋体"/>
                <w:color w:val="auto"/>
                <w:szCs w:val="21"/>
                <w:highlight w:val="none"/>
              </w:rPr>
            </w:pPr>
            <w:r>
              <w:rPr>
                <w:rFonts w:hint="eastAsia" w:ascii="宋体" w:hAnsi="宋体"/>
                <w:b/>
                <w:bCs/>
                <w:color w:val="auto"/>
                <w:sz w:val="24"/>
                <w:szCs w:val="24"/>
                <w:highlight w:val="none"/>
                <w:lang w:val="en-US" w:eastAsia="zh-CN"/>
              </w:rPr>
              <w:t>60</w:t>
            </w:r>
            <w:r>
              <w:rPr>
                <w:rFonts w:hint="eastAsia" w:ascii="宋体" w:hAnsi="宋体"/>
                <w:b/>
                <w:bCs/>
                <w:color w:val="auto"/>
                <w:sz w:val="24"/>
                <w:szCs w:val="24"/>
                <w:highlight w:val="none"/>
              </w:rPr>
              <w:t>分）</w:t>
            </w:r>
          </w:p>
        </w:tc>
        <w:tc>
          <w:tcPr>
            <w:tcW w:w="811" w:type="pct"/>
            <w:vAlign w:val="center"/>
          </w:tcPr>
          <w:p w14:paraId="2C098B78">
            <w:pPr>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项目说明</w:t>
            </w:r>
            <w:r>
              <w:rPr>
                <w:rFonts w:hint="eastAsia" w:asciiTheme="minorEastAsia" w:hAnsi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1</w:t>
            </w:r>
            <w:r>
              <w:rPr>
                <w:rFonts w:hint="eastAsia" w:asciiTheme="minorEastAsia" w:hAnsiTheme="minorEastAsia" w:cstheme="minorEastAsia"/>
                <w:b/>
                <w:bCs/>
                <w:color w:val="auto"/>
                <w:sz w:val="24"/>
                <w:szCs w:val="24"/>
                <w:highlight w:val="none"/>
              </w:rPr>
              <w:t>5分）</w:t>
            </w:r>
          </w:p>
        </w:tc>
        <w:tc>
          <w:tcPr>
            <w:tcW w:w="3425" w:type="pct"/>
            <w:vAlign w:val="center"/>
          </w:tcPr>
          <w:p w14:paraId="2E16034D">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项目说明</w:t>
            </w:r>
            <w:r>
              <w:rPr>
                <w:rFonts w:hint="eastAsia" w:ascii="宋体" w:hAnsi="宋体" w:eastAsia="宋体" w:cs="宋体"/>
                <w:color w:val="auto"/>
                <w:kern w:val="0"/>
                <w:sz w:val="24"/>
                <w:szCs w:val="24"/>
                <w:highlight w:val="none"/>
              </w:rPr>
              <w:t>方案，内容包括：</w:t>
            </w:r>
          </w:p>
          <w:p w14:paraId="0927281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①勘察工程概况；</w:t>
            </w:r>
          </w:p>
          <w:p w14:paraId="5B2BCA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②勘察范围、勘察内容；</w:t>
            </w:r>
          </w:p>
          <w:p w14:paraId="35991E2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③勘察依据、勘察工作目标；</w:t>
            </w:r>
          </w:p>
          <w:p w14:paraId="4BD66B57">
            <w:pPr>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5分，满分15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2200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tcPr>
          <w:p w14:paraId="797413BA">
            <w:pPr>
              <w:spacing w:line="400" w:lineRule="exact"/>
              <w:rPr>
                <w:rFonts w:ascii="宋体" w:hAnsi="宋体"/>
                <w:color w:val="auto"/>
                <w:szCs w:val="21"/>
                <w:highlight w:val="none"/>
              </w:rPr>
            </w:pPr>
          </w:p>
        </w:tc>
        <w:tc>
          <w:tcPr>
            <w:tcW w:w="811" w:type="pct"/>
            <w:vAlign w:val="center"/>
          </w:tcPr>
          <w:p w14:paraId="3FE38E7E">
            <w:pPr>
              <w:jc w:val="center"/>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技术服务方案</w:t>
            </w:r>
            <w:r>
              <w:rPr>
                <w:rFonts w:hint="eastAsia" w:asciiTheme="minorEastAsia" w:hAnsi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2</w:t>
            </w:r>
            <w:r>
              <w:rPr>
                <w:rFonts w:hint="eastAsia" w:asciiTheme="minorEastAsia" w:hAnsiTheme="minorEastAsia" w:cstheme="minorEastAsia"/>
                <w:b/>
                <w:bCs/>
                <w:color w:val="auto"/>
                <w:sz w:val="24"/>
                <w:szCs w:val="24"/>
                <w:highlight w:val="none"/>
              </w:rPr>
              <w:t>5分）</w:t>
            </w:r>
          </w:p>
        </w:tc>
        <w:tc>
          <w:tcPr>
            <w:tcW w:w="3425" w:type="pct"/>
            <w:vAlign w:val="center"/>
          </w:tcPr>
          <w:p w14:paraId="342F346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rPr>
              <w:t>服务方案，内容包括：</w:t>
            </w:r>
          </w:p>
          <w:p w14:paraId="36674AC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①勘察机构设置、岗位职责；</w:t>
            </w:r>
          </w:p>
          <w:p w14:paraId="51DC5114">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②勘察工作重点、难点分析；</w:t>
            </w:r>
          </w:p>
          <w:p w14:paraId="4F0BCB2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③勘察说明和勘察方案；</w:t>
            </w:r>
          </w:p>
          <w:p w14:paraId="260054F2">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④勘察工作量布置；</w:t>
            </w:r>
          </w:p>
          <w:p w14:paraId="43F70701">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⑤拟投入勘察设备</w:t>
            </w:r>
          </w:p>
          <w:p w14:paraId="50341924">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得5分，满分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52A9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tcPr>
          <w:p w14:paraId="46BAB7E1">
            <w:pPr>
              <w:spacing w:line="400" w:lineRule="exact"/>
              <w:rPr>
                <w:rFonts w:ascii="宋体" w:hAnsi="宋体"/>
                <w:color w:val="auto"/>
                <w:szCs w:val="21"/>
                <w:highlight w:val="none"/>
              </w:rPr>
            </w:pPr>
          </w:p>
        </w:tc>
        <w:tc>
          <w:tcPr>
            <w:tcW w:w="811" w:type="pct"/>
            <w:vAlign w:val="center"/>
          </w:tcPr>
          <w:p w14:paraId="6E64D4EC">
            <w:pPr>
              <w:jc w:val="center"/>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保证措施</w:t>
            </w:r>
            <w:r>
              <w:rPr>
                <w:rFonts w:hint="eastAsia" w:asciiTheme="minorEastAsia" w:hAnsi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10</w:t>
            </w:r>
            <w:r>
              <w:rPr>
                <w:rFonts w:hint="eastAsia" w:asciiTheme="minorEastAsia" w:hAnsiTheme="minorEastAsia" w:cstheme="minorEastAsia"/>
                <w:b/>
                <w:bCs/>
                <w:color w:val="auto"/>
                <w:sz w:val="24"/>
                <w:szCs w:val="24"/>
                <w:highlight w:val="none"/>
              </w:rPr>
              <w:t>分）</w:t>
            </w:r>
          </w:p>
        </w:tc>
        <w:tc>
          <w:tcPr>
            <w:tcW w:w="3425" w:type="pct"/>
            <w:vAlign w:val="center"/>
          </w:tcPr>
          <w:p w14:paraId="7F1883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供应商针对本项目制定</w:t>
            </w:r>
            <w:r>
              <w:rPr>
                <w:rFonts w:hint="eastAsia" w:ascii="宋体" w:hAnsi="宋体" w:eastAsia="宋体" w:cs="宋体"/>
                <w:color w:val="auto"/>
                <w:kern w:val="0"/>
                <w:sz w:val="24"/>
                <w:szCs w:val="24"/>
                <w:highlight w:val="none"/>
                <w:lang w:val="en-US" w:eastAsia="zh-CN"/>
              </w:rPr>
              <w:t>保证措施</w:t>
            </w:r>
            <w:r>
              <w:rPr>
                <w:rFonts w:hint="eastAsia" w:ascii="宋体" w:hAnsi="宋体" w:eastAsia="宋体" w:cs="宋体"/>
                <w:color w:val="auto"/>
                <w:kern w:val="0"/>
                <w:sz w:val="24"/>
                <w:szCs w:val="24"/>
                <w:highlight w:val="none"/>
              </w:rPr>
              <w:t>，内容包括：</w:t>
            </w:r>
          </w:p>
          <w:p w14:paraId="19EC00A5">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①勘察质量、进度、安全等保证措施；</w:t>
            </w:r>
          </w:p>
          <w:p w14:paraId="0A268291">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②对本工程勘察的合理化建议；</w:t>
            </w:r>
          </w:p>
          <w:p w14:paraId="5DE61B0B">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分；每项内容中每有一处内容缺陷扣</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r w14:paraId="338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tcPr>
          <w:p w14:paraId="65646E3A">
            <w:pPr>
              <w:spacing w:line="400" w:lineRule="exact"/>
              <w:rPr>
                <w:rFonts w:ascii="宋体" w:hAnsi="宋体"/>
                <w:color w:val="auto"/>
                <w:szCs w:val="21"/>
                <w:highlight w:val="none"/>
              </w:rPr>
            </w:pPr>
          </w:p>
        </w:tc>
        <w:tc>
          <w:tcPr>
            <w:tcW w:w="811" w:type="pct"/>
            <w:vAlign w:val="center"/>
          </w:tcPr>
          <w:p w14:paraId="61F7B486">
            <w:pPr>
              <w:jc w:val="center"/>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项目</w:t>
            </w:r>
            <w:r>
              <w:rPr>
                <w:rFonts w:hint="eastAsia" w:asciiTheme="minorEastAsia" w:hAnsiTheme="minorEastAsia" w:cstheme="minorEastAsia"/>
                <w:b/>
                <w:bCs/>
                <w:color w:val="auto"/>
                <w:sz w:val="24"/>
                <w:szCs w:val="24"/>
                <w:highlight w:val="none"/>
                <w:lang w:val="en-US" w:eastAsia="zh-CN"/>
              </w:rPr>
              <w:t>服务响应</w:t>
            </w:r>
            <w:r>
              <w:rPr>
                <w:rFonts w:hint="eastAsia" w:asciiTheme="minorEastAsia" w:hAnsi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10</w:t>
            </w:r>
            <w:r>
              <w:rPr>
                <w:rFonts w:hint="eastAsia" w:asciiTheme="minorEastAsia" w:hAnsiTheme="minorEastAsia" w:cstheme="minorEastAsia"/>
                <w:b/>
                <w:bCs/>
                <w:color w:val="auto"/>
                <w:sz w:val="24"/>
                <w:szCs w:val="24"/>
                <w:highlight w:val="none"/>
              </w:rPr>
              <w:t>分）</w:t>
            </w:r>
          </w:p>
        </w:tc>
        <w:tc>
          <w:tcPr>
            <w:tcW w:w="3425" w:type="pct"/>
            <w:vAlign w:val="center"/>
          </w:tcPr>
          <w:p w14:paraId="177330DD">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根据供应商提供的服务响应，内容包括：</w:t>
            </w:r>
          </w:p>
          <w:p w14:paraId="6A44F1C0">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①前期对接、项目实施中与各方的沟通协调措施；</w:t>
            </w:r>
          </w:p>
          <w:p w14:paraId="7EC3C79D">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 xml:space="preserve">反馈意见的回复方案； </w:t>
            </w:r>
          </w:p>
          <w:p w14:paraId="612A3974">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以上内容</w:t>
            </w:r>
            <w:r>
              <w:rPr>
                <w:rFonts w:hint="eastAsia" w:ascii="宋体" w:hAnsi="宋体" w:eastAsia="宋体" w:cs="宋体"/>
                <w:color w:val="auto"/>
                <w:sz w:val="24"/>
                <w:szCs w:val="24"/>
                <w:highlight w:val="none"/>
                <w:lang w:eastAsia="zh-CN"/>
              </w:rPr>
              <w:t>每提供一项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分；每项内容中每有一处内容缺陷扣</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项分值扣完为止。未提供不得分。（缺陷是指：方案内所填项目名称错误、项目实施地点错误、方案适用错误（如内容中夹杂含有与本项目无关的：1、其他单位名称、2、其他标的物内容、3其他标的物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方案内容针对同一事项前后表述不一致</w:t>
            </w:r>
            <w:r>
              <w:rPr>
                <w:rFonts w:hint="eastAsia" w:ascii="宋体" w:hAnsi="宋体" w:eastAsia="宋体" w:cs="宋体"/>
                <w:color w:val="auto"/>
                <w:sz w:val="24"/>
                <w:szCs w:val="24"/>
                <w:highlight w:val="none"/>
                <w:lang w:eastAsia="zh-CN"/>
              </w:rPr>
              <w:t>；内容涉及适用的规范及标准（方法）出现错误</w:t>
            </w:r>
            <w:r>
              <w:rPr>
                <w:rFonts w:hint="eastAsia" w:ascii="宋体" w:hAnsi="宋体" w:eastAsia="宋体" w:cs="宋体"/>
                <w:color w:val="auto"/>
                <w:sz w:val="24"/>
                <w:szCs w:val="24"/>
                <w:highlight w:val="none"/>
              </w:rPr>
              <w:t>）。</w:t>
            </w:r>
          </w:p>
        </w:tc>
      </w:tr>
    </w:tbl>
    <w:p w14:paraId="511FAE4B">
      <w:pPr>
        <w:pStyle w:val="12"/>
        <w:rPr>
          <w:rFonts w:hint="eastAsia"/>
          <w:highlight w:val="none"/>
          <w:lang w:val="en-US" w:eastAsia="zh-CN"/>
        </w:rPr>
        <w:sectPr>
          <w:headerReference r:id="rId11" w:type="default"/>
          <w:footerReference r:id="rId12"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3802835">
      <w:pPr>
        <w:keepNext w:val="0"/>
        <w:keepLines w:val="0"/>
        <w:pageBreakBefore w:val="0"/>
        <w:widowControl w:val="0"/>
        <w:kinsoku/>
        <w:overflowPunct/>
        <w:bidi w:val="0"/>
        <w:rPr>
          <w:rFonts w:hint="eastAsia" w:ascii="宋体" w:hAnsi="宋体" w:eastAsia="宋体" w:cs="宋体"/>
          <w:color w:val="auto"/>
          <w:highlight w:val="none"/>
        </w:rPr>
      </w:pPr>
      <w:bookmarkStart w:id="407" w:name="_Toc507399904"/>
    </w:p>
    <w:p w14:paraId="12895801">
      <w:pPr>
        <w:pStyle w:val="2"/>
        <w:tabs>
          <w:tab w:val="left" w:pos="0"/>
        </w:tabs>
        <w:spacing w:before="0" w:after="0" w:line="240" w:lineRule="atLeast"/>
        <w:jc w:val="center"/>
        <w:rPr>
          <w:rFonts w:hint="eastAsia" w:hAnsi="宋体" w:cs="宋体"/>
          <w:color w:val="000000"/>
          <w:sz w:val="24"/>
          <w:szCs w:val="24"/>
          <w:highlight w:val="none"/>
        </w:rPr>
      </w:pPr>
      <w:bookmarkStart w:id="408" w:name="_Toc6865"/>
      <w:bookmarkStart w:id="409" w:name="_Toc4337"/>
      <w:bookmarkStart w:id="410" w:name="_Toc16468"/>
      <w:bookmarkStart w:id="411" w:name="_Toc4796"/>
      <w:bookmarkStart w:id="412" w:name="_Toc515647833"/>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407"/>
      <w:bookmarkEnd w:id="408"/>
      <w:bookmarkEnd w:id="409"/>
      <w:bookmarkEnd w:id="410"/>
      <w:bookmarkEnd w:id="411"/>
      <w:bookmarkEnd w:id="412"/>
      <w:bookmarkStart w:id="413" w:name="_Hlt487972895"/>
      <w:bookmarkEnd w:id="413"/>
      <w:r>
        <w:rPr>
          <w:rFonts w:hint="eastAsia" w:hAnsi="宋体" w:cs="宋体"/>
          <w:color w:val="000000"/>
          <w:szCs w:val="32"/>
          <w:highlight w:val="none"/>
        </w:rPr>
        <w:t>政府采购合同</w:t>
      </w:r>
      <w:bookmarkStart w:id="414" w:name="_Toc216513788"/>
      <w:bookmarkStart w:id="415" w:name="_Toc487900382"/>
    </w:p>
    <w:bookmarkEnd w:id="414"/>
    <w:bookmarkEnd w:id="415"/>
    <w:p w14:paraId="20F094C1">
      <w:pPr>
        <w:spacing w:line="240" w:lineRule="atLeast"/>
        <w:rPr>
          <w:rFonts w:hint="eastAsia" w:ascii="宋体" w:hAnsi="宋体" w:cs="宋体"/>
          <w:b/>
          <w:color w:val="000000"/>
          <w:kern w:val="44"/>
          <w:sz w:val="24"/>
          <w:highlight w:val="none"/>
        </w:rPr>
      </w:pPr>
    </w:p>
    <w:p w14:paraId="2888A94B">
      <w:pPr>
        <w:pStyle w:val="5"/>
        <w:spacing w:line="240" w:lineRule="atLeast"/>
        <w:ind w:firstLine="480"/>
        <w:rPr>
          <w:rFonts w:hint="eastAsia" w:hAnsi="宋体" w:cs="宋体"/>
          <w:color w:val="000000"/>
          <w:szCs w:val="24"/>
          <w:highlight w:val="none"/>
        </w:rPr>
      </w:pPr>
    </w:p>
    <w:p w14:paraId="3AC10F38">
      <w:pPr>
        <w:rPr>
          <w:rFonts w:hint="eastAsia"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14:paraId="188EAF10">
      <w:pPr>
        <w:spacing w:line="480" w:lineRule="auto"/>
        <w:jc w:val="center"/>
        <w:rPr>
          <w:rFonts w:hint="eastAsia" w:ascii="宋体" w:hAnsi="宋体" w:cs="宋体"/>
          <w:b/>
          <w:sz w:val="28"/>
          <w:szCs w:val="28"/>
          <w:highlight w:val="none"/>
        </w:rPr>
      </w:pPr>
    </w:p>
    <w:p w14:paraId="78FF8952">
      <w:pPr>
        <w:spacing w:line="480" w:lineRule="auto"/>
        <w:jc w:val="center"/>
        <w:rPr>
          <w:rFonts w:hint="eastAsia" w:ascii="宋体" w:hAnsi="宋体" w:cs="宋体"/>
          <w:b/>
          <w:sz w:val="28"/>
          <w:szCs w:val="28"/>
          <w:highlight w:val="none"/>
        </w:rPr>
      </w:pPr>
    </w:p>
    <w:p w14:paraId="29BCB492">
      <w:pPr>
        <w:spacing w:line="480" w:lineRule="auto"/>
        <w:jc w:val="center"/>
        <w:rPr>
          <w:rFonts w:hint="eastAsia" w:ascii="宋体" w:hAnsi="宋体" w:cs="宋体"/>
          <w:b/>
          <w:sz w:val="28"/>
          <w:szCs w:val="28"/>
          <w:highlight w:val="none"/>
        </w:rPr>
      </w:pPr>
    </w:p>
    <w:p w14:paraId="606005A1">
      <w:pPr>
        <w:spacing w:line="480" w:lineRule="auto"/>
        <w:jc w:val="center"/>
        <w:rPr>
          <w:rFonts w:hint="eastAsia" w:ascii="宋体" w:hAnsi="宋体" w:cs="宋体"/>
          <w:b/>
          <w:sz w:val="44"/>
          <w:szCs w:val="44"/>
          <w:highlight w:val="none"/>
        </w:rPr>
      </w:pPr>
      <w:r>
        <w:rPr>
          <w:rFonts w:hint="eastAsia" w:ascii="宋体" w:hAnsi="宋体" w:cs="宋体"/>
          <w:b/>
          <w:sz w:val="44"/>
          <w:szCs w:val="44"/>
          <w:highlight w:val="none"/>
        </w:rPr>
        <w:t>政府采购合同参考范本</w:t>
      </w:r>
    </w:p>
    <w:p w14:paraId="3BE949BE">
      <w:pPr>
        <w:spacing w:line="480" w:lineRule="auto"/>
        <w:jc w:val="center"/>
        <w:rPr>
          <w:rFonts w:hint="eastAsia" w:ascii="宋体" w:hAnsi="宋体" w:cs="宋体"/>
          <w:b/>
          <w:sz w:val="24"/>
          <w:highlight w:val="none"/>
        </w:rPr>
      </w:pPr>
      <w:r>
        <w:rPr>
          <w:rFonts w:hint="eastAsia" w:ascii="宋体" w:hAnsi="宋体" w:cs="宋体"/>
          <w:b/>
          <w:sz w:val="24"/>
          <w:highlight w:val="none"/>
        </w:rPr>
        <w:t>（服务类）</w:t>
      </w:r>
    </w:p>
    <w:p w14:paraId="68F32199">
      <w:pPr>
        <w:pStyle w:val="71"/>
        <w:ind w:firstLine="0"/>
        <w:rPr>
          <w:rFonts w:hint="eastAsia" w:hAnsi="宋体" w:cs="宋体"/>
          <w:szCs w:val="24"/>
          <w:highlight w:val="none"/>
        </w:rPr>
      </w:pPr>
    </w:p>
    <w:p w14:paraId="489B07A5">
      <w:pPr>
        <w:pStyle w:val="71"/>
        <w:ind w:firstLine="0"/>
        <w:rPr>
          <w:rFonts w:hint="eastAsia" w:hAnsi="宋体" w:cs="宋体"/>
          <w:szCs w:val="24"/>
          <w:highlight w:val="none"/>
        </w:rPr>
      </w:pPr>
    </w:p>
    <w:p w14:paraId="665A54F9">
      <w:pPr>
        <w:pStyle w:val="71"/>
        <w:ind w:firstLine="0"/>
        <w:rPr>
          <w:rFonts w:hint="eastAsia" w:hAnsi="宋体" w:cs="宋体"/>
          <w:szCs w:val="24"/>
          <w:highlight w:val="none"/>
        </w:rPr>
      </w:pPr>
    </w:p>
    <w:p w14:paraId="2EB4C5B4">
      <w:pPr>
        <w:pStyle w:val="71"/>
        <w:ind w:firstLine="0"/>
        <w:jc w:val="center"/>
        <w:rPr>
          <w:rFonts w:hint="eastAsia" w:hAnsi="宋体" w:cs="宋体"/>
          <w:b/>
          <w:szCs w:val="24"/>
          <w:highlight w:val="none"/>
        </w:rPr>
      </w:pPr>
      <w:r>
        <w:rPr>
          <w:rFonts w:hint="eastAsia" w:hAnsi="宋体" w:cs="宋体"/>
          <w:b/>
          <w:szCs w:val="24"/>
          <w:highlight w:val="none"/>
        </w:rPr>
        <w:t>第一部分 合同书</w:t>
      </w:r>
    </w:p>
    <w:p w14:paraId="5AEE1EAF">
      <w:pPr>
        <w:pStyle w:val="71"/>
        <w:ind w:firstLine="0"/>
        <w:rPr>
          <w:rFonts w:hint="eastAsia" w:hAnsi="宋体" w:cs="宋体"/>
          <w:szCs w:val="24"/>
          <w:highlight w:val="none"/>
        </w:rPr>
      </w:pPr>
    </w:p>
    <w:p w14:paraId="6354DF65">
      <w:pPr>
        <w:pStyle w:val="71"/>
        <w:ind w:firstLine="0"/>
        <w:rPr>
          <w:rFonts w:hint="eastAsia" w:hAnsi="宋体" w:cs="宋体"/>
          <w:szCs w:val="24"/>
          <w:highlight w:val="none"/>
        </w:rPr>
      </w:pPr>
    </w:p>
    <w:p w14:paraId="3DE1A5D8">
      <w:pPr>
        <w:spacing w:before="120" w:line="22" w:lineRule="atLeast"/>
        <w:rPr>
          <w:rFonts w:hint="eastAsia" w:ascii="宋体" w:hAnsi="宋体" w:cs="宋体"/>
          <w:sz w:val="24"/>
          <w:highlight w:val="none"/>
        </w:rPr>
      </w:pPr>
    </w:p>
    <w:p w14:paraId="56327A26">
      <w:pPr>
        <w:spacing w:before="120" w:line="22" w:lineRule="atLeast"/>
        <w:ind w:left="96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0AE298A5">
      <w:pPr>
        <w:pStyle w:val="83"/>
        <w:spacing w:before="120" w:line="22" w:lineRule="atLeast"/>
        <w:rPr>
          <w:rFonts w:hint="eastAsia" w:ascii="宋体" w:hAnsi="宋体" w:eastAsia="宋体" w:cs="宋体"/>
          <w:szCs w:val="24"/>
          <w:highlight w:val="none"/>
        </w:rPr>
      </w:pPr>
    </w:p>
    <w:p w14:paraId="499B1928">
      <w:pPr>
        <w:pStyle w:val="83"/>
        <w:spacing w:before="120" w:line="22" w:lineRule="atLeast"/>
        <w:rPr>
          <w:rFonts w:hint="eastAsia" w:ascii="宋体" w:hAnsi="宋体" w:eastAsia="宋体" w:cs="宋体"/>
          <w:szCs w:val="24"/>
          <w:highlight w:val="none"/>
        </w:rPr>
      </w:pPr>
    </w:p>
    <w:p w14:paraId="77B5904A">
      <w:pPr>
        <w:rPr>
          <w:rFonts w:hint="eastAsia" w:ascii="宋体" w:hAnsi="宋体" w:cs="宋体"/>
          <w:highlight w:val="none"/>
        </w:rPr>
      </w:pPr>
    </w:p>
    <w:p w14:paraId="010A8393">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56D7826D">
      <w:pPr>
        <w:spacing w:before="120" w:line="22" w:lineRule="atLeast"/>
        <w:rPr>
          <w:rFonts w:hint="eastAsia" w:ascii="宋体" w:hAnsi="宋体" w:cs="宋体"/>
          <w:sz w:val="24"/>
          <w:highlight w:val="none"/>
        </w:rPr>
      </w:pPr>
    </w:p>
    <w:p w14:paraId="3584F26A">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69343B4E">
      <w:pPr>
        <w:spacing w:before="120" w:line="22" w:lineRule="atLeast"/>
        <w:rPr>
          <w:rFonts w:hint="eastAsia" w:ascii="宋体" w:hAnsi="宋体" w:cs="宋体"/>
          <w:sz w:val="24"/>
          <w:highlight w:val="none"/>
        </w:rPr>
      </w:pPr>
    </w:p>
    <w:p w14:paraId="55218543">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25203CCB">
      <w:pPr>
        <w:spacing w:before="120" w:line="22" w:lineRule="atLeast"/>
        <w:rPr>
          <w:rFonts w:hint="eastAsia" w:ascii="宋体" w:hAnsi="宋体" w:cs="宋体"/>
          <w:sz w:val="24"/>
          <w:highlight w:val="none"/>
        </w:rPr>
      </w:pPr>
    </w:p>
    <w:p w14:paraId="592073C2">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40C26FC">
      <w:pPr>
        <w:autoSpaceDE w:val="0"/>
        <w:autoSpaceDN w:val="0"/>
        <w:adjustRightInd w:val="0"/>
        <w:spacing w:line="600" w:lineRule="exact"/>
        <w:ind w:firstLine="640"/>
        <w:jc w:val="center"/>
        <w:rPr>
          <w:rFonts w:hint="eastAsia" w:ascii="宋体" w:hAnsi="宋体" w:cs="宋体"/>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pgNumType w:fmt="decimal"/>
          <w:cols w:space="720" w:num="1"/>
          <w:docGrid w:linePitch="462" w:charSpace="0"/>
        </w:sectPr>
      </w:pPr>
    </w:p>
    <w:p w14:paraId="2C08856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（政府采购方式）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14:paraId="66B51B2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lang w:val="zh-CN"/>
        </w:rPr>
        <w:t>根据</w:t>
      </w:r>
      <w:r>
        <w:rPr>
          <w:rFonts w:hint="eastAsia" w:ascii="宋体" w:hAnsi="宋体" w:cs="宋体"/>
          <w:sz w:val="24"/>
          <w:highlight w:val="none"/>
          <w:lang w:val="zh-CN" w:eastAsia="zh-CN"/>
        </w:rPr>
        <w:t>《民法典》</w:t>
      </w:r>
      <w:r>
        <w:rPr>
          <w:rFonts w:hint="eastAsia" w:ascii="宋体" w:hAnsi="宋体" w:cs="宋体"/>
          <w:sz w:val="24"/>
          <w:highlight w:val="none"/>
          <w:lang w:val="zh-CN"/>
        </w:rPr>
        <w:t>、《中华人民共和国政府采购法》等相关法律法规之规定，按照平等、自愿、公平和诚实信用的原则，经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14:paraId="1B750043">
      <w:pPr>
        <w:spacing w:line="560" w:lineRule="exact"/>
        <w:ind w:firstLine="482" w:firstLineChars="200"/>
        <w:outlineLvl w:val="0"/>
        <w:rPr>
          <w:rFonts w:hint="eastAsia" w:ascii="宋体" w:hAnsi="宋体" w:cs="宋体"/>
          <w:sz w:val="24"/>
          <w:highlight w:val="none"/>
        </w:rPr>
      </w:pPr>
      <w:bookmarkStart w:id="416" w:name="_Toc28855"/>
      <w:bookmarkStart w:id="417" w:name="_Toc15367"/>
      <w:bookmarkStart w:id="418" w:name="_Toc20421"/>
      <w:bookmarkStart w:id="419" w:name="_Toc19273"/>
      <w:r>
        <w:rPr>
          <w:rFonts w:hint="eastAsia" w:ascii="宋体" w:hAnsi="宋体" w:cs="宋体"/>
          <w:b/>
          <w:sz w:val="24"/>
          <w:highlight w:val="none"/>
        </w:rPr>
        <w:t>1.1 合同组成部分</w:t>
      </w:r>
      <w:bookmarkEnd w:id="416"/>
      <w:bookmarkEnd w:id="417"/>
      <w:bookmarkEnd w:id="418"/>
      <w:bookmarkEnd w:id="419"/>
    </w:p>
    <w:p w14:paraId="4DD20595">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6CE071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1.1.1 本合同及其补充合同、变更协议；</w:t>
      </w:r>
    </w:p>
    <w:p w14:paraId="26E63FFD">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1.1.2 中标通知书；</w:t>
      </w:r>
    </w:p>
    <w:p w14:paraId="1531AE77">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1.1.3 投标文件（含澄清或者说明文件）；</w:t>
      </w:r>
    </w:p>
    <w:p w14:paraId="3D76785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1.1.4 招标文件（含澄清或者修改文件）；</w:t>
      </w:r>
    </w:p>
    <w:p w14:paraId="1814E9E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1.1.5 其他相关采购文件。</w:t>
      </w:r>
    </w:p>
    <w:p w14:paraId="3A160CAD">
      <w:pPr>
        <w:spacing w:line="560" w:lineRule="exact"/>
        <w:ind w:firstLine="482" w:firstLineChars="200"/>
        <w:outlineLvl w:val="0"/>
        <w:rPr>
          <w:rFonts w:hint="eastAsia" w:ascii="宋体" w:hAnsi="宋体" w:cs="宋体"/>
          <w:b/>
          <w:sz w:val="24"/>
          <w:highlight w:val="none"/>
        </w:rPr>
      </w:pPr>
      <w:bookmarkStart w:id="420" w:name="_Toc6773"/>
      <w:bookmarkStart w:id="421" w:name="_Toc18585"/>
      <w:bookmarkStart w:id="422" w:name="_Toc6311"/>
      <w:bookmarkStart w:id="423" w:name="_Toc2918"/>
      <w:bookmarkStart w:id="424" w:name="_Toc22185"/>
      <w:r>
        <w:rPr>
          <w:rFonts w:hint="eastAsia" w:ascii="宋体" w:hAnsi="宋体" w:cs="宋体"/>
          <w:b/>
          <w:sz w:val="24"/>
          <w:highlight w:val="none"/>
        </w:rPr>
        <w:t>1.2 标的</w:t>
      </w:r>
      <w:bookmarkEnd w:id="420"/>
      <w:bookmarkEnd w:id="421"/>
      <w:bookmarkEnd w:id="422"/>
      <w:bookmarkEnd w:id="423"/>
      <w:bookmarkEnd w:id="424"/>
    </w:p>
    <w:p w14:paraId="7810E9C4">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14:paraId="12439278">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14:paraId="5CD28E0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14:paraId="7CA1E913">
      <w:pPr>
        <w:spacing w:line="560" w:lineRule="exact"/>
        <w:ind w:firstLine="482" w:firstLineChars="200"/>
        <w:outlineLvl w:val="0"/>
        <w:rPr>
          <w:rFonts w:hint="eastAsia" w:ascii="宋体" w:hAnsi="宋体" w:cs="宋体"/>
          <w:b/>
          <w:sz w:val="24"/>
          <w:highlight w:val="none"/>
        </w:rPr>
      </w:pPr>
      <w:bookmarkStart w:id="425" w:name="_Toc1386"/>
      <w:bookmarkStart w:id="426" w:name="_Toc5635"/>
      <w:bookmarkStart w:id="427" w:name="_Toc4929"/>
      <w:bookmarkStart w:id="428" w:name="_Toc13918"/>
      <w:bookmarkStart w:id="429" w:name="_Toc21124"/>
      <w:r>
        <w:rPr>
          <w:rFonts w:hint="eastAsia" w:ascii="宋体" w:hAnsi="宋体" w:cs="宋体"/>
          <w:b/>
          <w:sz w:val="24"/>
          <w:highlight w:val="none"/>
        </w:rPr>
        <w:t>1.3 价款</w:t>
      </w:r>
      <w:bookmarkEnd w:id="425"/>
      <w:bookmarkEnd w:id="426"/>
      <w:bookmarkEnd w:id="427"/>
      <w:bookmarkEnd w:id="428"/>
      <w:bookmarkEnd w:id="429"/>
    </w:p>
    <w:p w14:paraId="0E3F3B4D">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14:paraId="1EBC6EBE">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630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77F3080">
            <w:pPr>
              <w:pStyle w:val="69"/>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序号</w:t>
            </w:r>
          </w:p>
        </w:tc>
        <w:tc>
          <w:tcPr>
            <w:tcW w:w="3402" w:type="dxa"/>
            <w:noWrap w:val="0"/>
            <w:vAlign w:val="center"/>
          </w:tcPr>
          <w:p w14:paraId="0B6D19E0">
            <w:pPr>
              <w:pStyle w:val="69"/>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分项名称</w:t>
            </w:r>
          </w:p>
        </w:tc>
        <w:tc>
          <w:tcPr>
            <w:tcW w:w="2552" w:type="dxa"/>
            <w:noWrap w:val="0"/>
            <w:vAlign w:val="center"/>
          </w:tcPr>
          <w:p w14:paraId="2D853E7A">
            <w:pPr>
              <w:pStyle w:val="69"/>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分项价格</w:t>
            </w:r>
          </w:p>
        </w:tc>
      </w:tr>
      <w:tr w14:paraId="48AA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0D310B4">
            <w:pPr>
              <w:pStyle w:val="69"/>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14:paraId="7F5A2D5A">
            <w:pPr>
              <w:pStyle w:val="69"/>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14:paraId="5D37B849">
            <w:pPr>
              <w:pStyle w:val="69"/>
              <w:spacing w:line="560" w:lineRule="exact"/>
              <w:ind w:firstLine="200"/>
              <w:jc w:val="center"/>
              <w:rPr>
                <w:rFonts w:hint="eastAsia" w:hAnsi="宋体" w:cs="宋体"/>
                <w:color w:val="000000"/>
                <w:kern w:val="2"/>
                <w:sz w:val="24"/>
                <w:szCs w:val="24"/>
                <w:highlight w:val="none"/>
              </w:rPr>
            </w:pPr>
          </w:p>
        </w:tc>
      </w:tr>
      <w:tr w14:paraId="07E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AC37A86">
            <w:pPr>
              <w:pStyle w:val="69"/>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14:paraId="18566E1B">
            <w:pPr>
              <w:pStyle w:val="69"/>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14:paraId="32BD972F">
            <w:pPr>
              <w:pStyle w:val="69"/>
              <w:spacing w:line="560" w:lineRule="exact"/>
              <w:ind w:firstLine="200"/>
              <w:jc w:val="center"/>
              <w:rPr>
                <w:rFonts w:hint="eastAsia" w:hAnsi="宋体" w:cs="宋体"/>
                <w:color w:val="000000"/>
                <w:kern w:val="2"/>
                <w:sz w:val="24"/>
                <w:szCs w:val="24"/>
                <w:highlight w:val="none"/>
              </w:rPr>
            </w:pPr>
          </w:p>
        </w:tc>
      </w:tr>
      <w:tr w14:paraId="7E5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E1EFEB9">
            <w:pPr>
              <w:pStyle w:val="69"/>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14:paraId="7254F6D6">
            <w:pPr>
              <w:pStyle w:val="69"/>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14:paraId="37C107A5">
            <w:pPr>
              <w:pStyle w:val="69"/>
              <w:spacing w:line="560" w:lineRule="exact"/>
              <w:ind w:firstLine="200"/>
              <w:jc w:val="center"/>
              <w:rPr>
                <w:rFonts w:hint="eastAsia" w:hAnsi="宋体" w:cs="宋体"/>
                <w:color w:val="000000"/>
                <w:kern w:val="2"/>
                <w:sz w:val="24"/>
                <w:szCs w:val="24"/>
                <w:highlight w:val="none"/>
              </w:rPr>
            </w:pPr>
          </w:p>
        </w:tc>
      </w:tr>
      <w:tr w14:paraId="0E50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9DFC352">
            <w:pPr>
              <w:pStyle w:val="69"/>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14:paraId="0290EC47">
            <w:pPr>
              <w:pStyle w:val="69"/>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14:paraId="283B079C">
            <w:pPr>
              <w:pStyle w:val="69"/>
              <w:spacing w:line="560" w:lineRule="exact"/>
              <w:ind w:firstLine="200"/>
              <w:jc w:val="center"/>
              <w:rPr>
                <w:rFonts w:hint="eastAsia" w:hAnsi="宋体" w:cs="宋体"/>
                <w:color w:val="000000"/>
                <w:kern w:val="2"/>
                <w:sz w:val="24"/>
                <w:szCs w:val="24"/>
                <w:highlight w:val="none"/>
              </w:rPr>
            </w:pPr>
          </w:p>
        </w:tc>
      </w:tr>
      <w:tr w14:paraId="7DF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3EAEC3C">
            <w:pPr>
              <w:pStyle w:val="69"/>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总价</w:t>
            </w:r>
          </w:p>
        </w:tc>
        <w:tc>
          <w:tcPr>
            <w:tcW w:w="2552" w:type="dxa"/>
            <w:noWrap w:val="0"/>
            <w:vAlign w:val="center"/>
          </w:tcPr>
          <w:p w14:paraId="32122968">
            <w:pPr>
              <w:pStyle w:val="69"/>
              <w:spacing w:line="560" w:lineRule="exact"/>
              <w:ind w:firstLine="200"/>
              <w:jc w:val="center"/>
              <w:rPr>
                <w:rFonts w:hint="eastAsia" w:hAnsi="宋体" w:cs="宋体"/>
                <w:color w:val="000000"/>
                <w:kern w:val="2"/>
                <w:sz w:val="24"/>
                <w:szCs w:val="24"/>
                <w:highlight w:val="none"/>
              </w:rPr>
            </w:pPr>
          </w:p>
        </w:tc>
      </w:tr>
    </w:tbl>
    <w:p w14:paraId="680DEDEA">
      <w:pPr>
        <w:spacing w:line="560" w:lineRule="exact"/>
        <w:ind w:firstLine="482" w:firstLineChars="200"/>
        <w:outlineLvl w:val="0"/>
        <w:rPr>
          <w:rFonts w:hint="eastAsia" w:ascii="宋体" w:hAnsi="宋体" w:cs="宋体"/>
          <w:b/>
          <w:sz w:val="24"/>
          <w:highlight w:val="none"/>
        </w:rPr>
      </w:pPr>
      <w:bookmarkStart w:id="430" w:name="_Toc14993"/>
      <w:bookmarkStart w:id="431" w:name="_Toc26916"/>
      <w:bookmarkStart w:id="432" w:name="_Toc30506"/>
      <w:bookmarkStart w:id="433" w:name="_Toc30158"/>
      <w:bookmarkStart w:id="434" w:name="_Toc3654"/>
      <w:r>
        <w:rPr>
          <w:rFonts w:hint="eastAsia" w:ascii="宋体" w:hAnsi="宋体" w:cs="宋体"/>
          <w:b/>
          <w:sz w:val="24"/>
          <w:highlight w:val="none"/>
        </w:rPr>
        <w:t>1.4 付款方式和发票开具方式</w:t>
      </w:r>
      <w:bookmarkEnd w:id="430"/>
      <w:bookmarkEnd w:id="431"/>
      <w:bookmarkEnd w:id="432"/>
      <w:bookmarkEnd w:id="433"/>
      <w:bookmarkEnd w:id="434"/>
    </w:p>
    <w:p w14:paraId="5EC909C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14:paraId="73C0D2F1">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14:paraId="150CB28C">
      <w:pPr>
        <w:spacing w:line="560" w:lineRule="exact"/>
        <w:ind w:firstLine="482" w:firstLineChars="200"/>
        <w:outlineLvl w:val="0"/>
        <w:rPr>
          <w:rFonts w:hint="eastAsia" w:ascii="宋体" w:hAnsi="宋体" w:cs="宋体"/>
          <w:b/>
          <w:sz w:val="24"/>
          <w:highlight w:val="none"/>
        </w:rPr>
      </w:pPr>
      <w:bookmarkStart w:id="435" w:name="_Toc8772"/>
      <w:bookmarkStart w:id="436" w:name="_Toc11108"/>
      <w:bookmarkStart w:id="437" w:name="_Toc4760"/>
      <w:bookmarkStart w:id="438" w:name="_Toc31421"/>
      <w:bookmarkStart w:id="439" w:name="_Toc3625"/>
      <w:r>
        <w:rPr>
          <w:rFonts w:hint="eastAsia" w:ascii="宋体" w:hAnsi="宋体" w:cs="宋体"/>
          <w:b/>
          <w:sz w:val="24"/>
          <w:highlight w:val="none"/>
        </w:rPr>
        <w:t>1.5 履行期限、地点和方式</w:t>
      </w:r>
      <w:bookmarkEnd w:id="435"/>
      <w:bookmarkEnd w:id="436"/>
      <w:bookmarkEnd w:id="437"/>
      <w:bookmarkEnd w:id="438"/>
      <w:bookmarkEnd w:id="439"/>
    </w:p>
    <w:p w14:paraId="6D87BB07">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14:paraId="34651BBF">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14:paraId="07A71E76">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14:paraId="0CAFA9E9">
      <w:pPr>
        <w:spacing w:line="560" w:lineRule="exact"/>
        <w:ind w:firstLine="482" w:firstLineChars="200"/>
        <w:outlineLvl w:val="0"/>
        <w:rPr>
          <w:rFonts w:hint="eastAsia" w:ascii="宋体" w:hAnsi="宋体" w:cs="宋体"/>
          <w:sz w:val="24"/>
          <w:highlight w:val="none"/>
          <w:u w:val="single"/>
        </w:rPr>
      </w:pPr>
      <w:bookmarkStart w:id="440" w:name="_Toc5698"/>
      <w:bookmarkStart w:id="441" w:name="_Toc24662"/>
      <w:bookmarkStart w:id="442" w:name="_Toc2375"/>
      <w:bookmarkStart w:id="443" w:name="_Toc8586"/>
      <w:bookmarkStart w:id="444" w:name="_Toc3079"/>
      <w:r>
        <w:rPr>
          <w:rFonts w:hint="eastAsia" w:ascii="宋体" w:hAnsi="宋体" w:cs="宋体"/>
          <w:b/>
          <w:sz w:val="24"/>
          <w:highlight w:val="none"/>
        </w:rPr>
        <w:t>1.6 违约责任</w:t>
      </w:r>
      <w:bookmarkEnd w:id="440"/>
      <w:bookmarkEnd w:id="441"/>
      <w:bookmarkEnd w:id="442"/>
      <w:bookmarkEnd w:id="443"/>
      <w:bookmarkEnd w:id="444"/>
    </w:p>
    <w:p w14:paraId="72E607C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14:paraId="5F398610">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14:paraId="1564C96F">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EA86EFF">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E22C291">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4B97E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C365B3E">
      <w:pPr>
        <w:spacing w:line="560" w:lineRule="exact"/>
        <w:ind w:firstLine="482" w:firstLineChars="200"/>
        <w:outlineLvl w:val="0"/>
        <w:rPr>
          <w:rFonts w:hint="eastAsia" w:ascii="宋体" w:hAnsi="宋体" w:cs="宋体"/>
          <w:b/>
          <w:sz w:val="24"/>
          <w:highlight w:val="none"/>
        </w:rPr>
      </w:pPr>
      <w:bookmarkStart w:id="445" w:name="_Toc26807"/>
      <w:bookmarkStart w:id="446" w:name="_Toc9497"/>
      <w:bookmarkStart w:id="447" w:name="_Toc30329"/>
      <w:bookmarkStart w:id="448" w:name="_Toc32454"/>
      <w:bookmarkStart w:id="449" w:name="_Toc18683"/>
      <w:r>
        <w:rPr>
          <w:rFonts w:hint="eastAsia" w:ascii="宋体" w:hAnsi="宋体" w:cs="宋体"/>
          <w:b/>
          <w:sz w:val="24"/>
          <w:highlight w:val="none"/>
        </w:rPr>
        <w:t>1.7 合同争议的解决</w:t>
      </w:r>
      <w:bookmarkEnd w:id="445"/>
      <w:bookmarkEnd w:id="446"/>
      <w:bookmarkEnd w:id="447"/>
      <w:bookmarkEnd w:id="448"/>
      <w:bookmarkEnd w:id="449"/>
    </w:p>
    <w:p w14:paraId="7F6EE83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14:paraId="0F4408F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14:paraId="53E7F7C7">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14:paraId="7749C335">
      <w:pPr>
        <w:spacing w:line="560" w:lineRule="exact"/>
        <w:ind w:firstLine="482" w:firstLineChars="200"/>
        <w:outlineLvl w:val="0"/>
        <w:rPr>
          <w:rFonts w:hint="eastAsia" w:ascii="宋体" w:hAnsi="宋体" w:cs="宋体"/>
          <w:b/>
          <w:sz w:val="24"/>
          <w:highlight w:val="none"/>
        </w:rPr>
      </w:pPr>
      <w:bookmarkStart w:id="450" w:name="_Toc23784"/>
      <w:bookmarkStart w:id="451" w:name="_Toc16417"/>
      <w:bookmarkStart w:id="452" w:name="_Toc15827"/>
      <w:bookmarkStart w:id="453" w:name="_Toc26227"/>
      <w:bookmarkStart w:id="454" w:name="_Toc12273"/>
      <w:r>
        <w:rPr>
          <w:rFonts w:hint="eastAsia" w:ascii="宋体" w:hAnsi="宋体" w:cs="宋体"/>
          <w:b/>
          <w:sz w:val="24"/>
          <w:highlight w:val="none"/>
        </w:rPr>
        <w:t>1.8 合同生效</w:t>
      </w:r>
      <w:bookmarkEnd w:id="450"/>
      <w:bookmarkEnd w:id="451"/>
      <w:bookmarkEnd w:id="452"/>
      <w:bookmarkEnd w:id="453"/>
      <w:bookmarkEnd w:id="454"/>
    </w:p>
    <w:p w14:paraId="7742DE75">
      <w:pPr>
        <w:spacing w:line="560" w:lineRule="exact"/>
        <w:ind w:firstLine="480" w:firstLineChars="200"/>
        <w:rPr>
          <w:rFonts w:hint="eastAsia" w:ascii="宋体" w:hAnsi="宋体" w:cs="宋体"/>
          <w:b/>
          <w:sz w:val="24"/>
          <w:highlight w:val="none"/>
        </w:rPr>
      </w:pPr>
      <w:r>
        <w:rPr>
          <w:rFonts w:hint="eastAsia" w:ascii="宋体" w:hAnsi="宋体" w:cs="宋体"/>
          <w:sz w:val="24"/>
          <w:highlight w:val="none"/>
        </w:rPr>
        <w:t>本合同自双方当事人盖章或者签字时生效。</w:t>
      </w:r>
    </w:p>
    <w:p w14:paraId="0FFEA8E5">
      <w:pPr>
        <w:autoSpaceDE w:val="0"/>
        <w:autoSpaceDN w:val="0"/>
        <w:adjustRightInd w:val="0"/>
        <w:spacing w:line="560" w:lineRule="exact"/>
        <w:rPr>
          <w:rFonts w:hint="eastAsia" w:ascii="宋体" w:hAnsi="宋体" w:cs="宋体"/>
          <w:sz w:val="24"/>
          <w:highlight w:val="none"/>
          <w:lang w:val="zh-CN"/>
        </w:rPr>
      </w:pPr>
    </w:p>
    <w:p w14:paraId="75D36B42">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14:paraId="61007B7C">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14:paraId="72F22172">
      <w:pPr>
        <w:autoSpaceDE w:val="0"/>
        <w:autoSpaceDN w:val="0"/>
        <w:adjustRightInd w:val="0"/>
        <w:spacing w:line="560" w:lineRule="exact"/>
        <w:rPr>
          <w:rFonts w:hint="eastAsia" w:ascii="宋体" w:hAnsi="宋体" w:cs="宋体"/>
          <w:sz w:val="24"/>
          <w:highlight w:val="none"/>
          <w:lang w:val="zh-CN"/>
        </w:rPr>
      </w:pPr>
    </w:p>
    <w:p w14:paraId="7AD35D9B">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住所：                                   住所：</w:t>
      </w:r>
    </w:p>
    <w:p w14:paraId="77DC719C">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法定代表人或                             法定代表人</w:t>
      </w:r>
    </w:p>
    <w:p w14:paraId="26BCF20B">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14:paraId="65979044">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联系人：                                 联系人：</w:t>
      </w:r>
    </w:p>
    <w:p w14:paraId="5CF9399A">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约定送达地址：                           约定送达地址：</w:t>
      </w:r>
    </w:p>
    <w:p w14:paraId="316D31AE">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邮政编码：                               邮政编码：</w:t>
      </w:r>
    </w:p>
    <w:p w14:paraId="1CBC661D">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 xml:space="preserve">电话:                                    电话: </w:t>
      </w:r>
    </w:p>
    <w:p w14:paraId="3C1BBF46">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传真:                                    传真:</w:t>
      </w:r>
    </w:p>
    <w:p w14:paraId="5669DB06">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lang w:val="zh-CN"/>
        </w:rPr>
        <w:t>电子邮箱：                               电子邮箱：</w:t>
      </w:r>
    </w:p>
    <w:p w14:paraId="193B2049">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开户银行：                               开户银行： </w:t>
      </w:r>
    </w:p>
    <w:p w14:paraId="68B4E43F">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开户名称：                               开户名称： </w:t>
      </w:r>
    </w:p>
    <w:p w14:paraId="15B8AF08">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14:paraId="50798CAB">
      <w:pPr>
        <w:widowControl/>
        <w:spacing w:line="560" w:lineRule="exact"/>
        <w:jc w:val="left"/>
        <w:rPr>
          <w:rFonts w:hint="eastAsia" w:ascii="宋体" w:hAnsi="宋体" w:cs="宋体"/>
          <w:b/>
          <w:highlight w:val="none"/>
        </w:rPr>
      </w:pPr>
      <w:bookmarkStart w:id="455" w:name="_Toc331685783"/>
    </w:p>
    <w:p w14:paraId="16198AB0">
      <w:pPr>
        <w:widowControl/>
        <w:spacing w:line="560" w:lineRule="exact"/>
        <w:jc w:val="left"/>
        <w:rPr>
          <w:rFonts w:hint="eastAsia" w:ascii="宋体" w:hAnsi="宋体" w:cs="宋体"/>
          <w:b/>
          <w:highlight w:val="none"/>
        </w:rPr>
      </w:pPr>
    </w:p>
    <w:p w14:paraId="29C61272">
      <w:pPr>
        <w:pStyle w:val="71"/>
        <w:spacing w:line="560" w:lineRule="exact"/>
        <w:ind w:firstLine="200"/>
        <w:jc w:val="center"/>
        <w:rPr>
          <w:rFonts w:hint="eastAsia" w:hAnsi="宋体" w:cs="宋体"/>
          <w:b/>
          <w:szCs w:val="24"/>
          <w:highlight w:val="none"/>
        </w:rPr>
      </w:pPr>
      <w:r>
        <w:rPr>
          <w:rFonts w:hint="eastAsia" w:hAnsi="宋体" w:cs="宋体"/>
          <w:b/>
          <w:szCs w:val="24"/>
          <w:highlight w:val="none"/>
        </w:rPr>
        <w:t>第二部分 合同一般条款</w:t>
      </w:r>
      <w:bookmarkEnd w:id="455"/>
    </w:p>
    <w:p w14:paraId="73C96D66">
      <w:pPr>
        <w:spacing w:line="560" w:lineRule="exact"/>
        <w:ind w:firstLine="482" w:firstLineChars="200"/>
        <w:outlineLvl w:val="0"/>
        <w:rPr>
          <w:rFonts w:hint="eastAsia" w:ascii="宋体" w:hAnsi="宋体" w:cs="宋体"/>
          <w:b/>
          <w:sz w:val="24"/>
          <w:highlight w:val="none"/>
        </w:rPr>
      </w:pPr>
      <w:bookmarkStart w:id="456" w:name="_Toc487900349"/>
      <w:bookmarkStart w:id="457" w:name="_Toc5228"/>
      <w:bookmarkStart w:id="458" w:name="_Toc25079"/>
      <w:bookmarkStart w:id="459" w:name="_Toc259093669"/>
      <w:bookmarkStart w:id="460" w:name="_Toc19680"/>
      <w:bookmarkStart w:id="461" w:name="_Ref467379094"/>
      <w:bookmarkStart w:id="462" w:name="_Ref467379101"/>
      <w:bookmarkStart w:id="463" w:name="_Ref467379195"/>
      <w:bookmarkStart w:id="464" w:name="_Ref467378404"/>
      <w:bookmarkStart w:id="465" w:name="_Toc31297"/>
      <w:bookmarkStart w:id="466" w:name="_Toc14021"/>
      <w:bookmarkStart w:id="467" w:name="_Ref467378499"/>
      <w:bookmarkStart w:id="468" w:name="_Ref467379109"/>
      <w:bookmarkStart w:id="469" w:name="_Ref467379205"/>
      <w:bookmarkStart w:id="470" w:name="_Toc279701240"/>
      <w:bookmarkStart w:id="471" w:name="_Ref467379225"/>
      <w:bookmarkStart w:id="472" w:name="_Ref467379214"/>
      <w:bookmarkStart w:id="473" w:name="_Ref467378463"/>
      <w:r>
        <w:rPr>
          <w:rFonts w:hint="eastAsia" w:ascii="宋体" w:hAnsi="宋体" w:cs="宋体"/>
          <w:b/>
          <w:sz w:val="24"/>
          <w:highlight w:val="none"/>
        </w:rPr>
        <w:t>2.1 定义</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BC9F14F">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本合同中的下列词语应按以下内容进行解释：</w:t>
      </w:r>
    </w:p>
    <w:p w14:paraId="6CDDF20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14:paraId="5AF4B585">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14:paraId="634F767B">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14:paraId="572574EE">
      <w:pPr>
        <w:spacing w:line="560" w:lineRule="exact"/>
        <w:ind w:firstLine="480" w:firstLineChars="200"/>
        <w:rPr>
          <w:rFonts w:hint="eastAsia" w:ascii="宋体" w:hAnsi="宋体" w:cs="宋体"/>
          <w:sz w:val="24"/>
          <w:highlight w:val="none"/>
        </w:rPr>
      </w:pPr>
      <w:bookmarkStart w:id="474" w:name="_Ref467378840"/>
      <w:r>
        <w:rPr>
          <w:rFonts w:hint="eastAsia" w:ascii="宋体" w:hAnsi="宋体" w:cs="宋体"/>
          <w:sz w:val="24"/>
          <w:highlight w:val="none"/>
        </w:rPr>
        <w:t>2.1.4 “甲方”系指与中标供应商签署合同的采购人</w:t>
      </w:r>
      <w:bookmarkEnd w:id="474"/>
      <w:r>
        <w:rPr>
          <w:rFonts w:hint="eastAsia" w:ascii="宋体" w:hAnsi="宋体" w:cs="宋体"/>
          <w:sz w:val="24"/>
          <w:highlight w:val="none"/>
        </w:rPr>
        <w:t>；采购人委托采购代理机构代表其与乙方签订合同的，采购人的授权委托书作为合同附件。</w:t>
      </w:r>
    </w:p>
    <w:p w14:paraId="5164A908">
      <w:pPr>
        <w:spacing w:line="560" w:lineRule="exact"/>
        <w:ind w:firstLine="480" w:firstLineChars="200"/>
        <w:rPr>
          <w:rFonts w:hint="eastAsia" w:ascii="宋体" w:hAnsi="宋体" w:cs="宋体"/>
          <w:sz w:val="24"/>
          <w:highlight w:val="none"/>
        </w:rPr>
      </w:pPr>
      <w:bookmarkStart w:id="475" w:name="_Ref467379400"/>
      <w:r>
        <w:rPr>
          <w:rFonts w:hint="eastAsia" w:ascii="宋体" w:hAnsi="宋体" w:cs="宋体"/>
          <w:sz w:val="24"/>
          <w:highlight w:val="none"/>
        </w:rPr>
        <w:t>2.1.5 “乙方”系指根据合同约定提供服务的中标供应商</w:t>
      </w:r>
      <w:bookmarkEnd w:id="47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9AE1EE">
      <w:pPr>
        <w:spacing w:line="560" w:lineRule="exact"/>
        <w:ind w:firstLine="480" w:firstLineChars="200"/>
        <w:rPr>
          <w:rFonts w:hint="eastAsia" w:ascii="宋体" w:hAnsi="宋体" w:cs="宋体"/>
          <w:sz w:val="24"/>
          <w:highlight w:val="none"/>
        </w:rPr>
      </w:pPr>
      <w:bookmarkStart w:id="476" w:name="_Ref467379436"/>
      <w:r>
        <w:rPr>
          <w:rFonts w:hint="eastAsia" w:ascii="宋体" w:hAnsi="宋体" w:cs="宋体"/>
          <w:sz w:val="24"/>
          <w:highlight w:val="none"/>
        </w:rPr>
        <w:t>2.1.6 “现场”系指合同约定提供服务的地点。</w:t>
      </w:r>
      <w:bookmarkEnd w:id="476"/>
    </w:p>
    <w:p w14:paraId="29EF327A">
      <w:pPr>
        <w:spacing w:line="560" w:lineRule="exact"/>
        <w:ind w:firstLine="482" w:firstLineChars="200"/>
        <w:outlineLvl w:val="0"/>
        <w:rPr>
          <w:rFonts w:hint="eastAsia" w:ascii="宋体" w:hAnsi="宋体" w:cs="宋体"/>
          <w:b/>
          <w:sz w:val="24"/>
          <w:highlight w:val="none"/>
        </w:rPr>
      </w:pPr>
      <w:bookmarkStart w:id="477" w:name="_Toc279701241"/>
      <w:bookmarkStart w:id="478" w:name="_Toc31402"/>
      <w:bookmarkStart w:id="479" w:name="_Toc19539"/>
      <w:bookmarkStart w:id="480" w:name="_Toc16752"/>
      <w:bookmarkStart w:id="481" w:name="_Toc487900350"/>
      <w:bookmarkStart w:id="482" w:name="_Toc23289"/>
      <w:bookmarkStart w:id="483" w:name="_Toc3769"/>
      <w:bookmarkStart w:id="484" w:name="_Toc259093670"/>
      <w:r>
        <w:rPr>
          <w:rFonts w:hint="eastAsia" w:ascii="宋体" w:hAnsi="宋体" w:cs="宋体"/>
          <w:b/>
          <w:sz w:val="24"/>
          <w:highlight w:val="none"/>
        </w:rPr>
        <w:t>2.2 技术规范</w:t>
      </w:r>
      <w:bookmarkEnd w:id="477"/>
      <w:bookmarkEnd w:id="478"/>
      <w:bookmarkEnd w:id="479"/>
      <w:bookmarkEnd w:id="480"/>
      <w:bookmarkEnd w:id="481"/>
      <w:bookmarkEnd w:id="482"/>
      <w:bookmarkEnd w:id="483"/>
      <w:bookmarkEnd w:id="484"/>
    </w:p>
    <w:p w14:paraId="24E7EDE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8699BA9">
      <w:pPr>
        <w:spacing w:line="560" w:lineRule="exact"/>
        <w:ind w:firstLine="482" w:firstLineChars="200"/>
        <w:outlineLvl w:val="0"/>
        <w:rPr>
          <w:rFonts w:hint="eastAsia" w:ascii="宋体" w:hAnsi="宋体" w:cs="宋体"/>
          <w:b/>
          <w:sz w:val="24"/>
          <w:highlight w:val="none"/>
        </w:rPr>
      </w:pPr>
      <w:bookmarkStart w:id="485" w:name="_Toc279701242"/>
      <w:bookmarkStart w:id="486" w:name="_Toc4133"/>
      <w:bookmarkStart w:id="487" w:name="_Toc13673"/>
      <w:bookmarkStart w:id="488" w:name="_Toc27945"/>
      <w:bookmarkStart w:id="489" w:name="_Toc9161"/>
      <w:bookmarkStart w:id="490" w:name="_Toc259093671"/>
      <w:bookmarkStart w:id="491" w:name="_Toc487900351"/>
      <w:bookmarkStart w:id="492" w:name="_Toc12412"/>
      <w:r>
        <w:rPr>
          <w:rFonts w:hint="eastAsia" w:ascii="宋体" w:hAnsi="宋体" w:cs="宋体"/>
          <w:b/>
          <w:sz w:val="24"/>
          <w:highlight w:val="none"/>
        </w:rPr>
        <w:t>2.3 知识产权</w:t>
      </w:r>
      <w:bookmarkEnd w:id="485"/>
      <w:bookmarkEnd w:id="486"/>
      <w:bookmarkEnd w:id="487"/>
      <w:bookmarkEnd w:id="488"/>
      <w:bookmarkEnd w:id="489"/>
      <w:bookmarkEnd w:id="490"/>
      <w:bookmarkEnd w:id="491"/>
      <w:bookmarkEnd w:id="492"/>
    </w:p>
    <w:p w14:paraId="00F9BD4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2D03311">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17875948">
      <w:pPr>
        <w:spacing w:line="560" w:lineRule="exact"/>
        <w:ind w:firstLine="482" w:firstLineChars="200"/>
        <w:rPr>
          <w:rFonts w:hint="eastAsia" w:ascii="宋体" w:hAnsi="宋体" w:cs="宋体"/>
          <w:b/>
          <w:sz w:val="24"/>
          <w:highlight w:val="none"/>
        </w:rPr>
      </w:pPr>
      <w:r>
        <w:rPr>
          <w:rFonts w:hint="eastAsia" w:ascii="宋体" w:hAnsi="宋体" w:cs="宋体"/>
          <w:b/>
          <w:sz w:val="24"/>
          <w:highlight w:val="none"/>
        </w:rPr>
        <w:t>2.4 履约检查和问题反馈</w:t>
      </w:r>
    </w:p>
    <w:p w14:paraId="389F70CD">
      <w:pPr>
        <w:spacing w:line="560" w:lineRule="exact"/>
        <w:ind w:firstLine="480" w:firstLineChars="200"/>
        <w:rPr>
          <w:rFonts w:hint="eastAsia" w:ascii="宋体" w:hAnsi="宋体" w:cs="宋体"/>
          <w:sz w:val="24"/>
          <w:highlight w:val="none"/>
        </w:rPr>
      </w:pPr>
      <w:bookmarkStart w:id="493" w:name="_Ref467379657"/>
      <w:r>
        <w:rPr>
          <w:rFonts w:hint="eastAsia" w:ascii="宋体" w:hAnsi="宋体" w:cs="宋体"/>
          <w:sz w:val="24"/>
          <w:highlight w:val="none"/>
        </w:rPr>
        <w:t>2.4.1</w:t>
      </w:r>
      <w:bookmarkEnd w:id="493"/>
      <w:bookmarkStart w:id="494" w:name="_Toc186431854"/>
      <w:bookmarkStart w:id="495" w:name="_Toc487900357"/>
      <w:bookmarkStart w:id="496" w:name="_Toc259093676"/>
      <w:bookmarkStart w:id="497" w:name="_Toc279701247"/>
      <w:bookmarkStart w:id="498" w:name="_Ref467379807"/>
      <w:bookmarkStart w:id="499" w:name="_Ref467379793"/>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54A1DD5">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494"/>
      <w:bookmarkStart w:id="500" w:name="_Toc186431855"/>
      <w:r>
        <w:rPr>
          <w:rFonts w:hint="eastAsia" w:ascii="宋体" w:hAnsi="宋体" w:cs="宋体"/>
          <w:sz w:val="24"/>
          <w:highlight w:val="none"/>
        </w:rPr>
        <w:t>。</w:t>
      </w:r>
    </w:p>
    <w:bookmarkEnd w:id="500"/>
    <w:p w14:paraId="6DA6203D">
      <w:pPr>
        <w:spacing w:line="560" w:lineRule="exact"/>
        <w:ind w:firstLine="482" w:firstLineChars="200"/>
        <w:outlineLvl w:val="0"/>
        <w:rPr>
          <w:rFonts w:hint="eastAsia" w:ascii="宋体" w:hAnsi="宋体" w:cs="宋体"/>
          <w:b/>
          <w:sz w:val="24"/>
          <w:highlight w:val="none"/>
        </w:rPr>
      </w:pPr>
      <w:bookmarkStart w:id="501" w:name="_Toc32670"/>
      <w:bookmarkStart w:id="502" w:name="_Toc15447"/>
      <w:bookmarkStart w:id="503" w:name="_Toc26555"/>
      <w:bookmarkStart w:id="504" w:name="_Toc22011"/>
      <w:bookmarkStart w:id="505" w:name="_Toc31233"/>
      <w:r>
        <w:rPr>
          <w:rFonts w:hint="eastAsia" w:ascii="宋体" w:hAnsi="宋体" w:cs="宋体"/>
          <w:b/>
          <w:sz w:val="24"/>
          <w:highlight w:val="none"/>
        </w:rPr>
        <w:t>2.5 结算方式和付款条件</w:t>
      </w:r>
      <w:bookmarkEnd w:id="495"/>
      <w:bookmarkEnd w:id="496"/>
      <w:bookmarkEnd w:id="497"/>
      <w:bookmarkEnd w:id="498"/>
      <w:bookmarkEnd w:id="499"/>
      <w:bookmarkEnd w:id="501"/>
      <w:bookmarkEnd w:id="502"/>
      <w:bookmarkEnd w:id="503"/>
      <w:bookmarkEnd w:id="504"/>
      <w:bookmarkEnd w:id="505"/>
    </w:p>
    <w:p w14:paraId="7FA0A1F3">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11C8178E">
      <w:pPr>
        <w:spacing w:line="560" w:lineRule="exact"/>
        <w:ind w:firstLine="482" w:firstLineChars="200"/>
        <w:outlineLvl w:val="0"/>
        <w:rPr>
          <w:rFonts w:hint="eastAsia" w:ascii="宋体" w:hAnsi="宋体" w:cs="宋体"/>
          <w:b/>
          <w:sz w:val="24"/>
          <w:highlight w:val="none"/>
        </w:rPr>
      </w:pPr>
      <w:bookmarkStart w:id="506" w:name="_Ref467379852"/>
      <w:bookmarkStart w:id="507" w:name="_Toc259093677"/>
      <w:bookmarkStart w:id="508" w:name="_Ref467379923"/>
      <w:bookmarkStart w:id="509" w:name="_Toc487900358"/>
      <w:bookmarkStart w:id="510" w:name="_Ref467379863"/>
      <w:bookmarkStart w:id="511" w:name="_Toc279701248"/>
      <w:bookmarkStart w:id="512" w:name="_Toc18990"/>
      <w:bookmarkStart w:id="513" w:name="_Toc30507"/>
      <w:bookmarkStart w:id="514" w:name="_Toc13154"/>
      <w:bookmarkStart w:id="515" w:name="_Toc13467"/>
      <w:bookmarkStart w:id="516" w:name="_Toc16163"/>
      <w:r>
        <w:rPr>
          <w:rFonts w:hint="eastAsia" w:ascii="宋体" w:hAnsi="宋体" w:cs="宋体"/>
          <w:b/>
          <w:sz w:val="24"/>
          <w:highlight w:val="none"/>
        </w:rPr>
        <w:t>2.6 技术资料</w:t>
      </w:r>
      <w:bookmarkEnd w:id="506"/>
      <w:bookmarkEnd w:id="507"/>
      <w:bookmarkEnd w:id="508"/>
      <w:bookmarkEnd w:id="509"/>
      <w:bookmarkEnd w:id="510"/>
      <w:bookmarkEnd w:id="511"/>
      <w:r>
        <w:rPr>
          <w:rFonts w:hint="eastAsia" w:ascii="宋体" w:hAnsi="宋体" w:cs="宋体"/>
          <w:b/>
          <w:sz w:val="24"/>
          <w:highlight w:val="none"/>
        </w:rPr>
        <w:t>和保密义务</w:t>
      </w:r>
      <w:bookmarkEnd w:id="512"/>
      <w:bookmarkEnd w:id="513"/>
      <w:bookmarkEnd w:id="514"/>
      <w:bookmarkEnd w:id="515"/>
      <w:bookmarkEnd w:id="516"/>
    </w:p>
    <w:p w14:paraId="63DEC2A7">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14:paraId="077A1C8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2.6.2 乙方有义务妥善保管和保护由甲方提供的前款信息和资料等；</w:t>
      </w:r>
    </w:p>
    <w:p w14:paraId="111DF7E5">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0E0CAC1">
      <w:pPr>
        <w:spacing w:line="560" w:lineRule="exact"/>
        <w:ind w:firstLine="482" w:firstLineChars="200"/>
        <w:outlineLvl w:val="0"/>
        <w:rPr>
          <w:rFonts w:hint="eastAsia" w:ascii="宋体" w:hAnsi="宋体" w:cs="宋体"/>
          <w:b/>
          <w:sz w:val="24"/>
          <w:highlight w:val="none"/>
        </w:rPr>
      </w:pPr>
      <w:bookmarkStart w:id="517" w:name="_Toc19069"/>
      <w:bookmarkStart w:id="518" w:name="_Toc279701252"/>
      <w:bookmarkStart w:id="519" w:name="_Toc259093681"/>
      <w:bookmarkStart w:id="520" w:name="_Toc487900362"/>
      <w:r>
        <w:rPr>
          <w:rFonts w:hint="eastAsia" w:ascii="宋体" w:hAnsi="宋体" w:cs="宋体"/>
          <w:b/>
          <w:sz w:val="24"/>
          <w:highlight w:val="none"/>
        </w:rPr>
        <w:t>2.7 质量保证</w:t>
      </w:r>
      <w:bookmarkEnd w:id="517"/>
    </w:p>
    <w:p w14:paraId="5E45E530">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14:paraId="5A19666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14:paraId="4B053BB0">
      <w:pPr>
        <w:spacing w:line="560" w:lineRule="exact"/>
        <w:ind w:firstLine="482" w:firstLineChars="200"/>
        <w:outlineLvl w:val="0"/>
        <w:rPr>
          <w:rFonts w:hint="eastAsia" w:ascii="宋体" w:hAnsi="宋体" w:cs="宋体"/>
          <w:b/>
          <w:sz w:val="24"/>
          <w:highlight w:val="none"/>
        </w:rPr>
      </w:pPr>
      <w:bookmarkStart w:id="521" w:name="_Toc22267"/>
      <w:r>
        <w:rPr>
          <w:rFonts w:hint="eastAsia" w:ascii="宋体" w:hAnsi="宋体" w:cs="宋体"/>
          <w:b/>
          <w:sz w:val="24"/>
          <w:highlight w:val="none"/>
        </w:rPr>
        <w:t>2.8 延迟</w:t>
      </w:r>
      <w:bookmarkEnd w:id="518"/>
      <w:bookmarkEnd w:id="519"/>
      <w:bookmarkEnd w:id="520"/>
      <w:r>
        <w:rPr>
          <w:rFonts w:hint="eastAsia" w:ascii="宋体" w:hAnsi="宋体" w:cs="宋体"/>
          <w:b/>
          <w:sz w:val="24"/>
          <w:highlight w:val="none"/>
        </w:rPr>
        <w:t>履行</w:t>
      </w:r>
      <w:bookmarkEnd w:id="521"/>
    </w:p>
    <w:p w14:paraId="0A19AF4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542F810">
      <w:pPr>
        <w:spacing w:line="560" w:lineRule="exact"/>
        <w:ind w:firstLine="482" w:firstLineChars="200"/>
        <w:outlineLvl w:val="0"/>
        <w:rPr>
          <w:rFonts w:hint="eastAsia" w:ascii="宋体" w:hAnsi="宋体" w:cs="宋体"/>
          <w:b/>
          <w:sz w:val="24"/>
          <w:highlight w:val="none"/>
        </w:rPr>
      </w:pPr>
      <w:bookmarkStart w:id="522" w:name="_Toc10611"/>
      <w:bookmarkStart w:id="523" w:name="_Ref467378121"/>
      <w:bookmarkStart w:id="524" w:name="_Toc259093683"/>
      <w:bookmarkStart w:id="525" w:name="_Toc487900364"/>
      <w:bookmarkStart w:id="526" w:name="_Toc279701254"/>
      <w:r>
        <w:rPr>
          <w:rFonts w:hint="eastAsia" w:ascii="宋体" w:hAnsi="宋体" w:cs="宋体"/>
          <w:b/>
          <w:sz w:val="24"/>
          <w:highlight w:val="none"/>
        </w:rPr>
        <w:t>2.9 合同变更</w:t>
      </w:r>
      <w:bookmarkEnd w:id="522"/>
    </w:p>
    <w:p w14:paraId="70AD70D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614CB6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527" w:name="_Toc279701259"/>
      <w:bookmarkStart w:id="528" w:name="_Toc487900369"/>
      <w:bookmarkStart w:id="529" w:name="_Toc259093688"/>
    </w:p>
    <w:p w14:paraId="16F9FE79">
      <w:pPr>
        <w:spacing w:line="560" w:lineRule="exact"/>
        <w:ind w:firstLine="482" w:firstLineChars="200"/>
        <w:outlineLvl w:val="0"/>
        <w:rPr>
          <w:rFonts w:hint="eastAsia" w:ascii="宋体" w:hAnsi="宋体" w:cs="宋体"/>
          <w:b/>
          <w:sz w:val="24"/>
          <w:highlight w:val="none"/>
        </w:rPr>
      </w:pPr>
      <w:bookmarkStart w:id="530" w:name="_Toc10663"/>
      <w:bookmarkStart w:id="531" w:name="_Toc26689"/>
      <w:bookmarkStart w:id="532" w:name="_Toc23368"/>
      <w:bookmarkStart w:id="533" w:name="_Toc21830"/>
      <w:bookmarkStart w:id="534" w:name="_Toc42"/>
      <w:r>
        <w:rPr>
          <w:rFonts w:hint="eastAsia" w:ascii="宋体" w:hAnsi="宋体" w:cs="宋体"/>
          <w:b/>
          <w:sz w:val="24"/>
          <w:highlight w:val="none"/>
        </w:rPr>
        <w:t>2.10 合同转让</w:t>
      </w:r>
      <w:bookmarkEnd w:id="527"/>
      <w:bookmarkEnd w:id="528"/>
      <w:bookmarkEnd w:id="529"/>
      <w:r>
        <w:rPr>
          <w:rFonts w:hint="eastAsia" w:ascii="宋体" w:hAnsi="宋体" w:cs="宋体"/>
          <w:b/>
          <w:sz w:val="24"/>
          <w:highlight w:val="none"/>
        </w:rPr>
        <w:t>和分包</w:t>
      </w:r>
      <w:bookmarkEnd w:id="530"/>
      <w:bookmarkEnd w:id="531"/>
      <w:bookmarkEnd w:id="532"/>
      <w:bookmarkEnd w:id="533"/>
      <w:bookmarkEnd w:id="534"/>
    </w:p>
    <w:p w14:paraId="2B584A6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FCBADFF">
      <w:pPr>
        <w:spacing w:line="560" w:lineRule="exact"/>
        <w:ind w:firstLine="482" w:firstLineChars="200"/>
        <w:outlineLvl w:val="0"/>
        <w:rPr>
          <w:rFonts w:hint="eastAsia" w:ascii="宋体" w:hAnsi="宋体" w:cs="宋体"/>
          <w:b/>
          <w:sz w:val="24"/>
          <w:highlight w:val="none"/>
        </w:rPr>
      </w:pPr>
      <w:bookmarkStart w:id="535" w:name="_Toc25571"/>
      <w:bookmarkStart w:id="536" w:name="_Toc4720"/>
      <w:bookmarkStart w:id="537" w:name="_Toc26633"/>
      <w:bookmarkStart w:id="538" w:name="_Toc32494"/>
      <w:bookmarkStart w:id="539" w:name="_Toc14371"/>
      <w:r>
        <w:rPr>
          <w:rFonts w:hint="eastAsia" w:ascii="宋体" w:hAnsi="宋体" w:cs="宋体"/>
          <w:b/>
          <w:sz w:val="24"/>
          <w:highlight w:val="none"/>
        </w:rPr>
        <w:t>2.11 不可抗力</w:t>
      </w:r>
      <w:bookmarkEnd w:id="535"/>
      <w:bookmarkEnd w:id="536"/>
      <w:bookmarkEnd w:id="537"/>
      <w:bookmarkEnd w:id="538"/>
      <w:bookmarkEnd w:id="539"/>
    </w:p>
    <w:p w14:paraId="2F647106">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14:paraId="4D509F19">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2.11.2 因不可抗力致使不能实现合同目的的，当事人可以解除合同；</w:t>
      </w:r>
    </w:p>
    <w:p w14:paraId="13B3C28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14:paraId="5B4DFDD5">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14:paraId="438611F9">
      <w:pPr>
        <w:spacing w:line="560" w:lineRule="exact"/>
        <w:ind w:firstLine="482" w:firstLineChars="200"/>
        <w:outlineLvl w:val="0"/>
        <w:rPr>
          <w:rFonts w:hint="eastAsia" w:ascii="宋体" w:hAnsi="宋体" w:cs="宋体"/>
          <w:b/>
          <w:sz w:val="24"/>
          <w:highlight w:val="none"/>
        </w:rPr>
      </w:pPr>
      <w:bookmarkStart w:id="540" w:name="_Toc23854"/>
      <w:bookmarkStart w:id="541" w:name="_Toc24465"/>
      <w:bookmarkStart w:id="542" w:name="_Toc3638"/>
      <w:bookmarkStart w:id="543" w:name="_Toc259093684"/>
      <w:bookmarkStart w:id="544" w:name="_Toc25783"/>
      <w:bookmarkStart w:id="545" w:name="_Toc487900365"/>
      <w:bookmarkStart w:id="546" w:name="_Toc14115"/>
      <w:bookmarkStart w:id="547" w:name="_Toc279701255"/>
      <w:r>
        <w:rPr>
          <w:rFonts w:hint="eastAsia" w:ascii="宋体" w:hAnsi="宋体" w:cs="宋体"/>
          <w:b/>
          <w:sz w:val="24"/>
          <w:highlight w:val="none"/>
        </w:rPr>
        <w:t>2.12 税费</w:t>
      </w:r>
      <w:bookmarkEnd w:id="540"/>
      <w:bookmarkEnd w:id="541"/>
      <w:bookmarkEnd w:id="542"/>
      <w:bookmarkEnd w:id="543"/>
      <w:bookmarkEnd w:id="544"/>
      <w:bookmarkEnd w:id="545"/>
      <w:bookmarkEnd w:id="546"/>
      <w:bookmarkEnd w:id="547"/>
    </w:p>
    <w:p w14:paraId="7353E08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14:paraId="5A80C4DA">
      <w:pPr>
        <w:spacing w:line="560" w:lineRule="exact"/>
        <w:ind w:firstLine="482" w:firstLineChars="200"/>
        <w:outlineLvl w:val="0"/>
        <w:rPr>
          <w:rFonts w:hint="eastAsia" w:ascii="宋体" w:hAnsi="宋体" w:cs="宋体"/>
          <w:b/>
          <w:sz w:val="24"/>
          <w:highlight w:val="none"/>
        </w:rPr>
      </w:pPr>
      <w:bookmarkStart w:id="548" w:name="_Toc25525"/>
      <w:bookmarkStart w:id="549" w:name="_Toc26883"/>
      <w:bookmarkStart w:id="550" w:name="_Toc279701258"/>
      <w:bookmarkStart w:id="551" w:name="_Toc7315"/>
      <w:bookmarkStart w:id="552" w:name="_Toc14814"/>
      <w:bookmarkStart w:id="553" w:name="_Toc30105"/>
      <w:bookmarkStart w:id="554" w:name="_Toc487900368"/>
      <w:bookmarkStart w:id="555" w:name="_Toc259093687"/>
      <w:r>
        <w:rPr>
          <w:rFonts w:hint="eastAsia" w:ascii="宋体" w:hAnsi="宋体" w:cs="宋体"/>
          <w:b/>
          <w:sz w:val="24"/>
          <w:highlight w:val="none"/>
        </w:rPr>
        <w:t>2.13 乙方破产</w:t>
      </w:r>
      <w:bookmarkEnd w:id="548"/>
      <w:bookmarkEnd w:id="549"/>
      <w:bookmarkEnd w:id="550"/>
      <w:bookmarkEnd w:id="551"/>
      <w:bookmarkEnd w:id="552"/>
      <w:bookmarkEnd w:id="553"/>
      <w:bookmarkEnd w:id="554"/>
      <w:bookmarkEnd w:id="555"/>
    </w:p>
    <w:p w14:paraId="46C3F09B">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961483">
      <w:pPr>
        <w:spacing w:line="560" w:lineRule="exact"/>
        <w:ind w:firstLine="482" w:firstLineChars="200"/>
        <w:outlineLvl w:val="0"/>
        <w:rPr>
          <w:rFonts w:hint="eastAsia" w:ascii="宋体" w:hAnsi="宋体" w:cs="宋体"/>
          <w:b/>
          <w:sz w:val="24"/>
          <w:highlight w:val="none"/>
        </w:rPr>
      </w:pPr>
      <w:bookmarkStart w:id="556" w:name="_Toc2016"/>
      <w:bookmarkStart w:id="557" w:name="_Toc23323"/>
      <w:bookmarkStart w:id="558" w:name="_Toc1123"/>
      <w:r>
        <w:rPr>
          <w:rFonts w:hint="eastAsia" w:ascii="宋体" w:hAnsi="宋体" w:cs="宋体"/>
          <w:b/>
          <w:sz w:val="24"/>
          <w:highlight w:val="none"/>
        </w:rPr>
        <w:t>2.14 合同中止、终止</w:t>
      </w:r>
      <w:bookmarkEnd w:id="556"/>
      <w:bookmarkEnd w:id="557"/>
      <w:bookmarkEnd w:id="558"/>
    </w:p>
    <w:p w14:paraId="75DAF333">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2.14.1 双方当事人不得擅自中止或者终止合同；</w:t>
      </w:r>
    </w:p>
    <w:p w14:paraId="386938F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427A2ACC">
      <w:pPr>
        <w:spacing w:line="560" w:lineRule="exact"/>
        <w:ind w:firstLine="482" w:firstLineChars="200"/>
        <w:outlineLvl w:val="0"/>
        <w:rPr>
          <w:rFonts w:hint="eastAsia" w:ascii="宋体" w:hAnsi="宋体" w:cs="宋体"/>
          <w:b/>
          <w:sz w:val="24"/>
          <w:highlight w:val="none"/>
        </w:rPr>
      </w:pPr>
      <w:bookmarkStart w:id="559" w:name="_Toc14525"/>
      <w:bookmarkStart w:id="560" w:name="_Toc17363"/>
      <w:bookmarkStart w:id="561" w:name="_Toc1969"/>
      <w:r>
        <w:rPr>
          <w:rFonts w:hint="eastAsia" w:ascii="宋体" w:hAnsi="宋体" w:cs="宋体"/>
          <w:b/>
          <w:sz w:val="24"/>
          <w:highlight w:val="none"/>
        </w:rPr>
        <w:t>2.15 检验和验收</w:t>
      </w:r>
      <w:bookmarkEnd w:id="559"/>
      <w:bookmarkEnd w:id="560"/>
      <w:bookmarkEnd w:id="561"/>
    </w:p>
    <w:p w14:paraId="75939CE8">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14:paraId="3116BC8A">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6997C6D">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523"/>
    <w:bookmarkEnd w:id="524"/>
    <w:bookmarkEnd w:id="525"/>
    <w:bookmarkEnd w:id="526"/>
    <w:p w14:paraId="1F3FDFE1">
      <w:pPr>
        <w:spacing w:line="560" w:lineRule="exact"/>
        <w:ind w:firstLine="482" w:firstLineChars="200"/>
        <w:outlineLvl w:val="0"/>
        <w:rPr>
          <w:rFonts w:hint="eastAsia" w:ascii="宋体" w:hAnsi="宋体" w:cs="宋体"/>
          <w:b/>
          <w:sz w:val="24"/>
          <w:highlight w:val="none"/>
        </w:rPr>
      </w:pPr>
      <w:bookmarkStart w:id="562" w:name="_Toc279701261"/>
      <w:bookmarkStart w:id="563" w:name="_Toc259093690"/>
      <w:bookmarkStart w:id="564" w:name="_Toc487900371"/>
      <w:bookmarkStart w:id="565" w:name="_Toc31892"/>
      <w:bookmarkStart w:id="566" w:name="_Toc25198"/>
      <w:bookmarkStart w:id="567" w:name="_Toc9808"/>
      <w:bookmarkStart w:id="568" w:name="_Toc2308"/>
      <w:bookmarkStart w:id="569" w:name="_Toc12666"/>
      <w:r>
        <w:rPr>
          <w:rFonts w:hint="eastAsia" w:ascii="宋体" w:hAnsi="宋体" w:cs="宋体"/>
          <w:b/>
          <w:sz w:val="24"/>
          <w:highlight w:val="none"/>
        </w:rPr>
        <w:t>2.16 通知</w:t>
      </w:r>
      <w:bookmarkEnd w:id="562"/>
      <w:bookmarkEnd w:id="563"/>
      <w:bookmarkEnd w:id="564"/>
      <w:r>
        <w:rPr>
          <w:rFonts w:hint="eastAsia" w:ascii="宋体" w:hAnsi="宋体" w:cs="宋体"/>
          <w:b/>
          <w:sz w:val="24"/>
          <w:highlight w:val="none"/>
        </w:rPr>
        <w:t>和送达</w:t>
      </w:r>
      <w:bookmarkEnd w:id="565"/>
      <w:bookmarkEnd w:id="566"/>
      <w:bookmarkEnd w:id="567"/>
      <w:bookmarkEnd w:id="568"/>
      <w:bookmarkEnd w:id="569"/>
    </w:p>
    <w:p w14:paraId="0B79BEB3">
      <w:pPr>
        <w:spacing w:line="560" w:lineRule="exact"/>
        <w:ind w:firstLine="480" w:firstLineChars="200"/>
        <w:rPr>
          <w:rFonts w:hint="eastAsia" w:ascii="宋体" w:hAnsi="宋体" w:cs="宋体"/>
          <w:sz w:val="24"/>
          <w:highlight w:val="none"/>
        </w:rPr>
      </w:pPr>
      <w:bookmarkStart w:id="570" w:name="_Toc29220"/>
      <w:bookmarkStart w:id="571" w:name="_Toc7073"/>
      <w:bookmarkStart w:id="572" w:name="_Toc279701262"/>
      <w:bookmarkStart w:id="573" w:name="_Toc487900372"/>
      <w:bookmarkStart w:id="574" w:name="_Toc259093691"/>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570"/>
      <w:bookmarkEnd w:id="571"/>
    </w:p>
    <w:p w14:paraId="38C98E48">
      <w:pPr>
        <w:spacing w:line="560" w:lineRule="exact"/>
        <w:ind w:firstLine="480" w:firstLineChars="200"/>
        <w:rPr>
          <w:rFonts w:hint="eastAsia" w:ascii="宋体" w:hAnsi="宋体" w:cs="宋体"/>
          <w:sz w:val="24"/>
          <w:highlight w:val="none"/>
        </w:rPr>
      </w:pPr>
      <w:bookmarkStart w:id="575" w:name="_Toc18401"/>
      <w:bookmarkStart w:id="576"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75"/>
      <w:bookmarkEnd w:id="576"/>
    </w:p>
    <w:bookmarkEnd w:id="572"/>
    <w:bookmarkEnd w:id="573"/>
    <w:bookmarkEnd w:id="574"/>
    <w:p w14:paraId="0416A430">
      <w:pPr>
        <w:spacing w:line="560" w:lineRule="exact"/>
        <w:ind w:firstLine="482" w:firstLineChars="200"/>
        <w:outlineLvl w:val="0"/>
        <w:rPr>
          <w:rFonts w:hint="eastAsia" w:ascii="宋体" w:hAnsi="宋体" w:cs="宋体"/>
          <w:b/>
          <w:sz w:val="24"/>
          <w:highlight w:val="none"/>
        </w:rPr>
      </w:pPr>
      <w:bookmarkStart w:id="577" w:name="_Toc12254"/>
      <w:bookmarkStart w:id="578" w:name="_Toc28906"/>
      <w:bookmarkStart w:id="579" w:name="_Toc27644"/>
      <w:bookmarkStart w:id="580" w:name="_Toc5063"/>
      <w:bookmarkStart w:id="581" w:name="_Toc20808"/>
      <w:bookmarkStart w:id="582" w:name="_Toc487900373"/>
      <w:bookmarkStart w:id="583" w:name="_Toc279701263"/>
      <w:bookmarkStart w:id="584" w:name="_Toc259093692"/>
      <w:r>
        <w:rPr>
          <w:rFonts w:hint="eastAsia" w:ascii="宋体" w:hAnsi="宋体" w:cs="宋体"/>
          <w:b/>
          <w:sz w:val="24"/>
          <w:highlight w:val="none"/>
        </w:rPr>
        <w:t>2.17 合同使用的文字和适用的法律</w:t>
      </w:r>
      <w:bookmarkEnd w:id="577"/>
      <w:bookmarkEnd w:id="578"/>
      <w:bookmarkEnd w:id="579"/>
      <w:bookmarkEnd w:id="580"/>
      <w:bookmarkEnd w:id="581"/>
      <w:bookmarkEnd w:id="582"/>
      <w:bookmarkEnd w:id="583"/>
      <w:bookmarkEnd w:id="584"/>
    </w:p>
    <w:p w14:paraId="7F5E327A">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2.17.1 合同使用</w:t>
      </w:r>
      <w:r>
        <w:rPr>
          <w:rFonts w:hint="eastAsia" w:ascii="宋体" w:hAnsi="宋体" w:cs="宋体"/>
          <w:sz w:val="24"/>
          <w:highlight w:val="none"/>
          <w:lang w:val="en-US" w:eastAsia="zh-CN"/>
        </w:rPr>
        <w:t>中文</w:t>
      </w:r>
      <w:r>
        <w:rPr>
          <w:rFonts w:hint="eastAsia" w:ascii="宋体" w:hAnsi="宋体" w:cs="宋体"/>
          <w:sz w:val="24"/>
          <w:highlight w:val="none"/>
        </w:rPr>
        <w:t>就、变更和解释；</w:t>
      </w:r>
    </w:p>
    <w:p w14:paraId="16328E21">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2.17.2 合同适用中华人民共和国法律。</w:t>
      </w:r>
    </w:p>
    <w:p w14:paraId="31C71D83">
      <w:pPr>
        <w:spacing w:line="560" w:lineRule="exact"/>
        <w:ind w:firstLine="482" w:firstLineChars="200"/>
        <w:outlineLvl w:val="0"/>
        <w:rPr>
          <w:rFonts w:hint="eastAsia" w:ascii="宋体" w:hAnsi="宋体" w:cs="宋体"/>
          <w:b/>
          <w:sz w:val="24"/>
          <w:highlight w:val="none"/>
        </w:rPr>
      </w:pPr>
      <w:bookmarkStart w:id="585" w:name="_Toc1492"/>
      <w:bookmarkStart w:id="586" w:name="_Toc27127"/>
      <w:bookmarkStart w:id="587" w:name="_Toc279701264"/>
      <w:bookmarkStart w:id="588" w:name="_Toc27403"/>
      <w:bookmarkStart w:id="589" w:name="_Toc22266"/>
      <w:bookmarkStart w:id="590" w:name="_Toc259093693"/>
      <w:bookmarkStart w:id="591" w:name="_Toc30096"/>
      <w:bookmarkStart w:id="592" w:name="_Toc487900374"/>
      <w:r>
        <w:rPr>
          <w:rFonts w:hint="eastAsia" w:ascii="宋体" w:hAnsi="宋体" w:cs="宋体"/>
          <w:b/>
          <w:sz w:val="24"/>
          <w:highlight w:val="none"/>
        </w:rPr>
        <w:t>2.18 履约保证金</w:t>
      </w:r>
      <w:bookmarkEnd w:id="585"/>
      <w:bookmarkEnd w:id="586"/>
      <w:bookmarkEnd w:id="587"/>
      <w:bookmarkEnd w:id="588"/>
      <w:bookmarkEnd w:id="589"/>
      <w:bookmarkEnd w:id="590"/>
      <w:bookmarkEnd w:id="591"/>
    </w:p>
    <w:p w14:paraId="79150016">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14:paraId="4126D5F6">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14:paraId="6570301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92"/>
    <w:p w14:paraId="519568E8">
      <w:pPr>
        <w:spacing w:line="560" w:lineRule="exact"/>
        <w:ind w:firstLine="482" w:firstLineChars="200"/>
        <w:rPr>
          <w:rFonts w:hint="eastAsia" w:ascii="宋体" w:hAnsi="宋体" w:cs="宋体"/>
          <w:b/>
          <w:sz w:val="24"/>
          <w:highlight w:val="none"/>
        </w:rPr>
      </w:pPr>
      <w:r>
        <w:rPr>
          <w:rFonts w:hint="eastAsia" w:ascii="宋体" w:hAnsi="宋体" w:cs="宋体"/>
          <w:b/>
          <w:sz w:val="24"/>
          <w:highlight w:val="none"/>
        </w:rPr>
        <w:t>2.19 合同份数</w:t>
      </w:r>
    </w:p>
    <w:p w14:paraId="31B2251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14:paraId="6C676D09">
      <w:pPr>
        <w:pStyle w:val="71"/>
        <w:spacing w:line="560" w:lineRule="exact"/>
        <w:ind w:firstLine="0"/>
        <w:jc w:val="center"/>
        <w:rPr>
          <w:rFonts w:hint="eastAsia" w:hAnsi="宋体" w:cs="宋体"/>
          <w:b/>
          <w:szCs w:val="24"/>
          <w:highlight w:val="none"/>
        </w:rPr>
      </w:pPr>
      <w:r>
        <w:rPr>
          <w:rFonts w:hint="eastAsia" w:hAnsi="宋体" w:cs="宋体"/>
          <w:szCs w:val="24"/>
          <w:highlight w:val="none"/>
        </w:rPr>
        <w:br w:type="page"/>
      </w:r>
      <w:bookmarkStart w:id="593" w:name="_Toc331685784"/>
      <w:r>
        <w:rPr>
          <w:rFonts w:hint="eastAsia" w:hAnsi="宋体" w:cs="宋体"/>
          <w:b/>
          <w:szCs w:val="24"/>
          <w:highlight w:val="none"/>
        </w:rPr>
        <w:t>第三部分  合同专用条款</w:t>
      </w:r>
      <w:bookmarkEnd w:id="593"/>
    </w:p>
    <w:p w14:paraId="3C09FCE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5D84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3D7A6514">
            <w:pPr>
              <w:spacing w:line="560" w:lineRule="exact"/>
              <w:jc w:val="center"/>
              <w:rPr>
                <w:rFonts w:hint="eastAsia" w:ascii="宋体" w:hAnsi="宋体" w:cs="宋体"/>
                <w:b/>
                <w:sz w:val="24"/>
                <w:highlight w:val="none"/>
              </w:rPr>
            </w:pPr>
            <w:r>
              <w:rPr>
                <w:rFonts w:hint="eastAsia" w:ascii="宋体" w:hAnsi="宋体" w:cs="宋体"/>
                <w:b/>
                <w:sz w:val="24"/>
                <w:highlight w:val="none"/>
              </w:rPr>
              <w:t>条款号</w:t>
            </w:r>
          </w:p>
        </w:tc>
        <w:tc>
          <w:tcPr>
            <w:tcW w:w="7633" w:type="dxa"/>
            <w:noWrap w:val="0"/>
            <w:vAlign w:val="center"/>
          </w:tcPr>
          <w:p w14:paraId="348A9980">
            <w:pPr>
              <w:spacing w:line="560" w:lineRule="exact"/>
              <w:jc w:val="center"/>
              <w:rPr>
                <w:rFonts w:hint="eastAsia" w:ascii="宋体" w:hAnsi="宋体" w:cs="宋体"/>
                <w:b/>
                <w:sz w:val="24"/>
                <w:highlight w:val="none"/>
              </w:rPr>
            </w:pPr>
            <w:r>
              <w:rPr>
                <w:rFonts w:hint="eastAsia" w:ascii="宋体" w:hAnsi="宋体" w:cs="宋体"/>
                <w:b/>
                <w:sz w:val="24"/>
                <w:highlight w:val="none"/>
              </w:rPr>
              <w:t>约定内容</w:t>
            </w:r>
          </w:p>
        </w:tc>
      </w:tr>
      <w:tr w14:paraId="5001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2655E7D">
            <w:pPr>
              <w:spacing w:line="560" w:lineRule="exact"/>
              <w:rPr>
                <w:rFonts w:hint="eastAsia" w:ascii="宋体" w:hAnsi="宋体" w:cs="宋体"/>
                <w:sz w:val="24"/>
                <w:highlight w:val="none"/>
              </w:rPr>
            </w:pPr>
          </w:p>
        </w:tc>
        <w:tc>
          <w:tcPr>
            <w:tcW w:w="7633" w:type="dxa"/>
            <w:noWrap w:val="0"/>
            <w:vAlign w:val="center"/>
          </w:tcPr>
          <w:p w14:paraId="6FB088AA">
            <w:pPr>
              <w:spacing w:line="560" w:lineRule="exact"/>
              <w:rPr>
                <w:rFonts w:hint="eastAsia" w:ascii="宋体" w:hAnsi="宋体" w:cs="宋体"/>
                <w:sz w:val="24"/>
                <w:highlight w:val="none"/>
              </w:rPr>
            </w:pPr>
          </w:p>
        </w:tc>
      </w:tr>
      <w:tr w14:paraId="1D1E4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1BC6738">
            <w:pPr>
              <w:spacing w:line="560" w:lineRule="exact"/>
              <w:rPr>
                <w:rFonts w:hint="eastAsia" w:ascii="宋体" w:hAnsi="宋体" w:cs="宋体"/>
                <w:sz w:val="24"/>
                <w:highlight w:val="none"/>
              </w:rPr>
            </w:pPr>
          </w:p>
        </w:tc>
        <w:tc>
          <w:tcPr>
            <w:tcW w:w="7633" w:type="dxa"/>
            <w:noWrap w:val="0"/>
            <w:vAlign w:val="center"/>
          </w:tcPr>
          <w:p w14:paraId="487D7FA4">
            <w:pPr>
              <w:spacing w:line="560" w:lineRule="exact"/>
              <w:rPr>
                <w:rFonts w:hint="eastAsia" w:ascii="宋体" w:hAnsi="宋体" w:cs="宋体"/>
                <w:sz w:val="24"/>
                <w:highlight w:val="none"/>
              </w:rPr>
            </w:pPr>
          </w:p>
        </w:tc>
      </w:tr>
      <w:tr w14:paraId="292BA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D0A3E92">
            <w:pPr>
              <w:spacing w:line="560" w:lineRule="exact"/>
              <w:rPr>
                <w:rFonts w:hint="eastAsia" w:ascii="宋体" w:hAnsi="宋体" w:cs="宋体"/>
                <w:sz w:val="24"/>
                <w:highlight w:val="none"/>
              </w:rPr>
            </w:pPr>
          </w:p>
        </w:tc>
        <w:tc>
          <w:tcPr>
            <w:tcW w:w="7633" w:type="dxa"/>
            <w:noWrap w:val="0"/>
            <w:vAlign w:val="center"/>
          </w:tcPr>
          <w:p w14:paraId="27A4C37A">
            <w:pPr>
              <w:spacing w:line="560" w:lineRule="exact"/>
              <w:rPr>
                <w:rFonts w:hint="eastAsia" w:ascii="宋体" w:hAnsi="宋体" w:cs="宋体"/>
                <w:sz w:val="24"/>
                <w:highlight w:val="none"/>
              </w:rPr>
            </w:pPr>
          </w:p>
        </w:tc>
      </w:tr>
      <w:tr w14:paraId="6BD2B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9BC7BD7">
            <w:pPr>
              <w:spacing w:line="560" w:lineRule="exact"/>
              <w:rPr>
                <w:rFonts w:hint="eastAsia" w:ascii="宋体" w:hAnsi="宋体" w:cs="宋体"/>
                <w:sz w:val="24"/>
                <w:highlight w:val="none"/>
              </w:rPr>
            </w:pPr>
          </w:p>
        </w:tc>
        <w:tc>
          <w:tcPr>
            <w:tcW w:w="7633" w:type="dxa"/>
            <w:noWrap w:val="0"/>
            <w:vAlign w:val="center"/>
          </w:tcPr>
          <w:p w14:paraId="3D076B51">
            <w:pPr>
              <w:spacing w:line="560" w:lineRule="exact"/>
              <w:rPr>
                <w:rFonts w:hint="eastAsia" w:ascii="宋体" w:hAnsi="宋体" w:cs="宋体"/>
                <w:sz w:val="24"/>
                <w:highlight w:val="none"/>
              </w:rPr>
            </w:pPr>
          </w:p>
        </w:tc>
      </w:tr>
      <w:tr w14:paraId="0A3FB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551F51F">
            <w:pPr>
              <w:spacing w:line="560" w:lineRule="exact"/>
              <w:rPr>
                <w:rFonts w:hint="eastAsia" w:ascii="宋体" w:hAnsi="宋体" w:cs="宋体"/>
                <w:sz w:val="24"/>
                <w:highlight w:val="none"/>
              </w:rPr>
            </w:pPr>
          </w:p>
        </w:tc>
        <w:tc>
          <w:tcPr>
            <w:tcW w:w="7633" w:type="dxa"/>
            <w:noWrap w:val="0"/>
            <w:vAlign w:val="center"/>
          </w:tcPr>
          <w:p w14:paraId="19AA691E">
            <w:pPr>
              <w:spacing w:line="560" w:lineRule="exact"/>
              <w:rPr>
                <w:rFonts w:hint="eastAsia" w:ascii="宋体" w:hAnsi="宋体" w:cs="宋体"/>
                <w:sz w:val="24"/>
                <w:highlight w:val="none"/>
                <w:u w:val="single"/>
              </w:rPr>
            </w:pPr>
          </w:p>
        </w:tc>
      </w:tr>
      <w:tr w14:paraId="61CE9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8FE3BF2">
            <w:pPr>
              <w:spacing w:line="560" w:lineRule="exact"/>
              <w:rPr>
                <w:rFonts w:hint="eastAsia" w:ascii="宋体" w:hAnsi="宋体" w:cs="宋体"/>
                <w:sz w:val="24"/>
                <w:highlight w:val="none"/>
              </w:rPr>
            </w:pPr>
          </w:p>
        </w:tc>
        <w:tc>
          <w:tcPr>
            <w:tcW w:w="7633" w:type="dxa"/>
            <w:noWrap w:val="0"/>
            <w:vAlign w:val="center"/>
          </w:tcPr>
          <w:p w14:paraId="1A071048">
            <w:pPr>
              <w:spacing w:line="560" w:lineRule="exact"/>
              <w:rPr>
                <w:rFonts w:hint="eastAsia" w:ascii="宋体" w:hAnsi="宋体" w:cs="宋体"/>
                <w:sz w:val="24"/>
                <w:highlight w:val="none"/>
              </w:rPr>
            </w:pPr>
          </w:p>
        </w:tc>
      </w:tr>
      <w:tr w14:paraId="41AB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9DC1D90">
            <w:pPr>
              <w:spacing w:line="560" w:lineRule="exact"/>
              <w:rPr>
                <w:rFonts w:hint="eastAsia" w:ascii="宋体" w:hAnsi="宋体" w:cs="宋体"/>
                <w:sz w:val="24"/>
                <w:highlight w:val="none"/>
              </w:rPr>
            </w:pPr>
          </w:p>
        </w:tc>
        <w:tc>
          <w:tcPr>
            <w:tcW w:w="7633" w:type="dxa"/>
            <w:noWrap w:val="0"/>
            <w:vAlign w:val="center"/>
          </w:tcPr>
          <w:p w14:paraId="7F112D9E">
            <w:pPr>
              <w:spacing w:line="560" w:lineRule="exact"/>
              <w:rPr>
                <w:rFonts w:hint="eastAsia" w:ascii="宋体" w:hAnsi="宋体" w:cs="宋体"/>
                <w:sz w:val="24"/>
                <w:highlight w:val="none"/>
                <w:u w:val="single"/>
              </w:rPr>
            </w:pPr>
          </w:p>
        </w:tc>
      </w:tr>
      <w:tr w14:paraId="1D1D9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BB55592">
            <w:pPr>
              <w:spacing w:line="560" w:lineRule="exact"/>
              <w:rPr>
                <w:rFonts w:hint="eastAsia" w:ascii="宋体" w:hAnsi="宋体" w:cs="宋体"/>
                <w:sz w:val="24"/>
                <w:highlight w:val="none"/>
              </w:rPr>
            </w:pPr>
          </w:p>
        </w:tc>
        <w:tc>
          <w:tcPr>
            <w:tcW w:w="7633" w:type="dxa"/>
            <w:noWrap w:val="0"/>
            <w:vAlign w:val="center"/>
          </w:tcPr>
          <w:p w14:paraId="421CFAE0">
            <w:pPr>
              <w:spacing w:line="560" w:lineRule="exact"/>
              <w:rPr>
                <w:rFonts w:hint="eastAsia" w:ascii="宋体" w:hAnsi="宋体" w:cs="宋体"/>
                <w:sz w:val="24"/>
                <w:highlight w:val="none"/>
              </w:rPr>
            </w:pPr>
          </w:p>
        </w:tc>
      </w:tr>
      <w:tr w14:paraId="06DED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93DC47D">
            <w:pPr>
              <w:spacing w:line="560" w:lineRule="exact"/>
              <w:rPr>
                <w:rFonts w:hint="eastAsia" w:ascii="宋体" w:hAnsi="宋体" w:cs="宋体"/>
                <w:sz w:val="24"/>
                <w:highlight w:val="none"/>
              </w:rPr>
            </w:pPr>
          </w:p>
        </w:tc>
        <w:tc>
          <w:tcPr>
            <w:tcW w:w="7633" w:type="dxa"/>
            <w:noWrap w:val="0"/>
            <w:vAlign w:val="center"/>
          </w:tcPr>
          <w:p w14:paraId="76C4F414">
            <w:pPr>
              <w:spacing w:line="560" w:lineRule="exact"/>
              <w:rPr>
                <w:rFonts w:hint="eastAsia" w:ascii="宋体" w:hAnsi="宋体" w:cs="宋体"/>
                <w:sz w:val="24"/>
                <w:highlight w:val="none"/>
              </w:rPr>
            </w:pPr>
          </w:p>
        </w:tc>
      </w:tr>
      <w:tr w14:paraId="4AF8C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FDB5E71">
            <w:pPr>
              <w:spacing w:line="560" w:lineRule="exact"/>
              <w:rPr>
                <w:rFonts w:hint="eastAsia" w:ascii="宋体" w:hAnsi="宋体" w:cs="宋体"/>
                <w:sz w:val="24"/>
                <w:highlight w:val="none"/>
              </w:rPr>
            </w:pPr>
          </w:p>
        </w:tc>
        <w:tc>
          <w:tcPr>
            <w:tcW w:w="7633" w:type="dxa"/>
            <w:noWrap w:val="0"/>
            <w:vAlign w:val="center"/>
          </w:tcPr>
          <w:p w14:paraId="2B886A8A">
            <w:pPr>
              <w:spacing w:line="560" w:lineRule="exact"/>
              <w:rPr>
                <w:rFonts w:hint="eastAsia" w:ascii="宋体" w:hAnsi="宋体" w:cs="宋体"/>
                <w:sz w:val="24"/>
                <w:highlight w:val="none"/>
              </w:rPr>
            </w:pPr>
          </w:p>
        </w:tc>
      </w:tr>
      <w:tr w14:paraId="795F1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9371B07">
            <w:pPr>
              <w:spacing w:line="560" w:lineRule="exact"/>
              <w:rPr>
                <w:rFonts w:hint="eastAsia" w:ascii="宋体" w:hAnsi="宋体" w:cs="宋体"/>
                <w:sz w:val="24"/>
                <w:highlight w:val="none"/>
              </w:rPr>
            </w:pPr>
          </w:p>
        </w:tc>
        <w:tc>
          <w:tcPr>
            <w:tcW w:w="7633" w:type="dxa"/>
            <w:noWrap w:val="0"/>
            <w:vAlign w:val="center"/>
          </w:tcPr>
          <w:p w14:paraId="70C0E70C">
            <w:pPr>
              <w:spacing w:line="560" w:lineRule="exact"/>
              <w:rPr>
                <w:rFonts w:hint="eastAsia" w:ascii="宋体" w:hAnsi="宋体" w:cs="宋体"/>
                <w:sz w:val="24"/>
                <w:highlight w:val="none"/>
              </w:rPr>
            </w:pPr>
          </w:p>
        </w:tc>
      </w:tr>
      <w:tr w14:paraId="66195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3961D2D">
            <w:pPr>
              <w:spacing w:line="560" w:lineRule="exact"/>
              <w:rPr>
                <w:rFonts w:hint="eastAsia" w:ascii="宋体" w:hAnsi="宋体" w:cs="宋体"/>
                <w:sz w:val="24"/>
                <w:highlight w:val="none"/>
              </w:rPr>
            </w:pPr>
          </w:p>
        </w:tc>
        <w:tc>
          <w:tcPr>
            <w:tcW w:w="7633" w:type="dxa"/>
            <w:noWrap w:val="0"/>
            <w:vAlign w:val="center"/>
          </w:tcPr>
          <w:p w14:paraId="604B99D4">
            <w:pPr>
              <w:spacing w:line="560" w:lineRule="exact"/>
              <w:rPr>
                <w:rFonts w:hint="eastAsia" w:ascii="宋体" w:hAnsi="宋体" w:cs="宋体"/>
                <w:sz w:val="24"/>
                <w:highlight w:val="none"/>
              </w:rPr>
            </w:pPr>
          </w:p>
        </w:tc>
      </w:tr>
    </w:tbl>
    <w:p w14:paraId="59C1C54E">
      <w:pPr>
        <w:spacing w:after="156" w:line="560" w:lineRule="exact"/>
        <w:ind w:firstLine="480"/>
        <w:rPr>
          <w:rFonts w:hint="eastAsia" w:ascii="宋体" w:hAnsi="宋体" w:cs="宋体"/>
          <w:highlight w:val="none"/>
        </w:rPr>
      </w:pPr>
    </w:p>
    <w:p w14:paraId="68C28D01">
      <w:pPr>
        <w:pStyle w:val="3"/>
        <w:spacing w:before="0" w:line="240" w:lineRule="atLeast"/>
        <w:ind w:left="1080" w:leftChars="257" w:hanging="540"/>
        <w:rPr>
          <w:rFonts w:hint="eastAsia" w:ascii="宋体" w:hAnsi="宋体" w:eastAsia="宋体" w:cs="宋体"/>
          <w:sz w:val="24"/>
          <w:highlight w:val="none"/>
        </w:rPr>
      </w:pPr>
    </w:p>
    <w:p w14:paraId="6C13BAA8">
      <w:pPr>
        <w:rPr>
          <w:rFonts w:hint="eastAsia" w:ascii="宋体" w:hAnsi="宋体" w:cs="宋体"/>
          <w:highlight w:val="none"/>
        </w:rPr>
      </w:pPr>
    </w:p>
    <w:p w14:paraId="30B5FDD5">
      <w:pPr>
        <w:pStyle w:val="5"/>
        <w:spacing w:line="240" w:lineRule="atLeast"/>
        <w:ind w:firstLine="0"/>
        <w:rPr>
          <w:rFonts w:hint="eastAsia" w:hAnsi="宋体" w:cs="宋体"/>
          <w:color w:val="000000"/>
          <w:sz w:val="28"/>
          <w:highlight w:val="none"/>
        </w:rPr>
      </w:pPr>
    </w:p>
    <w:p w14:paraId="54DF1695">
      <w:pPr>
        <w:pStyle w:val="12"/>
        <w:keepNext w:val="0"/>
        <w:keepLines w:val="0"/>
        <w:pageBreakBefore w:val="0"/>
        <w:tabs>
          <w:tab w:val="left" w:pos="3623"/>
          <w:tab w:val="left" w:pos="4703"/>
          <w:tab w:val="left" w:pos="5603"/>
          <w:tab w:val="clear" w:pos="567"/>
        </w:tabs>
        <w:kinsoku/>
        <w:wordWrap/>
        <w:overflowPunct/>
        <w:topLinePunct w:val="0"/>
        <w:bidi w:val="0"/>
        <w:snapToGrid/>
        <w:spacing w:before="0" w:line="306" w:lineRule="exact"/>
        <w:ind w:left="0" w:leftChars="0" w:right="0" w:rightChars="0"/>
        <w:textAlignment w:val="auto"/>
        <w:rPr>
          <w:rFonts w:hint="eastAsia" w:ascii="宋体" w:hAnsi="宋体" w:eastAsia="宋体" w:cs="宋体"/>
          <w:color w:val="auto"/>
          <w:sz w:val="28"/>
          <w:highlight w:val="none"/>
        </w:rPr>
      </w:pPr>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3E889F-ADF7-41F5-9D9A-30D8B340A7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E2E4D1D-26CD-4D11-94D4-7689B77EA249}"/>
  </w:font>
  <w:font w:name="仿宋">
    <w:panose1 w:val="02010609060101010101"/>
    <w:charset w:val="86"/>
    <w:family w:val="auto"/>
    <w:pitch w:val="default"/>
    <w:sig w:usb0="800002BF" w:usb1="38CF7CFA" w:usb2="00000016" w:usb3="00000000" w:csb0="00040001" w:csb1="00000000"/>
    <w:embedRegular r:id="rId3" w:fontKey="{2027D5F3-D51C-4BFF-A742-05CFCF4AD894}"/>
  </w:font>
  <w:font w:name="微软雅黑">
    <w:panose1 w:val="020B0503020204020204"/>
    <w:charset w:val="86"/>
    <w:family w:val="swiss"/>
    <w:pitch w:val="default"/>
    <w:sig w:usb0="80000287" w:usb1="2ACF3C50" w:usb2="00000016" w:usb3="00000000" w:csb0="0004001F" w:csb1="00000000"/>
    <w:embedRegular r:id="rId4" w:fontKey="{3E8B6993-5B50-4E03-9F1C-D1C1D0848C9C}"/>
  </w:font>
  <w:font w:name="方正仿宋_GB2312">
    <w:panose1 w:val="02000000000000000000"/>
    <w:charset w:val="86"/>
    <w:family w:val="auto"/>
    <w:pitch w:val="default"/>
    <w:sig w:usb0="A00002BF" w:usb1="184F6CFA" w:usb2="00000012" w:usb3="00000000" w:csb0="00040001" w:csb1="00000000"/>
    <w:embedRegular r:id="rId5" w:fontKey="{BAAA0D8E-8AF7-46AD-8B79-5508FD84F324}"/>
  </w:font>
  <w:font w:name="MS Gothic">
    <w:panose1 w:val="020B0609070205080204"/>
    <w:charset w:val="86"/>
    <w:family w:val="auto"/>
    <w:pitch w:val="default"/>
    <w:sig w:usb0="E00002FF" w:usb1="6AC7FDFB" w:usb2="08000012" w:usb3="00000000" w:csb0="4002009F" w:csb1="DFD70000"/>
    <w:embedRegular r:id="rId6" w:fontKey="{39C08449-5B7A-46D8-88F4-24147A5B086B}"/>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EBA7">
    <w:pPr>
      <w:pStyle w:val="2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CB49">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BDE87">
                          <w:pPr>
                            <w:pStyle w:val="2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0BDE87">
                    <w:pPr>
                      <w:pStyle w:val="24"/>
                    </w:pPr>
                    <w:r>
                      <w:fldChar w:fldCharType="begin"/>
                    </w:r>
                    <w:r>
                      <w:instrText xml:space="preserve"> PAGE  \* MERGEFORMAT </w:instrText>
                    </w:r>
                    <w:r>
                      <w:fldChar w:fldCharType="separate"/>
                    </w:r>
                    <w:r>
                      <w:t>47</w:t>
                    </w:r>
                    <w:r>
                      <w:fldChar w:fldCharType="end"/>
                    </w:r>
                  </w:p>
                </w:txbxContent>
              </v:textbox>
            </v:shape>
          </w:pict>
        </mc:Fallback>
      </mc:AlternateContent>
    </w:r>
  </w:p>
  <w:p w14:paraId="470BA8EE">
    <w:pPr>
      <w:pStyle w:val="24"/>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A297">
    <w:pPr>
      <w:pStyle w:val="24"/>
      <w:ind w:right="360"/>
      <w:jc w:val="both"/>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059C12">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E059C1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7EC2">
    <w:pPr>
      <w:pStyle w:val="24"/>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ACA0C">
                          <w:pPr>
                            <w:pStyle w:val="2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EACA0C">
                    <w:pPr>
                      <w:pStyle w:val="2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3F94">
    <w:pPr>
      <w:pStyle w:val="24"/>
      <w:framePr w:wrap="around" w:vAnchor="text" w:hAnchor="margin" w:xAlign="center" w:y="1"/>
      <w:rPr>
        <w:rStyle w:val="44"/>
      </w:rPr>
    </w:pPr>
    <w:r>
      <w:fldChar w:fldCharType="begin"/>
    </w:r>
    <w:r>
      <w:rPr>
        <w:rStyle w:val="44"/>
      </w:rPr>
      <w:instrText xml:space="preserve">PAGE  </w:instrText>
    </w:r>
    <w:r>
      <w:fldChar w:fldCharType="end"/>
    </w:r>
  </w:p>
  <w:p w14:paraId="579C5D1C">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F979">
    <w:pPr>
      <w:pStyle w:val="24"/>
      <w:ind w:right="360" w:firstLine="360"/>
      <w:jc w:val="right"/>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19772">
                          <w:pPr>
                            <w:pStyle w:val="2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819772">
                    <w:pPr>
                      <w:pStyle w:val="2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9DFE">
    <w:pPr>
      <w:pStyle w:val="24"/>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05255">
                          <w:pPr>
                            <w:pStyle w:val="2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705255">
                    <w:pPr>
                      <w:pStyle w:val="24"/>
                    </w:pPr>
                    <w:r>
                      <w:fldChar w:fldCharType="begin"/>
                    </w:r>
                    <w:r>
                      <w:instrText xml:space="preserve"> PAGE  \* MERGEFORMAT </w:instrText>
                    </w:r>
                    <w:r>
                      <w:fldChar w:fldCharType="separate"/>
                    </w:r>
                    <w:r>
                      <w:t>38</w:t>
                    </w:r>
                    <w:r>
                      <w:fldChar w:fldCharType="end"/>
                    </w:r>
                  </w:p>
                </w:txbxContent>
              </v:textbox>
            </v:shape>
          </w:pict>
        </mc:Fallback>
      </mc:AlternateContent>
    </w:r>
  </w:p>
  <w:p w14:paraId="0BF3AB9B">
    <w:pPr>
      <w:pStyle w:val="24"/>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8E73">
    <w:pPr>
      <w:pStyle w:val="24"/>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1B89B0">
                          <w:pPr>
                            <w:pStyle w:val="24"/>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E1B89B0">
                    <w:pPr>
                      <w:pStyle w:val="24"/>
                    </w:pPr>
                    <w:r>
                      <w:fldChar w:fldCharType="begin"/>
                    </w:r>
                    <w:r>
                      <w:instrText xml:space="preserve"> PAGE  \* MERGEFORMAT </w:instrText>
                    </w:r>
                    <w:r>
                      <w:fldChar w:fldCharType="separate"/>
                    </w:r>
                    <w:r>
                      <w:t>46</w:t>
                    </w:r>
                    <w:r>
                      <w:fldChar w:fldCharType="end"/>
                    </w:r>
                  </w:p>
                </w:txbxContent>
              </v:textbox>
            </v:shape>
          </w:pict>
        </mc:Fallback>
      </mc:AlternateContent>
    </w:r>
  </w:p>
  <w:p w14:paraId="1CD9C2B8">
    <w:pPr>
      <w:pStyle w:val="2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61D0C">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D30A">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A8B5">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4E5C">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6C50">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1A83">
    <w:pPr>
      <w:pStyle w:val="1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0C17A2F3">
                          <w:pPr>
                            <w:tabs>
                              <w:tab w:val="left" w:pos="859"/>
                            </w:tabs>
                            <w:spacing w:line="249" w:lineRule="exact"/>
                            <w:ind w:left="20"/>
                            <w:rPr>
                              <w:sz w:val="21"/>
                            </w:rPr>
                          </w:pPr>
                        </w:p>
                        <w:p w14:paraId="2B374A73">
                          <w:pPr>
                            <w:pStyle w:val="14"/>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902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14:paraId="0C17A2F3">
                    <w:pPr>
                      <w:tabs>
                        <w:tab w:val="left" w:pos="859"/>
                      </w:tabs>
                      <w:spacing w:line="249" w:lineRule="exact"/>
                      <w:ind w:left="20"/>
                      <w:rPr>
                        <w:sz w:val="21"/>
                      </w:rPr>
                    </w:pPr>
                  </w:p>
                  <w:p w14:paraId="2B374A73">
                    <w:pPr>
                      <w:pStyle w:val="14"/>
                      <w:ind w:firstLine="440"/>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B851">
    <w:pPr>
      <w:pStyle w:val="2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30F6">
    <w:pPr>
      <w:pStyle w:val="2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49F2">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F6D3">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D106B"/>
    <w:multiLevelType w:val="singleLevel"/>
    <w:tmpl w:val="071D106B"/>
    <w:lvl w:ilvl="0" w:tentative="0">
      <w:start w:val="2"/>
      <w:numFmt w:val="chineseCounting"/>
      <w:suff w:val="space"/>
      <w:lvlText w:val="第%1部分"/>
      <w:lvlJc w:val="left"/>
      <w:rPr>
        <w:rFonts w:hint="eastAsia"/>
      </w:rPr>
    </w:lvl>
  </w:abstractNum>
  <w:abstractNum w:abstractNumId="1">
    <w:nsid w:val="36241299"/>
    <w:multiLevelType w:val="singleLevel"/>
    <w:tmpl w:val="36241299"/>
    <w:lvl w:ilvl="0" w:tentative="0">
      <w:start w:val="5"/>
      <w:numFmt w:val="decimal"/>
      <w:suff w:val="space"/>
      <w:lvlText w:val="第%1章"/>
      <w:lvlJc w:val="left"/>
    </w:lvl>
  </w:abstractNum>
  <w:abstractNum w:abstractNumId="2">
    <w:nsid w:val="48BFA080"/>
    <w:multiLevelType w:val="singleLevel"/>
    <w:tmpl w:val="48BFA08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B365A"/>
    <w:rsid w:val="002C10AC"/>
    <w:rsid w:val="002C252F"/>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512B"/>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22330"/>
    <w:rsid w:val="01775986"/>
    <w:rsid w:val="01837814"/>
    <w:rsid w:val="018E7ABF"/>
    <w:rsid w:val="0198796C"/>
    <w:rsid w:val="01C133B8"/>
    <w:rsid w:val="01C81F50"/>
    <w:rsid w:val="020F2171"/>
    <w:rsid w:val="023423AE"/>
    <w:rsid w:val="02454D80"/>
    <w:rsid w:val="027F16DB"/>
    <w:rsid w:val="0285782E"/>
    <w:rsid w:val="02A3645B"/>
    <w:rsid w:val="02AC38D7"/>
    <w:rsid w:val="02AF2176"/>
    <w:rsid w:val="02BC7D06"/>
    <w:rsid w:val="02C62933"/>
    <w:rsid w:val="02F778BD"/>
    <w:rsid w:val="03121468"/>
    <w:rsid w:val="03604B36"/>
    <w:rsid w:val="03822C68"/>
    <w:rsid w:val="038C654A"/>
    <w:rsid w:val="038E07EA"/>
    <w:rsid w:val="039224BE"/>
    <w:rsid w:val="039C7734"/>
    <w:rsid w:val="039F2BBC"/>
    <w:rsid w:val="03AA4003"/>
    <w:rsid w:val="03B64756"/>
    <w:rsid w:val="03D96AC5"/>
    <w:rsid w:val="04001E75"/>
    <w:rsid w:val="041D47D5"/>
    <w:rsid w:val="045D3085"/>
    <w:rsid w:val="045F6B9B"/>
    <w:rsid w:val="04660909"/>
    <w:rsid w:val="04974CB1"/>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AB5586"/>
    <w:rsid w:val="06BF670C"/>
    <w:rsid w:val="06C6107F"/>
    <w:rsid w:val="06CB44B7"/>
    <w:rsid w:val="06E84EE4"/>
    <w:rsid w:val="06EA381B"/>
    <w:rsid w:val="06EE20B1"/>
    <w:rsid w:val="06F153B1"/>
    <w:rsid w:val="06FF5041"/>
    <w:rsid w:val="071D4AEC"/>
    <w:rsid w:val="07464042"/>
    <w:rsid w:val="075B63E2"/>
    <w:rsid w:val="07677894"/>
    <w:rsid w:val="079270C9"/>
    <w:rsid w:val="07A11279"/>
    <w:rsid w:val="07A66248"/>
    <w:rsid w:val="07AB20F7"/>
    <w:rsid w:val="07B1625B"/>
    <w:rsid w:val="07B31A08"/>
    <w:rsid w:val="07BC4304"/>
    <w:rsid w:val="07C5765D"/>
    <w:rsid w:val="07D93504"/>
    <w:rsid w:val="07D96E9C"/>
    <w:rsid w:val="08071442"/>
    <w:rsid w:val="08167EB9"/>
    <w:rsid w:val="08183C31"/>
    <w:rsid w:val="082B7A28"/>
    <w:rsid w:val="08311B3B"/>
    <w:rsid w:val="084F4F9C"/>
    <w:rsid w:val="08534B88"/>
    <w:rsid w:val="085530EF"/>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B50CF"/>
    <w:rsid w:val="0A0D0E47"/>
    <w:rsid w:val="0A1B58FF"/>
    <w:rsid w:val="0A2163C5"/>
    <w:rsid w:val="0A296189"/>
    <w:rsid w:val="0A334D52"/>
    <w:rsid w:val="0A410AF1"/>
    <w:rsid w:val="0A514413"/>
    <w:rsid w:val="0A682522"/>
    <w:rsid w:val="0A6D7B49"/>
    <w:rsid w:val="0A82485B"/>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9E222B"/>
    <w:rsid w:val="0CA23AC9"/>
    <w:rsid w:val="0CA43CE5"/>
    <w:rsid w:val="0CAC6BB6"/>
    <w:rsid w:val="0CB437FC"/>
    <w:rsid w:val="0CC34F37"/>
    <w:rsid w:val="0CEA05CC"/>
    <w:rsid w:val="0CEA1C84"/>
    <w:rsid w:val="0CF611FD"/>
    <w:rsid w:val="0D0D318A"/>
    <w:rsid w:val="0D2546FA"/>
    <w:rsid w:val="0D864353"/>
    <w:rsid w:val="0D993394"/>
    <w:rsid w:val="0D9C676A"/>
    <w:rsid w:val="0DCC756C"/>
    <w:rsid w:val="0DD505F0"/>
    <w:rsid w:val="0DDA1988"/>
    <w:rsid w:val="0DEA5E6A"/>
    <w:rsid w:val="0DFC36FB"/>
    <w:rsid w:val="0E2230B3"/>
    <w:rsid w:val="0E311790"/>
    <w:rsid w:val="0E536488"/>
    <w:rsid w:val="0E560A5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3087E"/>
    <w:rsid w:val="0F7756E1"/>
    <w:rsid w:val="0F895414"/>
    <w:rsid w:val="0FA1669B"/>
    <w:rsid w:val="0FD20B69"/>
    <w:rsid w:val="0FDA030E"/>
    <w:rsid w:val="0FE14279"/>
    <w:rsid w:val="10173A8A"/>
    <w:rsid w:val="102A0D6A"/>
    <w:rsid w:val="1035572D"/>
    <w:rsid w:val="10B84D24"/>
    <w:rsid w:val="10D8237A"/>
    <w:rsid w:val="10EF538B"/>
    <w:rsid w:val="10F16DCD"/>
    <w:rsid w:val="111B209C"/>
    <w:rsid w:val="11312DC0"/>
    <w:rsid w:val="113927BE"/>
    <w:rsid w:val="114701EB"/>
    <w:rsid w:val="115F467E"/>
    <w:rsid w:val="118848CF"/>
    <w:rsid w:val="118A654F"/>
    <w:rsid w:val="119546B2"/>
    <w:rsid w:val="11BA5F58"/>
    <w:rsid w:val="11C11380"/>
    <w:rsid w:val="11EB5F12"/>
    <w:rsid w:val="12011357"/>
    <w:rsid w:val="12092462"/>
    <w:rsid w:val="120F2891"/>
    <w:rsid w:val="1219036F"/>
    <w:rsid w:val="121A13FC"/>
    <w:rsid w:val="121D403F"/>
    <w:rsid w:val="12413D84"/>
    <w:rsid w:val="12990F61"/>
    <w:rsid w:val="129F7C67"/>
    <w:rsid w:val="12E22503"/>
    <w:rsid w:val="12ED5CBA"/>
    <w:rsid w:val="12F55F39"/>
    <w:rsid w:val="13264BD7"/>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D74AF"/>
    <w:rsid w:val="14AF2F65"/>
    <w:rsid w:val="14D00F64"/>
    <w:rsid w:val="14DB278B"/>
    <w:rsid w:val="14DC7CD5"/>
    <w:rsid w:val="14F03BE9"/>
    <w:rsid w:val="14F52C04"/>
    <w:rsid w:val="154162B3"/>
    <w:rsid w:val="15997A33"/>
    <w:rsid w:val="15A078BC"/>
    <w:rsid w:val="15AE733A"/>
    <w:rsid w:val="15BC3B39"/>
    <w:rsid w:val="15DF7B32"/>
    <w:rsid w:val="15EA6B77"/>
    <w:rsid w:val="15F07F9B"/>
    <w:rsid w:val="16322361"/>
    <w:rsid w:val="163E1406"/>
    <w:rsid w:val="16436C21"/>
    <w:rsid w:val="164D0F49"/>
    <w:rsid w:val="166C3DC8"/>
    <w:rsid w:val="1682507D"/>
    <w:rsid w:val="16930926"/>
    <w:rsid w:val="1697741D"/>
    <w:rsid w:val="16CA259A"/>
    <w:rsid w:val="16D849B0"/>
    <w:rsid w:val="16F93153"/>
    <w:rsid w:val="16F969DB"/>
    <w:rsid w:val="16FE3FF2"/>
    <w:rsid w:val="17137D16"/>
    <w:rsid w:val="17213DAE"/>
    <w:rsid w:val="172A1253"/>
    <w:rsid w:val="172B0B5F"/>
    <w:rsid w:val="1740460A"/>
    <w:rsid w:val="175D340E"/>
    <w:rsid w:val="1765414D"/>
    <w:rsid w:val="177E15D6"/>
    <w:rsid w:val="17887A59"/>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4D7F00"/>
    <w:rsid w:val="19570331"/>
    <w:rsid w:val="1975142E"/>
    <w:rsid w:val="198D53B4"/>
    <w:rsid w:val="19BA6371"/>
    <w:rsid w:val="19CC487B"/>
    <w:rsid w:val="19F52C99"/>
    <w:rsid w:val="19F618F8"/>
    <w:rsid w:val="19F90D7B"/>
    <w:rsid w:val="19FE255B"/>
    <w:rsid w:val="1A1837F3"/>
    <w:rsid w:val="1A1C5FFD"/>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40441"/>
    <w:rsid w:val="1B476E3B"/>
    <w:rsid w:val="1B7B66B5"/>
    <w:rsid w:val="1B7E3953"/>
    <w:rsid w:val="1B8D20D9"/>
    <w:rsid w:val="1BA3160C"/>
    <w:rsid w:val="1BC03F6C"/>
    <w:rsid w:val="1BD143CB"/>
    <w:rsid w:val="1BDA6DEB"/>
    <w:rsid w:val="1BF43C15"/>
    <w:rsid w:val="1C0B7651"/>
    <w:rsid w:val="1C1E0C92"/>
    <w:rsid w:val="1C204A0A"/>
    <w:rsid w:val="1C225F98"/>
    <w:rsid w:val="1C2564C4"/>
    <w:rsid w:val="1C272EF4"/>
    <w:rsid w:val="1C424981"/>
    <w:rsid w:val="1C481872"/>
    <w:rsid w:val="1C563268"/>
    <w:rsid w:val="1C726D5F"/>
    <w:rsid w:val="1C977056"/>
    <w:rsid w:val="1CAA6093"/>
    <w:rsid w:val="1CAC2742"/>
    <w:rsid w:val="1CCE090A"/>
    <w:rsid w:val="1CE55F00"/>
    <w:rsid w:val="1CEC2B3E"/>
    <w:rsid w:val="1CFA1466"/>
    <w:rsid w:val="1D0363BB"/>
    <w:rsid w:val="1D271DC8"/>
    <w:rsid w:val="1D2A0A29"/>
    <w:rsid w:val="1D320A97"/>
    <w:rsid w:val="1D3541D9"/>
    <w:rsid w:val="1D39260F"/>
    <w:rsid w:val="1D3E6FE0"/>
    <w:rsid w:val="1D4F1A4B"/>
    <w:rsid w:val="1D4F2685"/>
    <w:rsid w:val="1D7338DC"/>
    <w:rsid w:val="1D8965DF"/>
    <w:rsid w:val="1D9236E6"/>
    <w:rsid w:val="1DAF281A"/>
    <w:rsid w:val="1DD106B2"/>
    <w:rsid w:val="1DE008F5"/>
    <w:rsid w:val="1DF0665E"/>
    <w:rsid w:val="1E29229C"/>
    <w:rsid w:val="1E3E2D25"/>
    <w:rsid w:val="1E4507E4"/>
    <w:rsid w:val="1E6210B8"/>
    <w:rsid w:val="1E666F5E"/>
    <w:rsid w:val="1E7D5E1E"/>
    <w:rsid w:val="1E9E482A"/>
    <w:rsid w:val="1EC014EF"/>
    <w:rsid w:val="1EC664F8"/>
    <w:rsid w:val="1EC91389"/>
    <w:rsid w:val="1ED3045A"/>
    <w:rsid w:val="1EDA6951"/>
    <w:rsid w:val="1EF70B4B"/>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56F79"/>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44B9D"/>
    <w:rsid w:val="231F66DA"/>
    <w:rsid w:val="23207452"/>
    <w:rsid w:val="232C18AC"/>
    <w:rsid w:val="234B4D59"/>
    <w:rsid w:val="2355768F"/>
    <w:rsid w:val="2364528E"/>
    <w:rsid w:val="236E69A3"/>
    <w:rsid w:val="23756A33"/>
    <w:rsid w:val="238A2EB8"/>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D6155"/>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6DC6F69"/>
    <w:rsid w:val="27022042"/>
    <w:rsid w:val="272B4D3F"/>
    <w:rsid w:val="27433CA3"/>
    <w:rsid w:val="27461532"/>
    <w:rsid w:val="27475541"/>
    <w:rsid w:val="27502468"/>
    <w:rsid w:val="276C29FF"/>
    <w:rsid w:val="27954415"/>
    <w:rsid w:val="27B13177"/>
    <w:rsid w:val="27BF3B42"/>
    <w:rsid w:val="280E2503"/>
    <w:rsid w:val="28226545"/>
    <w:rsid w:val="28341F69"/>
    <w:rsid w:val="283678DA"/>
    <w:rsid w:val="28506677"/>
    <w:rsid w:val="28855A7D"/>
    <w:rsid w:val="28CD22CE"/>
    <w:rsid w:val="28D63020"/>
    <w:rsid w:val="28F6721F"/>
    <w:rsid w:val="28FD66D7"/>
    <w:rsid w:val="2903193C"/>
    <w:rsid w:val="29192F0D"/>
    <w:rsid w:val="291C47AB"/>
    <w:rsid w:val="294705FC"/>
    <w:rsid w:val="29A15EDD"/>
    <w:rsid w:val="29D91E5C"/>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0625"/>
    <w:rsid w:val="2B4D4A0F"/>
    <w:rsid w:val="2B4F2C16"/>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70830"/>
    <w:rsid w:val="2CB3174D"/>
    <w:rsid w:val="2CC76232"/>
    <w:rsid w:val="2CE73C43"/>
    <w:rsid w:val="2CF271A5"/>
    <w:rsid w:val="2CF95076"/>
    <w:rsid w:val="2CFD77A3"/>
    <w:rsid w:val="2D2F7082"/>
    <w:rsid w:val="2D395076"/>
    <w:rsid w:val="2D426A09"/>
    <w:rsid w:val="2D69305E"/>
    <w:rsid w:val="2D8400D7"/>
    <w:rsid w:val="2D851D9A"/>
    <w:rsid w:val="2D880661"/>
    <w:rsid w:val="2DA140C7"/>
    <w:rsid w:val="2DB271D7"/>
    <w:rsid w:val="2DD438A6"/>
    <w:rsid w:val="2DD45655"/>
    <w:rsid w:val="2E0917A2"/>
    <w:rsid w:val="2E147CA8"/>
    <w:rsid w:val="2E241400"/>
    <w:rsid w:val="2E6C3ADF"/>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0E5E44"/>
    <w:rsid w:val="323E4D1D"/>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B6329C"/>
    <w:rsid w:val="33DE0EF4"/>
    <w:rsid w:val="34260985"/>
    <w:rsid w:val="343F1685"/>
    <w:rsid w:val="346644D8"/>
    <w:rsid w:val="34670FD0"/>
    <w:rsid w:val="34B42C77"/>
    <w:rsid w:val="34C93A39"/>
    <w:rsid w:val="34CF00E0"/>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A64C08"/>
    <w:rsid w:val="36CD7CD3"/>
    <w:rsid w:val="36CE17DB"/>
    <w:rsid w:val="36D952F5"/>
    <w:rsid w:val="36FF7BE6"/>
    <w:rsid w:val="37250B7A"/>
    <w:rsid w:val="372E4AB2"/>
    <w:rsid w:val="374E70EC"/>
    <w:rsid w:val="376129EA"/>
    <w:rsid w:val="37C242B9"/>
    <w:rsid w:val="37EA0AA2"/>
    <w:rsid w:val="38176009"/>
    <w:rsid w:val="38475CA8"/>
    <w:rsid w:val="385A07E5"/>
    <w:rsid w:val="38602906"/>
    <w:rsid w:val="38733175"/>
    <w:rsid w:val="38797524"/>
    <w:rsid w:val="388A34DF"/>
    <w:rsid w:val="389E008F"/>
    <w:rsid w:val="38A94C99"/>
    <w:rsid w:val="38CC7FAC"/>
    <w:rsid w:val="38D6246F"/>
    <w:rsid w:val="38D97279"/>
    <w:rsid w:val="38DF7CCF"/>
    <w:rsid w:val="38E26BF0"/>
    <w:rsid w:val="38F00189"/>
    <w:rsid w:val="39194763"/>
    <w:rsid w:val="39237490"/>
    <w:rsid w:val="392E5E59"/>
    <w:rsid w:val="393468E8"/>
    <w:rsid w:val="395806F3"/>
    <w:rsid w:val="39A30AFB"/>
    <w:rsid w:val="39AB7BB1"/>
    <w:rsid w:val="39BD1693"/>
    <w:rsid w:val="39D4728C"/>
    <w:rsid w:val="39D96DB9"/>
    <w:rsid w:val="39E76710"/>
    <w:rsid w:val="3A025F20"/>
    <w:rsid w:val="3A3C70DA"/>
    <w:rsid w:val="3A43428E"/>
    <w:rsid w:val="3A5D3099"/>
    <w:rsid w:val="3A7916ED"/>
    <w:rsid w:val="3A7F4240"/>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73351"/>
    <w:rsid w:val="3D0F48FB"/>
    <w:rsid w:val="3D182F2B"/>
    <w:rsid w:val="3D314871"/>
    <w:rsid w:val="3D4A5933"/>
    <w:rsid w:val="3D4B4DAF"/>
    <w:rsid w:val="3D573AAE"/>
    <w:rsid w:val="3D7C2E18"/>
    <w:rsid w:val="3D920342"/>
    <w:rsid w:val="3DA9164D"/>
    <w:rsid w:val="3DA959C3"/>
    <w:rsid w:val="3DAF5796"/>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4940F4"/>
    <w:rsid w:val="3F5465F5"/>
    <w:rsid w:val="3F5B2410"/>
    <w:rsid w:val="3F744EE9"/>
    <w:rsid w:val="3F817D6A"/>
    <w:rsid w:val="3F825AEE"/>
    <w:rsid w:val="3FA70E1B"/>
    <w:rsid w:val="3FAA7BDC"/>
    <w:rsid w:val="3FAF4912"/>
    <w:rsid w:val="3FC410CC"/>
    <w:rsid w:val="3FD11DB9"/>
    <w:rsid w:val="3FD55988"/>
    <w:rsid w:val="3FE67B95"/>
    <w:rsid w:val="3FF027C2"/>
    <w:rsid w:val="3FFD0D04"/>
    <w:rsid w:val="40093884"/>
    <w:rsid w:val="40565146"/>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70522"/>
    <w:rsid w:val="425A2175"/>
    <w:rsid w:val="429462ED"/>
    <w:rsid w:val="429D02B3"/>
    <w:rsid w:val="42BC7DDF"/>
    <w:rsid w:val="42CE66BF"/>
    <w:rsid w:val="42D261AF"/>
    <w:rsid w:val="42F11B77"/>
    <w:rsid w:val="43076C51"/>
    <w:rsid w:val="43144A19"/>
    <w:rsid w:val="431E796B"/>
    <w:rsid w:val="432B6824"/>
    <w:rsid w:val="437454B8"/>
    <w:rsid w:val="437E2698"/>
    <w:rsid w:val="438517A3"/>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2B1094"/>
    <w:rsid w:val="4554098B"/>
    <w:rsid w:val="455C04E9"/>
    <w:rsid w:val="455E3D2A"/>
    <w:rsid w:val="45797C51"/>
    <w:rsid w:val="45A168B6"/>
    <w:rsid w:val="45CD7101"/>
    <w:rsid w:val="45E226B4"/>
    <w:rsid w:val="45EE4E64"/>
    <w:rsid w:val="460103E6"/>
    <w:rsid w:val="461B2714"/>
    <w:rsid w:val="462D264E"/>
    <w:rsid w:val="463540A2"/>
    <w:rsid w:val="46380A1F"/>
    <w:rsid w:val="46456C98"/>
    <w:rsid w:val="46843CA3"/>
    <w:rsid w:val="46A37606"/>
    <w:rsid w:val="46C13F14"/>
    <w:rsid w:val="46C2653A"/>
    <w:rsid w:val="46F41301"/>
    <w:rsid w:val="46FB4D1C"/>
    <w:rsid w:val="46FC6C97"/>
    <w:rsid w:val="471072A6"/>
    <w:rsid w:val="4723347D"/>
    <w:rsid w:val="472B0583"/>
    <w:rsid w:val="473D2DF8"/>
    <w:rsid w:val="474820C5"/>
    <w:rsid w:val="474B29D4"/>
    <w:rsid w:val="47DF1BC9"/>
    <w:rsid w:val="47E169C7"/>
    <w:rsid w:val="47F06548"/>
    <w:rsid w:val="47F66832"/>
    <w:rsid w:val="4807508B"/>
    <w:rsid w:val="48117779"/>
    <w:rsid w:val="48147089"/>
    <w:rsid w:val="4823125B"/>
    <w:rsid w:val="48344EE2"/>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BBD5CA0"/>
    <w:rsid w:val="4C086960"/>
    <w:rsid w:val="4C0A2876"/>
    <w:rsid w:val="4C172B42"/>
    <w:rsid w:val="4C1C265B"/>
    <w:rsid w:val="4C3E203F"/>
    <w:rsid w:val="4C43011D"/>
    <w:rsid w:val="4C4A2448"/>
    <w:rsid w:val="4C554A2E"/>
    <w:rsid w:val="4C5B0FC3"/>
    <w:rsid w:val="4C683269"/>
    <w:rsid w:val="4C6D7CC2"/>
    <w:rsid w:val="4C7F642D"/>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D61585"/>
    <w:rsid w:val="4EE51018"/>
    <w:rsid w:val="4EF034BC"/>
    <w:rsid w:val="4F3A5808"/>
    <w:rsid w:val="4F4A3571"/>
    <w:rsid w:val="4F586C65"/>
    <w:rsid w:val="4F5A7340"/>
    <w:rsid w:val="4F642155"/>
    <w:rsid w:val="4F73779A"/>
    <w:rsid w:val="4F882826"/>
    <w:rsid w:val="4F9658AD"/>
    <w:rsid w:val="4F986F22"/>
    <w:rsid w:val="4FB97DFA"/>
    <w:rsid w:val="4FCA62BD"/>
    <w:rsid w:val="4FD6299B"/>
    <w:rsid w:val="4FD9320F"/>
    <w:rsid w:val="4FDC241B"/>
    <w:rsid w:val="4FE31E02"/>
    <w:rsid w:val="4FFC5956"/>
    <w:rsid w:val="50011E81"/>
    <w:rsid w:val="501222E0"/>
    <w:rsid w:val="50346648"/>
    <w:rsid w:val="50362B19"/>
    <w:rsid w:val="503746DC"/>
    <w:rsid w:val="508104D8"/>
    <w:rsid w:val="50902684"/>
    <w:rsid w:val="50C95B9B"/>
    <w:rsid w:val="50DB55BF"/>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1F40F35"/>
    <w:rsid w:val="520277E1"/>
    <w:rsid w:val="52416EAD"/>
    <w:rsid w:val="52552958"/>
    <w:rsid w:val="52693681"/>
    <w:rsid w:val="526A01B2"/>
    <w:rsid w:val="526D7CA2"/>
    <w:rsid w:val="527103FC"/>
    <w:rsid w:val="5281374D"/>
    <w:rsid w:val="528A0854"/>
    <w:rsid w:val="52943481"/>
    <w:rsid w:val="529A792F"/>
    <w:rsid w:val="52A4759B"/>
    <w:rsid w:val="52B35629"/>
    <w:rsid w:val="52D32AFD"/>
    <w:rsid w:val="52E361B6"/>
    <w:rsid w:val="53085A69"/>
    <w:rsid w:val="53256836"/>
    <w:rsid w:val="532A16EF"/>
    <w:rsid w:val="532E7431"/>
    <w:rsid w:val="53430A03"/>
    <w:rsid w:val="53481136"/>
    <w:rsid w:val="537E4CD3"/>
    <w:rsid w:val="537F060E"/>
    <w:rsid w:val="539F3171"/>
    <w:rsid w:val="53AB5C87"/>
    <w:rsid w:val="53BC2B2A"/>
    <w:rsid w:val="53C50E71"/>
    <w:rsid w:val="53D85C9D"/>
    <w:rsid w:val="54065E7B"/>
    <w:rsid w:val="541303D5"/>
    <w:rsid w:val="542D410C"/>
    <w:rsid w:val="5435659E"/>
    <w:rsid w:val="543C3DD0"/>
    <w:rsid w:val="54531F10"/>
    <w:rsid w:val="54842C37"/>
    <w:rsid w:val="5492579E"/>
    <w:rsid w:val="54A656ED"/>
    <w:rsid w:val="54A84FC1"/>
    <w:rsid w:val="54D1276A"/>
    <w:rsid w:val="54D31542"/>
    <w:rsid w:val="54D73AF9"/>
    <w:rsid w:val="54DD7595"/>
    <w:rsid w:val="54F975CB"/>
    <w:rsid w:val="55195826"/>
    <w:rsid w:val="551B6387"/>
    <w:rsid w:val="553625CD"/>
    <w:rsid w:val="55992337"/>
    <w:rsid w:val="55A62DFB"/>
    <w:rsid w:val="55A90FF1"/>
    <w:rsid w:val="55B77495"/>
    <w:rsid w:val="55CD4E7B"/>
    <w:rsid w:val="55F06C20"/>
    <w:rsid w:val="56064695"/>
    <w:rsid w:val="561F1F50"/>
    <w:rsid w:val="56200CCB"/>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2B43CC"/>
    <w:rsid w:val="58335BEA"/>
    <w:rsid w:val="58553578"/>
    <w:rsid w:val="585F20C3"/>
    <w:rsid w:val="58673D9A"/>
    <w:rsid w:val="5881560A"/>
    <w:rsid w:val="58AD2B6A"/>
    <w:rsid w:val="58BC54DF"/>
    <w:rsid w:val="58C25462"/>
    <w:rsid w:val="58CC7FF4"/>
    <w:rsid w:val="58DF6CF4"/>
    <w:rsid w:val="58FC5CCB"/>
    <w:rsid w:val="58FE78A6"/>
    <w:rsid w:val="5904132B"/>
    <w:rsid w:val="590832CB"/>
    <w:rsid w:val="59157827"/>
    <w:rsid w:val="592C3DDF"/>
    <w:rsid w:val="594400A5"/>
    <w:rsid w:val="59460EC7"/>
    <w:rsid w:val="59503C78"/>
    <w:rsid w:val="59561AE4"/>
    <w:rsid w:val="59814033"/>
    <w:rsid w:val="599C18CE"/>
    <w:rsid w:val="59B2573B"/>
    <w:rsid w:val="59B80FA8"/>
    <w:rsid w:val="59BB12F3"/>
    <w:rsid w:val="59C90F05"/>
    <w:rsid w:val="59DE43F5"/>
    <w:rsid w:val="5A0013FC"/>
    <w:rsid w:val="5A0B12A5"/>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A87115"/>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43DB0"/>
    <w:rsid w:val="5DCC1110"/>
    <w:rsid w:val="5DCD4AF7"/>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332DD"/>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02BF4"/>
    <w:rsid w:val="606445D9"/>
    <w:rsid w:val="6065645C"/>
    <w:rsid w:val="606C77EB"/>
    <w:rsid w:val="60902432"/>
    <w:rsid w:val="60C346C6"/>
    <w:rsid w:val="60C72C73"/>
    <w:rsid w:val="60C73328"/>
    <w:rsid w:val="60CB221D"/>
    <w:rsid w:val="60DD5AFE"/>
    <w:rsid w:val="60E308E3"/>
    <w:rsid w:val="60E40CF5"/>
    <w:rsid w:val="60F021CA"/>
    <w:rsid w:val="60F63558"/>
    <w:rsid w:val="60FE64C3"/>
    <w:rsid w:val="61023CAB"/>
    <w:rsid w:val="61141727"/>
    <w:rsid w:val="611E742B"/>
    <w:rsid w:val="61396DD0"/>
    <w:rsid w:val="6150149C"/>
    <w:rsid w:val="61824BAB"/>
    <w:rsid w:val="618D7A19"/>
    <w:rsid w:val="619C1A0A"/>
    <w:rsid w:val="619F599E"/>
    <w:rsid w:val="61A52D11"/>
    <w:rsid w:val="61A95149"/>
    <w:rsid w:val="61AA08FE"/>
    <w:rsid w:val="61C41ACD"/>
    <w:rsid w:val="61D41829"/>
    <w:rsid w:val="61E239A6"/>
    <w:rsid w:val="61ED3538"/>
    <w:rsid w:val="621A5025"/>
    <w:rsid w:val="623258AE"/>
    <w:rsid w:val="623F15C0"/>
    <w:rsid w:val="625E1FC6"/>
    <w:rsid w:val="626738C6"/>
    <w:rsid w:val="6268150F"/>
    <w:rsid w:val="62764951"/>
    <w:rsid w:val="627971C3"/>
    <w:rsid w:val="62854B94"/>
    <w:rsid w:val="62860F22"/>
    <w:rsid w:val="629628FD"/>
    <w:rsid w:val="62C54F90"/>
    <w:rsid w:val="62D96C8E"/>
    <w:rsid w:val="62DF233A"/>
    <w:rsid w:val="630048F7"/>
    <w:rsid w:val="630A5BB9"/>
    <w:rsid w:val="63215DB8"/>
    <w:rsid w:val="632757F0"/>
    <w:rsid w:val="63473BF7"/>
    <w:rsid w:val="63690012"/>
    <w:rsid w:val="6372336A"/>
    <w:rsid w:val="63812AE7"/>
    <w:rsid w:val="638906B4"/>
    <w:rsid w:val="639257BA"/>
    <w:rsid w:val="63B77B8E"/>
    <w:rsid w:val="63D9570D"/>
    <w:rsid w:val="63FA3360"/>
    <w:rsid w:val="640A78AC"/>
    <w:rsid w:val="64124BF5"/>
    <w:rsid w:val="642D7291"/>
    <w:rsid w:val="645079A9"/>
    <w:rsid w:val="64524F4A"/>
    <w:rsid w:val="64587AB1"/>
    <w:rsid w:val="645A6E29"/>
    <w:rsid w:val="646D3FF3"/>
    <w:rsid w:val="64794284"/>
    <w:rsid w:val="64AB7435"/>
    <w:rsid w:val="64B45093"/>
    <w:rsid w:val="64BC23C3"/>
    <w:rsid w:val="64BE130D"/>
    <w:rsid w:val="64F61D79"/>
    <w:rsid w:val="650A4AEB"/>
    <w:rsid w:val="650B601A"/>
    <w:rsid w:val="6534131C"/>
    <w:rsid w:val="6556703B"/>
    <w:rsid w:val="65605444"/>
    <w:rsid w:val="656A1E1F"/>
    <w:rsid w:val="658C4C92"/>
    <w:rsid w:val="65A17F37"/>
    <w:rsid w:val="65A836AB"/>
    <w:rsid w:val="65A96DEB"/>
    <w:rsid w:val="65AC2341"/>
    <w:rsid w:val="65AD2600"/>
    <w:rsid w:val="65B732B6"/>
    <w:rsid w:val="65BD63F3"/>
    <w:rsid w:val="65E521DF"/>
    <w:rsid w:val="65F04A1A"/>
    <w:rsid w:val="65F750F0"/>
    <w:rsid w:val="661F0E5C"/>
    <w:rsid w:val="663A2D5F"/>
    <w:rsid w:val="666176C6"/>
    <w:rsid w:val="6666618F"/>
    <w:rsid w:val="666B5E4F"/>
    <w:rsid w:val="666E595E"/>
    <w:rsid w:val="66887883"/>
    <w:rsid w:val="668F7750"/>
    <w:rsid w:val="6698031B"/>
    <w:rsid w:val="669907B9"/>
    <w:rsid w:val="669B3919"/>
    <w:rsid w:val="66B27F22"/>
    <w:rsid w:val="66EF082E"/>
    <w:rsid w:val="671B724A"/>
    <w:rsid w:val="67242BCD"/>
    <w:rsid w:val="6736645D"/>
    <w:rsid w:val="675C250A"/>
    <w:rsid w:val="675D1C3B"/>
    <w:rsid w:val="676A54F5"/>
    <w:rsid w:val="6780684F"/>
    <w:rsid w:val="6796339F"/>
    <w:rsid w:val="67FA2386"/>
    <w:rsid w:val="68282249"/>
    <w:rsid w:val="685C6BAE"/>
    <w:rsid w:val="6878082B"/>
    <w:rsid w:val="687D1E6A"/>
    <w:rsid w:val="68C1269E"/>
    <w:rsid w:val="68CD4B9F"/>
    <w:rsid w:val="68D50FF4"/>
    <w:rsid w:val="68D57089"/>
    <w:rsid w:val="68E42F72"/>
    <w:rsid w:val="68F10571"/>
    <w:rsid w:val="69046B3C"/>
    <w:rsid w:val="691A5092"/>
    <w:rsid w:val="692B0CE1"/>
    <w:rsid w:val="69390486"/>
    <w:rsid w:val="69702ECB"/>
    <w:rsid w:val="69747710"/>
    <w:rsid w:val="69767C4D"/>
    <w:rsid w:val="699807EF"/>
    <w:rsid w:val="699B34F7"/>
    <w:rsid w:val="69AC0C58"/>
    <w:rsid w:val="69BF0AD0"/>
    <w:rsid w:val="69C72965"/>
    <w:rsid w:val="69D00DEB"/>
    <w:rsid w:val="69FA3D78"/>
    <w:rsid w:val="6A0E4479"/>
    <w:rsid w:val="6A160FCF"/>
    <w:rsid w:val="6A296146"/>
    <w:rsid w:val="6A452F6A"/>
    <w:rsid w:val="6A8345CE"/>
    <w:rsid w:val="6A885221"/>
    <w:rsid w:val="6A8D4E45"/>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0873FD"/>
    <w:rsid w:val="6C2B439B"/>
    <w:rsid w:val="6C310293"/>
    <w:rsid w:val="6C44786E"/>
    <w:rsid w:val="6C4706F9"/>
    <w:rsid w:val="6C5D7FE5"/>
    <w:rsid w:val="6C8407CA"/>
    <w:rsid w:val="6CB63D1B"/>
    <w:rsid w:val="6CC90D79"/>
    <w:rsid w:val="6CD51EDD"/>
    <w:rsid w:val="6CEF1588"/>
    <w:rsid w:val="6CF94E2F"/>
    <w:rsid w:val="6D0B7AD0"/>
    <w:rsid w:val="6D111628"/>
    <w:rsid w:val="6D3276C6"/>
    <w:rsid w:val="6D6A2812"/>
    <w:rsid w:val="6D6A50B2"/>
    <w:rsid w:val="6D7B2E1B"/>
    <w:rsid w:val="6D8771C3"/>
    <w:rsid w:val="6D8D7674"/>
    <w:rsid w:val="6D9956BA"/>
    <w:rsid w:val="6D9E2FAE"/>
    <w:rsid w:val="6DB21352"/>
    <w:rsid w:val="6DBD4F39"/>
    <w:rsid w:val="6DF51F78"/>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0612C9"/>
    <w:rsid w:val="70820965"/>
    <w:rsid w:val="708557AE"/>
    <w:rsid w:val="70B84386"/>
    <w:rsid w:val="70BF75A4"/>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1B05"/>
    <w:rsid w:val="730438B3"/>
    <w:rsid w:val="733221CE"/>
    <w:rsid w:val="735F1353"/>
    <w:rsid w:val="73702CF6"/>
    <w:rsid w:val="737E24ED"/>
    <w:rsid w:val="738461BF"/>
    <w:rsid w:val="738E367E"/>
    <w:rsid w:val="73934CDB"/>
    <w:rsid w:val="73AA3458"/>
    <w:rsid w:val="73AB1F81"/>
    <w:rsid w:val="73AD3F4B"/>
    <w:rsid w:val="73B01345"/>
    <w:rsid w:val="73B37036"/>
    <w:rsid w:val="73C179F6"/>
    <w:rsid w:val="73C22DCA"/>
    <w:rsid w:val="73E0154A"/>
    <w:rsid w:val="73F76C73"/>
    <w:rsid w:val="741373FD"/>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7C23EB"/>
    <w:rsid w:val="758D39AB"/>
    <w:rsid w:val="758F0A0E"/>
    <w:rsid w:val="7590142E"/>
    <w:rsid w:val="75985BCF"/>
    <w:rsid w:val="75A3686C"/>
    <w:rsid w:val="75AF3FAA"/>
    <w:rsid w:val="75BA57C4"/>
    <w:rsid w:val="75BD0103"/>
    <w:rsid w:val="75F47C0F"/>
    <w:rsid w:val="76075E79"/>
    <w:rsid w:val="76134845"/>
    <w:rsid w:val="763922F4"/>
    <w:rsid w:val="765B1B03"/>
    <w:rsid w:val="767E1BCE"/>
    <w:rsid w:val="768C7E47"/>
    <w:rsid w:val="76910E75"/>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C5725"/>
    <w:rsid w:val="781E5417"/>
    <w:rsid w:val="78271F54"/>
    <w:rsid w:val="78280C22"/>
    <w:rsid w:val="78283BA0"/>
    <w:rsid w:val="782A7F03"/>
    <w:rsid w:val="787615CF"/>
    <w:rsid w:val="78872FBC"/>
    <w:rsid w:val="78CD0CE6"/>
    <w:rsid w:val="790A0797"/>
    <w:rsid w:val="794835E0"/>
    <w:rsid w:val="794E7636"/>
    <w:rsid w:val="79616DC4"/>
    <w:rsid w:val="79673BCA"/>
    <w:rsid w:val="79782241"/>
    <w:rsid w:val="797A667D"/>
    <w:rsid w:val="79927E6B"/>
    <w:rsid w:val="79BC1EC7"/>
    <w:rsid w:val="79E820BE"/>
    <w:rsid w:val="79E92E57"/>
    <w:rsid w:val="79F26B1E"/>
    <w:rsid w:val="7A000C8F"/>
    <w:rsid w:val="7A1443B9"/>
    <w:rsid w:val="7A2D7B93"/>
    <w:rsid w:val="7A6730A5"/>
    <w:rsid w:val="7A6F6591"/>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76E89"/>
    <w:rsid w:val="7B681A01"/>
    <w:rsid w:val="7B7A569B"/>
    <w:rsid w:val="7B7B492E"/>
    <w:rsid w:val="7B86410F"/>
    <w:rsid w:val="7B876E2F"/>
    <w:rsid w:val="7BD3539E"/>
    <w:rsid w:val="7BE35E80"/>
    <w:rsid w:val="7BF546E1"/>
    <w:rsid w:val="7C036300"/>
    <w:rsid w:val="7C18217D"/>
    <w:rsid w:val="7C2B0102"/>
    <w:rsid w:val="7C397120"/>
    <w:rsid w:val="7C47478B"/>
    <w:rsid w:val="7C662EE9"/>
    <w:rsid w:val="7C7A1AE2"/>
    <w:rsid w:val="7C86358B"/>
    <w:rsid w:val="7C8932DF"/>
    <w:rsid w:val="7C9573B2"/>
    <w:rsid w:val="7CB42860"/>
    <w:rsid w:val="7CB71996"/>
    <w:rsid w:val="7CE502B1"/>
    <w:rsid w:val="7CF8678F"/>
    <w:rsid w:val="7CF945BE"/>
    <w:rsid w:val="7D021F92"/>
    <w:rsid w:val="7D11554A"/>
    <w:rsid w:val="7D123E77"/>
    <w:rsid w:val="7D180687"/>
    <w:rsid w:val="7D1E4059"/>
    <w:rsid w:val="7D2C2AE8"/>
    <w:rsid w:val="7D6523DB"/>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A63E7C"/>
    <w:rsid w:val="7FAC6F62"/>
    <w:rsid w:val="7FBF128D"/>
    <w:rsid w:val="7FE76B0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7"/>
    <w:basedOn w:val="1"/>
    <w:next w:val="1"/>
    <w:qFormat/>
    <w:uiPriority w:val="1"/>
    <w:pPr>
      <w:spacing w:before="49"/>
      <w:jc w:val="center"/>
      <w:outlineLvl w:val="6"/>
    </w:pPr>
    <w:rPr>
      <w:sz w:val="36"/>
      <w:szCs w:val="36"/>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table of authorities"/>
    <w:basedOn w:val="1"/>
    <w:next w:val="1"/>
    <w:qFormat/>
    <w:uiPriority w:val="0"/>
    <w:pPr>
      <w:spacing w:before="100" w:beforeAutospacing="1" w:after="100" w:afterAutospacing="1"/>
      <w:ind w:left="200" w:leftChars="200"/>
    </w:pPr>
  </w:style>
  <w:style w:type="paragraph" w:styleId="10">
    <w:name w:val="toa heading"/>
    <w:basedOn w:val="1"/>
    <w:next w:val="1"/>
    <w:qFormat/>
    <w:uiPriority w:val="0"/>
    <w:pPr>
      <w:widowControl/>
      <w:autoSpaceDE/>
      <w:autoSpaceDN/>
      <w:spacing w:before="120" w:after="0" w:line="240" w:lineRule="auto"/>
      <w:ind w:left="0" w:firstLine="3584"/>
    </w:pPr>
  </w:style>
  <w:style w:type="paragraph" w:styleId="11">
    <w:name w:val="annotation text"/>
    <w:basedOn w:val="1"/>
    <w:link w:val="55"/>
    <w:qFormat/>
    <w:uiPriority w:val="99"/>
    <w:pPr>
      <w:jc w:val="left"/>
    </w:pPr>
  </w:style>
  <w:style w:type="paragraph" w:styleId="12">
    <w:name w:val="Body Text"/>
    <w:basedOn w:val="1"/>
    <w:link w:val="56"/>
    <w:qFormat/>
    <w:uiPriority w:val="0"/>
    <w:pPr>
      <w:tabs>
        <w:tab w:val="left" w:pos="567"/>
      </w:tabs>
      <w:spacing w:before="120" w:line="22" w:lineRule="atLeast"/>
    </w:pPr>
    <w:rPr>
      <w:rFonts w:ascii="宋体" w:hAnsi="宋体"/>
      <w:sz w:val="24"/>
    </w:rPr>
  </w:style>
  <w:style w:type="paragraph" w:styleId="13">
    <w:name w:val="Body Text Indent"/>
    <w:basedOn w:val="1"/>
    <w:next w:val="14"/>
    <w:qFormat/>
    <w:uiPriority w:val="0"/>
    <w:pPr>
      <w:spacing w:line="360" w:lineRule="auto"/>
      <w:ind w:firstLine="570"/>
    </w:pPr>
    <w:rPr>
      <w:sz w:val="24"/>
    </w:rPr>
  </w:style>
  <w:style w:type="paragraph" w:styleId="14">
    <w:name w:val="Body Text First Indent 2"/>
    <w:basedOn w:val="13"/>
    <w:next w:val="5"/>
    <w:qFormat/>
    <w:uiPriority w:val="99"/>
    <w:pPr>
      <w:ind w:firstLine="420" w:firstLineChars="200"/>
    </w:pPr>
  </w:style>
  <w:style w:type="paragraph" w:styleId="15">
    <w:name w:val="Block Text"/>
    <w:basedOn w:val="1"/>
    <w:unhideWhenUsed/>
    <w:qFormat/>
    <w:uiPriority w:val="99"/>
    <w:pPr>
      <w:spacing w:after="120"/>
      <w:ind w:left="1440" w:leftChars="700" w:right="700" w:rightChars="700"/>
    </w:pPr>
  </w:style>
  <w:style w:type="paragraph" w:styleId="16">
    <w:name w:val="toc 5"/>
    <w:basedOn w:val="1"/>
    <w:next w:val="1"/>
    <w:qFormat/>
    <w:uiPriority w:val="39"/>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link w:val="57"/>
    <w:qFormat/>
    <w:uiPriority w:val="0"/>
    <w:rPr>
      <w:rFonts w:ascii="宋体" w:hAnsi="Courier New"/>
      <w:szCs w:val="20"/>
    </w:rPr>
  </w:style>
  <w:style w:type="paragraph" w:styleId="19">
    <w:name w:val="toc 8"/>
    <w:basedOn w:val="1"/>
    <w:next w:val="1"/>
    <w:qFormat/>
    <w:uiPriority w:val="39"/>
    <w:pPr>
      <w:ind w:left="2940" w:leftChars="1400"/>
    </w:pPr>
  </w:style>
  <w:style w:type="paragraph" w:styleId="20">
    <w:name w:val="index 3"/>
    <w:basedOn w:val="1"/>
    <w:next w:val="1"/>
    <w:qFormat/>
    <w:uiPriority w:val="0"/>
    <w:pPr>
      <w:widowControl/>
      <w:ind w:left="720" w:hanging="240"/>
    </w:pPr>
  </w:style>
  <w:style w:type="paragraph" w:styleId="21">
    <w:name w:val="Date"/>
    <w:basedOn w:val="1"/>
    <w:next w:val="1"/>
    <w:link w:val="58"/>
    <w:qFormat/>
    <w:uiPriority w:val="0"/>
    <w:pPr>
      <w:ind w:left="100" w:leftChars="2500"/>
    </w:pPr>
    <w:rPr>
      <w:rFonts w:ascii="仿宋_GB2312" w:hAnsi="宋体" w:eastAsia="仿宋_GB2312"/>
      <w:color w:val="000000"/>
      <w:sz w:val="24"/>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Balloon Text"/>
    <w:basedOn w:val="1"/>
    <w:link w:val="59"/>
    <w:qFormat/>
    <w:uiPriority w:val="0"/>
    <w:rPr>
      <w:sz w:val="18"/>
      <w:szCs w:val="18"/>
    </w:rPr>
  </w:style>
  <w:style w:type="paragraph" w:styleId="24">
    <w:name w:val="footer"/>
    <w:basedOn w:val="1"/>
    <w:link w:val="6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39"/>
    <w:pPr>
      <w:ind w:left="1260" w:leftChars="600"/>
    </w:pPr>
  </w:style>
  <w:style w:type="paragraph" w:styleId="28">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9">
    <w:name w:val="footnote text"/>
    <w:basedOn w:val="1"/>
    <w:qFormat/>
    <w:uiPriority w:val="0"/>
    <w:pPr>
      <w:snapToGrid w:val="0"/>
      <w:jc w:val="left"/>
    </w:pPr>
    <w:rPr>
      <w:sz w:val="18"/>
    </w:rPr>
  </w:style>
  <w:style w:type="paragraph" w:styleId="30">
    <w:name w:val="toc 6"/>
    <w:basedOn w:val="1"/>
    <w:next w:val="1"/>
    <w:qFormat/>
    <w:uiPriority w:val="39"/>
    <w:pPr>
      <w:ind w:left="2100" w:leftChars="1000"/>
    </w:pPr>
  </w:style>
  <w:style w:type="paragraph" w:styleId="31">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2">
    <w:name w:val="index 7"/>
    <w:basedOn w:val="1"/>
    <w:next w:val="1"/>
    <w:qFormat/>
    <w:uiPriority w:val="0"/>
    <w:pPr>
      <w:autoSpaceDE/>
      <w:autoSpaceDN/>
      <w:adjustRightInd/>
      <w:ind w:left="1200" w:leftChars="1200"/>
    </w:pPr>
    <w:rPr>
      <w:color w:val="auto"/>
      <w:kern w:val="2"/>
      <w:szCs w:val="24"/>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Body Text 2"/>
    <w:basedOn w:val="1"/>
    <w:next w:val="20"/>
    <w:unhideWhenUsed/>
    <w:qFormat/>
    <w:uiPriority w:val="0"/>
    <w:pPr>
      <w:spacing w:after="120" w:line="480" w:lineRule="auto"/>
    </w:pPr>
    <w:rPr>
      <w:rFonts w:ascii="Calibri" w:hAnsi="Calibri" w:eastAsia="宋体" w:cs="Times New Roman"/>
    </w:rPr>
  </w:style>
  <w:style w:type="paragraph" w:styleId="36">
    <w:name w:val="Normal (Web)"/>
    <w:basedOn w:val="1"/>
    <w:qFormat/>
    <w:uiPriority w:val="0"/>
    <w:pPr>
      <w:spacing w:before="75" w:after="75"/>
    </w:pPr>
    <w:rPr>
      <w:sz w:val="24"/>
    </w:rPr>
  </w:style>
  <w:style w:type="paragraph" w:styleId="37">
    <w:name w:val="index 1"/>
    <w:basedOn w:val="1"/>
    <w:next w:val="1"/>
    <w:semiHidden/>
    <w:qFormat/>
    <w:uiPriority w:val="0"/>
    <w:rPr>
      <w:szCs w:val="20"/>
    </w:rPr>
  </w:style>
  <w:style w:type="paragraph" w:styleId="38">
    <w:name w:val="annotation subject"/>
    <w:basedOn w:val="11"/>
    <w:next w:val="11"/>
    <w:link w:val="62"/>
    <w:qFormat/>
    <w:uiPriority w:val="0"/>
    <w:rPr>
      <w:b/>
      <w:bCs/>
    </w:rPr>
  </w:style>
  <w:style w:type="paragraph" w:styleId="39">
    <w:name w:val="Body Text First Indent"/>
    <w:basedOn w:val="12"/>
    <w:qFormat/>
    <w:uiPriority w:val="0"/>
    <w:pPr>
      <w:widowControl/>
      <w:spacing w:line="312" w:lineRule="auto"/>
      <w:ind w:firstLine="420" w:firstLineChars="100"/>
    </w:pPr>
    <w:rPr>
      <w:rFonts w:hint="eastAsia" w:ascii="微软雅黑" w:hAnsi="微软雅黑" w:eastAsia="微软雅黑" w:cs="微软雅黑"/>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basedOn w:val="42"/>
    <w:qFormat/>
    <w:uiPriority w:val="0"/>
  </w:style>
  <w:style w:type="character" w:styleId="45">
    <w:name w:val="Emphasis"/>
    <w:basedOn w:val="42"/>
    <w:qFormat/>
    <w:uiPriority w:val="0"/>
    <w:rPr>
      <w:i/>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paragraph" w:customStyle="1" w:styleId="48">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50">
    <w:name w:val="标题 3 Char"/>
    <w:link w:val="4"/>
    <w:qFormat/>
    <w:uiPriority w:val="0"/>
    <w:rPr>
      <w:rFonts w:ascii="宋体"/>
      <w:b/>
      <w:sz w:val="24"/>
      <w:u w:val="single"/>
    </w:rPr>
  </w:style>
  <w:style w:type="paragraph" w:customStyle="1" w:styleId="51">
    <w:name w:val="4正文"/>
    <w:basedOn w:val="1"/>
    <w:qFormat/>
    <w:uiPriority w:val="0"/>
    <w:pPr>
      <w:jc w:val="left"/>
    </w:pPr>
    <w:rPr>
      <w:szCs w:val="24"/>
    </w:rPr>
  </w:style>
  <w:style w:type="paragraph" w:customStyle="1" w:styleId="5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3">
    <w:name w:val="标题 2 Char"/>
    <w:link w:val="3"/>
    <w:qFormat/>
    <w:uiPriority w:val="0"/>
    <w:rPr>
      <w:rFonts w:ascii="Arial" w:hAnsi="Arial" w:eastAsia="黑体"/>
      <w:b/>
      <w:sz w:val="30"/>
    </w:rPr>
  </w:style>
  <w:style w:type="character" w:customStyle="1" w:styleId="54">
    <w:name w:val="标题 1 Char"/>
    <w:link w:val="2"/>
    <w:qFormat/>
    <w:uiPriority w:val="0"/>
    <w:rPr>
      <w:rFonts w:ascii="宋体"/>
      <w:b/>
      <w:kern w:val="44"/>
      <w:sz w:val="32"/>
    </w:rPr>
  </w:style>
  <w:style w:type="character" w:customStyle="1" w:styleId="55">
    <w:name w:val="批注文字 Char"/>
    <w:link w:val="11"/>
    <w:qFormat/>
    <w:uiPriority w:val="99"/>
    <w:rPr>
      <w:kern w:val="2"/>
      <w:sz w:val="21"/>
      <w:szCs w:val="24"/>
    </w:rPr>
  </w:style>
  <w:style w:type="character" w:customStyle="1" w:styleId="56">
    <w:name w:val="正文文本 Char"/>
    <w:link w:val="12"/>
    <w:qFormat/>
    <w:uiPriority w:val="0"/>
    <w:rPr>
      <w:rFonts w:ascii="宋体" w:hAnsi="宋体"/>
      <w:kern w:val="2"/>
      <w:sz w:val="24"/>
      <w:szCs w:val="24"/>
    </w:rPr>
  </w:style>
  <w:style w:type="character" w:customStyle="1" w:styleId="57">
    <w:name w:val="纯文本 Char"/>
    <w:link w:val="18"/>
    <w:qFormat/>
    <w:uiPriority w:val="0"/>
    <w:rPr>
      <w:rFonts w:ascii="宋体" w:hAnsi="Courier New"/>
      <w:kern w:val="2"/>
      <w:sz w:val="21"/>
    </w:rPr>
  </w:style>
  <w:style w:type="character" w:customStyle="1" w:styleId="58">
    <w:name w:val="日期 Char"/>
    <w:link w:val="21"/>
    <w:qFormat/>
    <w:uiPriority w:val="0"/>
    <w:rPr>
      <w:rFonts w:ascii="仿宋_GB2312" w:hAnsi="宋体" w:eastAsia="仿宋_GB2312"/>
      <w:color w:val="000000"/>
      <w:kern w:val="2"/>
      <w:sz w:val="24"/>
      <w:szCs w:val="24"/>
    </w:rPr>
  </w:style>
  <w:style w:type="character" w:customStyle="1" w:styleId="59">
    <w:name w:val="批注框文本 Char"/>
    <w:link w:val="23"/>
    <w:qFormat/>
    <w:uiPriority w:val="0"/>
    <w:rPr>
      <w:kern w:val="2"/>
      <w:sz w:val="18"/>
      <w:szCs w:val="18"/>
    </w:rPr>
  </w:style>
  <w:style w:type="character" w:customStyle="1" w:styleId="60">
    <w:name w:val="页脚 Char"/>
    <w:link w:val="24"/>
    <w:qFormat/>
    <w:uiPriority w:val="99"/>
    <w:rPr>
      <w:rFonts w:ascii="宋体"/>
      <w:sz w:val="18"/>
    </w:rPr>
  </w:style>
  <w:style w:type="character" w:customStyle="1" w:styleId="61">
    <w:name w:val="页眉 Char"/>
    <w:link w:val="25"/>
    <w:qFormat/>
    <w:uiPriority w:val="0"/>
    <w:rPr>
      <w:kern w:val="2"/>
      <w:sz w:val="18"/>
      <w:szCs w:val="18"/>
    </w:rPr>
  </w:style>
  <w:style w:type="character" w:customStyle="1" w:styleId="62">
    <w:name w:val="批注主题 Char"/>
    <w:link w:val="38"/>
    <w:qFormat/>
    <w:uiPriority w:val="0"/>
    <w:rPr>
      <w:b/>
      <w:bCs/>
      <w:kern w:val="2"/>
      <w:sz w:val="21"/>
      <w:szCs w:val="24"/>
    </w:rPr>
  </w:style>
  <w:style w:type="paragraph" w:customStyle="1" w:styleId="63">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64">
    <w:name w:val="bookmark-item"/>
    <w:basedOn w:val="42"/>
    <w:qFormat/>
    <w:uiPriority w:val="0"/>
  </w:style>
  <w:style w:type="character" w:customStyle="1" w:styleId="65">
    <w:name w:val="font31"/>
    <w:basedOn w:val="42"/>
    <w:qFormat/>
    <w:uiPriority w:val="0"/>
    <w:rPr>
      <w:rFonts w:hint="eastAsia" w:ascii="宋体" w:hAnsi="宋体" w:eastAsia="宋体" w:cs="宋体"/>
      <w:color w:val="000000"/>
      <w:sz w:val="22"/>
      <w:szCs w:val="22"/>
      <w:u w:val="none"/>
    </w:rPr>
  </w:style>
  <w:style w:type="character" w:customStyle="1" w:styleId="66">
    <w:name w:val="批注框文本 Char1"/>
    <w:semiHidden/>
    <w:qFormat/>
    <w:uiPriority w:val="99"/>
    <w:rPr>
      <w:kern w:val="2"/>
      <w:sz w:val="18"/>
      <w:szCs w:val="18"/>
    </w:rPr>
  </w:style>
  <w:style w:type="character" w:customStyle="1" w:styleId="67">
    <w:name w:val="页眉 Char1"/>
    <w:semiHidden/>
    <w:qFormat/>
    <w:uiPriority w:val="99"/>
    <w:rPr>
      <w:kern w:val="2"/>
      <w:sz w:val="18"/>
      <w:szCs w:val="18"/>
    </w:rPr>
  </w:style>
  <w:style w:type="character" w:customStyle="1" w:styleId="68">
    <w:name w:val="纯文本 Char1"/>
    <w:link w:val="69"/>
    <w:qFormat/>
    <w:uiPriority w:val="0"/>
    <w:rPr>
      <w:rFonts w:ascii="宋体" w:hAnsi="Courier New"/>
    </w:rPr>
  </w:style>
  <w:style w:type="paragraph" w:customStyle="1" w:styleId="69">
    <w:name w:val="纯文本1"/>
    <w:basedOn w:val="1"/>
    <w:link w:val="68"/>
    <w:qFormat/>
    <w:uiPriority w:val="0"/>
    <w:rPr>
      <w:rFonts w:ascii="宋体" w:hAnsi="Courier New"/>
      <w:kern w:val="0"/>
      <w:sz w:val="20"/>
      <w:szCs w:val="20"/>
    </w:rPr>
  </w:style>
  <w:style w:type="character" w:customStyle="1" w:styleId="70">
    <w:name w:val="正文缩进 Char1"/>
    <w:link w:val="71"/>
    <w:qFormat/>
    <w:uiPriority w:val="0"/>
    <w:rPr>
      <w:rFonts w:ascii="宋体"/>
      <w:sz w:val="24"/>
    </w:rPr>
  </w:style>
  <w:style w:type="paragraph" w:customStyle="1" w:styleId="71">
    <w:name w:val="正文缩进1"/>
    <w:basedOn w:val="1"/>
    <w:link w:val="70"/>
    <w:qFormat/>
    <w:uiPriority w:val="0"/>
    <w:pPr>
      <w:autoSpaceDE w:val="0"/>
      <w:autoSpaceDN w:val="0"/>
      <w:adjustRightInd w:val="0"/>
      <w:ind w:firstLine="420"/>
      <w:jc w:val="left"/>
    </w:pPr>
    <w:rPr>
      <w:rFonts w:ascii="宋体"/>
      <w:kern w:val="0"/>
      <w:sz w:val="24"/>
      <w:szCs w:val="20"/>
    </w:rPr>
  </w:style>
  <w:style w:type="character" w:customStyle="1" w:styleId="72">
    <w:name w:val="font21"/>
    <w:basedOn w:val="42"/>
    <w:qFormat/>
    <w:uiPriority w:val="0"/>
    <w:rPr>
      <w:rFonts w:hint="eastAsia" w:ascii="宋体" w:hAnsi="宋体" w:eastAsia="宋体" w:cs="宋体"/>
      <w:b/>
      <w:color w:val="000000"/>
      <w:sz w:val="20"/>
      <w:szCs w:val="20"/>
      <w:u w:val="none"/>
    </w:rPr>
  </w:style>
  <w:style w:type="character" w:customStyle="1" w:styleId="73">
    <w:name w:val="批注文字 Char1"/>
    <w:semiHidden/>
    <w:qFormat/>
    <w:uiPriority w:val="99"/>
    <w:rPr>
      <w:kern w:val="2"/>
      <w:sz w:val="21"/>
      <w:szCs w:val="24"/>
    </w:rPr>
  </w:style>
  <w:style w:type="character" w:customStyle="1" w:styleId="74">
    <w:name w:val="批注主题 Char1"/>
    <w:semiHidden/>
    <w:qFormat/>
    <w:uiPriority w:val="99"/>
    <w:rPr>
      <w:b/>
      <w:bCs/>
      <w:kern w:val="2"/>
      <w:sz w:val="21"/>
      <w:szCs w:val="24"/>
    </w:rPr>
  </w:style>
  <w:style w:type="paragraph" w:styleId="75">
    <w:name w:val="List Paragraph"/>
    <w:basedOn w:val="1"/>
    <w:qFormat/>
    <w:uiPriority w:val="34"/>
    <w:pPr>
      <w:widowControl/>
      <w:ind w:firstLine="420" w:firstLineChars="200"/>
      <w:jc w:val="left"/>
    </w:pPr>
    <w:rPr>
      <w:kern w:val="0"/>
      <w:sz w:val="24"/>
    </w:rPr>
  </w:style>
  <w:style w:type="paragraph" w:customStyle="1" w:styleId="76">
    <w:name w:val="列出段落1"/>
    <w:basedOn w:val="1"/>
    <w:qFormat/>
    <w:uiPriority w:val="34"/>
    <w:pPr>
      <w:widowControl/>
      <w:ind w:firstLine="420" w:firstLineChars="200"/>
      <w:jc w:val="left"/>
    </w:pPr>
    <w:rPr>
      <w:kern w:val="0"/>
      <w:sz w:val="24"/>
    </w:rPr>
  </w:style>
  <w:style w:type="paragraph" w:customStyle="1" w:styleId="7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8">
    <w:name w:val="Char"/>
    <w:basedOn w:val="1"/>
    <w:qFormat/>
    <w:uiPriority w:val="0"/>
    <w:pPr>
      <w:tabs>
        <w:tab w:val="left" w:pos="360"/>
      </w:tabs>
    </w:pPr>
    <w:rPr>
      <w:sz w:val="24"/>
    </w:rPr>
  </w:style>
  <w:style w:type="paragraph" w:customStyle="1" w:styleId="79">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80">
    <w:name w:val="Table Paragraph"/>
    <w:basedOn w:val="1"/>
    <w:qFormat/>
    <w:uiPriority w:val="1"/>
    <w:rPr>
      <w:rFonts w:ascii="宋体" w:hAnsi="宋体" w:eastAsia="宋体" w:cs="宋体"/>
      <w:lang w:val="zh-CN" w:eastAsia="zh-CN" w:bidi="zh-CN"/>
    </w:rPr>
  </w:style>
  <w:style w:type="paragraph" w:customStyle="1" w:styleId="8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82">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83">
    <w:name w:val="索引 11"/>
    <w:basedOn w:val="1"/>
    <w:next w:val="1"/>
    <w:qFormat/>
    <w:uiPriority w:val="0"/>
    <w:pPr>
      <w:spacing w:line="360" w:lineRule="auto"/>
    </w:pPr>
    <w:rPr>
      <w:rFonts w:ascii="仿宋_GB2312" w:eastAsia="仿宋_GB2312"/>
      <w:sz w:val="24"/>
      <w:szCs w:val="20"/>
    </w:rPr>
  </w:style>
  <w:style w:type="table" w:customStyle="1" w:styleId="84">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85">
    <w:name w:val="font51"/>
    <w:basedOn w:val="42"/>
    <w:qFormat/>
    <w:uiPriority w:val="0"/>
    <w:rPr>
      <w:rFonts w:hint="eastAsia" w:ascii="宋体" w:hAnsi="宋体" w:eastAsia="宋体" w:cs="宋体"/>
      <w:color w:val="000000"/>
      <w:sz w:val="20"/>
      <w:szCs w:val="20"/>
      <w:u w:val="none"/>
    </w:rPr>
  </w:style>
  <w:style w:type="character" w:customStyle="1" w:styleId="86">
    <w:name w:val="font11"/>
    <w:basedOn w:val="42"/>
    <w:qFormat/>
    <w:uiPriority w:val="0"/>
    <w:rPr>
      <w:rFonts w:hint="default" w:ascii="Times New Roman" w:hAnsi="Times New Roman" w:cs="Times New Roman"/>
      <w:color w:val="000000"/>
      <w:sz w:val="20"/>
      <w:szCs w:val="20"/>
      <w:u w:val="none"/>
    </w:rPr>
  </w:style>
  <w:style w:type="character" w:customStyle="1" w:styleId="87">
    <w:name w:val="font71"/>
    <w:basedOn w:val="42"/>
    <w:qFormat/>
    <w:uiPriority w:val="0"/>
    <w:rPr>
      <w:rFonts w:hint="eastAsia" w:ascii="宋体" w:hAnsi="宋体" w:eastAsia="宋体" w:cs="宋体"/>
      <w:b/>
      <w:bCs/>
      <w:color w:val="000000"/>
      <w:sz w:val="24"/>
      <w:szCs w:val="24"/>
      <w:u w:val="none"/>
    </w:rPr>
  </w:style>
  <w:style w:type="character" w:customStyle="1" w:styleId="88">
    <w:name w:val="font121"/>
    <w:basedOn w:val="42"/>
    <w:qFormat/>
    <w:uiPriority w:val="0"/>
    <w:rPr>
      <w:rFonts w:hint="default" w:ascii="Times New Roman" w:hAnsi="Times New Roman" w:cs="Times New Roman"/>
      <w:b/>
      <w:bCs/>
      <w:color w:val="000000"/>
      <w:sz w:val="24"/>
      <w:szCs w:val="24"/>
      <w:u w:val="none"/>
    </w:rPr>
  </w:style>
  <w:style w:type="character" w:customStyle="1" w:styleId="89">
    <w:name w:val="font41"/>
    <w:basedOn w:val="42"/>
    <w:qFormat/>
    <w:uiPriority w:val="0"/>
    <w:rPr>
      <w:rFonts w:hint="eastAsia" w:ascii="宋体" w:hAnsi="宋体" w:eastAsia="宋体" w:cs="宋体"/>
      <w:color w:val="000000"/>
      <w:sz w:val="20"/>
      <w:szCs w:val="20"/>
      <w:u w:val="none"/>
    </w:rPr>
  </w:style>
  <w:style w:type="character" w:customStyle="1" w:styleId="90">
    <w:name w:val="font01"/>
    <w:basedOn w:val="42"/>
    <w:qFormat/>
    <w:uiPriority w:val="0"/>
    <w:rPr>
      <w:rFonts w:hint="default" w:ascii="Times New Roman" w:hAnsi="Times New Roman" w:cs="Times New Roman"/>
      <w:color w:val="000000"/>
      <w:sz w:val="20"/>
      <w:szCs w:val="20"/>
      <w:u w:val="none"/>
    </w:rPr>
  </w:style>
  <w:style w:type="character" w:customStyle="1" w:styleId="91">
    <w:name w:val="font91"/>
    <w:basedOn w:val="42"/>
    <w:qFormat/>
    <w:uiPriority w:val="0"/>
    <w:rPr>
      <w:rFonts w:hint="default" w:ascii="Times New Roman" w:hAnsi="Times New Roman" w:cs="Times New Roman"/>
      <w:b/>
      <w:bCs/>
      <w:color w:val="000000"/>
      <w:sz w:val="24"/>
      <w:szCs w:val="24"/>
      <w:u w:val="none"/>
    </w:rPr>
  </w:style>
  <w:style w:type="paragraph" w:customStyle="1" w:styleId="92">
    <w:name w:val="普通(网站)1"/>
    <w:basedOn w:val="1"/>
    <w:qFormat/>
    <w:uiPriority w:val="2"/>
    <w:pPr>
      <w:spacing w:before="75" w:after="75"/>
      <w:ind w:left="0" w:right="0" w:firstLine="0"/>
      <w:jc w:val="left"/>
    </w:pPr>
    <w:rPr>
      <w:kern w:val="0"/>
      <w:sz w:val="24"/>
      <w:lang w:val="en-US" w:eastAsia="zh-CN" w:bidi="ar"/>
    </w:rPr>
  </w:style>
  <w:style w:type="paragraph" w:customStyle="1" w:styleId="93">
    <w:name w:val="Table Text"/>
    <w:basedOn w:val="1"/>
    <w:semiHidden/>
    <w:qFormat/>
    <w:uiPriority w:val="0"/>
    <w:rPr>
      <w:rFonts w:ascii="宋体" w:hAnsi="宋体" w:eastAsia="宋体" w:cs="宋体"/>
      <w:sz w:val="20"/>
      <w:szCs w:val="20"/>
    </w:rPr>
  </w:style>
  <w:style w:type="paragraph" w:customStyle="1" w:styleId="94">
    <w:name w:val="Normal_1"/>
    <w:qFormat/>
    <w:uiPriority w:val="0"/>
    <w:rPr>
      <w:rFonts w:ascii="Times New Roman" w:hAnsi="Times New Roman" w:eastAsia="Times New Roman" w:cs="Times New Roman"/>
      <w:sz w:val="24"/>
      <w:szCs w:val="24"/>
      <w:lang w:val="en-US" w:eastAsia="zh-CN" w:bidi="ar-SA"/>
    </w:rPr>
  </w:style>
  <w:style w:type="paragraph" w:customStyle="1" w:styleId="95">
    <w:name w:val="目录 53"/>
    <w:basedOn w:val="1"/>
    <w:next w:val="1"/>
    <w:qFormat/>
    <w:uiPriority w:val="0"/>
    <w:pPr>
      <w:ind w:left="840"/>
    </w:pPr>
    <w:rPr>
      <w:rFonts w:ascii="Times New Roman"/>
      <w:sz w:val="18"/>
    </w:rPr>
  </w:style>
  <w:style w:type="paragraph" w:customStyle="1" w:styleId="96">
    <w:name w:val="正文首行缩进1"/>
    <w:basedOn w:val="12"/>
    <w:qFormat/>
    <w:uiPriority w:val="0"/>
    <w:pPr>
      <w:ind w:firstLine="420"/>
    </w:pPr>
    <w:rPr>
      <w:sz w:val="32"/>
    </w:rPr>
  </w:style>
  <w:style w:type="paragraph" w:customStyle="1" w:styleId="97">
    <w:name w:val="样式1"/>
    <w:basedOn w:val="1"/>
    <w:qFormat/>
    <w:uiPriority w:val="0"/>
    <w:pPr>
      <w:spacing w:line="600" w:lineRule="exact"/>
    </w:pPr>
    <w:rPr>
      <w:rFonts w:eastAsia="仿宋_GB2312" w:asciiTheme="minorAscii" w:hAnsiTheme="minorAscii"/>
      <w:sz w:val="32"/>
    </w:rPr>
  </w:style>
  <w:style w:type="paragraph" w:styleId="98">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12723</Words>
  <Characters>13361</Characters>
  <Lines>374</Lines>
  <Paragraphs>105</Paragraphs>
  <TotalTime>0</TotalTime>
  <ScaleCrop>false</ScaleCrop>
  <LinksUpToDate>false</LinksUpToDate>
  <CharactersWithSpaces>14748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Li成jun</cp:lastModifiedBy>
  <cp:lastPrinted>2026-02-10T12:52:00Z</cp:lastPrinted>
  <dcterms:modified xsi:type="dcterms:W3CDTF">2026-05-13T02:05:13Z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50F1FE7449194FFE80A9FDB80EFC735B_13</vt:lpwstr>
  </property>
  <property fmtid="{D5CDD505-2E9C-101B-9397-08002B2CF9AE}" pid="4" name="KSOTemplateDocerSaveRecord">
    <vt:lpwstr>eyJoZGlkIjoiY2EyNTEwZjMzYjAxNTBiMWQ0MjE0MTYwMGMwMDk1YTkiLCJ1c2VySWQiOiI2MjQ0MjQ3MDYifQ==</vt:lpwstr>
  </property>
</Properties>
</file>