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0344">
      <w:pPr>
        <w:bidi w:val="0"/>
        <w:rPr>
          <w:rFonts w:hint="eastAsia"/>
          <w:highlight w:val="none"/>
        </w:rPr>
      </w:pPr>
    </w:p>
    <w:p w14:paraId="1CCF1228">
      <w:pPr>
        <w:pStyle w:val="49"/>
        <w:ind w:left="0" w:leftChars="0" w:firstLine="0" w:firstLineChars="0"/>
        <w:jc w:val="center"/>
        <w:rPr>
          <w:rFonts w:hint="eastAsia" w:ascii="宋体" w:hAnsi="宋体" w:cs="宋体"/>
          <w:b/>
          <w:bCs/>
          <w:sz w:val="48"/>
          <w:szCs w:val="48"/>
          <w:highlight w:val="none"/>
          <w:lang w:val="en-US" w:eastAsia="zh-CN"/>
        </w:rPr>
      </w:pPr>
      <w:r>
        <w:rPr>
          <w:rFonts w:hint="eastAsia" w:ascii="宋体" w:hAnsi="宋体" w:cs="宋体"/>
          <w:b/>
          <w:bCs/>
          <w:sz w:val="48"/>
          <w:szCs w:val="48"/>
          <w:highlight w:val="none"/>
          <w:lang w:val="en-US" w:eastAsia="zh-CN"/>
        </w:rPr>
        <w:t>乌恰县2026年机关事业单位在职人员雇主责任保险服务采购项目（二次）</w:t>
      </w:r>
    </w:p>
    <w:p w14:paraId="7E9C1DA9">
      <w:pPr>
        <w:pStyle w:val="49"/>
        <w:jc w:val="center"/>
        <w:rPr>
          <w:rFonts w:hint="eastAsia" w:ascii="宋体" w:hAnsi="宋体" w:cs="宋体"/>
          <w:b/>
          <w:bCs/>
          <w:sz w:val="48"/>
          <w:szCs w:val="48"/>
          <w:highlight w:val="none"/>
          <w:lang w:val="en-US" w:eastAsia="zh-CN"/>
        </w:rPr>
      </w:pPr>
    </w:p>
    <w:p w14:paraId="3B4C3D8D">
      <w:pPr>
        <w:pStyle w:val="49"/>
        <w:jc w:val="center"/>
        <w:rPr>
          <w:rFonts w:hint="eastAsia"/>
          <w:color w:val="auto"/>
          <w:highlight w:val="none"/>
          <w:lang w:val="en-US" w:eastAsia="zh-CN"/>
        </w:rPr>
      </w:pPr>
      <w:r>
        <w:rPr>
          <w:rFonts w:hint="eastAsia"/>
          <w:color w:val="auto"/>
          <w:highlight w:val="none"/>
          <w:lang w:val="en-US" w:eastAsia="zh-CN"/>
        </w:rPr>
        <w:t>（</w:t>
      </w:r>
      <w:bookmarkStart w:id="0" w:name="_Toc1641"/>
      <w:r>
        <w:rPr>
          <w:rFonts w:hint="eastAsia" w:ascii="宋体" w:hAnsi="宋体" w:cs="宋体"/>
          <w:b/>
          <w:bCs/>
          <w:color w:val="auto"/>
          <w:kern w:val="0"/>
          <w:sz w:val="32"/>
          <w:szCs w:val="32"/>
          <w:highlight w:val="none"/>
          <w:shd w:val="clear" w:color="auto" w:fill="FFFFFF"/>
        </w:rPr>
        <w:t>项目编号：</w:t>
      </w:r>
      <w:bookmarkEnd w:id="0"/>
      <w:r>
        <w:rPr>
          <w:rFonts w:hint="eastAsia" w:ascii="宋体" w:hAnsi="宋体" w:cs="宋体"/>
          <w:b/>
          <w:bCs/>
          <w:color w:val="auto"/>
          <w:kern w:val="0"/>
          <w:sz w:val="32"/>
          <w:szCs w:val="32"/>
          <w:highlight w:val="none"/>
          <w:shd w:val="clear" w:color="auto" w:fill="FFFFFF"/>
          <w:lang w:val="en-US" w:eastAsia="zh-CN"/>
        </w:rPr>
        <w:t>WQZFCG(ZB)-2026-026</w:t>
      </w:r>
      <w:r>
        <w:rPr>
          <w:rFonts w:hint="eastAsia"/>
          <w:color w:val="auto"/>
          <w:highlight w:val="none"/>
          <w:lang w:val="en-US" w:eastAsia="zh-CN"/>
        </w:rPr>
        <w:t>）</w:t>
      </w:r>
    </w:p>
    <w:p w14:paraId="6A8C72F5">
      <w:pPr>
        <w:pStyle w:val="49"/>
        <w:jc w:val="center"/>
        <w:rPr>
          <w:rFonts w:hint="eastAsia"/>
          <w:sz w:val="28"/>
          <w:szCs w:val="28"/>
          <w:highlight w:val="none"/>
          <w:lang w:val="en-US" w:eastAsia="zh-CN"/>
        </w:rPr>
      </w:pPr>
    </w:p>
    <w:p w14:paraId="4C0E805B">
      <w:pPr>
        <w:pStyle w:val="49"/>
        <w:jc w:val="center"/>
        <w:rPr>
          <w:rFonts w:hint="default"/>
          <w:sz w:val="28"/>
          <w:szCs w:val="28"/>
          <w:highlight w:val="none"/>
          <w:lang w:val="en-US" w:eastAsia="zh-CN"/>
        </w:rPr>
      </w:pPr>
    </w:p>
    <w:p w14:paraId="5A5697EB">
      <w:pPr>
        <w:pStyle w:val="49"/>
        <w:jc w:val="center"/>
        <w:rPr>
          <w:rFonts w:hint="default"/>
          <w:sz w:val="28"/>
          <w:szCs w:val="28"/>
          <w:highlight w:val="none"/>
          <w:lang w:val="en-US" w:eastAsia="zh-CN"/>
        </w:rPr>
      </w:pPr>
    </w:p>
    <w:p w14:paraId="53833F2E">
      <w:pPr>
        <w:pStyle w:val="49"/>
        <w:ind w:left="0" w:leftChars="0" w:firstLine="0" w:firstLineChars="0"/>
        <w:jc w:val="both"/>
        <w:rPr>
          <w:rFonts w:hint="default"/>
          <w:sz w:val="28"/>
          <w:szCs w:val="28"/>
          <w:highlight w:val="none"/>
          <w:lang w:val="en-US" w:eastAsia="zh-CN"/>
        </w:rPr>
      </w:pPr>
    </w:p>
    <w:p w14:paraId="4F18E779">
      <w:pPr>
        <w:pStyle w:val="49"/>
        <w:jc w:val="center"/>
        <w:rPr>
          <w:rFonts w:hint="default"/>
          <w:sz w:val="28"/>
          <w:szCs w:val="28"/>
          <w:highlight w:val="none"/>
          <w:lang w:val="en-US" w:eastAsia="zh-CN"/>
        </w:rPr>
      </w:pPr>
    </w:p>
    <w:p w14:paraId="27F72566">
      <w:pPr>
        <w:autoSpaceDE w:val="0"/>
        <w:autoSpaceDN w:val="0"/>
        <w:jc w:val="center"/>
        <w:rPr>
          <w:rFonts w:hint="eastAsia" w:ascii="宋体" w:hAnsi="宋体" w:eastAsia="宋体" w:cs="楷体"/>
          <w:b/>
          <w:bCs/>
          <w:sz w:val="72"/>
          <w:szCs w:val="72"/>
          <w:highlight w:val="none"/>
          <w:lang w:val="en-US" w:eastAsia="zh-CN"/>
        </w:rPr>
      </w:pPr>
      <w:r>
        <w:rPr>
          <w:rFonts w:hint="eastAsia" w:ascii="宋体" w:hAnsi="宋体" w:eastAsia="宋体" w:cs="楷体"/>
          <w:b/>
          <w:bCs/>
          <w:sz w:val="72"/>
          <w:szCs w:val="72"/>
          <w:highlight w:val="none"/>
          <w:lang w:val="en-US" w:eastAsia="zh-CN"/>
        </w:rPr>
        <w:t>招标文件</w:t>
      </w:r>
    </w:p>
    <w:p w14:paraId="28930037">
      <w:pPr>
        <w:pStyle w:val="49"/>
        <w:ind w:left="0" w:leftChars="0" w:firstLine="0" w:firstLineChars="0"/>
        <w:rPr>
          <w:rFonts w:hint="eastAsia"/>
          <w:highlight w:val="none"/>
          <w:lang w:val="zh-CN"/>
        </w:rPr>
      </w:pPr>
    </w:p>
    <w:p w14:paraId="49C55B24">
      <w:pPr>
        <w:pStyle w:val="49"/>
        <w:ind w:left="0" w:leftChars="0" w:firstLine="0" w:firstLineChars="0"/>
        <w:rPr>
          <w:rFonts w:hint="eastAsia"/>
          <w:highlight w:val="none"/>
          <w:lang w:val="zh-CN"/>
        </w:rPr>
      </w:pPr>
    </w:p>
    <w:p w14:paraId="17892F43">
      <w:pPr>
        <w:pStyle w:val="49"/>
        <w:ind w:left="0" w:leftChars="0" w:firstLine="0" w:firstLineChars="0"/>
        <w:rPr>
          <w:rFonts w:hint="eastAsia"/>
          <w:highlight w:val="none"/>
          <w:lang w:val="zh-CN"/>
        </w:rPr>
      </w:pPr>
    </w:p>
    <w:p w14:paraId="29952CB9">
      <w:pPr>
        <w:pStyle w:val="49"/>
        <w:ind w:left="0" w:leftChars="0" w:firstLine="0" w:firstLineChars="0"/>
        <w:rPr>
          <w:rFonts w:hint="eastAsia"/>
          <w:highlight w:val="none"/>
          <w:lang w:val="zh-CN"/>
        </w:rPr>
      </w:pPr>
    </w:p>
    <w:p w14:paraId="5F30BAEF">
      <w:pPr>
        <w:pStyle w:val="49"/>
        <w:ind w:left="0" w:leftChars="0" w:firstLine="0" w:firstLineChars="0"/>
        <w:rPr>
          <w:rFonts w:hint="eastAsia"/>
          <w:highlight w:val="none"/>
          <w:lang w:val="zh-CN"/>
        </w:rPr>
      </w:pPr>
    </w:p>
    <w:p w14:paraId="5B7FDABD">
      <w:pPr>
        <w:pStyle w:val="49"/>
        <w:ind w:left="0" w:leftChars="0" w:firstLine="0" w:firstLineChars="0"/>
        <w:rPr>
          <w:rFonts w:hint="eastAsia"/>
          <w:highlight w:val="none"/>
          <w:lang w:val="zh-CN"/>
        </w:rPr>
      </w:pPr>
    </w:p>
    <w:p w14:paraId="30405416">
      <w:pPr>
        <w:widowControl/>
        <w:autoSpaceDE w:val="0"/>
        <w:autoSpaceDN w:val="0"/>
        <w:spacing w:line="600" w:lineRule="auto"/>
        <w:ind w:right="-28" w:firstLine="849" w:firstLineChars="300"/>
        <w:textAlignment w:val="bottom"/>
        <w:rPr>
          <w:rFonts w:hint="eastAsia" w:ascii="宋体" w:hAnsi="宋体" w:cs="宋体"/>
          <w:b/>
          <w:kern w:val="2"/>
          <w:sz w:val="28"/>
          <w:szCs w:val="22"/>
          <w:highlight w:val="none"/>
          <w:lang w:val="en-US" w:eastAsia="zh-CN" w:bidi="ar-SA"/>
        </w:rPr>
      </w:pPr>
      <w:r>
        <w:rPr>
          <w:rFonts w:hint="eastAsia" w:ascii="宋体" w:hAnsi="宋体"/>
          <w:b/>
          <w:sz w:val="28"/>
          <w:szCs w:val="22"/>
          <w:highlight w:val="none"/>
        </w:rPr>
        <w:t>采 购 人：</w:t>
      </w:r>
      <w:r>
        <w:rPr>
          <w:rFonts w:hint="eastAsia" w:ascii="宋体" w:hAnsi="宋体" w:cs="宋体"/>
          <w:b/>
          <w:kern w:val="2"/>
          <w:sz w:val="28"/>
          <w:szCs w:val="22"/>
          <w:highlight w:val="none"/>
          <w:u w:val="single"/>
          <w:lang w:val="en-US" w:eastAsia="zh-CN" w:bidi="ar-SA"/>
        </w:rPr>
        <w:t>乌恰县财政局</w:t>
      </w:r>
      <w:r>
        <w:rPr>
          <w:rFonts w:hint="eastAsia" w:ascii="宋体" w:hAnsi="宋体" w:cs="宋体"/>
          <w:b/>
          <w:kern w:val="2"/>
          <w:sz w:val="28"/>
          <w:szCs w:val="22"/>
          <w:highlight w:val="none"/>
          <w:lang w:val="en-US" w:eastAsia="zh-CN" w:bidi="ar-SA"/>
        </w:rPr>
        <w:t>（盖章）</w:t>
      </w:r>
    </w:p>
    <w:p w14:paraId="03713143">
      <w:pPr>
        <w:widowControl/>
        <w:autoSpaceDE w:val="0"/>
        <w:autoSpaceDN w:val="0"/>
        <w:spacing w:line="600" w:lineRule="auto"/>
        <w:ind w:right="-28" w:firstLine="849" w:firstLineChars="300"/>
        <w:textAlignment w:val="bottom"/>
        <w:rPr>
          <w:rFonts w:hint="eastAsia" w:ascii="宋体" w:hAnsi="宋体"/>
          <w:b/>
          <w:sz w:val="28"/>
          <w:szCs w:val="22"/>
          <w:highlight w:val="none"/>
          <w:lang w:val="en-US" w:eastAsia="zh-CN"/>
        </w:rPr>
      </w:pPr>
      <w:r>
        <w:rPr>
          <w:rFonts w:hint="eastAsia" w:ascii="宋体" w:hAnsi="宋体"/>
          <w:b/>
          <w:sz w:val="28"/>
          <w:szCs w:val="22"/>
          <w:highlight w:val="none"/>
        </w:rPr>
        <w:t>联系人</w:t>
      </w:r>
      <w:r>
        <w:rPr>
          <w:rFonts w:hint="eastAsia" w:ascii="宋体" w:hAnsi="宋体"/>
          <w:b/>
          <w:sz w:val="28"/>
          <w:szCs w:val="22"/>
          <w:highlight w:val="none"/>
          <w:lang w:eastAsia="zh-CN"/>
        </w:rPr>
        <w:t>：</w:t>
      </w:r>
      <w:r>
        <w:rPr>
          <w:rFonts w:hint="eastAsia" w:ascii="宋体" w:hAnsi="宋体"/>
          <w:b/>
          <w:sz w:val="28"/>
          <w:szCs w:val="22"/>
          <w:highlight w:val="none"/>
          <w:u w:val="single"/>
          <w:lang w:val="en-US" w:eastAsia="zh-CN"/>
        </w:rPr>
        <w:t>吴女士</w:t>
      </w:r>
      <w:r>
        <w:rPr>
          <w:rFonts w:hint="eastAsia" w:ascii="宋体" w:hAnsi="宋体"/>
          <w:b/>
          <w:sz w:val="28"/>
          <w:szCs w:val="22"/>
          <w:highlight w:val="none"/>
          <w:lang w:val="en-US" w:eastAsia="zh-CN"/>
        </w:rPr>
        <w:t xml:space="preserve">           </w:t>
      </w:r>
    </w:p>
    <w:p w14:paraId="6A8C3C9E">
      <w:pPr>
        <w:widowControl/>
        <w:autoSpaceDE w:val="0"/>
        <w:autoSpaceDN w:val="0"/>
        <w:spacing w:line="600" w:lineRule="auto"/>
        <w:ind w:right="-28" w:firstLine="849" w:firstLineChars="300"/>
        <w:textAlignment w:val="bottom"/>
        <w:rPr>
          <w:rFonts w:hint="default" w:ascii="宋体" w:hAnsi="宋体"/>
          <w:b/>
          <w:sz w:val="28"/>
          <w:szCs w:val="22"/>
          <w:highlight w:val="none"/>
          <w:lang w:val="en-US" w:eastAsia="zh-CN"/>
        </w:rPr>
      </w:pPr>
      <w:r>
        <w:rPr>
          <w:rFonts w:hint="eastAsia" w:ascii="宋体" w:hAnsi="宋体"/>
          <w:b/>
          <w:sz w:val="28"/>
          <w:szCs w:val="22"/>
          <w:highlight w:val="none"/>
          <w:lang w:eastAsia="zh-CN"/>
        </w:rPr>
        <w:t>联系电话：</w:t>
      </w:r>
      <w:r>
        <w:rPr>
          <w:rFonts w:hint="eastAsia" w:ascii="宋体" w:hAnsi="宋体"/>
          <w:b/>
          <w:sz w:val="28"/>
          <w:szCs w:val="22"/>
          <w:highlight w:val="none"/>
          <w:u w:val="single"/>
          <w:lang w:val="en-US" w:eastAsia="zh-CN"/>
        </w:rPr>
        <w:t>15909088765</w:t>
      </w:r>
    </w:p>
    <w:p w14:paraId="4E507631">
      <w:pPr>
        <w:widowControl/>
        <w:autoSpaceDE w:val="0"/>
        <w:autoSpaceDN w:val="0"/>
        <w:spacing w:line="600" w:lineRule="auto"/>
        <w:ind w:right="-28" w:firstLine="849" w:firstLineChars="300"/>
        <w:textAlignment w:val="bottom"/>
        <w:rPr>
          <w:rFonts w:hint="eastAsia" w:ascii="宋体" w:hAnsi="宋体"/>
          <w:b/>
          <w:sz w:val="28"/>
          <w:szCs w:val="22"/>
          <w:highlight w:val="none"/>
          <w:lang w:val="en-US" w:eastAsia="zh-CN"/>
        </w:rPr>
      </w:pPr>
      <w:r>
        <w:rPr>
          <w:rFonts w:hint="eastAsia" w:ascii="宋体" w:hAnsi="宋体"/>
          <w:b/>
          <w:sz w:val="28"/>
          <w:szCs w:val="22"/>
          <w:highlight w:val="none"/>
        </w:rPr>
        <w:t>代理机构：</w:t>
      </w:r>
      <w:r>
        <w:rPr>
          <w:rFonts w:hint="eastAsia" w:ascii="宋体" w:hAnsi="宋体"/>
          <w:b/>
          <w:sz w:val="28"/>
          <w:szCs w:val="22"/>
          <w:highlight w:val="none"/>
          <w:lang w:val="en-US" w:eastAsia="zh-CN"/>
        </w:rPr>
        <w:t>新疆邦升项目管理有限公司（盖章）</w:t>
      </w:r>
    </w:p>
    <w:p w14:paraId="57927D6C">
      <w:pPr>
        <w:widowControl/>
        <w:autoSpaceDE w:val="0"/>
        <w:autoSpaceDN w:val="0"/>
        <w:spacing w:line="600" w:lineRule="auto"/>
        <w:ind w:right="-28" w:firstLine="849" w:firstLineChars="300"/>
        <w:textAlignment w:val="bottom"/>
        <w:rPr>
          <w:rFonts w:hint="eastAsia" w:ascii="宋体" w:hAnsi="宋体"/>
          <w:b/>
          <w:color w:val="auto"/>
          <w:sz w:val="28"/>
          <w:szCs w:val="22"/>
          <w:highlight w:val="none"/>
          <w:lang w:val="en-US" w:eastAsia="zh-CN"/>
        </w:rPr>
      </w:pPr>
      <w:r>
        <w:rPr>
          <w:rFonts w:hint="eastAsia" w:ascii="宋体" w:hAnsi="宋体"/>
          <w:b/>
          <w:color w:val="auto"/>
          <w:sz w:val="28"/>
          <w:szCs w:val="22"/>
          <w:highlight w:val="none"/>
        </w:rPr>
        <w:t>联系人：</w:t>
      </w:r>
      <w:r>
        <w:rPr>
          <w:rFonts w:hint="eastAsia" w:ascii="宋体" w:hAnsi="宋体"/>
          <w:b/>
          <w:color w:val="auto"/>
          <w:sz w:val="28"/>
          <w:szCs w:val="22"/>
          <w:highlight w:val="none"/>
          <w:u w:val="single"/>
          <w:lang w:val="en-US" w:eastAsia="zh-CN"/>
        </w:rPr>
        <w:t>韩先生</w:t>
      </w:r>
      <w:r>
        <w:rPr>
          <w:rFonts w:hint="eastAsia" w:ascii="宋体" w:hAnsi="宋体"/>
          <w:b/>
          <w:color w:val="auto"/>
          <w:sz w:val="28"/>
          <w:szCs w:val="22"/>
          <w:highlight w:val="none"/>
        </w:rPr>
        <w:t xml:space="preserve">    </w:t>
      </w:r>
      <w:r>
        <w:rPr>
          <w:rFonts w:hint="eastAsia" w:ascii="宋体" w:hAnsi="宋体"/>
          <w:b/>
          <w:color w:val="auto"/>
          <w:sz w:val="28"/>
          <w:szCs w:val="22"/>
          <w:highlight w:val="none"/>
          <w:lang w:val="en-US" w:eastAsia="zh-CN"/>
        </w:rPr>
        <w:t xml:space="preserve">     </w:t>
      </w:r>
      <w:r>
        <w:rPr>
          <w:rFonts w:hint="eastAsia" w:ascii="宋体" w:hAnsi="宋体"/>
          <w:b/>
          <w:color w:val="auto"/>
          <w:sz w:val="28"/>
          <w:szCs w:val="22"/>
          <w:highlight w:val="none"/>
        </w:rPr>
        <w:t xml:space="preserve"> </w:t>
      </w:r>
      <w:r>
        <w:rPr>
          <w:rFonts w:hint="eastAsia" w:ascii="宋体" w:hAnsi="宋体"/>
          <w:b/>
          <w:color w:val="auto"/>
          <w:sz w:val="28"/>
          <w:szCs w:val="22"/>
          <w:highlight w:val="none"/>
          <w:lang w:val="en-US" w:eastAsia="zh-CN"/>
        </w:rPr>
        <w:t xml:space="preserve">  </w:t>
      </w:r>
    </w:p>
    <w:p w14:paraId="489EB145">
      <w:pPr>
        <w:widowControl/>
        <w:autoSpaceDE w:val="0"/>
        <w:autoSpaceDN w:val="0"/>
        <w:spacing w:line="600" w:lineRule="auto"/>
        <w:ind w:right="-28" w:firstLine="849" w:firstLineChars="300"/>
        <w:textAlignment w:val="bottom"/>
        <w:rPr>
          <w:rFonts w:hint="default" w:ascii="宋体" w:hAnsi="宋体"/>
          <w:b/>
          <w:color w:val="auto"/>
          <w:sz w:val="28"/>
          <w:szCs w:val="22"/>
          <w:highlight w:val="none"/>
          <w:u w:val="single"/>
          <w:lang w:val="en-US" w:eastAsia="zh-CN"/>
        </w:rPr>
      </w:pPr>
      <w:r>
        <w:rPr>
          <w:rFonts w:hint="eastAsia" w:ascii="宋体" w:hAnsi="宋体"/>
          <w:b/>
          <w:color w:val="auto"/>
          <w:sz w:val="28"/>
          <w:szCs w:val="22"/>
          <w:highlight w:val="none"/>
          <w:lang w:eastAsia="zh-CN"/>
        </w:rPr>
        <w:t>联系电话：</w:t>
      </w:r>
      <w:r>
        <w:rPr>
          <w:rFonts w:hint="eastAsia" w:ascii="宋体" w:hAnsi="宋体"/>
          <w:b/>
          <w:color w:val="auto"/>
          <w:sz w:val="28"/>
          <w:szCs w:val="22"/>
          <w:highlight w:val="none"/>
          <w:u w:val="single"/>
          <w:lang w:val="en-US" w:eastAsia="zh-CN"/>
        </w:rPr>
        <w:t>18099987009</w:t>
      </w:r>
    </w:p>
    <w:p w14:paraId="59E2CDFB">
      <w:pPr>
        <w:pStyle w:val="26"/>
        <w:rPr>
          <w:rFonts w:hint="default"/>
          <w:highlight w:val="none"/>
          <w:lang w:val="en-US" w:eastAsia="zh-CN"/>
        </w:rPr>
      </w:pPr>
    </w:p>
    <w:p w14:paraId="513F35B4">
      <w:pPr>
        <w:rPr>
          <w:rFonts w:hint="default"/>
          <w:highlight w:val="none"/>
          <w:lang w:val="en-US" w:eastAsia="zh-CN"/>
        </w:rPr>
      </w:pPr>
    </w:p>
    <w:p w14:paraId="7BB30B62">
      <w:pPr>
        <w:pStyle w:val="49"/>
        <w:spacing w:line="240" w:lineRule="auto"/>
        <w:ind w:left="0" w:leftChars="0" w:firstLine="0" w:firstLineChars="0"/>
        <w:rPr>
          <w:rFonts w:hint="eastAsia"/>
          <w:highlight w:val="none"/>
        </w:rPr>
      </w:pPr>
    </w:p>
    <w:p w14:paraId="0EEF9CB9">
      <w:pPr>
        <w:shd w:val="clear" w:color="auto" w:fill="auto"/>
        <w:jc w:val="center"/>
        <w:rPr>
          <w:rFonts w:hint="eastAsia"/>
          <w:b/>
          <w:color w:val="auto"/>
          <w:sz w:val="36"/>
          <w:highlight w:val="none"/>
        </w:rPr>
      </w:pPr>
      <w:r>
        <w:rPr>
          <w:rFonts w:hint="eastAsia"/>
          <w:b/>
          <w:color w:val="auto"/>
          <w:sz w:val="36"/>
          <w:highlight w:val="none"/>
        </w:rPr>
        <w:t>目  录</w:t>
      </w:r>
    </w:p>
    <w:p w14:paraId="537A11E8">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440" w:lineRule="exact"/>
        <w:ind w:firstLine="486" w:firstLineChars="200"/>
        <w:textAlignment w:val="auto"/>
        <w:rPr>
          <w:rFonts w:ascii="宋体" w:hAnsi="宋体"/>
          <w:color w:val="auto"/>
          <w:szCs w:val="22"/>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"_Toc469495720"</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bCs/>
          <w:color w:val="auto"/>
          <w:highlight w:val="none"/>
        </w:rPr>
        <w:t>第一章</w:t>
      </w:r>
      <w:r>
        <w:rPr>
          <w:rStyle w:val="38"/>
          <w:rFonts w:hint="eastAsia" w:ascii="宋体" w:hAnsi="宋体"/>
          <w:bCs/>
          <w:color w:val="auto"/>
          <w:highlight w:val="none"/>
          <w:lang w:val="en-US" w:eastAsia="zh-CN"/>
        </w:rPr>
        <w:t xml:space="preserve"> </w:t>
      </w:r>
      <w:r>
        <w:rPr>
          <w:rStyle w:val="38"/>
          <w:rFonts w:hint="eastAsia" w:ascii="宋体" w:hAnsi="宋体"/>
          <w:bCs/>
          <w:color w:val="auto"/>
          <w:highlight w:val="none"/>
        </w:rPr>
        <w:t>招标公告</w:t>
      </w:r>
      <w:r>
        <w:rPr>
          <w:rFonts w:ascii="宋体" w:hAnsi="宋体"/>
          <w:color w:val="auto"/>
          <w:szCs w:val="22"/>
          <w:highlight w:val="none"/>
        </w:rPr>
        <w:tab/>
      </w:r>
      <w:r>
        <w:rPr>
          <w:rFonts w:hint="eastAsia" w:ascii="宋体" w:hAnsi="宋体"/>
          <w:color w:val="auto"/>
          <w:szCs w:val="22"/>
          <w:highlight w:val="none"/>
          <w:lang w:val="en-US" w:eastAsia="zh-CN"/>
        </w:rPr>
        <w:t>4</w:t>
      </w:r>
      <w:r>
        <w:rPr>
          <w:rFonts w:ascii="宋体" w:hAnsi="宋体"/>
          <w:color w:val="auto"/>
          <w:highlight w:val="none"/>
        </w:rPr>
        <w:fldChar w:fldCharType="end"/>
      </w:r>
    </w:p>
    <w:p w14:paraId="6ABFEDF1">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"_Toc469495721"</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第二章</w:t>
      </w:r>
      <w:r>
        <w:rPr>
          <w:rStyle w:val="38"/>
          <w:rFonts w:ascii="宋体" w:hAnsi="宋体"/>
          <w:color w:val="auto"/>
          <w:highlight w:val="none"/>
        </w:rPr>
        <w:t xml:space="preserve"> </w:t>
      </w:r>
      <w:r>
        <w:rPr>
          <w:rStyle w:val="38"/>
          <w:rFonts w:hint="eastAsia" w:ascii="宋体" w:hAnsi="宋体"/>
          <w:color w:val="auto"/>
          <w:highlight w:val="none"/>
        </w:rPr>
        <w:t>投标人须知</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14:paraId="1342B8F5">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ascii="宋体" w:hAnsi="宋体"/>
          <w:color w:val="auto"/>
          <w:szCs w:val="22"/>
          <w:highlight w:val="none"/>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"_Toc469495722"</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一、投标人须知前附表</w:t>
      </w:r>
      <w:r>
        <w:rPr>
          <w:rFonts w:ascii="宋体" w:hAnsi="宋体"/>
          <w:color w:val="auto"/>
          <w:highlight w:val="none"/>
        </w:rPr>
        <w:tab/>
      </w:r>
      <w:r>
        <w:rPr>
          <w:rFonts w:hint="eastAsia" w:ascii="宋体" w:hAnsi="宋体"/>
          <w:color w:val="auto"/>
          <w:highlight w:val="none"/>
          <w:lang w:val="en-US" w:eastAsia="zh-CN"/>
        </w:rPr>
        <w:t>9</w:t>
      </w:r>
      <w:r>
        <w:rPr>
          <w:rFonts w:ascii="宋体" w:hAnsi="宋体"/>
          <w:color w:val="auto"/>
          <w:highlight w:val="none"/>
        </w:rPr>
        <w:fldChar w:fldCharType="end"/>
      </w:r>
    </w:p>
    <w:p w14:paraId="372A4D3F">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"_Toc469495723" </w:instrText>
      </w:r>
      <w:r>
        <w:rPr>
          <w:rFonts w:ascii="宋体" w:hAnsi="宋体"/>
          <w:color w:val="auto"/>
          <w:highlight w:val="none"/>
        </w:rPr>
        <w:fldChar w:fldCharType="separate"/>
      </w:r>
      <w:r>
        <w:rPr>
          <w:rFonts w:hint="eastAsia" w:ascii="宋体" w:hAnsi="宋体"/>
          <w:color w:val="auto"/>
          <w:highlight w:val="none"/>
        </w:rPr>
        <w:t>二、投标人须知</w:t>
      </w:r>
      <w:r>
        <w:rPr>
          <w:rFonts w:ascii="宋体" w:hAnsi="宋体"/>
          <w:color w:val="auto"/>
          <w:highlight w:val="none"/>
        </w:rPr>
        <w:tab/>
      </w:r>
      <w:r>
        <w:rPr>
          <w:rFonts w:hint="eastAsia" w:ascii="宋体" w:hAnsi="宋体"/>
          <w:color w:val="auto"/>
          <w:highlight w:val="none"/>
          <w:lang w:val="en-US" w:eastAsia="zh-CN"/>
        </w:rPr>
        <w:t>1</w:t>
      </w:r>
      <w:r>
        <w:rPr>
          <w:rFonts w:ascii="宋体" w:hAnsi="宋体"/>
          <w:color w:val="auto"/>
          <w:highlight w:val="none"/>
        </w:rPr>
        <w:fldChar w:fldCharType="end"/>
      </w:r>
      <w:r>
        <w:rPr>
          <w:rFonts w:hint="eastAsia" w:ascii="宋体" w:hAnsi="宋体"/>
          <w:color w:val="auto"/>
          <w:highlight w:val="none"/>
          <w:lang w:val="en-US" w:eastAsia="zh-CN"/>
        </w:rPr>
        <w:t>7</w:t>
      </w:r>
    </w:p>
    <w:p w14:paraId="1F94C614">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1.政府采购投诉书(范本、质疑函范本）..................................36</w:t>
      </w:r>
    </w:p>
    <w:p w14:paraId="4445815F">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639" w:firstLineChars="3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政府采购投诉书范本...............................................36</w:t>
      </w:r>
    </w:p>
    <w:p w14:paraId="291FE19E">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2.投诉相关说明.....................................................37</w:t>
      </w:r>
    </w:p>
    <w:p w14:paraId="5A9CC9B6">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3.质疑函范本.......................................................39</w:t>
      </w:r>
    </w:p>
    <w:p w14:paraId="45985BE5">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"_Toc469495731"</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第三章</w:t>
      </w:r>
      <w:r>
        <w:rPr>
          <w:rStyle w:val="38"/>
          <w:rFonts w:ascii="宋体" w:hAnsi="宋体"/>
          <w:color w:val="auto"/>
          <w:highlight w:val="none"/>
        </w:rPr>
        <w:t xml:space="preserve">  </w:t>
      </w:r>
      <w:r>
        <w:rPr>
          <w:rStyle w:val="38"/>
          <w:rFonts w:hint="eastAsia" w:ascii="宋体" w:hAnsi="宋体"/>
          <w:color w:val="auto"/>
          <w:highlight w:val="none"/>
        </w:rPr>
        <w:t>评标办法</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14:paraId="61D1D768">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"_Toc469495732"</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一</w:t>
      </w:r>
      <w:r>
        <w:rPr>
          <w:rStyle w:val="38"/>
          <w:rFonts w:ascii="宋体" w:hAnsi="宋体"/>
          <w:color w:val="auto"/>
          <w:highlight w:val="none"/>
        </w:rPr>
        <w:t xml:space="preserve">  </w:t>
      </w:r>
      <w:r>
        <w:rPr>
          <w:rStyle w:val="38"/>
          <w:rFonts w:hint="eastAsia" w:ascii="宋体" w:hAnsi="宋体"/>
          <w:color w:val="auto"/>
          <w:highlight w:val="none"/>
        </w:rPr>
        <w:t>总则</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0</w:t>
      </w:r>
    </w:p>
    <w:p w14:paraId="3182EDB2">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"_Toc469495733"</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二</w:t>
      </w:r>
      <w:r>
        <w:rPr>
          <w:rStyle w:val="38"/>
          <w:rFonts w:ascii="宋体" w:hAnsi="宋体"/>
          <w:color w:val="auto"/>
          <w:highlight w:val="none"/>
        </w:rPr>
        <w:t xml:space="preserve">  </w:t>
      </w:r>
      <w:r>
        <w:rPr>
          <w:rStyle w:val="38"/>
          <w:rFonts w:hint="eastAsia" w:ascii="宋体" w:hAnsi="宋体"/>
          <w:color w:val="auto"/>
          <w:highlight w:val="none"/>
        </w:rPr>
        <w:t>投标文件初审</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2</w:t>
      </w:r>
    </w:p>
    <w:p w14:paraId="51A23D38">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"_Toc469495734"</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三</w:t>
      </w:r>
      <w:r>
        <w:rPr>
          <w:rStyle w:val="38"/>
          <w:rFonts w:ascii="宋体" w:hAnsi="宋体"/>
          <w:color w:val="auto"/>
          <w:highlight w:val="none"/>
        </w:rPr>
        <w:t xml:space="preserve">  </w:t>
      </w:r>
      <w:r>
        <w:rPr>
          <w:rStyle w:val="38"/>
          <w:rFonts w:hint="eastAsia" w:ascii="宋体" w:hAnsi="宋体"/>
          <w:color w:val="auto"/>
          <w:highlight w:val="none"/>
        </w:rPr>
        <w:t>投标文件的澄清和补正</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3</w:t>
      </w:r>
    </w:p>
    <w:p w14:paraId="6B2E88E5">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"_Toc469495735"</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四</w:t>
      </w:r>
      <w:r>
        <w:rPr>
          <w:rStyle w:val="38"/>
          <w:rFonts w:ascii="宋体" w:hAnsi="宋体"/>
          <w:color w:val="auto"/>
          <w:highlight w:val="none"/>
        </w:rPr>
        <w:t xml:space="preserve"> </w:t>
      </w:r>
      <w:r>
        <w:rPr>
          <w:rStyle w:val="38"/>
          <w:rFonts w:hint="eastAsia" w:ascii="宋体" w:hAnsi="宋体"/>
          <w:color w:val="auto"/>
          <w:highlight w:val="none"/>
          <w:lang w:val="en-US" w:eastAsia="zh-CN"/>
        </w:rPr>
        <w:t xml:space="preserve"> </w:t>
      </w:r>
      <w:r>
        <w:rPr>
          <w:rStyle w:val="38"/>
          <w:rFonts w:hint="eastAsia" w:ascii="宋体" w:hAnsi="宋体"/>
          <w:color w:val="auto"/>
          <w:highlight w:val="none"/>
        </w:rPr>
        <w:t>比较与评价</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4</w:t>
      </w:r>
    </w:p>
    <w:p w14:paraId="1B572370">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color w:val="auto"/>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 HYPERLINK \l "_Toc469495736" </w:instrText>
      </w:r>
      <w:r>
        <w:rPr>
          <w:rFonts w:ascii="宋体" w:hAnsi="宋体"/>
          <w:color w:val="auto"/>
          <w:highlight w:val="none"/>
        </w:rPr>
        <w:fldChar w:fldCharType="separate"/>
      </w:r>
      <w:r>
        <w:rPr>
          <w:rFonts w:hint="eastAsia" w:ascii="宋体" w:hAnsi="宋体"/>
          <w:color w:val="auto"/>
          <w:highlight w:val="none"/>
        </w:rPr>
        <w:t>五</w:t>
      </w:r>
      <w:r>
        <w:rPr>
          <w:rFonts w:ascii="宋体" w:hAnsi="宋体"/>
          <w:color w:val="auto"/>
          <w:highlight w:val="none"/>
        </w:rPr>
        <w:t xml:space="preserve">  </w:t>
      </w:r>
      <w:r>
        <w:rPr>
          <w:rFonts w:hint="eastAsia" w:ascii="宋体" w:hAnsi="宋体"/>
          <w:color w:val="auto"/>
          <w:highlight w:val="none"/>
        </w:rPr>
        <w:t>推荐中标候选人</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47</w:t>
      </w:r>
    </w:p>
    <w:p w14:paraId="484BC7E8">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textAlignment w:val="auto"/>
        <w:rPr>
          <w:rFonts w:hint="default" w:ascii="宋体" w:hAnsi="宋体"/>
          <w:color w:val="auto"/>
          <w:highlight w:val="none"/>
          <w:lang w:val="en-US" w:eastAsia="zh-CN"/>
        </w:rPr>
      </w:pPr>
      <w:r>
        <w:rPr>
          <w:rFonts w:hint="eastAsia" w:ascii="宋体" w:hAnsi="宋体"/>
          <w:color w:val="auto"/>
          <w:highlight w:val="none"/>
          <w:lang w:val="en-US" w:eastAsia="zh-CN"/>
        </w:rPr>
        <w:t>第四章  采购内容及技术要求..............................................49</w:t>
      </w:r>
    </w:p>
    <w:p w14:paraId="30814AD3">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"_Toc469495740"</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第五章</w:t>
      </w:r>
      <w:r>
        <w:rPr>
          <w:rStyle w:val="38"/>
          <w:rFonts w:ascii="宋体" w:hAnsi="宋体"/>
          <w:color w:val="auto"/>
          <w:highlight w:val="none"/>
        </w:rPr>
        <w:t xml:space="preserve">  </w:t>
      </w:r>
      <w:r>
        <w:rPr>
          <w:rStyle w:val="38"/>
          <w:rFonts w:hint="eastAsia" w:ascii="宋体" w:hAnsi="宋体"/>
          <w:color w:val="auto"/>
          <w:highlight w:val="none"/>
        </w:rPr>
        <w:t>合同条款及格式</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14:paraId="614D6061">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"_Toc469495741"</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一</w:t>
      </w:r>
      <w:r>
        <w:rPr>
          <w:rStyle w:val="38"/>
          <w:rFonts w:hint="eastAsia" w:ascii="宋体" w:hAnsi="宋体"/>
          <w:color w:val="auto"/>
          <w:highlight w:val="none"/>
          <w:lang w:val="en-US" w:eastAsia="zh-CN"/>
        </w:rPr>
        <w:t xml:space="preserve">  </w:t>
      </w:r>
      <w:r>
        <w:rPr>
          <w:rStyle w:val="38"/>
          <w:rFonts w:hint="eastAsia" w:ascii="宋体" w:hAnsi="宋体"/>
          <w:color w:val="auto"/>
          <w:highlight w:val="none"/>
        </w:rPr>
        <w:t>合同协议书</w:t>
      </w:r>
      <w:r>
        <w:rPr>
          <w:rFonts w:ascii="宋体" w:hAnsi="宋体"/>
          <w:color w:val="auto"/>
          <w:highlight w:val="none"/>
        </w:rPr>
        <w:tab/>
      </w:r>
      <w:r>
        <w:rPr>
          <w:rFonts w:ascii="宋体" w:hAnsi="宋体"/>
          <w:color w:val="auto"/>
          <w:highlight w:val="none"/>
        </w:rPr>
        <w:fldChar w:fldCharType="end"/>
      </w:r>
      <w:r>
        <w:rPr>
          <w:rFonts w:hint="eastAsia" w:ascii="宋体" w:hAnsi="宋体"/>
          <w:color w:val="auto"/>
          <w:highlight w:val="none"/>
          <w:lang w:val="en-US" w:eastAsia="zh-CN"/>
        </w:rPr>
        <w:t>58</w:t>
      </w:r>
    </w:p>
    <w:p w14:paraId="3C757B81">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left="420" w:firstLine="426" w:firstLineChars="200"/>
        <w:textAlignment w:val="auto"/>
        <w:rPr>
          <w:rFonts w:hint="default"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"_Toc469495742"</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二</w:t>
      </w:r>
      <w:r>
        <w:rPr>
          <w:rStyle w:val="38"/>
          <w:rFonts w:ascii="宋体" w:hAnsi="宋体"/>
          <w:color w:val="auto"/>
          <w:highlight w:val="none"/>
        </w:rPr>
        <w:t xml:space="preserve">  </w:t>
      </w:r>
      <w:r>
        <w:rPr>
          <w:rStyle w:val="38"/>
          <w:rFonts w:hint="eastAsia" w:ascii="宋体" w:hAnsi="宋体"/>
          <w:color w:val="auto"/>
          <w:highlight w:val="none"/>
        </w:rPr>
        <w:t>合同条款</w:t>
      </w:r>
      <w:r>
        <w:rPr>
          <w:rFonts w:ascii="宋体" w:hAnsi="宋体"/>
          <w:color w:val="auto"/>
          <w:highlight w:val="none"/>
        </w:rPr>
        <w:tab/>
      </w:r>
      <w:r>
        <w:rPr>
          <w:rFonts w:hint="eastAsia" w:ascii="宋体" w:hAnsi="宋体"/>
          <w:color w:val="auto"/>
          <w:highlight w:val="none"/>
          <w:lang w:val="en-US" w:eastAsia="zh-CN"/>
        </w:rPr>
        <w:t>.</w:t>
      </w:r>
      <w:r>
        <w:rPr>
          <w:rFonts w:ascii="宋体" w:hAnsi="宋体"/>
          <w:color w:val="auto"/>
          <w:highlight w:val="none"/>
        </w:rPr>
        <w:fldChar w:fldCharType="end"/>
      </w:r>
      <w:r>
        <w:rPr>
          <w:rFonts w:hint="eastAsia" w:ascii="宋体" w:hAnsi="宋体"/>
          <w:color w:val="auto"/>
          <w:highlight w:val="none"/>
          <w:lang w:val="en-US" w:eastAsia="zh-CN"/>
        </w:rPr>
        <w:t>59</w:t>
      </w:r>
    </w:p>
    <w:p w14:paraId="44301A78">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440" w:lineRule="exact"/>
        <w:ind w:firstLine="426" w:firstLineChars="200"/>
        <w:textAlignment w:val="auto"/>
        <w:rPr>
          <w:rFonts w:hint="eastAsia" w:ascii="宋体" w:hAnsi="宋体" w:eastAsia="宋体"/>
          <w:color w:val="auto"/>
          <w:szCs w:val="22"/>
          <w:highlight w:val="none"/>
          <w:lang w:val="en-US" w:eastAsia="zh-CN"/>
        </w:rPr>
      </w:pPr>
      <w:r>
        <w:rPr>
          <w:rFonts w:ascii="宋体" w:hAnsi="宋体"/>
          <w:color w:val="auto"/>
          <w:highlight w:val="none"/>
        </w:rPr>
        <w:fldChar w:fldCharType="begin"/>
      </w:r>
      <w:r>
        <w:rPr>
          <w:rStyle w:val="38"/>
          <w:rFonts w:ascii="宋体" w:hAnsi="宋体"/>
          <w:color w:val="auto"/>
          <w:highlight w:val="none"/>
        </w:rPr>
        <w:instrText xml:space="preserve"> </w:instrText>
      </w:r>
      <w:r>
        <w:rPr>
          <w:rFonts w:ascii="宋体" w:hAnsi="宋体"/>
          <w:color w:val="auto"/>
          <w:highlight w:val="none"/>
        </w:rPr>
        <w:instrText xml:space="preserve">HYPERLINK \l "_Toc469495743"</w:instrText>
      </w:r>
      <w:r>
        <w:rPr>
          <w:rStyle w:val="38"/>
          <w:rFonts w:ascii="宋体" w:hAnsi="宋体"/>
          <w:color w:val="auto"/>
          <w:highlight w:val="none"/>
        </w:rPr>
        <w:instrText xml:space="preserve"> </w:instrText>
      </w:r>
      <w:r>
        <w:rPr>
          <w:rFonts w:ascii="宋体" w:hAnsi="宋体"/>
          <w:color w:val="auto"/>
          <w:highlight w:val="none"/>
        </w:rPr>
        <w:fldChar w:fldCharType="separate"/>
      </w:r>
      <w:r>
        <w:rPr>
          <w:rStyle w:val="38"/>
          <w:rFonts w:hint="eastAsia" w:ascii="宋体" w:hAnsi="宋体"/>
          <w:color w:val="auto"/>
          <w:highlight w:val="none"/>
        </w:rPr>
        <w:t>第六章</w:t>
      </w:r>
      <w:r>
        <w:rPr>
          <w:rStyle w:val="38"/>
          <w:rFonts w:ascii="宋体" w:hAnsi="宋体"/>
          <w:color w:val="auto"/>
          <w:highlight w:val="none"/>
        </w:rPr>
        <w:t xml:space="preserve">  </w:t>
      </w:r>
      <w:r>
        <w:rPr>
          <w:rStyle w:val="38"/>
          <w:rFonts w:hint="eastAsia" w:ascii="宋体" w:hAnsi="宋体"/>
          <w:color w:val="auto"/>
          <w:highlight w:val="none"/>
        </w:rPr>
        <w:t>投标文件格式</w:t>
      </w:r>
      <w:r>
        <w:rPr>
          <w:rFonts w:ascii="宋体" w:hAnsi="宋体"/>
          <w:color w:val="auto"/>
          <w:highlight w:val="none"/>
        </w:rPr>
        <w:tab/>
      </w:r>
      <w:r>
        <w:rPr>
          <w:rFonts w:hint="eastAsia" w:ascii="宋体" w:hAnsi="宋体"/>
          <w:color w:val="auto"/>
          <w:highlight w:val="none"/>
          <w:lang w:val="en-US" w:eastAsia="zh-CN"/>
        </w:rPr>
        <w:t>.6</w:t>
      </w:r>
      <w:r>
        <w:rPr>
          <w:rFonts w:ascii="宋体" w:hAnsi="宋体"/>
          <w:color w:val="auto"/>
          <w:highlight w:val="none"/>
        </w:rPr>
        <w:fldChar w:fldCharType="end"/>
      </w:r>
      <w:r>
        <w:rPr>
          <w:rFonts w:hint="eastAsia" w:ascii="宋体" w:hAnsi="宋体"/>
          <w:color w:val="auto"/>
          <w:highlight w:val="none"/>
          <w:lang w:val="en-US" w:eastAsia="zh-CN"/>
        </w:rPr>
        <w:t>4</w:t>
      </w:r>
    </w:p>
    <w:p w14:paraId="5478795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6" w:firstLineChars="200"/>
        <w:jc w:val="distribute"/>
        <w:textAlignment w:val="auto"/>
        <w:rPr>
          <w:rFonts w:hint="eastAsia" w:ascii="宋体" w:hAnsi="宋体" w:cs="宋体"/>
          <w:color w:val="auto"/>
          <w:sz w:val="24"/>
          <w:highlight w:val="none"/>
        </w:rPr>
      </w:pPr>
      <w:r>
        <w:rPr>
          <w:rFonts w:hint="eastAsia" w:ascii="宋体" w:hAnsi="宋体" w:cs="宋体"/>
          <w:color w:val="auto"/>
          <w:sz w:val="24"/>
          <w:highlight w:val="none"/>
        </w:rPr>
        <w:fldChar w:fldCharType="end"/>
      </w:r>
    </w:p>
    <w:p w14:paraId="754E125B">
      <w:pPr>
        <w:spacing w:line="240" w:lineRule="auto"/>
        <w:jc w:val="center"/>
        <w:rPr>
          <w:rFonts w:hint="eastAsia" w:ascii="宋体" w:hAnsi="宋体" w:cs="宋体"/>
          <w:b/>
          <w:bCs/>
          <w:kern w:val="36"/>
          <w:sz w:val="36"/>
          <w:szCs w:val="36"/>
          <w:highlight w:val="none"/>
        </w:rPr>
      </w:pPr>
      <w:r>
        <w:rPr>
          <w:rFonts w:hint="eastAsia" w:ascii="宋体" w:hAnsi="宋体" w:cs="宋体"/>
          <w:color w:val="FF0000"/>
          <w:sz w:val="24"/>
          <w:highlight w:val="none"/>
        </w:rPr>
        <w:br w:type="page"/>
      </w:r>
      <w:r>
        <w:rPr>
          <w:rFonts w:ascii="宋体" w:hAnsi="宋体" w:cs="宋体"/>
          <w:b/>
          <w:bCs/>
          <w:kern w:val="36"/>
          <w:sz w:val="36"/>
          <w:szCs w:val="36"/>
          <w:highlight w:val="none"/>
        </w:rPr>
        <w:t>第一部分 招标公告</w:t>
      </w:r>
    </w:p>
    <w:p w14:paraId="1E31100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宋体"/>
          <w:b/>
          <w:bCs/>
          <w:kern w:val="2"/>
          <w:sz w:val="32"/>
          <w:szCs w:val="32"/>
          <w:highlight w:val="none"/>
          <w:lang w:val="en-US" w:eastAsia="zh-CN" w:bidi="ar-SA"/>
        </w:rPr>
      </w:pPr>
      <w:bookmarkStart w:id="1" w:name="_Toc469495721"/>
      <w:bookmarkStart w:id="2" w:name="_Toc469495723"/>
      <w:r>
        <w:rPr>
          <w:rFonts w:hint="eastAsia" w:cs="宋体"/>
          <w:b/>
          <w:bCs/>
          <w:kern w:val="2"/>
          <w:sz w:val="32"/>
          <w:szCs w:val="32"/>
          <w:highlight w:val="none"/>
          <w:lang w:val="en-US" w:eastAsia="zh-CN" w:bidi="ar-SA"/>
        </w:rPr>
        <w:t>乌恰县2026年机关事业单位在职人员雇主责任保险服务采购项目（二次）公开招标公告</w:t>
      </w:r>
    </w:p>
    <w:p w14:paraId="178AED7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项目概况 </w:t>
      </w:r>
    </w:p>
    <w:p w14:paraId="70E8970A">
      <w:pPr>
        <w:pStyle w:val="24"/>
        <w:keepNext w:val="0"/>
        <w:keepLines w:val="0"/>
        <w:pageBreakBefore w:val="0"/>
        <w:widowControl/>
        <w:suppressLineNumbers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before="0" w:beforeAutospacing="0" w:after="0" w:afterAutospacing="0" w:line="240" w:lineRule="auto"/>
        <w:ind w:right="0" w:firstLine="426" w:firstLineChars="200"/>
        <w:textAlignment w:val="auto"/>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乌恰县2026年机关事业单位在职人员雇主责任保险服务采购项目（二次）</w:t>
      </w:r>
      <w:r>
        <w:rPr>
          <w:rFonts w:hint="eastAsia" w:ascii="宋体" w:hAnsi="宋体" w:eastAsia="宋体" w:cs="宋体"/>
          <w:kern w:val="2"/>
          <w:sz w:val="21"/>
          <w:szCs w:val="21"/>
          <w:highlight w:val="none"/>
          <w:lang w:val="en-US" w:eastAsia="zh-CN" w:bidi="ar-SA"/>
        </w:rPr>
        <w:t>的潜在投标人应在供应商登陆政采云平台http://www.zcygov.cn/，在线申请获取招标文件（登录政府采购云平台 → 项目采购 → 获取招标文件→申请，审核通过后可下载招标文件，如有操作性问题，可与政采云在线客服进行咨询，咨询电话：(95763），并于</w:t>
      </w:r>
      <w:r>
        <w:rPr>
          <w:rFonts w:hint="eastAsia" w:cs="宋体"/>
          <w:i w:val="0"/>
          <w:iCs w:val="0"/>
          <w:caps w:val="0"/>
          <w:color w:val="auto"/>
          <w:spacing w:val="0"/>
          <w:kern w:val="0"/>
          <w:sz w:val="21"/>
          <w:szCs w:val="21"/>
          <w:highlight w:val="none"/>
          <w:lang w:val="en-US" w:eastAsia="zh-CN" w:bidi="ar"/>
        </w:rPr>
        <w:t>2026年05月12日10：30（北京时间）</w:t>
      </w:r>
      <w:r>
        <w:rPr>
          <w:rFonts w:hint="eastAsia" w:ascii="宋体" w:hAnsi="宋体" w:eastAsia="宋体" w:cs="宋体"/>
          <w:kern w:val="2"/>
          <w:sz w:val="21"/>
          <w:szCs w:val="21"/>
          <w:highlight w:val="none"/>
          <w:lang w:val="en-US" w:eastAsia="zh-CN" w:bidi="ar-SA"/>
        </w:rPr>
        <w:t>前递交投标文件。</w:t>
      </w:r>
    </w:p>
    <w:p w14:paraId="53653EE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一、项目基本情况</w:t>
      </w:r>
    </w:p>
    <w:p w14:paraId="7C113EF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项目编号：</w:t>
      </w:r>
      <w:r>
        <w:rPr>
          <w:rFonts w:hint="eastAsia" w:cs="宋体"/>
          <w:color w:val="auto"/>
          <w:sz w:val="21"/>
          <w:szCs w:val="21"/>
          <w:highlight w:val="none"/>
          <w:lang w:eastAsia="zh-CN"/>
        </w:rPr>
        <w:t>WQZFCG(ZB)-2026-0</w:t>
      </w:r>
      <w:r>
        <w:rPr>
          <w:rFonts w:hint="eastAsia" w:cs="宋体"/>
          <w:color w:val="auto"/>
          <w:sz w:val="21"/>
          <w:szCs w:val="21"/>
          <w:highlight w:val="none"/>
          <w:lang w:val="en-US" w:eastAsia="zh-CN"/>
        </w:rPr>
        <w:t>26</w:t>
      </w:r>
      <w:r>
        <w:rPr>
          <w:rFonts w:hint="eastAsia" w:ascii="宋体" w:hAnsi="宋体" w:eastAsia="宋体" w:cs="宋体"/>
          <w:sz w:val="21"/>
          <w:szCs w:val="21"/>
          <w:highlight w:val="none"/>
          <w:lang w:val="en-US" w:eastAsia="zh-CN"/>
        </w:rPr>
        <w:t xml:space="preserve">  </w:t>
      </w:r>
    </w:p>
    <w:p w14:paraId="5CB5564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eastAsia="zh-CN"/>
        </w:rPr>
        <w:t>项目名称：</w:t>
      </w:r>
      <w:r>
        <w:rPr>
          <w:rFonts w:hint="eastAsia" w:cs="宋体"/>
          <w:sz w:val="21"/>
          <w:szCs w:val="21"/>
          <w:highlight w:val="none"/>
          <w:lang w:val="en-US" w:eastAsia="zh-CN"/>
        </w:rPr>
        <w:t>乌恰县2026年机关事业单位在职人员雇主责任保险服务采购项目（二次）</w:t>
      </w:r>
    </w:p>
    <w:p w14:paraId="31E4292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采购方式：公开招标</w:t>
      </w:r>
    </w:p>
    <w:p w14:paraId="73CB264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cs="宋体"/>
          <w:sz w:val="21"/>
          <w:szCs w:val="21"/>
          <w:highlight w:val="none"/>
          <w:lang w:val="en-US" w:eastAsia="zh-CN"/>
        </w:rPr>
      </w:pPr>
      <w:r>
        <w:rPr>
          <w:rFonts w:hint="eastAsia" w:cs="宋体"/>
          <w:sz w:val="21"/>
          <w:szCs w:val="21"/>
          <w:highlight w:val="none"/>
          <w:lang w:val="en-US" w:eastAsia="zh-CN"/>
        </w:rPr>
        <w:t xml:space="preserve">预算金额（元）：947550.00            </w:t>
      </w:r>
    </w:p>
    <w:p w14:paraId="77C8594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eastAsia="zh-CN"/>
        </w:rPr>
        <w:t>最高限价（元）：</w:t>
      </w:r>
      <w:r>
        <w:rPr>
          <w:rFonts w:hint="eastAsia" w:cs="宋体"/>
          <w:sz w:val="21"/>
          <w:szCs w:val="21"/>
          <w:highlight w:val="none"/>
          <w:lang w:val="en-US" w:eastAsia="zh-CN"/>
        </w:rPr>
        <w:t xml:space="preserve">947550.00           </w:t>
      </w:r>
    </w:p>
    <w:p w14:paraId="672134E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采购需求：</w:t>
      </w:r>
    </w:p>
    <w:p w14:paraId="3021AF4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eastAsia="zh-CN"/>
        </w:rPr>
        <w:t>标项名称:</w:t>
      </w:r>
      <w:r>
        <w:rPr>
          <w:rFonts w:hint="eastAsia" w:cs="宋体"/>
          <w:sz w:val="21"/>
          <w:szCs w:val="21"/>
          <w:highlight w:val="none"/>
          <w:lang w:val="en-US" w:eastAsia="zh-CN"/>
        </w:rPr>
        <w:t>乌恰县2026年机关事业单位在职人员雇主责任保险服务采购项目（二次）</w:t>
      </w:r>
    </w:p>
    <w:p w14:paraId="4338A61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数量:1</w:t>
      </w:r>
    </w:p>
    <w:p w14:paraId="05400EB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cs="宋体"/>
          <w:sz w:val="21"/>
          <w:szCs w:val="21"/>
          <w:highlight w:val="none"/>
          <w:lang w:val="en-US" w:eastAsia="zh-CN"/>
        </w:rPr>
      </w:pPr>
      <w:r>
        <w:rPr>
          <w:rFonts w:hint="eastAsia" w:ascii="宋体" w:hAnsi="宋体" w:eastAsia="宋体" w:cs="宋体"/>
          <w:sz w:val="21"/>
          <w:szCs w:val="21"/>
          <w:highlight w:val="none"/>
          <w:lang w:val="en-US" w:eastAsia="zh-CN"/>
        </w:rPr>
        <w:t>预算金额（元）:</w:t>
      </w:r>
      <w:r>
        <w:rPr>
          <w:rFonts w:hint="eastAsia" w:cs="宋体"/>
          <w:sz w:val="21"/>
          <w:szCs w:val="21"/>
          <w:highlight w:val="none"/>
          <w:lang w:val="en-US" w:eastAsia="zh-CN"/>
        </w:rPr>
        <w:t xml:space="preserve"> 947550.00         </w:t>
      </w:r>
    </w:p>
    <w:p w14:paraId="2DE8C79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简要规格描述或项目基本概况介绍、用途：人员类保险服务。</w:t>
      </w:r>
    </w:p>
    <w:p w14:paraId="3201870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6137686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合同履约期限：标项 1，服务期1年。</w:t>
      </w:r>
    </w:p>
    <w:p w14:paraId="5115933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p w14:paraId="72C98681">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二、申请人的资格要求：</w:t>
      </w:r>
    </w:p>
    <w:p w14:paraId="0BAC85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528E257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2.落实政府采购政策需满足的资格要求：</w:t>
      </w:r>
      <w:r>
        <w:rPr>
          <w:rFonts w:hint="eastAsia" w:ascii="宋体" w:hAnsi="宋体" w:cs="宋体"/>
          <w:sz w:val="21"/>
          <w:szCs w:val="21"/>
          <w:highlight w:val="none"/>
          <w:lang w:eastAsia="zh-CN"/>
        </w:rPr>
        <w:t>不专门面向中小企业；</w:t>
      </w:r>
    </w:p>
    <w:p w14:paraId="03079E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p>
    <w:p w14:paraId="727E04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具备三证合一营业执照副本；</w:t>
      </w:r>
    </w:p>
    <w:p w14:paraId="7466F9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法定代表人投标需提供法定代表人资格证明书，</w:t>
      </w:r>
      <w:r>
        <w:rPr>
          <w:rFonts w:hint="eastAsia" w:ascii="宋体" w:hAnsi="宋体" w:cs="宋体"/>
          <w:color w:val="auto"/>
          <w:sz w:val="21"/>
          <w:szCs w:val="21"/>
          <w:highlight w:val="none"/>
          <w:lang w:eastAsia="zh-CN"/>
        </w:rPr>
        <w:t>委托代理人投标需提供法定代表人资格证明书及授权委托书</w:t>
      </w:r>
      <w:r>
        <w:rPr>
          <w:rFonts w:hint="eastAsia" w:ascii="宋体" w:hAnsi="宋体" w:eastAsia="宋体" w:cs="宋体"/>
          <w:color w:val="auto"/>
          <w:sz w:val="21"/>
          <w:szCs w:val="21"/>
          <w:highlight w:val="none"/>
        </w:rPr>
        <w:t>；</w:t>
      </w:r>
    </w:p>
    <w:p w14:paraId="4F5084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投标企业须提供投标人（被授权人）近6个月任意一个月的社保证明</w:t>
      </w:r>
      <w:r>
        <w:rPr>
          <w:rFonts w:hint="eastAsia" w:ascii="宋体" w:hAnsi="宋体" w:eastAsia="宋体" w:cs="宋体"/>
          <w:color w:val="auto"/>
          <w:sz w:val="21"/>
          <w:szCs w:val="21"/>
          <w:highlight w:val="none"/>
        </w:rPr>
        <w:t>；</w:t>
      </w:r>
    </w:p>
    <w:p w14:paraId="7A243B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参加采购活动前三年内未被</w:t>
      </w:r>
      <w:r>
        <w:rPr>
          <w:rFonts w:hint="eastAsia" w:ascii="宋体" w:hAnsi="宋体" w:eastAsia="宋体" w:cs="宋体"/>
          <w:color w:val="auto"/>
          <w:sz w:val="21"/>
          <w:szCs w:val="21"/>
          <w:highlight w:val="none"/>
          <w:lang w:eastAsia="zh-CN"/>
        </w:rPr>
        <w:t>“信用中国”（www.creditchina.gov.cn）、中国政府采购网（www.ccgp.gov.cn）列入失信被执行人、重大税收违法案件当事人名单、政府采购严重违法失信行为记录名单</w:t>
      </w:r>
      <w:r>
        <w:rPr>
          <w:rFonts w:hint="eastAsia" w:ascii="宋体" w:hAnsi="宋体" w:cs="宋体"/>
          <w:color w:val="auto"/>
          <w:sz w:val="21"/>
          <w:szCs w:val="21"/>
          <w:highlight w:val="none"/>
          <w:lang w:eastAsia="zh-CN"/>
        </w:rPr>
        <w:t>；</w:t>
      </w:r>
    </w:p>
    <w:p w14:paraId="2D044C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投标人经国家保险监督管理机构批准在中华人民共和国境内设立和营业，并依法被核定许可责任保险业务【依据有效期内的保险许可证（分公司或中心支公司的保险机构投标的，须提供《经营保险业务许可证》或《保险许可证》；总公司投标的，须提供《保险公司法人许可证》或《保险许可证》）】。</w:t>
      </w:r>
    </w:p>
    <w:p w14:paraId="7CFE0C49">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三、获取招标文件 </w:t>
      </w:r>
    </w:p>
    <w:p w14:paraId="17E44AA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时间：</w:t>
      </w:r>
      <w:r>
        <w:rPr>
          <w:rFonts w:hint="eastAsia" w:cs="宋体"/>
          <w:color w:val="auto"/>
          <w:sz w:val="21"/>
          <w:szCs w:val="21"/>
          <w:highlight w:val="none"/>
          <w:lang w:val="en-US" w:eastAsia="zh-CN"/>
        </w:rPr>
        <w:t>2026年04月21日至2026年04月28日，每天上午10:00至14:00，下午16:00至19:30（北京时间，法定节假日除外）</w:t>
      </w:r>
    </w:p>
    <w:p w14:paraId="102AA252">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地点：供应商登陆政采云平台http://www.zcygov.cn/，在线申请获取招标文件（登录政府采购云平台 → 项目采购 → 获取招标文件→申请，如有操作性问题，可与政采云在线客服进行咨询，咨询电话：95763）</w:t>
      </w:r>
    </w:p>
    <w:p w14:paraId="4EC9818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方式：（1）线上获取（登录政府采购云平台 → 项目采购 → 获取招标文件→ 申请）。本次招标不提供纸质版招标文件。（2）供应商获取招标文件前应注册成为政府采购云平台正式供应商。</w:t>
      </w:r>
    </w:p>
    <w:p w14:paraId="07728ED4">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售价（元）：0</w:t>
      </w:r>
    </w:p>
    <w:p w14:paraId="1324388D">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四、提交投标文件截止时间、开标时间和地点</w:t>
      </w:r>
    </w:p>
    <w:p w14:paraId="7F0ACCB7">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提交投标文件截止时间：</w:t>
      </w:r>
      <w:r>
        <w:rPr>
          <w:rFonts w:hint="eastAsia" w:cs="宋体"/>
          <w:color w:val="auto"/>
          <w:sz w:val="21"/>
          <w:szCs w:val="21"/>
          <w:highlight w:val="none"/>
          <w:lang w:val="en-US" w:eastAsia="zh-CN"/>
        </w:rPr>
        <w:t>2026年05月12日10：30（北京时间）</w:t>
      </w:r>
    </w:p>
    <w:p w14:paraId="4021658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投标地点：政府采购云平台（www.zcygov.cn）</w:t>
      </w:r>
    </w:p>
    <w:p w14:paraId="5A0B1C4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开标时间：</w:t>
      </w:r>
      <w:r>
        <w:rPr>
          <w:rFonts w:hint="eastAsia" w:cs="宋体"/>
          <w:color w:val="auto"/>
          <w:sz w:val="21"/>
          <w:szCs w:val="21"/>
          <w:highlight w:val="none"/>
          <w:lang w:val="en-US" w:eastAsia="zh-CN"/>
        </w:rPr>
        <w:t>2026年05月12日10：30（北京时间）</w:t>
      </w:r>
    </w:p>
    <w:p w14:paraId="341955A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firstLine="426"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开标地点：政府采购云平台（www.zcygov.cn）  </w:t>
      </w:r>
    </w:p>
    <w:p w14:paraId="4D5B961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五、公告期限 </w:t>
      </w:r>
    </w:p>
    <w:p w14:paraId="1C4C858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 </w:t>
      </w:r>
      <w:r>
        <w:rPr>
          <w:rFonts w:hint="eastAsia" w:ascii="宋体" w:hAnsi="宋体" w:eastAsia="宋体" w:cs="宋体"/>
          <w:sz w:val="21"/>
          <w:szCs w:val="21"/>
          <w:highlight w:val="none"/>
          <w:lang w:val="en-US" w:eastAsia="zh-CN"/>
        </w:rPr>
        <w:t>自本公告发布之日起5个工作日。</w:t>
      </w:r>
    </w:p>
    <w:p w14:paraId="5F23C02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六、其他补充事宜</w:t>
      </w:r>
    </w:p>
    <w:p w14:paraId="2F12B22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 xml:space="preserve"> </w:t>
      </w:r>
      <w:r>
        <w:rPr>
          <w:rFonts w:hint="eastAsia" w:cs="宋体"/>
          <w:b/>
          <w:bCs/>
          <w:sz w:val="21"/>
          <w:szCs w:val="21"/>
          <w:highlight w:val="none"/>
          <w:lang w:val="en-US" w:eastAsia="zh-CN"/>
        </w:rPr>
        <w:t xml:space="preserve">  </w:t>
      </w:r>
      <w:r>
        <w:rPr>
          <w:rFonts w:hint="eastAsia" w:ascii="宋体" w:hAnsi="宋体" w:eastAsia="宋体" w:cs="宋体"/>
          <w:sz w:val="21"/>
          <w:szCs w:val="21"/>
          <w:highlight w:val="none"/>
          <w:lang w:val="en-US" w:eastAsia="zh-CN"/>
        </w:rPr>
        <w:t>1.本项目采用全流程不见</w:t>
      </w:r>
      <w:r>
        <w:rPr>
          <w:rFonts w:hint="eastAsia" w:ascii="宋体" w:hAnsi="宋体" w:eastAsia="宋体" w:cs="宋体"/>
          <w:sz w:val="21"/>
          <w:szCs w:val="21"/>
          <w:highlight w:val="none"/>
        </w:rPr>
        <w:t>面电子开评标，投标供应商需要使用CA加密设备，供应商可通过新疆数字证书认证中心官网（https://www.xjca.com.cn/）或下载“新疆政务通”APP自行进行申领。</w:t>
      </w:r>
    </w:p>
    <w:p w14:paraId="4B7E568E">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2.本项目实行网上投标，采用加密电子投标文件(供应商须使用CA加密设备通过政采云电子投标客户端制作投标文件)。若供应商参与投标，自行承担投标一切费用。</w:t>
      </w:r>
    </w:p>
    <w:p w14:paraId="3BF24BD5">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53B50170">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eastAsia="宋体" w:cs="宋体"/>
          <w:sz w:val="21"/>
          <w:szCs w:val="21"/>
          <w:highlight w:val="none"/>
          <w:lang w:eastAsia="zh-CN"/>
        </w:rPr>
        <w:t xml:space="preserve">95763 </w:t>
      </w:r>
      <w:r>
        <w:rPr>
          <w:rFonts w:hint="eastAsia" w:ascii="宋体" w:hAnsi="宋体" w:eastAsia="宋体" w:cs="宋体"/>
          <w:sz w:val="21"/>
          <w:szCs w:val="21"/>
          <w:highlight w:val="none"/>
        </w:rPr>
        <w:t>进行咨询。</w:t>
      </w:r>
    </w:p>
    <w:p w14:paraId="5728390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5.供应商在开标时须使用制作加密电子投标文件所使用的CA锁及电脑，电脑须提前配置好浏览器（建议使用谷歌浏览器），以便开标时解锁。</w:t>
      </w:r>
      <w:r>
        <w:rPr>
          <w:rFonts w:hint="eastAsia" w:ascii="宋体" w:hAnsi="宋体" w:eastAsia="宋体" w:cs="宋体"/>
          <w:sz w:val="21"/>
          <w:szCs w:val="21"/>
          <w:highlight w:val="none"/>
          <w:lang w:val="en-US" w:eastAsia="zh-CN"/>
        </w:rPr>
        <w:t xml:space="preserve"> </w:t>
      </w:r>
    </w:p>
    <w:p w14:paraId="4C32CF46">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宋体" w:hAnsi="宋体" w:eastAsia="宋体" w:cs="宋体"/>
          <w:sz w:val="21"/>
          <w:szCs w:val="21"/>
          <w:highlight w:val="none"/>
          <w:lang w:eastAsia="zh-CN"/>
        </w:rPr>
        <w:t>。</w:t>
      </w:r>
    </w:p>
    <w:p w14:paraId="48F09D0C">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7.为了保证开评标顺利进行，政采云线上开标功能完全实现，供应商开标所使用的电脑设备须具有视频及语音功能。</w:t>
      </w:r>
    </w:p>
    <w:p w14:paraId="3A87CCF5">
      <w:pPr>
        <w:pStyle w:val="82"/>
        <w:ind w:left="0" w:leftChars="0" w:firstLine="0" w:firstLineChars="0"/>
        <w:rPr>
          <w:rFonts w:hint="eastAsia" w:ascii="仿宋" w:hAnsi="仿宋" w:eastAsia="仿宋" w:cs="仿宋"/>
          <w:color w:val="auto"/>
          <w:spacing w:val="0"/>
          <w:w w:val="100"/>
          <w:position w:val="0"/>
          <w:sz w:val="24"/>
          <w:szCs w:val="24"/>
          <w:highlight w:val="none"/>
          <w:shd w:val="clear" w:color="auto" w:fill="auto"/>
          <w:lang w:val="en-US" w:eastAsia="zh-CN" w:bidi="en-US"/>
        </w:rPr>
      </w:pPr>
      <w:r>
        <w:rPr>
          <w:rFonts w:hint="eastAsia" w:ascii="仿宋" w:hAnsi="仿宋" w:eastAsia="仿宋" w:cs="仿宋"/>
          <w:color w:val="auto"/>
          <w:spacing w:val="0"/>
          <w:w w:val="100"/>
          <w:position w:val="0"/>
          <w:sz w:val="24"/>
          <w:szCs w:val="24"/>
          <w:highlight w:val="none"/>
          <w:shd w:val="clear" w:color="auto" w:fill="auto"/>
          <w:lang w:val="en-US" w:eastAsia="zh-CN" w:bidi="en-US"/>
        </w:rPr>
        <w:t>其他事项： 采购人与招标代理机构经协商本次招标代理服务费为：13000元。</w:t>
      </w:r>
    </w:p>
    <w:p w14:paraId="6F0DA1E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textAlignment w:val="auto"/>
        <w:rPr>
          <w:rFonts w:hint="eastAsia" w:ascii="宋体" w:hAnsi="宋体" w:eastAsia="宋体" w:cs="宋体"/>
          <w:sz w:val="21"/>
          <w:szCs w:val="21"/>
          <w:highlight w:val="none"/>
        </w:rPr>
      </w:pPr>
    </w:p>
    <w:p w14:paraId="2A67E049">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40" w:lineRule="exact"/>
        <w:ind w:left="0" w:right="0"/>
        <w:jc w:val="both"/>
        <w:textAlignment w:val="auto"/>
        <w:rPr>
          <w:rStyle w:val="31"/>
          <w:rFonts w:hint="eastAsia" w:ascii="宋体" w:hAnsi="宋体" w:eastAsia="宋体" w:cs="宋体"/>
          <w:b/>
          <w:color w:val="333333"/>
          <w:sz w:val="21"/>
          <w:szCs w:val="21"/>
          <w:highlight w:val="none"/>
          <w:lang w:val="en-US" w:eastAsia="zh-CN"/>
        </w:rPr>
      </w:pPr>
      <w:r>
        <w:rPr>
          <w:rStyle w:val="31"/>
          <w:rFonts w:hint="eastAsia" w:ascii="宋体" w:hAnsi="宋体" w:eastAsia="宋体" w:cs="宋体"/>
          <w:b/>
          <w:color w:val="333333"/>
          <w:sz w:val="21"/>
          <w:szCs w:val="21"/>
          <w:highlight w:val="none"/>
          <w:lang w:val="en-US" w:eastAsia="zh-CN"/>
        </w:rPr>
        <w:t>七、对本次采购提出询问，请按以下方式联系</w:t>
      </w:r>
    </w:p>
    <w:p w14:paraId="50058E5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14:paraId="576F41C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cs="宋体"/>
          <w:color w:val="auto"/>
          <w:sz w:val="21"/>
          <w:szCs w:val="21"/>
          <w:highlight w:val="none"/>
          <w:lang w:val="en-US" w:eastAsia="zh-CN"/>
        </w:rPr>
        <w:t>乌恰县财政局</w:t>
      </w:r>
    </w:p>
    <w:p w14:paraId="6996E3F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cs="宋体"/>
          <w:color w:val="auto"/>
          <w:sz w:val="21"/>
          <w:szCs w:val="21"/>
          <w:highlight w:val="none"/>
          <w:lang w:val="en-US" w:eastAsia="zh-CN"/>
        </w:rPr>
        <w:t>15909088765</w:t>
      </w:r>
    </w:p>
    <w:p w14:paraId="39DEF08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2.采购代理机构信息</w:t>
      </w:r>
    </w:p>
    <w:p w14:paraId="4F322F8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cs="宋体"/>
          <w:color w:val="auto"/>
          <w:sz w:val="21"/>
          <w:szCs w:val="21"/>
          <w:highlight w:val="none"/>
          <w:lang w:val="en-US" w:eastAsia="zh-CN"/>
        </w:rPr>
        <w:t>新疆邦升项目管理有限公司</w:t>
      </w:r>
    </w:p>
    <w:p w14:paraId="52825A0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cs="宋体"/>
          <w:color w:val="auto"/>
          <w:sz w:val="21"/>
          <w:szCs w:val="21"/>
          <w:highlight w:val="none"/>
          <w:lang w:val="en-US" w:eastAsia="zh-CN"/>
        </w:rPr>
        <w:t>新疆克州乌恰县天源市政5楼</w:t>
      </w:r>
    </w:p>
    <w:p w14:paraId="0AC1080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cs="宋体"/>
          <w:color w:val="auto"/>
          <w:sz w:val="21"/>
          <w:szCs w:val="21"/>
          <w:highlight w:val="none"/>
          <w:lang w:val="en-US" w:eastAsia="zh-CN"/>
        </w:rPr>
        <w:t>18099987009</w:t>
      </w:r>
    </w:p>
    <w:p w14:paraId="72DD167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3.项目联系方式</w:t>
      </w:r>
    </w:p>
    <w:p w14:paraId="37A2D6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cs="宋体"/>
          <w:color w:val="auto"/>
          <w:sz w:val="21"/>
          <w:szCs w:val="21"/>
          <w:highlight w:val="none"/>
          <w:lang w:val="en-US" w:eastAsia="zh-CN"/>
        </w:rPr>
        <w:t>韩先生</w:t>
      </w:r>
    </w:p>
    <w:p w14:paraId="61742F8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420"/>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电话：</w:t>
      </w:r>
      <w:bookmarkEnd w:id="1"/>
      <w:r>
        <w:rPr>
          <w:rFonts w:hint="eastAsia" w:cs="宋体"/>
          <w:color w:val="auto"/>
          <w:sz w:val="21"/>
          <w:szCs w:val="21"/>
          <w:highlight w:val="none"/>
          <w:lang w:val="en-US" w:eastAsia="zh-CN"/>
        </w:rPr>
        <w:t>18099987009</w:t>
      </w:r>
    </w:p>
    <w:p w14:paraId="5CE28D1B">
      <w:pPr>
        <w:pStyle w:val="10"/>
        <w:rPr>
          <w:rFonts w:hint="eastAsia"/>
          <w:sz w:val="20"/>
          <w:szCs w:val="22"/>
          <w:highlight w:val="none"/>
        </w:rPr>
      </w:pPr>
    </w:p>
    <w:p w14:paraId="0C6581E3">
      <w:pPr>
        <w:rPr>
          <w:rFonts w:hint="eastAsia"/>
          <w:sz w:val="20"/>
          <w:szCs w:val="22"/>
          <w:highlight w:val="none"/>
        </w:rPr>
      </w:pPr>
    </w:p>
    <w:p w14:paraId="125D6F9B">
      <w:pPr>
        <w:pStyle w:val="10"/>
        <w:rPr>
          <w:rFonts w:hint="eastAsia"/>
          <w:sz w:val="20"/>
          <w:szCs w:val="22"/>
          <w:highlight w:val="none"/>
        </w:rPr>
      </w:pPr>
    </w:p>
    <w:p w14:paraId="729C081A">
      <w:pPr>
        <w:rPr>
          <w:rFonts w:hint="eastAsia"/>
          <w:highlight w:val="none"/>
        </w:rPr>
      </w:pPr>
    </w:p>
    <w:p w14:paraId="3B2AC4EF">
      <w:pPr>
        <w:pStyle w:val="10"/>
        <w:rPr>
          <w:rFonts w:hint="eastAsia"/>
          <w:highlight w:val="none"/>
        </w:rPr>
      </w:pPr>
    </w:p>
    <w:p w14:paraId="048B2BB0">
      <w:pPr>
        <w:rPr>
          <w:rFonts w:hint="eastAsia"/>
          <w:highlight w:val="none"/>
        </w:rPr>
      </w:pPr>
    </w:p>
    <w:p w14:paraId="28B3CC0A">
      <w:pPr>
        <w:pStyle w:val="10"/>
        <w:rPr>
          <w:rFonts w:hint="eastAsia"/>
          <w:highlight w:val="none"/>
        </w:rPr>
      </w:pPr>
    </w:p>
    <w:p w14:paraId="150CE96A">
      <w:pPr>
        <w:rPr>
          <w:rFonts w:hint="eastAsia"/>
          <w:highlight w:val="none"/>
        </w:rPr>
      </w:pPr>
    </w:p>
    <w:p w14:paraId="2592AE2F">
      <w:pPr>
        <w:pStyle w:val="14"/>
        <w:rPr>
          <w:rFonts w:hint="eastAsia"/>
          <w:highlight w:val="none"/>
        </w:rPr>
      </w:pPr>
    </w:p>
    <w:p w14:paraId="64FBBA2F">
      <w:pPr>
        <w:pStyle w:val="15"/>
        <w:rPr>
          <w:rFonts w:hint="eastAsia"/>
          <w:highlight w:val="none"/>
        </w:rPr>
      </w:pPr>
    </w:p>
    <w:p w14:paraId="2A15161F">
      <w:pPr>
        <w:rPr>
          <w:rFonts w:hint="eastAsia"/>
          <w:highlight w:val="none"/>
        </w:rPr>
      </w:pPr>
    </w:p>
    <w:p w14:paraId="0DD5AC87">
      <w:pPr>
        <w:pStyle w:val="10"/>
        <w:rPr>
          <w:rFonts w:hint="eastAsia"/>
          <w:highlight w:val="none"/>
        </w:rPr>
      </w:pPr>
    </w:p>
    <w:p w14:paraId="217B8D16">
      <w:pPr>
        <w:pStyle w:val="11"/>
        <w:rPr>
          <w:rFonts w:hint="eastAsia"/>
          <w:highlight w:val="none"/>
        </w:rPr>
      </w:pPr>
    </w:p>
    <w:p w14:paraId="3A777835">
      <w:pPr>
        <w:rPr>
          <w:rFonts w:hint="eastAsia"/>
          <w:highlight w:val="none"/>
        </w:rPr>
      </w:pPr>
    </w:p>
    <w:p w14:paraId="406A144A">
      <w:pPr>
        <w:pStyle w:val="10"/>
        <w:rPr>
          <w:rFonts w:hint="eastAsia"/>
          <w:highlight w:val="none"/>
        </w:rPr>
      </w:pPr>
    </w:p>
    <w:p w14:paraId="1866AF63">
      <w:pPr>
        <w:pStyle w:val="11"/>
        <w:rPr>
          <w:rFonts w:hint="eastAsia"/>
          <w:highlight w:val="none"/>
        </w:rPr>
      </w:pPr>
    </w:p>
    <w:p w14:paraId="71598C33">
      <w:pPr>
        <w:rPr>
          <w:rFonts w:hint="eastAsia"/>
          <w:highlight w:val="none"/>
        </w:rPr>
      </w:pPr>
    </w:p>
    <w:p w14:paraId="25A88A1A">
      <w:pPr>
        <w:pStyle w:val="10"/>
        <w:rPr>
          <w:rFonts w:hint="eastAsia"/>
          <w:highlight w:val="none"/>
        </w:rPr>
      </w:pPr>
    </w:p>
    <w:p w14:paraId="24369558">
      <w:pPr>
        <w:pStyle w:val="11"/>
        <w:rPr>
          <w:rFonts w:hint="eastAsia"/>
          <w:highlight w:val="none"/>
        </w:rPr>
      </w:pPr>
    </w:p>
    <w:p w14:paraId="56351B3C">
      <w:pPr>
        <w:pStyle w:val="10"/>
        <w:rPr>
          <w:rFonts w:hint="eastAsia"/>
          <w:highlight w:val="none"/>
        </w:rPr>
      </w:pPr>
    </w:p>
    <w:p w14:paraId="2C5D9C23">
      <w:pPr>
        <w:numPr>
          <w:ilvl w:val="0"/>
          <w:numId w:val="0"/>
        </w:numPr>
        <w:shd w:val="clear" w:color="auto" w:fill="auto"/>
        <w:spacing w:line="500" w:lineRule="exact"/>
        <w:jc w:val="center"/>
        <w:outlineLvl w:val="0"/>
        <w:rPr>
          <w:rFonts w:hint="eastAsia" w:ascii="宋体"/>
          <w:b/>
          <w:color w:val="auto"/>
          <w:sz w:val="32"/>
          <w:szCs w:val="32"/>
          <w:highlight w:val="none"/>
        </w:rPr>
      </w:pPr>
      <w:r>
        <w:rPr>
          <w:rFonts w:hint="eastAsia" w:ascii="宋体"/>
          <w:b/>
          <w:color w:val="auto"/>
          <w:sz w:val="32"/>
          <w:szCs w:val="32"/>
          <w:highlight w:val="none"/>
          <w:lang w:eastAsia="zh-CN"/>
        </w:rPr>
        <w:t>第二章</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投标人须知</w:t>
      </w:r>
      <w:bookmarkStart w:id="3" w:name="_Toc469495722"/>
    </w:p>
    <w:p w14:paraId="5AA28EC0">
      <w:pPr>
        <w:numPr>
          <w:ilvl w:val="0"/>
          <w:numId w:val="0"/>
        </w:numPr>
        <w:shd w:val="clear" w:color="auto" w:fill="auto"/>
        <w:spacing w:line="500" w:lineRule="exact"/>
        <w:jc w:val="center"/>
        <w:outlineLvl w:val="9"/>
        <w:rPr>
          <w:rFonts w:hint="eastAsia"/>
          <w:highlight w:val="none"/>
        </w:rPr>
      </w:pPr>
      <w:r>
        <w:rPr>
          <w:rFonts w:hint="eastAsia" w:ascii="宋体"/>
          <w:b/>
          <w:color w:val="auto"/>
          <w:sz w:val="28"/>
          <w:szCs w:val="28"/>
          <w:highlight w:val="none"/>
          <w:lang w:eastAsia="zh-CN"/>
        </w:rPr>
        <w:t>一、</w:t>
      </w:r>
      <w:r>
        <w:rPr>
          <w:rFonts w:hint="eastAsia" w:ascii="宋体"/>
          <w:b/>
          <w:color w:val="auto"/>
          <w:sz w:val="28"/>
          <w:szCs w:val="28"/>
          <w:highlight w:val="none"/>
        </w:rPr>
        <w:t>投标人须知前附表</w:t>
      </w:r>
      <w:bookmarkEnd w:id="3"/>
    </w:p>
    <w:tbl>
      <w:tblPr>
        <w:tblStyle w:val="28"/>
        <w:tblW w:w="983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012"/>
        <w:gridCol w:w="1536"/>
        <w:gridCol w:w="7288"/>
      </w:tblGrid>
      <w:tr w14:paraId="05BA97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14:paraId="35DDEC3D">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95" w:leftChars="-45" w:right="-83" w:rightChars="-39"/>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条款号</w:t>
            </w:r>
          </w:p>
        </w:tc>
        <w:tc>
          <w:tcPr>
            <w:tcW w:w="1536" w:type="dxa"/>
            <w:noWrap w:val="0"/>
            <w:vAlign w:val="center"/>
          </w:tcPr>
          <w:p w14:paraId="1F32C65F">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内容</w:t>
            </w:r>
          </w:p>
        </w:tc>
        <w:tc>
          <w:tcPr>
            <w:tcW w:w="7288" w:type="dxa"/>
            <w:noWrap w:val="0"/>
            <w:vAlign w:val="center"/>
          </w:tcPr>
          <w:p w14:paraId="101FB320">
            <w:pPr>
              <w:pStyle w:val="14"/>
              <w:keepNext w:val="0"/>
              <w:keepLines w:val="0"/>
              <w:pageBreakBefore w:val="0"/>
              <w:shd w:val="clear" w:color="auto" w:fill="auto"/>
              <w:kinsoku/>
              <w:wordWrap/>
              <w:overflowPunct/>
              <w:topLinePunct w:val="0"/>
              <w:autoSpaceDE/>
              <w:autoSpaceDN/>
              <w:bidi w:val="0"/>
              <w:adjustRightInd/>
              <w:snapToGrid w:val="0"/>
              <w:spacing w:line="400" w:lineRule="exact"/>
              <w:ind w:firstLine="2130" w:firstLineChars="1000"/>
              <w:jc w:val="both"/>
              <w:textAlignment w:val="auto"/>
              <w:outlineLvl w:val="9"/>
              <w:rPr>
                <w:b w:val="0"/>
                <w:bCs/>
                <w:color w:val="auto"/>
                <w:sz w:val="21"/>
                <w:szCs w:val="21"/>
                <w:highlight w:val="none"/>
                <w:lang w:val="en-US" w:eastAsia="zh-CN"/>
              </w:rPr>
            </w:pPr>
            <w:r>
              <w:rPr>
                <w:rFonts w:hint="eastAsia"/>
                <w:b w:val="0"/>
                <w:bCs/>
                <w:color w:val="auto"/>
                <w:sz w:val="21"/>
                <w:szCs w:val="21"/>
                <w:highlight w:val="none"/>
                <w:lang w:val="en-US" w:eastAsia="zh-CN"/>
              </w:rPr>
              <w:t>说明与要求</w:t>
            </w:r>
          </w:p>
        </w:tc>
      </w:tr>
      <w:tr w14:paraId="46C5FB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1012" w:type="dxa"/>
            <w:noWrap w:val="0"/>
            <w:vAlign w:val="center"/>
          </w:tcPr>
          <w:p w14:paraId="2A4429F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w:t>
            </w:r>
          </w:p>
        </w:tc>
        <w:tc>
          <w:tcPr>
            <w:tcW w:w="1536" w:type="dxa"/>
            <w:noWrap w:val="0"/>
            <w:vAlign w:val="center"/>
          </w:tcPr>
          <w:p w14:paraId="7CBBD567">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采购人</w:t>
            </w:r>
            <w:r>
              <w:rPr>
                <w:rFonts w:hint="eastAsia" w:ascii="宋体" w:hAnsi="宋体" w:eastAsia="宋体" w:cs="宋体"/>
                <w:b/>
                <w:bCs w:val="0"/>
                <w:color w:val="auto"/>
                <w:sz w:val="21"/>
                <w:szCs w:val="21"/>
                <w:highlight w:val="none"/>
                <w:lang w:eastAsia="zh-CN"/>
              </w:rPr>
              <w:t>信</w:t>
            </w:r>
            <w:r>
              <w:rPr>
                <w:rFonts w:hint="eastAsia" w:ascii="宋体" w:hAnsi="宋体" w:eastAsia="宋体" w:cs="宋体"/>
                <w:b/>
                <w:bCs w:val="0"/>
                <w:color w:val="auto"/>
                <w:sz w:val="21"/>
                <w:szCs w:val="21"/>
                <w:highlight w:val="none"/>
              </w:rPr>
              <w:t>息</w:t>
            </w:r>
          </w:p>
        </w:tc>
        <w:tc>
          <w:tcPr>
            <w:tcW w:w="7288" w:type="dxa"/>
            <w:noWrap w:val="0"/>
            <w:vAlign w:val="center"/>
          </w:tcPr>
          <w:p w14:paraId="260086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val="0"/>
                <w:bCs/>
                <w:sz w:val="21"/>
                <w:szCs w:val="21"/>
                <w:highlight w:val="none"/>
                <w:lang w:val="en-US" w:eastAsia="zh-CN"/>
              </w:rPr>
            </w:pPr>
            <w:r>
              <w:rPr>
                <w:rFonts w:hint="eastAsia"/>
                <w:b w:val="0"/>
                <w:bCs/>
                <w:color w:val="auto"/>
                <w:sz w:val="21"/>
                <w:szCs w:val="21"/>
                <w:highlight w:val="none"/>
                <w:lang w:val="en-US" w:eastAsia="zh-CN"/>
              </w:rPr>
              <w:t>采购单位：</w:t>
            </w:r>
            <w:r>
              <w:rPr>
                <w:rFonts w:hint="eastAsia"/>
                <w:b w:val="0"/>
                <w:bCs/>
                <w:sz w:val="21"/>
                <w:szCs w:val="21"/>
                <w:highlight w:val="none"/>
                <w:lang w:val="en-US" w:eastAsia="zh-CN"/>
              </w:rPr>
              <w:t>乌恰县财政局</w:t>
            </w:r>
          </w:p>
          <w:p w14:paraId="486E99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eastAsia="宋体"/>
                <w:b w:val="0"/>
                <w:bCs/>
                <w:sz w:val="21"/>
                <w:szCs w:val="21"/>
                <w:highlight w:val="none"/>
                <w:lang w:val="en-US" w:eastAsia="zh-CN"/>
              </w:rPr>
            </w:pPr>
            <w:r>
              <w:rPr>
                <w:rFonts w:hint="eastAsia" w:eastAsia="宋体"/>
                <w:b w:val="0"/>
                <w:bCs/>
                <w:sz w:val="21"/>
                <w:szCs w:val="21"/>
                <w:highlight w:val="none"/>
                <w:lang w:val="en-US" w:eastAsia="zh-CN"/>
              </w:rPr>
              <w:t>联系人：</w:t>
            </w:r>
            <w:r>
              <w:rPr>
                <w:rFonts w:hint="eastAsia"/>
                <w:b w:val="0"/>
                <w:bCs/>
                <w:sz w:val="21"/>
                <w:szCs w:val="21"/>
                <w:highlight w:val="none"/>
                <w:lang w:val="en-US" w:eastAsia="zh-CN"/>
              </w:rPr>
              <w:t>吴女士</w:t>
            </w:r>
            <w:r>
              <w:rPr>
                <w:rFonts w:hint="eastAsia" w:eastAsia="宋体"/>
                <w:b w:val="0"/>
                <w:bCs/>
                <w:sz w:val="21"/>
                <w:szCs w:val="21"/>
                <w:highlight w:val="none"/>
                <w:lang w:val="en-US" w:eastAsia="zh-CN"/>
              </w:rPr>
              <w:t xml:space="preserve">        </w:t>
            </w:r>
          </w:p>
          <w:p w14:paraId="3439C4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eastAsia="宋体"/>
                <w:b w:val="0"/>
                <w:bCs/>
                <w:sz w:val="21"/>
                <w:szCs w:val="21"/>
                <w:highlight w:val="none"/>
                <w:lang w:val="en-US" w:eastAsia="zh-CN"/>
              </w:rPr>
            </w:pPr>
            <w:r>
              <w:rPr>
                <w:rFonts w:hint="eastAsia" w:eastAsia="宋体"/>
                <w:b w:val="0"/>
                <w:bCs/>
                <w:sz w:val="21"/>
                <w:szCs w:val="21"/>
                <w:highlight w:val="none"/>
                <w:lang w:val="en-US" w:eastAsia="zh-CN"/>
              </w:rPr>
              <w:t>联系电话</w:t>
            </w:r>
            <w:r>
              <w:rPr>
                <w:rFonts w:hint="eastAsia"/>
                <w:b w:val="0"/>
                <w:bCs/>
                <w:sz w:val="21"/>
                <w:szCs w:val="21"/>
                <w:highlight w:val="none"/>
                <w:lang w:val="en-US" w:eastAsia="zh-CN"/>
              </w:rPr>
              <w:t>：15909088765</w:t>
            </w:r>
          </w:p>
        </w:tc>
      </w:tr>
      <w:tr w14:paraId="2655DD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9" w:hRule="atLeast"/>
          <w:jc w:val="center"/>
        </w:trPr>
        <w:tc>
          <w:tcPr>
            <w:tcW w:w="1012" w:type="dxa"/>
            <w:noWrap w:val="0"/>
            <w:vAlign w:val="center"/>
          </w:tcPr>
          <w:p w14:paraId="04FFBAA9">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default"/>
                <w:b/>
                <w:bCs w:val="0"/>
                <w:color w:val="000000" w:themeColor="text1"/>
                <w:sz w:val="21"/>
                <w:szCs w:val="21"/>
                <w:highlight w:val="none"/>
                <w:lang w:val="en-US" w:eastAsia="zh-CN"/>
                <w14:textFill>
                  <w14:solidFill>
                    <w14:schemeClr w14:val="tx1"/>
                  </w14:solidFill>
                </w14:textFill>
              </w:rPr>
              <w:t>2</w:t>
            </w:r>
          </w:p>
        </w:tc>
        <w:tc>
          <w:tcPr>
            <w:tcW w:w="1536" w:type="dxa"/>
            <w:noWrap w:val="0"/>
            <w:vAlign w:val="center"/>
          </w:tcPr>
          <w:p w14:paraId="629629B5">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采购代理机构</w:t>
            </w:r>
          </w:p>
        </w:tc>
        <w:tc>
          <w:tcPr>
            <w:tcW w:w="7288" w:type="dxa"/>
            <w:noWrap w:val="0"/>
            <w:vAlign w:val="center"/>
          </w:tcPr>
          <w:p w14:paraId="3CB6667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val="0"/>
                <w:bCs/>
                <w:sz w:val="21"/>
                <w:szCs w:val="21"/>
                <w:highlight w:val="none"/>
                <w:lang w:val="en-US" w:eastAsia="zh-CN"/>
              </w:rPr>
            </w:pPr>
            <w:r>
              <w:rPr>
                <w:rFonts w:hint="eastAsia" w:ascii="Times New Roman" w:hAnsi="Times New Roman" w:eastAsia="宋体" w:cs="Times New Roman"/>
                <w:b w:val="0"/>
                <w:bCs/>
                <w:sz w:val="21"/>
                <w:szCs w:val="21"/>
                <w:highlight w:val="none"/>
                <w:lang w:val="en-US" w:eastAsia="zh-CN"/>
              </w:rPr>
              <w:t>名  称：</w:t>
            </w:r>
            <w:r>
              <w:rPr>
                <w:rFonts w:hint="eastAsia" w:cs="Times New Roman"/>
                <w:b w:val="0"/>
                <w:bCs/>
                <w:sz w:val="21"/>
                <w:szCs w:val="21"/>
                <w:highlight w:val="none"/>
                <w:lang w:val="en-US" w:eastAsia="zh-CN"/>
              </w:rPr>
              <w:t>新疆邦升项目管理有限公司</w:t>
            </w:r>
          </w:p>
          <w:p w14:paraId="4592FE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highlight w:val="none"/>
                <w:lang w:val="en-US" w:eastAsia="zh-CN"/>
              </w:rPr>
            </w:pPr>
            <w:r>
              <w:rPr>
                <w:rFonts w:hint="eastAsia" w:ascii="Times New Roman" w:hAnsi="Times New Roman" w:eastAsia="宋体" w:cs="Times New Roman"/>
                <w:b w:val="0"/>
                <w:bCs/>
                <w:sz w:val="21"/>
                <w:szCs w:val="21"/>
                <w:highlight w:val="none"/>
                <w:lang w:val="en-US" w:eastAsia="zh-CN"/>
              </w:rPr>
              <w:t>地  址：</w:t>
            </w:r>
            <w:r>
              <w:rPr>
                <w:rFonts w:hint="eastAsia" w:cs="Times New Roman"/>
                <w:b w:val="0"/>
                <w:bCs/>
                <w:sz w:val="21"/>
                <w:szCs w:val="21"/>
                <w:highlight w:val="none"/>
                <w:lang w:val="en-US" w:eastAsia="zh-CN"/>
              </w:rPr>
              <w:t>新疆克州乌恰县天源市政5楼</w:t>
            </w:r>
          </w:p>
          <w:p w14:paraId="773BB1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val="0"/>
                <w:bCs/>
                <w:sz w:val="21"/>
                <w:szCs w:val="21"/>
                <w:highlight w:val="none"/>
                <w:lang w:val="en-US" w:eastAsia="zh-CN"/>
              </w:rPr>
            </w:pPr>
            <w:r>
              <w:rPr>
                <w:rFonts w:hint="default" w:ascii="Times New Roman" w:hAnsi="Times New Roman" w:eastAsia="宋体" w:cs="Times New Roman"/>
                <w:b w:val="0"/>
                <w:bCs/>
                <w:sz w:val="21"/>
                <w:szCs w:val="21"/>
                <w:highlight w:val="none"/>
                <w:lang w:val="en-US" w:eastAsia="zh-CN"/>
              </w:rPr>
              <w:t>联系人：</w:t>
            </w:r>
            <w:r>
              <w:rPr>
                <w:rFonts w:hint="eastAsia" w:cs="Times New Roman"/>
                <w:b w:val="0"/>
                <w:bCs/>
                <w:sz w:val="21"/>
                <w:szCs w:val="21"/>
                <w:highlight w:val="none"/>
                <w:lang w:val="en-US" w:eastAsia="zh-CN"/>
              </w:rPr>
              <w:t>韩先生</w:t>
            </w:r>
            <w:r>
              <w:rPr>
                <w:rFonts w:hint="eastAsia" w:ascii="Times New Roman" w:hAnsi="Times New Roman" w:eastAsia="宋体" w:cs="Times New Roman"/>
                <w:b w:val="0"/>
                <w:bCs/>
                <w:sz w:val="21"/>
                <w:szCs w:val="21"/>
                <w:highlight w:val="none"/>
                <w:lang w:val="en-US" w:eastAsia="zh-CN"/>
              </w:rPr>
              <w:t xml:space="preserve">       </w:t>
            </w:r>
          </w:p>
          <w:p w14:paraId="2252C6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b w:val="0"/>
                <w:bCs/>
                <w:color w:val="auto"/>
                <w:sz w:val="21"/>
                <w:szCs w:val="21"/>
                <w:highlight w:val="none"/>
              </w:rPr>
            </w:pPr>
            <w:r>
              <w:rPr>
                <w:rFonts w:hint="default" w:ascii="Times New Roman" w:hAnsi="Times New Roman" w:eastAsia="宋体" w:cs="Times New Roman"/>
                <w:b w:val="0"/>
                <w:bCs/>
                <w:sz w:val="21"/>
                <w:szCs w:val="21"/>
                <w:highlight w:val="none"/>
                <w:lang w:val="en-US" w:eastAsia="zh-CN"/>
              </w:rPr>
              <w:t>联系电话：</w:t>
            </w:r>
            <w:r>
              <w:rPr>
                <w:rFonts w:hint="eastAsia" w:cs="Times New Roman"/>
                <w:b w:val="0"/>
                <w:bCs/>
                <w:sz w:val="21"/>
                <w:szCs w:val="21"/>
                <w:highlight w:val="none"/>
                <w:lang w:val="en-US" w:eastAsia="zh-CN"/>
              </w:rPr>
              <w:t>18099987009</w:t>
            </w:r>
          </w:p>
        </w:tc>
      </w:tr>
      <w:tr w14:paraId="40B8674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14:paraId="774D659F">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3</w:t>
            </w:r>
          </w:p>
        </w:tc>
        <w:tc>
          <w:tcPr>
            <w:tcW w:w="1536" w:type="dxa"/>
            <w:noWrap w:val="0"/>
            <w:vAlign w:val="center"/>
          </w:tcPr>
          <w:p w14:paraId="3120D2B4">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项目名称</w:t>
            </w:r>
          </w:p>
          <w:p w14:paraId="17DF278B">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项目编号</w:t>
            </w:r>
          </w:p>
          <w:p w14:paraId="7E01BE95">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rPr>
                <w:rFonts w:hint="default"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采购内容</w:t>
            </w:r>
          </w:p>
        </w:tc>
        <w:tc>
          <w:tcPr>
            <w:tcW w:w="7288" w:type="dxa"/>
            <w:noWrap w:val="0"/>
            <w:vAlign w:val="center"/>
          </w:tcPr>
          <w:p w14:paraId="29F681A7">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rPr>
                <w:rFonts w:hint="default"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项目名称：</w:t>
            </w:r>
            <w:r>
              <w:rPr>
                <w:rFonts w:hint="eastAsia" w:ascii="Times New Roman" w:hAnsi="Times New Roman" w:cs="Times New Roman"/>
                <w:b w:val="0"/>
                <w:bCs/>
                <w:kern w:val="2"/>
                <w:sz w:val="21"/>
                <w:szCs w:val="21"/>
                <w:highlight w:val="none"/>
                <w:lang w:val="en-US" w:eastAsia="zh-CN" w:bidi="ar-SA"/>
              </w:rPr>
              <w:t>乌恰县2026年机关事业单位在职人员雇主责任保险服务采购项目（二次）</w:t>
            </w:r>
            <w:r>
              <w:rPr>
                <w:rFonts w:hint="eastAsia" w:ascii="Times New Roman" w:hAnsi="Times New Roman" w:eastAsia="宋体" w:cs="Times New Roman"/>
                <w:b w:val="0"/>
                <w:bCs/>
                <w:kern w:val="2"/>
                <w:sz w:val="21"/>
                <w:szCs w:val="21"/>
                <w:highlight w:val="none"/>
                <w:lang w:val="en-US" w:eastAsia="zh-CN" w:bidi="ar-SA"/>
              </w:rPr>
              <w:t>项目编号：</w:t>
            </w:r>
            <w:r>
              <w:rPr>
                <w:rFonts w:hint="eastAsia" w:ascii="Times New Roman" w:hAnsi="Times New Roman" w:cs="Times New Roman"/>
                <w:b w:val="0"/>
                <w:bCs/>
                <w:kern w:val="2"/>
                <w:sz w:val="21"/>
                <w:szCs w:val="21"/>
                <w:highlight w:val="none"/>
                <w:lang w:val="en-US" w:eastAsia="zh-CN" w:bidi="ar-SA"/>
              </w:rPr>
              <w:t>WQZFCG(ZB)-2026-026</w:t>
            </w:r>
          </w:p>
          <w:p w14:paraId="7A384E46">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rPr>
                <w:rFonts w:hint="default"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采购内容：人员类保险服务。（详见招标文件）。</w:t>
            </w:r>
          </w:p>
        </w:tc>
      </w:tr>
      <w:tr w14:paraId="2808B4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14:paraId="4636FCEC">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auto"/>
                <w:sz w:val="21"/>
                <w:szCs w:val="21"/>
                <w:highlight w:val="none"/>
                <w:lang w:val="en-US" w:eastAsia="zh-CN"/>
              </w:rPr>
              <w:t>4</w:t>
            </w:r>
          </w:p>
        </w:tc>
        <w:tc>
          <w:tcPr>
            <w:tcW w:w="1536" w:type="dxa"/>
            <w:noWrap w:val="0"/>
            <w:vAlign w:val="center"/>
          </w:tcPr>
          <w:p w14:paraId="77EE77B3">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jc w:val="center"/>
              <w:rPr>
                <w:rFonts w:hint="default" w:ascii="Times New Roman" w:hAnsi="Times New Roman" w:eastAsia="宋体" w:cs="Times New Roman"/>
                <w:b/>
                <w:bCs w:val="0"/>
                <w:kern w:val="2"/>
                <w:sz w:val="21"/>
                <w:szCs w:val="21"/>
                <w:highlight w:val="none"/>
                <w:lang w:val="en-US" w:eastAsia="zh-CN" w:bidi="ar-SA"/>
              </w:rPr>
            </w:pPr>
            <w:r>
              <w:rPr>
                <w:rFonts w:hint="eastAsia" w:ascii="Times New Roman" w:hAnsi="Times New Roman" w:eastAsia="宋体" w:cs="Times New Roman"/>
                <w:b/>
                <w:bCs w:val="0"/>
                <w:kern w:val="2"/>
                <w:sz w:val="21"/>
                <w:szCs w:val="21"/>
                <w:highlight w:val="none"/>
                <w:lang w:val="en-US" w:eastAsia="zh-CN" w:bidi="ar-SA"/>
              </w:rPr>
              <w:t>采购预算</w:t>
            </w:r>
          </w:p>
          <w:p w14:paraId="6CECDD77">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jc w:val="center"/>
              <w:rPr>
                <w:rFonts w:hint="eastAsia" w:ascii="Times New Roman" w:hAnsi="Times New Roman" w:eastAsia="宋体" w:cs="Times New Roman"/>
                <w:b/>
                <w:bCs w:val="0"/>
                <w:kern w:val="2"/>
                <w:sz w:val="21"/>
                <w:szCs w:val="21"/>
                <w:highlight w:val="none"/>
                <w:lang w:val="en-US" w:eastAsia="zh-CN" w:bidi="ar-SA"/>
              </w:rPr>
            </w:pPr>
            <w:r>
              <w:rPr>
                <w:rFonts w:hint="eastAsia" w:ascii="Times New Roman" w:hAnsi="Times New Roman" w:eastAsia="宋体" w:cs="Times New Roman"/>
                <w:b/>
                <w:bCs w:val="0"/>
                <w:kern w:val="2"/>
                <w:sz w:val="21"/>
                <w:szCs w:val="21"/>
                <w:highlight w:val="none"/>
                <w:lang w:val="en-US" w:eastAsia="zh-CN" w:bidi="ar-SA"/>
              </w:rPr>
              <w:t>最高投标限价</w:t>
            </w:r>
          </w:p>
        </w:tc>
        <w:tc>
          <w:tcPr>
            <w:tcW w:w="7288" w:type="dxa"/>
            <w:noWrap w:val="0"/>
            <w:vAlign w:val="center"/>
          </w:tcPr>
          <w:p w14:paraId="0CC33388">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采购预算：947550.00</w:t>
            </w:r>
            <w:r>
              <w:rPr>
                <w:rFonts w:hint="eastAsia" w:ascii="Times New Roman" w:hAnsi="Times New Roman" w:cs="Times New Roman"/>
                <w:kern w:val="2"/>
                <w:sz w:val="21"/>
                <w:szCs w:val="21"/>
                <w:highlight w:val="none"/>
                <w:lang w:val="en-US" w:eastAsia="zh-CN" w:bidi="ar-SA"/>
              </w:rPr>
              <w:t>元</w:t>
            </w:r>
          </w:p>
          <w:p w14:paraId="263F2E26">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jc w:val="left"/>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最高投标限价：947550.00</w:t>
            </w:r>
            <w:r>
              <w:rPr>
                <w:rFonts w:hint="eastAsia" w:ascii="Times New Roman" w:hAnsi="Times New Roman" w:cs="Times New Roman"/>
                <w:b/>
                <w:bCs/>
                <w:kern w:val="2"/>
                <w:sz w:val="21"/>
                <w:szCs w:val="21"/>
                <w:highlight w:val="none"/>
                <w:lang w:val="en-US" w:eastAsia="zh-CN" w:bidi="ar-SA"/>
              </w:rPr>
              <w:t>元</w:t>
            </w:r>
            <w:r>
              <w:rPr>
                <w:rFonts w:hint="eastAsia" w:ascii="Times New Roman" w:hAnsi="Times New Roman" w:eastAsia="宋体" w:cs="Times New Roman"/>
                <w:b/>
                <w:bCs/>
                <w:kern w:val="2"/>
                <w:sz w:val="21"/>
                <w:szCs w:val="21"/>
                <w:highlight w:val="none"/>
                <w:lang w:val="en-US" w:eastAsia="zh-CN" w:bidi="ar-SA"/>
              </w:rPr>
              <w:t>，投标人的投标报价不得高于最高投标限价，否则其投标将被否决。</w:t>
            </w:r>
          </w:p>
        </w:tc>
      </w:tr>
      <w:tr w14:paraId="583EB8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012" w:type="dxa"/>
            <w:noWrap w:val="0"/>
            <w:vAlign w:val="center"/>
          </w:tcPr>
          <w:p w14:paraId="012F8A04">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5</w:t>
            </w:r>
          </w:p>
        </w:tc>
        <w:tc>
          <w:tcPr>
            <w:tcW w:w="1536" w:type="dxa"/>
            <w:noWrap w:val="0"/>
            <w:vAlign w:val="center"/>
          </w:tcPr>
          <w:p w14:paraId="28704B8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资金来源</w:t>
            </w:r>
          </w:p>
        </w:tc>
        <w:tc>
          <w:tcPr>
            <w:tcW w:w="7288" w:type="dxa"/>
            <w:noWrap w:val="0"/>
            <w:vAlign w:val="center"/>
          </w:tcPr>
          <w:p w14:paraId="71278B0A">
            <w:pPr>
              <w:keepNext w:val="0"/>
              <w:keepLines w:val="0"/>
              <w:pageBreakBefore w:val="0"/>
              <w:widowControl/>
              <w:shd w:val="clear" w:color="auto" w:fill="auto"/>
              <w:kinsoku/>
              <w:wordWrap/>
              <w:overflowPunct/>
              <w:topLinePunct w:val="0"/>
              <w:autoSpaceDE/>
              <w:autoSpaceDN/>
              <w:bidi w:val="0"/>
              <w:adjustRightInd/>
              <w:snapToGrid/>
              <w:spacing w:line="400" w:lineRule="exact"/>
              <w:textAlignment w:val="auto"/>
              <w:rPr>
                <w:rFonts w:hint="default" w:ascii="宋体" w:hAnsi="宋体" w:eastAsia="宋体" w:cs="宋体"/>
                <w:b w:val="0"/>
                <w:bCs/>
                <w:color w:val="auto"/>
                <w:kern w:val="0"/>
                <w:sz w:val="21"/>
                <w:szCs w:val="21"/>
                <w:highlight w:val="none"/>
                <w:lang w:val="en-US" w:eastAsia="zh-CN"/>
              </w:rPr>
            </w:pPr>
            <w:r>
              <w:rPr>
                <w:rFonts w:hint="eastAsia" w:ascii="新宋体" w:hAnsi="新宋体" w:eastAsia="新宋体" w:cs="新宋体"/>
                <w:color w:val="auto"/>
                <w:kern w:val="2"/>
                <w:sz w:val="21"/>
                <w:szCs w:val="21"/>
                <w:highlight w:val="none"/>
                <w:lang w:val="en-US" w:eastAsia="zh-CN" w:bidi="ar-SA"/>
              </w:rPr>
              <w:t>年初预算资金</w:t>
            </w:r>
          </w:p>
        </w:tc>
      </w:tr>
      <w:tr w14:paraId="5D3E40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jc w:val="center"/>
        </w:trPr>
        <w:tc>
          <w:tcPr>
            <w:tcW w:w="1012" w:type="dxa"/>
            <w:noWrap w:val="0"/>
            <w:vAlign w:val="center"/>
          </w:tcPr>
          <w:p w14:paraId="543C4787">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6</w:t>
            </w:r>
          </w:p>
        </w:tc>
        <w:tc>
          <w:tcPr>
            <w:tcW w:w="1536" w:type="dxa"/>
            <w:noWrap w:val="0"/>
            <w:vAlign w:val="center"/>
          </w:tcPr>
          <w:p w14:paraId="387233D7">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val="0"/>
                <w:kern w:val="2"/>
                <w:sz w:val="21"/>
                <w:szCs w:val="21"/>
                <w:highlight w:val="none"/>
                <w:lang w:val="en-US" w:eastAsia="zh-CN" w:bidi="ar-SA"/>
              </w:rPr>
            </w:pPr>
            <w:r>
              <w:rPr>
                <w:rFonts w:hint="eastAsia" w:ascii="Times New Roman" w:hAnsi="Times New Roman" w:eastAsia="宋体" w:cs="Times New Roman"/>
                <w:b/>
                <w:bCs w:val="0"/>
                <w:kern w:val="2"/>
                <w:sz w:val="21"/>
                <w:szCs w:val="21"/>
                <w:highlight w:val="none"/>
                <w:lang w:val="en-US" w:eastAsia="zh-CN" w:bidi="ar-SA"/>
              </w:rPr>
              <w:t>供货时间</w:t>
            </w:r>
          </w:p>
        </w:tc>
        <w:tc>
          <w:tcPr>
            <w:tcW w:w="7288" w:type="dxa"/>
            <w:noWrap w:val="0"/>
            <w:vAlign w:val="center"/>
          </w:tcPr>
          <w:p w14:paraId="3F92781F">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right="0"/>
              <w:jc w:val="left"/>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cs="Times New Roman"/>
                <w:b/>
                <w:bCs/>
                <w:kern w:val="2"/>
                <w:sz w:val="21"/>
                <w:szCs w:val="21"/>
                <w:highlight w:val="none"/>
                <w:lang w:val="en-US" w:eastAsia="zh-CN" w:bidi="ar-SA"/>
              </w:rPr>
              <w:t>签订合同3日内出具保险单</w:t>
            </w:r>
            <w:r>
              <w:rPr>
                <w:rFonts w:hint="eastAsia" w:ascii="Times New Roman" w:hAnsi="Times New Roman" w:eastAsia="宋体" w:cs="Times New Roman"/>
                <w:b/>
                <w:bCs/>
                <w:kern w:val="2"/>
                <w:sz w:val="21"/>
                <w:szCs w:val="21"/>
                <w:highlight w:val="none"/>
                <w:lang w:val="en-US" w:eastAsia="zh-CN" w:bidi="ar-SA"/>
              </w:rPr>
              <w:t>。</w:t>
            </w:r>
          </w:p>
        </w:tc>
      </w:tr>
      <w:tr w14:paraId="20E69C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1012" w:type="dxa"/>
            <w:noWrap w:val="0"/>
            <w:vAlign w:val="center"/>
          </w:tcPr>
          <w:p w14:paraId="051E387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7</w:t>
            </w:r>
          </w:p>
        </w:tc>
        <w:tc>
          <w:tcPr>
            <w:tcW w:w="1536" w:type="dxa"/>
            <w:noWrap w:val="0"/>
            <w:vAlign w:val="center"/>
          </w:tcPr>
          <w:p w14:paraId="7EB351B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outlineLvl w:val="9"/>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供货</w:t>
            </w:r>
            <w:r>
              <w:rPr>
                <w:rFonts w:hint="eastAsia" w:ascii="宋体" w:hAnsi="宋体" w:eastAsia="宋体" w:cs="宋体"/>
                <w:b/>
                <w:bCs w:val="0"/>
                <w:color w:val="auto"/>
                <w:sz w:val="21"/>
                <w:szCs w:val="21"/>
                <w:highlight w:val="none"/>
                <w:lang w:eastAsia="zh-CN"/>
              </w:rPr>
              <w:t>地点</w:t>
            </w:r>
          </w:p>
        </w:tc>
        <w:tc>
          <w:tcPr>
            <w:tcW w:w="7288" w:type="dxa"/>
            <w:noWrap w:val="0"/>
            <w:vAlign w:val="center"/>
          </w:tcPr>
          <w:p w14:paraId="3FA5E3DE">
            <w:pPr>
              <w:keepNext w:val="0"/>
              <w:keepLines w:val="0"/>
              <w:pageBreakBefore w:val="0"/>
              <w:widowControl/>
              <w:shd w:val="clear" w:color="auto" w:fill="auto"/>
              <w:kinsoku/>
              <w:wordWrap/>
              <w:overflowPunct/>
              <w:topLinePunct w:val="0"/>
              <w:autoSpaceDE/>
              <w:autoSpaceDN/>
              <w:bidi w:val="0"/>
              <w:adjustRightInd/>
              <w:snapToGrid/>
              <w:spacing w:line="400" w:lineRule="exact"/>
              <w:jc w:val="both"/>
              <w:textAlignment w:val="auto"/>
              <w:outlineLvl w:val="9"/>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甲方指定地点</w:t>
            </w:r>
          </w:p>
        </w:tc>
      </w:tr>
      <w:tr w14:paraId="40F826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14:paraId="56F4C3EF">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8</w:t>
            </w:r>
          </w:p>
        </w:tc>
        <w:tc>
          <w:tcPr>
            <w:tcW w:w="1536" w:type="dxa"/>
            <w:noWrap w:val="0"/>
            <w:vAlign w:val="center"/>
          </w:tcPr>
          <w:p w14:paraId="75B9C38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服务期</w:t>
            </w:r>
          </w:p>
        </w:tc>
        <w:tc>
          <w:tcPr>
            <w:tcW w:w="7288" w:type="dxa"/>
            <w:noWrap w:val="0"/>
            <w:vAlign w:val="center"/>
          </w:tcPr>
          <w:p w14:paraId="5F678091">
            <w:pPr>
              <w:pageBreakBefore w:val="0"/>
              <w:widowControl/>
              <w:kinsoku/>
              <w:wordWrap/>
              <w:overflowPunct/>
              <w:topLinePunct w:val="0"/>
              <w:autoSpaceDE/>
              <w:autoSpaceDN/>
              <w:bidi w:val="0"/>
              <w:spacing w:line="400" w:lineRule="exact"/>
              <w:jc w:val="left"/>
              <w:rPr>
                <w:rFonts w:hint="default"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合同签订生效之日起一年。</w:t>
            </w:r>
          </w:p>
        </w:tc>
      </w:tr>
      <w:tr w14:paraId="21A3C2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3" w:hRule="atLeast"/>
          <w:jc w:val="center"/>
        </w:trPr>
        <w:tc>
          <w:tcPr>
            <w:tcW w:w="1012" w:type="dxa"/>
            <w:noWrap w:val="0"/>
            <w:vAlign w:val="center"/>
          </w:tcPr>
          <w:p w14:paraId="13152FFD">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9</w:t>
            </w:r>
          </w:p>
        </w:tc>
        <w:tc>
          <w:tcPr>
            <w:tcW w:w="1536" w:type="dxa"/>
            <w:noWrap w:val="0"/>
            <w:vAlign w:val="center"/>
          </w:tcPr>
          <w:p w14:paraId="1FDCF823">
            <w:pPr>
              <w:keepNext w:val="0"/>
              <w:keepLines w:val="0"/>
              <w:pageBreakBefore w:val="0"/>
              <w:widowControl/>
              <w:shd w:val="clear" w:color="auto" w:fill="auto"/>
              <w:kinsoku/>
              <w:wordWrap/>
              <w:overflowPunct/>
              <w:topLinePunct w:val="0"/>
              <w:autoSpaceDE/>
              <w:autoSpaceDN/>
              <w:bidi w:val="0"/>
              <w:adjustRightInd/>
              <w:spacing w:line="400" w:lineRule="exact"/>
              <w:jc w:val="center"/>
              <w:textAlignment w:val="auto"/>
              <w:rPr>
                <w:rFonts w:hint="eastAsia"/>
                <w:b/>
                <w:bCs w:val="0"/>
                <w:color w:val="auto"/>
                <w:sz w:val="21"/>
                <w:szCs w:val="21"/>
                <w:highlight w:val="none"/>
                <w:lang w:val="en-US" w:eastAsia="zh-CN"/>
              </w:rPr>
            </w:pPr>
            <w:r>
              <w:rPr>
                <w:rFonts w:hint="eastAsia" w:ascii="宋体" w:hAnsi="宋体" w:eastAsia="宋体" w:cs="宋体"/>
                <w:b/>
                <w:bCs w:val="0"/>
                <w:color w:val="auto"/>
                <w:sz w:val="21"/>
                <w:szCs w:val="21"/>
                <w:highlight w:val="none"/>
              </w:rPr>
              <w:t>付款方式</w:t>
            </w:r>
          </w:p>
        </w:tc>
        <w:tc>
          <w:tcPr>
            <w:tcW w:w="7288" w:type="dxa"/>
            <w:noWrap w:val="0"/>
            <w:vAlign w:val="center"/>
          </w:tcPr>
          <w:p w14:paraId="22AFDB1B">
            <w:pPr>
              <w:pageBreakBefore w:val="0"/>
              <w:widowControl/>
              <w:kinsoku/>
              <w:wordWrap/>
              <w:overflowPunct/>
              <w:topLinePunct w:val="0"/>
              <w:autoSpaceDE/>
              <w:autoSpaceDN/>
              <w:bidi w:val="0"/>
              <w:spacing w:line="400" w:lineRule="exact"/>
              <w:jc w:val="left"/>
              <w:rPr>
                <w:rFonts w:hint="eastAsia" w:ascii="Times New Roman" w:hAnsi="Times New Roman" w:eastAsia="宋体" w:cs="Times New Roman"/>
                <w:b/>
                <w:bCs/>
                <w:kern w:val="2"/>
                <w:sz w:val="21"/>
                <w:szCs w:val="21"/>
                <w:highlight w:val="none"/>
                <w:lang w:val="en-US" w:eastAsia="zh-CN" w:bidi="ar-SA"/>
              </w:rPr>
            </w:pPr>
            <w:r>
              <w:rPr>
                <w:rFonts w:hint="eastAsia" w:ascii="宋体" w:hAnsi="宋体" w:cs="宋体"/>
                <w:color w:val="auto"/>
                <w:kern w:val="0"/>
                <w:sz w:val="21"/>
                <w:szCs w:val="21"/>
                <w:highlight w:val="none"/>
                <w:lang w:val="en-US" w:eastAsia="zh-CN"/>
              </w:rPr>
              <w:t>具体以甲乙双方签订合同约定</w:t>
            </w:r>
            <w:r>
              <w:rPr>
                <w:rFonts w:hint="eastAsia" w:ascii="Times New Roman" w:hAnsi="Times New Roman" w:eastAsia="宋体" w:cs="Times New Roman"/>
                <w:b/>
                <w:bCs/>
                <w:kern w:val="2"/>
                <w:sz w:val="21"/>
                <w:szCs w:val="21"/>
                <w:highlight w:val="none"/>
                <w:lang w:val="en-US" w:eastAsia="zh-CN" w:bidi="ar-SA"/>
              </w:rPr>
              <w:t>。</w:t>
            </w:r>
          </w:p>
        </w:tc>
      </w:tr>
      <w:tr w14:paraId="500862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8" w:hRule="atLeast"/>
          <w:jc w:val="center"/>
        </w:trPr>
        <w:tc>
          <w:tcPr>
            <w:tcW w:w="1012" w:type="dxa"/>
            <w:noWrap w:val="0"/>
            <w:vAlign w:val="center"/>
          </w:tcPr>
          <w:p w14:paraId="25B196A2">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10</w:t>
            </w:r>
          </w:p>
        </w:tc>
        <w:tc>
          <w:tcPr>
            <w:tcW w:w="1536" w:type="dxa"/>
            <w:noWrap w:val="0"/>
            <w:vAlign w:val="center"/>
          </w:tcPr>
          <w:p w14:paraId="13A2F416">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招标方式</w:t>
            </w:r>
          </w:p>
        </w:tc>
        <w:tc>
          <w:tcPr>
            <w:tcW w:w="7288" w:type="dxa"/>
            <w:noWrap w:val="0"/>
            <w:vAlign w:val="center"/>
          </w:tcPr>
          <w:p w14:paraId="36D7C3A7">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公开招标</w:t>
            </w:r>
            <w:r>
              <w:rPr>
                <w:rFonts w:hint="eastAsia" w:hAnsi="宋体" w:cs="宋体-18030"/>
                <w:b w:val="0"/>
                <w:bCs/>
                <w:color w:val="auto"/>
                <w:sz w:val="21"/>
                <w:szCs w:val="21"/>
                <w:highlight w:val="none"/>
                <w:lang w:val="en-US" w:eastAsia="zh-CN"/>
              </w:rPr>
              <w:t>(本项目采用网上电子招投标)</w:t>
            </w:r>
            <w:r>
              <w:rPr>
                <w:rFonts w:hint="eastAsia"/>
                <w:b w:val="0"/>
                <w:bCs/>
                <w:color w:val="auto"/>
                <w:sz w:val="21"/>
                <w:szCs w:val="21"/>
                <w:highlight w:val="none"/>
                <w:lang w:val="en-US" w:eastAsia="zh-CN"/>
              </w:rPr>
              <w:t xml:space="preserve">             </w:t>
            </w:r>
          </w:p>
        </w:tc>
      </w:tr>
      <w:tr w14:paraId="507B5D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35" w:hRule="atLeast"/>
          <w:jc w:val="center"/>
        </w:trPr>
        <w:tc>
          <w:tcPr>
            <w:tcW w:w="1012" w:type="dxa"/>
            <w:noWrap w:val="0"/>
            <w:vAlign w:val="center"/>
          </w:tcPr>
          <w:p w14:paraId="0AE0F32C">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11</w:t>
            </w:r>
          </w:p>
        </w:tc>
        <w:tc>
          <w:tcPr>
            <w:tcW w:w="1536" w:type="dxa"/>
            <w:noWrap w:val="0"/>
            <w:vAlign w:val="center"/>
          </w:tcPr>
          <w:p w14:paraId="431D48BA">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投标人资格条件及其他要求</w:t>
            </w:r>
          </w:p>
        </w:tc>
        <w:tc>
          <w:tcPr>
            <w:tcW w:w="7288" w:type="dxa"/>
            <w:noWrap w:val="0"/>
            <w:vAlign w:val="center"/>
          </w:tcPr>
          <w:p w14:paraId="44BAA6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val="en-US" w:eastAsia="zh-CN"/>
              </w:rPr>
            </w:pPr>
            <w:r>
              <w:rPr>
                <w:rFonts w:hint="eastAsia"/>
                <w:highlight w:val="none"/>
                <w:lang w:val="en-US" w:eastAsia="zh-CN"/>
              </w:rPr>
              <w:t>1.满足《中华人民共和国政府采购法》第二十二条规定；</w:t>
            </w:r>
          </w:p>
          <w:p w14:paraId="746DFB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val="en-US" w:eastAsia="zh-CN"/>
              </w:rPr>
            </w:pPr>
            <w:r>
              <w:rPr>
                <w:rFonts w:hint="eastAsia"/>
                <w:highlight w:val="none"/>
                <w:lang w:val="en-US" w:eastAsia="zh-CN"/>
              </w:rPr>
              <w:t>2.落实政府采购政策需满足的资格要求：</w:t>
            </w:r>
            <w:r>
              <w:rPr>
                <w:rFonts w:hint="eastAsia" w:ascii="宋体" w:hAnsi="宋体" w:cs="宋体"/>
                <w:sz w:val="21"/>
                <w:szCs w:val="21"/>
                <w:highlight w:val="none"/>
                <w:lang w:eastAsia="zh-CN"/>
              </w:rPr>
              <w:t>不专门面向中小企业；</w:t>
            </w:r>
          </w:p>
          <w:p w14:paraId="00293C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val="en-US" w:eastAsia="zh-CN"/>
              </w:rPr>
            </w:pPr>
            <w:r>
              <w:rPr>
                <w:rFonts w:hint="eastAsia"/>
                <w:highlight w:val="none"/>
                <w:lang w:val="en-US" w:eastAsia="zh-CN"/>
              </w:rPr>
              <w:t>3.本项目的特定资格要求：</w:t>
            </w:r>
          </w:p>
          <w:p w14:paraId="2B006F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具备三证合一营业执照副本；</w:t>
            </w:r>
          </w:p>
          <w:p w14:paraId="22A64E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法定代表人投标需提供法定代表人资格证明书，</w:t>
            </w:r>
            <w:r>
              <w:rPr>
                <w:rFonts w:hint="eastAsia" w:ascii="宋体" w:hAnsi="宋体" w:cs="宋体"/>
                <w:color w:val="auto"/>
                <w:sz w:val="21"/>
                <w:szCs w:val="21"/>
                <w:highlight w:val="none"/>
                <w:lang w:eastAsia="zh-CN"/>
              </w:rPr>
              <w:t>委托代理人投标需提供法定代表人资格证明书及授权委托书</w:t>
            </w:r>
            <w:r>
              <w:rPr>
                <w:rFonts w:hint="eastAsia" w:ascii="宋体" w:hAnsi="宋体" w:eastAsia="宋体" w:cs="宋体"/>
                <w:color w:val="auto"/>
                <w:sz w:val="21"/>
                <w:szCs w:val="21"/>
                <w:highlight w:val="none"/>
              </w:rPr>
              <w:t>；</w:t>
            </w:r>
          </w:p>
          <w:p w14:paraId="0A5815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投标企业须提供投标人（被授权人）近6个月任意一个月的社保证明</w:t>
            </w:r>
            <w:r>
              <w:rPr>
                <w:rFonts w:hint="eastAsia" w:ascii="宋体" w:hAnsi="宋体" w:eastAsia="宋体" w:cs="宋体"/>
                <w:color w:val="auto"/>
                <w:sz w:val="21"/>
                <w:szCs w:val="21"/>
                <w:highlight w:val="none"/>
              </w:rPr>
              <w:t>；</w:t>
            </w:r>
          </w:p>
          <w:p w14:paraId="253C8B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参加采购活动前三年内未被</w:t>
            </w:r>
            <w:r>
              <w:rPr>
                <w:rFonts w:hint="eastAsia" w:ascii="宋体" w:hAnsi="宋体" w:eastAsia="宋体" w:cs="宋体"/>
                <w:color w:val="auto"/>
                <w:sz w:val="21"/>
                <w:szCs w:val="21"/>
                <w:highlight w:val="none"/>
                <w:lang w:eastAsia="zh-CN"/>
              </w:rPr>
              <w:t>“信用中国”（www.creditchina.gov.cn）、中国政府采购网（www.ccgp.gov.cn）列入失信被执行人、重大税收违法案件当事人名单、政府采购严重违法失信行为记录名单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z w:val="21"/>
                <w:szCs w:val="21"/>
                <w:highlight w:val="none"/>
              </w:rPr>
              <w:t xml:space="preserve">。 </w:t>
            </w:r>
          </w:p>
          <w:p w14:paraId="40F37F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highlight w:val="none"/>
                <w:lang w:val="en-US" w:eastAsia="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投标人经国家保险监督管理机构批准在中华人民共和国境内设立和营业，并依法被核定许可责任保险业务【依据有效期内的保险许可证（分公司或中心支公司的保险机构投标的，须提供《经营保险业务许可证》或《保险许可证》；总公司投标的，须提供《保险公司法人许可证》或《保险许可证》）】</w:t>
            </w:r>
          </w:p>
        </w:tc>
      </w:tr>
      <w:tr w14:paraId="4648F5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14:paraId="65FDB695">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000000" w:themeColor="text1"/>
                <w:sz w:val="21"/>
                <w:szCs w:val="21"/>
                <w:highlight w:val="none"/>
                <w:lang w:val="en-US" w:eastAsia="zh-CN"/>
                <w14:textFill>
                  <w14:solidFill>
                    <w14:schemeClr w14:val="tx1"/>
                  </w14:solidFill>
                </w14:textFill>
              </w:rPr>
            </w:pPr>
            <w:r>
              <w:rPr>
                <w:rFonts w:hint="eastAsia"/>
                <w:b/>
                <w:bCs w:val="0"/>
                <w:color w:val="000000" w:themeColor="text1"/>
                <w:sz w:val="21"/>
                <w:szCs w:val="21"/>
                <w:highlight w:val="none"/>
                <w:lang w:val="en-US" w:eastAsia="zh-CN"/>
                <w14:textFill>
                  <w14:solidFill>
                    <w14:schemeClr w14:val="tx1"/>
                  </w14:solidFill>
                </w14:textFill>
              </w:rPr>
              <w:t>12</w:t>
            </w:r>
          </w:p>
        </w:tc>
        <w:tc>
          <w:tcPr>
            <w:tcW w:w="1536" w:type="dxa"/>
            <w:noWrap w:val="0"/>
            <w:vAlign w:val="center"/>
          </w:tcPr>
          <w:p w14:paraId="3006887D">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b/>
                <w:bCs w:val="0"/>
                <w:color w:val="auto"/>
                <w:sz w:val="21"/>
                <w:szCs w:val="21"/>
                <w:highlight w:val="none"/>
                <w:lang w:val="en-US" w:eastAsia="zh-CN"/>
              </w:rPr>
            </w:pPr>
            <w:r>
              <w:rPr>
                <w:rFonts w:hint="eastAsia"/>
                <w:b/>
                <w:bCs w:val="0"/>
                <w:color w:val="auto"/>
                <w:sz w:val="21"/>
                <w:szCs w:val="21"/>
                <w:highlight w:val="none"/>
                <w:lang w:val="en-US" w:eastAsia="zh-CN"/>
              </w:rPr>
              <w:t>踏勘现场</w:t>
            </w:r>
          </w:p>
        </w:tc>
        <w:tc>
          <w:tcPr>
            <w:tcW w:w="7288" w:type="dxa"/>
            <w:noWrap w:val="0"/>
            <w:vAlign w:val="center"/>
          </w:tcPr>
          <w:p w14:paraId="093964B6">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不组织,投标人自行组织踏勘现场。</w:t>
            </w:r>
          </w:p>
        </w:tc>
      </w:tr>
      <w:tr w14:paraId="68CA34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14:paraId="2828A9CE">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13</w:t>
            </w:r>
          </w:p>
        </w:tc>
        <w:tc>
          <w:tcPr>
            <w:tcW w:w="1536" w:type="dxa"/>
            <w:noWrap w:val="0"/>
            <w:vAlign w:val="center"/>
          </w:tcPr>
          <w:p w14:paraId="5553A82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投标预备会</w:t>
            </w:r>
          </w:p>
        </w:tc>
        <w:tc>
          <w:tcPr>
            <w:tcW w:w="7288" w:type="dxa"/>
            <w:noWrap w:val="0"/>
            <w:vAlign w:val="center"/>
          </w:tcPr>
          <w:p w14:paraId="2501CE55">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不召开</w:t>
            </w:r>
          </w:p>
        </w:tc>
      </w:tr>
      <w:tr w14:paraId="7E1552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14:paraId="614839DD">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14</w:t>
            </w:r>
          </w:p>
        </w:tc>
        <w:tc>
          <w:tcPr>
            <w:tcW w:w="1536" w:type="dxa"/>
            <w:noWrap w:val="0"/>
            <w:vAlign w:val="center"/>
          </w:tcPr>
          <w:p w14:paraId="3EA81B8A">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联合体投标</w:t>
            </w:r>
          </w:p>
        </w:tc>
        <w:tc>
          <w:tcPr>
            <w:tcW w:w="7288" w:type="dxa"/>
            <w:noWrap w:val="0"/>
            <w:vAlign w:val="center"/>
          </w:tcPr>
          <w:p w14:paraId="4BB084DC">
            <w:pPr>
              <w:keepNext w:val="0"/>
              <w:keepLines w:val="0"/>
              <w:pageBreakBefore w:val="0"/>
              <w:shd w:val="clear" w:color="auto" w:fill="auto"/>
              <w:kinsoku/>
              <w:wordWrap/>
              <w:overflowPunct/>
              <w:topLinePunct w:val="0"/>
              <w:autoSpaceDE/>
              <w:autoSpaceDN/>
              <w:bidi w:val="0"/>
              <w:adjustRightInd/>
              <w:spacing w:line="400" w:lineRule="exact"/>
              <w:textAlignment w:val="auto"/>
              <w:rPr>
                <w:rFonts w:hint="eastAsia" w:ascii="宋体" w:hAnsi="宋体" w:eastAsia="宋体" w:cs="宋体"/>
                <w:b w:val="0"/>
                <w:bCs/>
                <w:color w:val="auto"/>
                <w:sz w:val="21"/>
                <w:szCs w:val="21"/>
                <w:highlight w:val="none"/>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不接受</w:t>
            </w:r>
          </w:p>
          <w:p w14:paraId="5E18DA60">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接受，联合体投标的须在投标文件中提供联合体协议书，联合体所有成员不得超过2家，联合体的任何一方均不得再与其他投标单位联合。</w:t>
            </w:r>
          </w:p>
        </w:tc>
      </w:tr>
      <w:tr w14:paraId="608122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14:paraId="774C6107">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15</w:t>
            </w:r>
          </w:p>
        </w:tc>
        <w:tc>
          <w:tcPr>
            <w:tcW w:w="1536" w:type="dxa"/>
            <w:noWrap w:val="0"/>
            <w:vAlign w:val="center"/>
          </w:tcPr>
          <w:p w14:paraId="67BE1BD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招标代理费</w:t>
            </w:r>
          </w:p>
        </w:tc>
        <w:tc>
          <w:tcPr>
            <w:tcW w:w="7288" w:type="dxa"/>
            <w:noWrap w:val="0"/>
            <w:vAlign w:val="center"/>
          </w:tcPr>
          <w:p w14:paraId="7920C32F">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b w:val="0"/>
                <w:bCs/>
                <w:color w:val="auto"/>
                <w:sz w:val="21"/>
                <w:szCs w:val="21"/>
                <w:highlight w:val="none"/>
              </w:rPr>
            </w:pPr>
          </w:p>
        </w:tc>
      </w:tr>
      <w:tr w14:paraId="1AF8C5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14:paraId="24FBE14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17</w:t>
            </w:r>
          </w:p>
        </w:tc>
        <w:tc>
          <w:tcPr>
            <w:tcW w:w="1536" w:type="dxa"/>
            <w:noWrap w:val="0"/>
            <w:vAlign w:val="center"/>
          </w:tcPr>
          <w:p w14:paraId="639483C7">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b/>
                <w:bCs w:val="0"/>
                <w:color w:val="auto"/>
                <w:sz w:val="21"/>
                <w:szCs w:val="21"/>
                <w:highlight w:val="none"/>
                <w:lang w:val="en-US" w:eastAsia="zh-CN"/>
              </w:rPr>
              <w:t>投标有效期</w:t>
            </w:r>
          </w:p>
        </w:tc>
        <w:tc>
          <w:tcPr>
            <w:tcW w:w="7288" w:type="dxa"/>
            <w:noWrap w:val="0"/>
            <w:vAlign w:val="center"/>
          </w:tcPr>
          <w:p w14:paraId="4F97D5FC">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bCs w:val="0"/>
                <w:color w:val="auto"/>
                <w:sz w:val="21"/>
                <w:szCs w:val="21"/>
                <w:highlight w:val="none"/>
                <w:lang w:val="en-US" w:eastAsia="zh-CN"/>
              </w:rPr>
              <w:t>投标有效期为</w:t>
            </w:r>
            <w:r>
              <w:rPr>
                <w:rFonts w:hint="eastAsia"/>
                <w:b/>
                <w:bCs w:val="0"/>
                <w:color w:val="000000" w:themeColor="text1"/>
                <w:sz w:val="21"/>
                <w:szCs w:val="21"/>
                <w:highlight w:val="none"/>
                <w:u w:val="single"/>
                <w:lang w:val="en-US" w:eastAsia="zh-CN"/>
                <w14:textFill>
                  <w14:solidFill>
                    <w14:schemeClr w14:val="tx1"/>
                  </w14:solidFill>
                </w14:textFill>
              </w:rPr>
              <w:t xml:space="preserve"> </w:t>
            </w:r>
            <w:r>
              <w:rPr>
                <w:rFonts w:hint="eastAsia" w:ascii="Times New Roman" w:hAnsi="Times New Roman" w:eastAsia="宋体" w:cs="Times New Roman"/>
                <w:b/>
                <w:bCs w:val="0"/>
                <w:color w:val="000000" w:themeColor="text1"/>
                <w:kern w:val="2"/>
                <w:sz w:val="22"/>
                <w:szCs w:val="28"/>
                <w:highlight w:val="none"/>
                <w:u w:val="single"/>
                <w:lang w:val="en-US" w:eastAsia="zh-CN" w:bidi="ar-SA"/>
                <w14:textFill>
                  <w14:solidFill>
                    <w14:schemeClr w14:val="tx1"/>
                  </w14:solidFill>
                </w14:textFill>
              </w:rPr>
              <w:t>60</w:t>
            </w:r>
            <w:r>
              <w:rPr>
                <w:rFonts w:hint="eastAsia" w:ascii="Times New Roman" w:hAnsi="Times New Roman" w:eastAsia="宋体" w:cs="Times New Roman"/>
                <w:b/>
                <w:bCs w:val="0"/>
                <w:color w:val="000000"/>
                <w:kern w:val="2"/>
                <w:sz w:val="22"/>
                <w:szCs w:val="28"/>
                <w:highlight w:val="none"/>
                <w:u w:val="single"/>
                <w:lang w:val="en-US" w:eastAsia="zh-CN" w:bidi="ar-SA"/>
              </w:rPr>
              <w:t xml:space="preserve"> 日历</w:t>
            </w:r>
            <w:r>
              <w:rPr>
                <w:rFonts w:hint="eastAsia"/>
                <w:b/>
                <w:bCs w:val="0"/>
                <w:color w:val="auto"/>
                <w:sz w:val="21"/>
                <w:szCs w:val="21"/>
                <w:highlight w:val="none"/>
                <w:lang w:val="en-US" w:eastAsia="zh-CN"/>
              </w:rPr>
              <w:t>天（从投标截止之日算起）。在此期限内，凡符合本采购文件要求的投标文件均保持有效。</w:t>
            </w:r>
          </w:p>
        </w:tc>
      </w:tr>
      <w:tr w14:paraId="3AD416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vMerge w:val="restart"/>
            <w:noWrap w:val="0"/>
            <w:vAlign w:val="center"/>
          </w:tcPr>
          <w:p w14:paraId="14419FB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18</w:t>
            </w:r>
          </w:p>
          <w:p w14:paraId="3CF4BFA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auto"/>
                <w:sz w:val="21"/>
                <w:szCs w:val="21"/>
                <w:highlight w:val="none"/>
                <w:lang w:val="en-US" w:eastAsia="zh-CN"/>
              </w:rPr>
            </w:pPr>
          </w:p>
        </w:tc>
        <w:tc>
          <w:tcPr>
            <w:tcW w:w="1536" w:type="dxa"/>
            <w:vMerge w:val="restart"/>
            <w:noWrap w:val="0"/>
            <w:vAlign w:val="center"/>
          </w:tcPr>
          <w:p w14:paraId="1AE3297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b/>
                <w:bCs w:val="0"/>
                <w:color w:val="auto"/>
                <w:sz w:val="21"/>
                <w:szCs w:val="21"/>
                <w:highlight w:val="none"/>
              </w:rPr>
            </w:pPr>
            <w:r>
              <w:rPr>
                <w:rFonts w:hint="eastAsia" w:ascii="宋体" w:hAnsi="宋体"/>
                <w:b/>
                <w:bCs w:val="0"/>
                <w:color w:val="000000"/>
                <w:sz w:val="21"/>
                <w:szCs w:val="21"/>
                <w:highlight w:val="none"/>
                <w:lang w:eastAsia="zh-CN"/>
              </w:rPr>
              <w:t>投标保证金</w:t>
            </w:r>
          </w:p>
        </w:tc>
        <w:tc>
          <w:tcPr>
            <w:tcW w:w="7288" w:type="dxa"/>
            <w:noWrap w:val="0"/>
            <w:vAlign w:val="center"/>
          </w:tcPr>
          <w:p w14:paraId="13C471A5">
            <w:pPr>
              <w:pageBreakBefore w:val="0"/>
              <w:kinsoku/>
              <w:wordWrap/>
              <w:overflowPunct/>
              <w:topLinePunct w:val="0"/>
              <w:autoSpaceDE/>
              <w:autoSpaceDN/>
              <w:bidi w:val="0"/>
              <w:snapToGrid w:val="0"/>
              <w:spacing w:line="400" w:lineRule="exact"/>
              <w:rPr>
                <w:rFonts w:hint="eastAsia" w:ascii="宋体" w:hAnsi="宋体" w:cs="宋体-18030"/>
                <w:b w:val="0"/>
                <w:bCs/>
                <w:szCs w:val="21"/>
                <w:highlight w:val="none"/>
              </w:rPr>
            </w:pPr>
            <w:r>
              <w:rPr>
                <w:rFonts w:hint="eastAsia" w:ascii="宋体" w:hAnsi="宋体" w:cs="宋体-18030"/>
                <w:b w:val="0"/>
                <w:bCs/>
                <w:szCs w:val="21"/>
                <w:highlight w:val="none"/>
              </w:rPr>
              <w:t>投标保证金交纳方式：投标保证金应当以支票、汇票、本票、网上银行支付或者金融机构、担保机构出具的保函等非现金形式交纳。</w:t>
            </w:r>
          </w:p>
          <w:p w14:paraId="15175B65">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cs="宋体-18030"/>
                <w:b w:val="0"/>
                <w:bCs/>
                <w:szCs w:val="21"/>
                <w:highlight w:val="none"/>
              </w:rPr>
            </w:pPr>
            <w:r>
              <w:rPr>
                <w:rFonts w:hint="eastAsia" w:ascii="宋体" w:hAnsi="宋体" w:cs="宋体-18030"/>
                <w:b/>
                <w:bCs w:val="0"/>
                <w:szCs w:val="21"/>
                <w:highlight w:val="none"/>
              </w:rPr>
              <w:t>投标保证金的金额：</w:t>
            </w:r>
            <w:r>
              <w:rPr>
                <w:rFonts w:hint="eastAsia" w:hAnsi="宋体" w:cs="宋体-18030"/>
                <w:b/>
                <w:bCs w:val="0"/>
                <w:szCs w:val="21"/>
                <w:highlight w:val="none"/>
                <w:lang w:val="en-US" w:eastAsia="zh-CN"/>
              </w:rPr>
              <w:t>10000.00元（壹万元整）</w:t>
            </w:r>
          </w:p>
        </w:tc>
      </w:tr>
      <w:tr w14:paraId="5D7C02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vMerge w:val="continue"/>
            <w:noWrap w:val="0"/>
            <w:vAlign w:val="center"/>
          </w:tcPr>
          <w:p w14:paraId="0EC0881C">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auto"/>
                <w:sz w:val="21"/>
                <w:szCs w:val="21"/>
                <w:highlight w:val="none"/>
                <w:lang w:val="en-US" w:eastAsia="zh-CN"/>
              </w:rPr>
            </w:pPr>
          </w:p>
        </w:tc>
        <w:tc>
          <w:tcPr>
            <w:tcW w:w="1536" w:type="dxa"/>
            <w:vMerge w:val="continue"/>
            <w:tcBorders>
              <w:bottom w:val="single" w:color="auto" w:sz="4" w:space="0"/>
            </w:tcBorders>
            <w:noWrap w:val="0"/>
            <w:vAlign w:val="center"/>
          </w:tcPr>
          <w:p w14:paraId="67BA846C">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b/>
                <w:bCs w:val="0"/>
                <w:color w:val="auto"/>
                <w:sz w:val="21"/>
                <w:szCs w:val="21"/>
                <w:highlight w:val="none"/>
              </w:rPr>
            </w:pPr>
          </w:p>
        </w:tc>
        <w:tc>
          <w:tcPr>
            <w:tcW w:w="7288" w:type="dxa"/>
            <w:tcBorders>
              <w:bottom w:val="single" w:color="auto" w:sz="4" w:space="0"/>
            </w:tcBorders>
            <w:noWrap w:val="0"/>
            <w:vAlign w:val="top"/>
          </w:tcPr>
          <w:p w14:paraId="2D0C3FAE">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投标保证金交纳要求：</w:t>
            </w:r>
          </w:p>
          <w:p w14:paraId="6163665B">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方式一： 电子保证金</w:t>
            </w:r>
          </w:p>
          <w:p w14:paraId="227404CC">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账户信息：按系统自动生成的收款账号信息进行缴纳。具体操作在【保证金管理】页面，选择【电子保证金（在线获取账号）】，点击【新疆保证金平台】, 自动从银行获取保证金的收款户名、收款账号、收款银行信息（开户行及行号）。供应商需将保证金转入获取到的收款账号，转账时请备注项目名称。</w:t>
            </w:r>
          </w:p>
          <w:p w14:paraId="707D1AE9">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方式二：保函</w:t>
            </w:r>
          </w:p>
          <w:p w14:paraId="181540AD">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电子保函。</w:t>
            </w:r>
          </w:p>
          <w:p w14:paraId="02787EA5">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（1）缴纳程序：投标人可登录新疆政府采购网“ 电子保函 ”窗口线上办理投保手续；</w:t>
            </w:r>
          </w:p>
          <w:p w14:paraId="4BD79503">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（2）办理电子保函必须在投标截止时间（开标时间）前完成；</w:t>
            </w:r>
          </w:p>
          <w:p w14:paraId="57F91CBE">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（3）开标前，投保人须下载加密保单并加盖公章作为保证金缴纳凭证一并上传至资格审查文件中提交； </w:t>
            </w:r>
          </w:p>
          <w:p w14:paraId="54F5BD55">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（4）技术支持电话详见新疆政府采购网电子保函服务系统。</w:t>
            </w:r>
          </w:p>
          <w:p w14:paraId="23D16F7B">
            <w:pPr>
              <w:pageBreakBefore w:val="0"/>
              <w:kinsoku/>
              <w:wordWrap/>
              <w:overflowPunct/>
              <w:topLinePunct w:val="0"/>
              <w:autoSpaceDE/>
              <w:autoSpaceDN/>
              <w:bidi w:val="0"/>
              <w:spacing w:line="400" w:lineRule="exact"/>
              <w:rPr>
                <w:rFonts w:hint="eastAsia" w:ascii="宋体" w:hAnsi="宋体" w:cs="宋体-18030"/>
                <w:b w:val="0"/>
                <w:bCs/>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保证金退还须知：开标后，未中标（成交）企业在法定工作时间内自动退还保证金，中标（成交）企业在签订合同后自动退还保证金。</w:t>
            </w:r>
          </w:p>
        </w:tc>
      </w:tr>
      <w:tr w14:paraId="54B555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1012" w:type="dxa"/>
            <w:noWrap w:val="0"/>
            <w:vAlign w:val="center"/>
          </w:tcPr>
          <w:p w14:paraId="66C40639">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19</w:t>
            </w:r>
          </w:p>
        </w:tc>
        <w:tc>
          <w:tcPr>
            <w:tcW w:w="1536" w:type="dxa"/>
            <w:noWrap w:val="0"/>
            <w:vAlign w:val="center"/>
          </w:tcPr>
          <w:p w14:paraId="422E1ECA">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投标文件形式</w:t>
            </w:r>
          </w:p>
        </w:tc>
        <w:tc>
          <w:tcPr>
            <w:tcW w:w="7288" w:type="dxa"/>
            <w:noWrap w:val="0"/>
            <w:vAlign w:val="center"/>
          </w:tcPr>
          <w:p w14:paraId="4BF45E44">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电子投标文件包括“电子加密投标文件”，在投标文件编制完成后同时生成。</w:t>
            </w:r>
          </w:p>
          <w:p w14:paraId="5828A2AA">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1、“电子加密投标文件”是指通过“政采云电子交易客户端”完成投标文件编制后生成并加密的数据电文形式的投标文件。</w:t>
            </w:r>
          </w:p>
        </w:tc>
      </w:tr>
      <w:tr w14:paraId="3272D6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90" w:hRule="atLeast"/>
          <w:jc w:val="center"/>
        </w:trPr>
        <w:tc>
          <w:tcPr>
            <w:tcW w:w="1012" w:type="dxa"/>
            <w:noWrap w:val="0"/>
            <w:vAlign w:val="center"/>
          </w:tcPr>
          <w:p w14:paraId="6C6C98B6">
            <w:pPr>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20</w:t>
            </w:r>
          </w:p>
        </w:tc>
        <w:tc>
          <w:tcPr>
            <w:tcW w:w="1536" w:type="dxa"/>
            <w:noWrap w:val="0"/>
            <w:vAlign w:val="center"/>
          </w:tcPr>
          <w:p w14:paraId="61F01AD0">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bidi="zh-CN"/>
              </w:rPr>
              <w:t>投标文件的上传和递交</w:t>
            </w:r>
          </w:p>
        </w:tc>
        <w:tc>
          <w:tcPr>
            <w:tcW w:w="7288" w:type="dxa"/>
            <w:noWrap w:val="0"/>
            <w:vAlign w:val="center"/>
          </w:tcPr>
          <w:p w14:paraId="5DFC523D">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u w:val="single" w:color="auto"/>
                <w:lang w:val="en-US" w:eastAsia="zh-CN"/>
              </w:rPr>
            </w:pPr>
            <w:r>
              <w:rPr>
                <w:rFonts w:hint="eastAsia"/>
                <w:b w:val="0"/>
                <w:bCs/>
                <w:color w:val="auto"/>
                <w:sz w:val="21"/>
                <w:szCs w:val="21"/>
                <w:highlight w:val="none"/>
                <w:lang w:val="en-US" w:eastAsia="zh-CN"/>
              </w:rPr>
              <w:t>1.电子加密投标文件：投标文件制作完成并生成加密标书，在投标截止时间前，供应商需将加密的投标文件上传至政采云平台，</w:t>
            </w:r>
            <w:r>
              <w:rPr>
                <w:rFonts w:hint="eastAsia"/>
                <w:b w:val="0"/>
                <w:bCs/>
                <w:color w:val="auto"/>
                <w:sz w:val="21"/>
                <w:szCs w:val="21"/>
                <w:highlight w:val="none"/>
                <w:u w:val="single" w:color="auto"/>
                <w:lang w:val="en-US" w:eastAsia="zh-CN"/>
              </w:rPr>
              <w:t>在开标时间开始后，待采购组织机构发出解密通知后30分钟内解密投标文件。</w:t>
            </w:r>
          </w:p>
          <w:p w14:paraId="14756EB6">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a.供应商未能在投标截止时间前成功上传电子加密投标文件的投标无效。</w:t>
            </w:r>
          </w:p>
          <w:p w14:paraId="04991483">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b.供应商成功上传电子加密投标文件后，可自行打印投标文件接收回执。</w:t>
            </w:r>
          </w:p>
        </w:tc>
      </w:tr>
      <w:tr w14:paraId="517C29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14:paraId="39C1883D">
            <w:pPr>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21</w:t>
            </w:r>
          </w:p>
        </w:tc>
        <w:tc>
          <w:tcPr>
            <w:tcW w:w="1536" w:type="dxa"/>
            <w:noWrap w:val="0"/>
            <w:vAlign w:val="center"/>
          </w:tcPr>
          <w:p w14:paraId="6225EB43">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lang w:eastAsia="zh-CN"/>
              </w:rPr>
              <w:t>投标截止</w:t>
            </w:r>
            <w:r>
              <w:rPr>
                <w:rFonts w:hint="eastAsia" w:ascii="宋体"/>
                <w:b/>
                <w:bCs w:val="0"/>
                <w:color w:val="auto"/>
                <w:sz w:val="21"/>
                <w:szCs w:val="21"/>
                <w:highlight w:val="none"/>
              </w:rPr>
              <w:t>时间及地点</w:t>
            </w:r>
          </w:p>
        </w:tc>
        <w:tc>
          <w:tcPr>
            <w:tcW w:w="7288" w:type="dxa"/>
            <w:noWrap w:val="0"/>
            <w:vAlign w:val="center"/>
          </w:tcPr>
          <w:p w14:paraId="38D74460">
            <w:pPr>
              <w:keepNext w:val="0"/>
              <w:keepLines w:val="0"/>
              <w:pageBreakBefore w:val="0"/>
              <w:shd w:val="clear" w:color="auto" w:fill="auto"/>
              <w:kinsoku/>
              <w:wordWrap/>
              <w:overflowPunct/>
              <w:topLinePunct w:val="0"/>
              <w:autoSpaceDE/>
              <w:autoSpaceDN/>
              <w:bidi w:val="0"/>
              <w:adjustRightInd/>
              <w:snapToGrid w:val="0"/>
              <w:spacing w:line="400" w:lineRule="exact"/>
              <w:ind w:firstLine="18" w:firstLineChars="9"/>
              <w:textAlignment w:val="auto"/>
              <w:outlineLvl w:val="9"/>
              <w:rPr>
                <w:rFonts w:hint="eastAsia"/>
                <w:b w:val="0"/>
                <w:bCs/>
                <w:color w:val="auto"/>
                <w:sz w:val="21"/>
                <w:szCs w:val="21"/>
                <w:highlight w:val="none"/>
              </w:rPr>
            </w:pPr>
            <w:r>
              <w:rPr>
                <w:rFonts w:hint="eastAsia" w:ascii="Times New Roman" w:hAnsi="Times New Roman" w:cs="Times New Roman"/>
                <w:b w:val="0"/>
                <w:bCs/>
                <w:color w:val="auto"/>
                <w:sz w:val="21"/>
                <w:szCs w:val="21"/>
                <w:highlight w:val="none"/>
                <w:lang w:eastAsia="zh-CN"/>
              </w:rPr>
              <w:t>投标截止</w:t>
            </w:r>
            <w:r>
              <w:rPr>
                <w:rFonts w:hint="eastAsia" w:ascii="Times New Roman" w:hAnsi="Times New Roman" w:cs="Times New Roman"/>
                <w:b w:val="0"/>
                <w:bCs/>
                <w:color w:val="auto"/>
                <w:sz w:val="21"/>
                <w:szCs w:val="21"/>
                <w:highlight w:val="none"/>
              </w:rPr>
              <w:t>时间：</w:t>
            </w:r>
            <w:r>
              <w:rPr>
                <w:rFonts w:hint="eastAsia"/>
                <w:b w:val="0"/>
                <w:bCs/>
                <w:color w:val="auto"/>
                <w:sz w:val="21"/>
                <w:szCs w:val="21"/>
                <w:highlight w:val="none"/>
                <w:lang w:val="en-US" w:eastAsia="zh-CN"/>
              </w:rPr>
              <w:t>2026年05月12日10：30（北京时间）</w:t>
            </w:r>
          </w:p>
          <w:p w14:paraId="6721B34A">
            <w:pPr>
              <w:keepNext w:val="0"/>
              <w:keepLines w:val="0"/>
              <w:pageBreakBefore w:val="0"/>
              <w:shd w:val="clear" w:color="auto" w:fill="auto"/>
              <w:kinsoku/>
              <w:wordWrap/>
              <w:overflowPunct/>
              <w:topLinePunct w:val="0"/>
              <w:autoSpaceDE/>
              <w:autoSpaceDN/>
              <w:bidi w:val="0"/>
              <w:adjustRightInd/>
              <w:snapToGrid w:val="0"/>
              <w:spacing w:line="400" w:lineRule="exact"/>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lang w:eastAsia="zh-CN"/>
              </w:rPr>
              <w:t>投标</w:t>
            </w:r>
            <w:r>
              <w:rPr>
                <w:rFonts w:hint="eastAsia"/>
                <w:b w:val="0"/>
                <w:bCs/>
                <w:color w:val="auto"/>
                <w:sz w:val="21"/>
                <w:szCs w:val="21"/>
                <w:highlight w:val="none"/>
              </w:rPr>
              <w:t>地点：</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w:t>
            </w:r>
          </w:p>
        </w:tc>
      </w:tr>
      <w:tr w14:paraId="0D2220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14:paraId="6BAEDC98">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default" w:ascii="宋体" w:eastAsia="宋体" w:cs="宋体"/>
                <w:b/>
                <w:bCs w:val="0"/>
                <w:color w:val="auto"/>
                <w:sz w:val="21"/>
                <w:szCs w:val="21"/>
                <w:highlight w:val="none"/>
                <w:lang w:val="en-US" w:eastAsia="zh-CN"/>
              </w:rPr>
            </w:pPr>
            <w:r>
              <w:rPr>
                <w:rFonts w:hint="eastAsia"/>
                <w:b/>
                <w:bCs w:val="0"/>
                <w:color w:val="auto"/>
                <w:sz w:val="21"/>
                <w:szCs w:val="21"/>
                <w:highlight w:val="none"/>
                <w:lang w:val="en-US" w:eastAsia="zh-CN"/>
              </w:rPr>
              <w:t>22</w:t>
            </w:r>
          </w:p>
        </w:tc>
        <w:tc>
          <w:tcPr>
            <w:tcW w:w="1536" w:type="dxa"/>
            <w:noWrap w:val="0"/>
            <w:vAlign w:val="center"/>
          </w:tcPr>
          <w:p w14:paraId="4FAB75ED">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开标时间及地点</w:t>
            </w:r>
          </w:p>
        </w:tc>
        <w:tc>
          <w:tcPr>
            <w:tcW w:w="7288" w:type="dxa"/>
            <w:noWrap w:val="0"/>
            <w:vAlign w:val="center"/>
          </w:tcPr>
          <w:p w14:paraId="732DCA3C">
            <w:pPr>
              <w:pStyle w:val="3"/>
              <w:pageBreakBefore w:val="0"/>
              <w:numPr>
                <w:ilvl w:val="1"/>
                <w:numId w:val="0"/>
              </w:numPr>
              <w:kinsoku/>
              <w:wordWrap/>
              <w:overflowPunct/>
              <w:topLinePunct w:val="0"/>
              <w:autoSpaceDE/>
              <w:autoSpaceDN/>
              <w:bidi w:val="0"/>
              <w:spacing w:line="400" w:lineRule="exact"/>
              <w:rPr>
                <w:rFonts w:hint="eastAsia"/>
                <w:b w:val="0"/>
                <w:bCs/>
                <w:color w:val="auto"/>
                <w:sz w:val="21"/>
                <w:szCs w:val="21"/>
                <w:highlight w:val="none"/>
              </w:rPr>
            </w:pPr>
            <w:r>
              <w:rPr>
                <w:rFonts w:hint="eastAsia"/>
                <w:b w:val="0"/>
                <w:bCs/>
                <w:color w:val="auto"/>
                <w:sz w:val="21"/>
                <w:szCs w:val="21"/>
                <w:highlight w:val="none"/>
              </w:rPr>
              <w:t>开标时间：</w:t>
            </w:r>
            <w:r>
              <w:rPr>
                <w:rFonts w:hint="eastAsia"/>
                <w:b w:val="0"/>
                <w:bCs/>
                <w:color w:val="auto"/>
                <w:sz w:val="21"/>
                <w:szCs w:val="21"/>
                <w:highlight w:val="none"/>
                <w:lang w:val="en-US" w:eastAsia="zh-CN"/>
              </w:rPr>
              <w:t>2026年05月12日10：30（北京时间）</w:t>
            </w:r>
          </w:p>
          <w:p w14:paraId="677A6F72">
            <w:pPr>
              <w:keepNext w:val="0"/>
              <w:keepLines w:val="0"/>
              <w:pageBreakBefore w:val="0"/>
              <w:shd w:val="clear" w:color="auto" w:fill="auto"/>
              <w:kinsoku/>
              <w:wordWrap/>
              <w:overflowPunct/>
              <w:topLinePunct w:val="0"/>
              <w:autoSpaceDE/>
              <w:autoSpaceDN/>
              <w:bidi w:val="0"/>
              <w:adjustRightInd/>
              <w:snapToGrid w:val="0"/>
              <w:spacing w:line="400" w:lineRule="exact"/>
              <w:ind w:firstLine="18" w:firstLineChars="9"/>
              <w:textAlignment w:val="auto"/>
              <w:outlineLvl w:val="9"/>
              <w:rPr>
                <w:rFonts w:hint="eastAsia"/>
                <w:b w:val="0"/>
                <w:bCs/>
                <w:color w:val="auto"/>
                <w:sz w:val="21"/>
                <w:szCs w:val="21"/>
                <w:highlight w:val="none"/>
              </w:rPr>
            </w:pPr>
            <w:r>
              <w:rPr>
                <w:rFonts w:hint="eastAsia"/>
                <w:b w:val="0"/>
                <w:bCs/>
                <w:color w:val="auto"/>
                <w:sz w:val="21"/>
                <w:szCs w:val="21"/>
                <w:highlight w:val="none"/>
              </w:rPr>
              <w:t>开标地点：在</w:t>
            </w:r>
            <w:r>
              <w:rPr>
                <w:rFonts w:hint="eastAsia"/>
                <w:b w:val="0"/>
                <w:bCs/>
                <w:color w:val="auto"/>
                <w:sz w:val="21"/>
                <w:szCs w:val="21"/>
                <w:highlight w:val="none"/>
                <w:lang w:eastAsia="zh-CN"/>
              </w:rPr>
              <w:t>新疆</w:t>
            </w:r>
            <w:r>
              <w:rPr>
                <w:rFonts w:hint="eastAsia"/>
                <w:b w:val="0"/>
                <w:bCs/>
                <w:color w:val="auto"/>
                <w:sz w:val="21"/>
                <w:szCs w:val="21"/>
                <w:highlight w:val="none"/>
              </w:rPr>
              <w:t>政府采购云平台（www.zcygov.cn）上开启投标文件</w:t>
            </w:r>
          </w:p>
        </w:tc>
      </w:tr>
      <w:tr w14:paraId="01EBB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1012" w:type="dxa"/>
            <w:noWrap w:val="0"/>
            <w:vAlign w:val="center"/>
          </w:tcPr>
          <w:p w14:paraId="557FF151">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23</w:t>
            </w:r>
          </w:p>
        </w:tc>
        <w:tc>
          <w:tcPr>
            <w:tcW w:w="1536" w:type="dxa"/>
            <w:noWrap w:val="0"/>
            <w:vAlign w:val="center"/>
          </w:tcPr>
          <w:p w14:paraId="245638B8">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评标委员会的组建</w:t>
            </w:r>
          </w:p>
        </w:tc>
        <w:tc>
          <w:tcPr>
            <w:tcW w:w="7288" w:type="dxa"/>
            <w:noWrap w:val="0"/>
            <w:vAlign w:val="top"/>
          </w:tcPr>
          <w:p w14:paraId="47FBCFB4">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Times New Roman" w:eastAsia="宋体" w:cs="Times New Roman"/>
                <w:b w:val="0"/>
                <w:bCs/>
                <w:color w:val="auto"/>
                <w:sz w:val="21"/>
                <w:szCs w:val="21"/>
                <w:highlight w:val="none"/>
                <w:lang w:val="en-US" w:eastAsia="zh-CN"/>
              </w:rPr>
            </w:pPr>
            <w:r>
              <w:rPr>
                <w:rFonts w:hint="eastAsia" w:ascii="宋体" w:hAnsi="Times New Roman" w:eastAsia="宋体" w:cs="Times New Roman"/>
                <w:b w:val="0"/>
                <w:bCs/>
                <w:color w:val="auto"/>
                <w:sz w:val="21"/>
                <w:szCs w:val="21"/>
                <w:highlight w:val="none"/>
                <w:lang w:val="en-US" w:eastAsia="zh-CN"/>
              </w:rPr>
              <w:t>评标委员会由招标人依法组建；</w:t>
            </w:r>
          </w:p>
          <w:p w14:paraId="2F7F1BB8">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Times New Roman" w:eastAsia="宋体" w:cs="Times New Roman"/>
                <w:b w:val="0"/>
                <w:bCs/>
                <w:color w:val="auto"/>
                <w:sz w:val="21"/>
                <w:szCs w:val="21"/>
                <w:highlight w:val="none"/>
                <w:lang w:val="en-US" w:eastAsia="zh-CN"/>
              </w:rPr>
            </w:pPr>
            <w:r>
              <w:rPr>
                <w:rFonts w:hint="eastAsia" w:ascii="宋体" w:hAnsi="Times New Roman" w:eastAsia="宋体" w:cs="Times New Roman"/>
                <w:b w:val="0"/>
                <w:bCs/>
                <w:color w:val="auto"/>
                <w:sz w:val="21"/>
                <w:szCs w:val="21"/>
                <w:highlight w:val="none"/>
                <w:lang w:val="en-US" w:eastAsia="zh-CN"/>
              </w:rPr>
              <w:t>成员由采购人代表1人和评审专家4人组成。</w:t>
            </w:r>
          </w:p>
          <w:p w14:paraId="0E3A0364">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ascii="宋体" w:hAnsi="Times New Roman" w:eastAsia="宋体" w:cs="Times New Roman"/>
                <w:b w:val="0"/>
                <w:bCs/>
                <w:color w:val="auto"/>
                <w:sz w:val="21"/>
                <w:szCs w:val="21"/>
                <w:highlight w:val="none"/>
                <w:lang w:val="en-US" w:eastAsia="zh-CN"/>
              </w:rPr>
              <w:t>评标专家确定方式：专家评委在开标前48小时内从政采云专家库中随机抽取。</w:t>
            </w:r>
          </w:p>
        </w:tc>
      </w:tr>
      <w:tr w14:paraId="1CD2E4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14:paraId="06AEF6EF">
            <w:pPr>
              <w:pStyle w:val="14"/>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b/>
                <w:bCs w:val="0"/>
                <w:color w:val="auto"/>
                <w:sz w:val="21"/>
                <w:szCs w:val="21"/>
                <w:highlight w:val="none"/>
                <w:lang w:val="en-US" w:eastAsia="zh-CN"/>
              </w:rPr>
              <w:t>24</w:t>
            </w:r>
          </w:p>
        </w:tc>
        <w:tc>
          <w:tcPr>
            <w:tcW w:w="1536" w:type="dxa"/>
            <w:noWrap w:val="0"/>
            <w:vAlign w:val="center"/>
          </w:tcPr>
          <w:p w14:paraId="5F5BBDFA">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是否授权评标委员会确定中标候选人</w:t>
            </w:r>
          </w:p>
        </w:tc>
        <w:tc>
          <w:tcPr>
            <w:tcW w:w="7288" w:type="dxa"/>
            <w:noWrap w:val="0"/>
            <w:vAlign w:val="center"/>
          </w:tcPr>
          <w:p w14:paraId="42CE1D9E">
            <w:pPr>
              <w:pStyle w:val="14"/>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color w:val="auto"/>
                <w:sz w:val="21"/>
                <w:szCs w:val="21"/>
                <w:highlight w:val="none"/>
                <w:lang w:val="en-US" w:eastAsia="zh-CN"/>
              </w:rPr>
            </w:pPr>
            <w:r>
              <w:rPr>
                <w:rFonts w:hint="eastAsia" w:hAnsi="宋体"/>
                <w:b w:val="0"/>
                <w:bCs/>
                <w:color w:val="auto"/>
                <w:sz w:val="21"/>
                <w:szCs w:val="21"/>
                <w:highlight w:val="none"/>
                <w:lang w:val="en-US" w:eastAsia="zh-CN"/>
              </w:rPr>
              <w:t>是，评标委员会推荐3名中标候选人。</w:t>
            </w:r>
          </w:p>
        </w:tc>
      </w:tr>
      <w:tr w14:paraId="36BFAE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14:paraId="1FDFA309">
            <w:pPr>
              <w:keepNext w:val="0"/>
              <w:keepLines w:val="0"/>
              <w:pageBreakBefore w:val="0"/>
              <w:shd w:val="clear" w:color="auto" w:fill="auto"/>
              <w:kinsoku/>
              <w:wordWrap/>
              <w:overflowPunct/>
              <w:topLinePunct w:val="0"/>
              <w:autoSpaceDE/>
              <w:autoSpaceDN/>
              <w:bidi w:val="0"/>
              <w:adjustRightInd/>
              <w:snapToGrid w:val="0"/>
              <w:spacing w:line="400" w:lineRule="exact"/>
              <w:ind w:left="-78" w:leftChars="-37" w:right="-95" w:rightChars="-45"/>
              <w:jc w:val="center"/>
              <w:textAlignment w:val="auto"/>
              <w:outlineLvl w:val="9"/>
              <w:rPr>
                <w:rFonts w:hint="default"/>
                <w:b/>
                <w:bCs w:val="0"/>
                <w:color w:val="auto"/>
                <w:sz w:val="21"/>
                <w:szCs w:val="21"/>
                <w:highlight w:val="none"/>
                <w:lang w:val="en-US" w:eastAsia="zh-CN"/>
              </w:rPr>
            </w:pPr>
            <w:r>
              <w:rPr>
                <w:rFonts w:hint="eastAsia" w:ascii="宋体" w:cs="宋体"/>
                <w:b/>
                <w:bCs w:val="0"/>
                <w:color w:val="auto"/>
                <w:sz w:val="21"/>
                <w:szCs w:val="21"/>
                <w:highlight w:val="none"/>
                <w:lang w:val="en-US" w:eastAsia="zh-CN"/>
              </w:rPr>
              <w:t>25</w:t>
            </w:r>
          </w:p>
        </w:tc>
        <w:tc>
          <w:tcPr>
            <w:tcW w:w="1536" w:type="dxa"/>
            <w:noWrap w:val="0"/>
            <w:vAlign w:val="center"/>
          </w:tcPr>
          <w:p w14:paraId="07C0B8BB">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b/>
                <w:bCs w:val="0"/>
                <w:color w:val="auto"/>
                <w:sz w:val="21"/>
                <w:szCs w:val="21"/>
                <w:highlight w:val="none"/>
                <w:lang w:val="en-US" w:eastAsia="zh-CN"/>
              </w:rPr>
            </w:pPr>
            <w:r>
              <w:rPr>
                <w:rFonts w:hint="eastAsia"/>
                <w:b/>
                <w:bCs w:val="0"/>
                <w:color w:val="auto"/>
                <w:sz w:val="21"/>
                <w:szCs w:val="21"/>
                <w:highlight w:val="none"/>
                <w:lang w:val="en-US" w:eastAsia="zh-CN"/>
              </w:rPr>
              <w:t>中标候选人公示媒介</w:t>
            </w:r>
          </w:p>
        </w:tc>
        <w:tc>
          <w:tcPr>
            <w:tcW w:w="7288" w:type="dxa"/>
            <w:noWrap w:val="0"/>
            <w:vAlign w:val="center"/>
          </w:tcPr>
          <w:p w14:paraId="1F2B2F6E">
            <w:pPr>
              <w:pStyle w:val="14"/>
              <w:keepNext w:val="0"/>
              <w:keepLines w:val="0"/>
              <w:pageBreakBefore w:val="0"/>
              <w:shd w:val="clear" w:color="auto" w:fill="auto"/>
              <w:kinsoku/>
              <w:wordWrap/>
              <w:overflowPunct/>
              <w:topLinePunct w:val="0"/>
              <w:autoSpaceDE/>
              <w:autoSpaceDN/>
              <w:bidi w:val="0"/>
              <w:adjustRightInd/>
              <w:snapToGrid w:val="0"/>
              <w:spacing w:line="400" w:lineRule="exact"/>
              <w:jc w:val="both"/>
              <w:textAlignment w:val="auto"/>
              <w:outlineLvl w:val="9"/>
              <w:rPr>
                <w:rFonts w:hint="eastAsia"/>
                <w:b w:val="0"/>
                <w:bCs/>
                <w:color w:val="auto"/>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u w:val="none"/>
                <w:lang w:val="en-US" w:eastAsia="zh-CN" w:bidi="ar-SA"/>
              </w:rPr>
              <w:t>新疆政府采购网</w:t>
            </w:r>
            <w:r>
              <w:rPr>
                <w:rFonts w:hint="eastAsia" w:ascii="Times New Roman" w:hAnsi="Times New Roman" w:cs="Times New Roman"/>
                <w:b w:val="0"/>
                <w:bCs/>
                <w:color w:val="auto"/>
                <w:kern w:val="2"/>
                <w:sz w:val="21"/>
                <w:szCs w:val="21"/>
                <w:highlight w:val="none"/>
                <w:u w:val="none"/>
                <w:lang w:val="en-US" w:eastAsia="zh-CN" w:bidi="ar-SA"/>
              </w:rPr>
              <w:t>、</w:t>
            </w:r>
            <w:r>
              <w:rPr>
                <w:rFonts w:hint="eastAsia" w:ascii="Times New Roman" w:hAnsi="Times New Roman" w:eastAsia="宋体" w:cs="Times New Roman"/>
                <w:b w:val="0"/>
                <w:bCs/>
                <w:color w:val="auto"/>
                <w:kern w:val="2"/>
                <w:sz w:val="21"/>
                <w:szCs w:val="21"/>
                <w:highlight w:val="none"/>
                <w:u w:val="none"/>
                <w:lang w:val="en-US" w:eastAsia="zh-CN" w:bidi="ar-SA"/>
              </w:rPr>
              <w:t>克州公共资源交易</w:t>
            </w:r>
            <w:r>
              <w:rPr>
                <w:rFonts w:hint="eastAsia" w:ascii="Times New Roman" w:cs="Times New Roman"/>
                <w:b w:val="0"/>
                <w:bCs/>
                <w:color w:val="auto"/>
                <w:kern w:val="2"/>
                <w:sz w:val="21"/>
                <w:szCs w:val="21"/>
                <w:highlight w:val="none"/>
                <w:u w:val="none"/>
                <w:lang w:val="en-US" w:eastAsia="zh-CN" w:bidi="ar-SA"/>
              </w:rPr>
              <w:t>中心</w:t>
            </w:r>
            <w:r>
              <w:rPr>
                <w:rFonts w:hint="eastAsia" w:ascii="Times New Roman" w:hAnsi="Times New Roman" w:eastAsia="宋体" w:cs="Times New Roman"/>
                <w:b w:val="0"/>
                <w:bCs/>
                <w:color w:val="auto"/>
                <w:kern w:val="2"/>
                <w:sz w:val="21"/>
                <w:szCs w:val="21"/>
                <w:highlight w:val="none"/>
                <w:u w:val="none"/>
                <w:lang w:val="en-US" w:eastAsia="zh-CN" w:bidi="ar-SA"/>
              </w:rPr>
              <w:t>网，公示期为一个工作日。</w:t>
            </w:r>
          </w:p>
        </w:tc>
      </w:tr>
      <w:tr w14:paraId="596E8A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90" w:hRule="atLeast"/>
          <w:jc w:val="center"/>
        </w:trPr>
        <w:tc>
          <w:tcPr>
            <w:tcW w:w="1012" w:type="dxa"/>
            <w:noWrap w:val="0"/>
            <w:vAlign w:val="center"/>
          </w:tcPr>
          <w:p w14:paraId="4B5276E4">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ascii="宋体" w:eastAsia="宋体" w:cs="宋体"/>
                <w:b/>
                <w:bCs w:val="0"/>
                <w:color w:val="auto"/>
                <w:sz w:val="21"/>
                <w:szCs w:val="21"/>
                <w:highlight w:val="none"/>
                <w:lang w:val="en-US" w:eastAsia="zh-CN"/>
              </w:rPr>
            </w:pPr>
            <w:r>
              <w:rPr>
                <w:rFonts w:hint="eastAsia" w:ascii="宋体" w:cs="宋体"/>
                <w:b/>
                <w:bCs w:val="0"/>
                <w:color w:val="auto"/>
                <w:sz w:val="21"/>
                <w:szCs w:val="21"/>
                <w:highlight w:val="none"/>
                <w:lang w:val="en-US" w:eastAsia="zh-CN"/>
              </w:rPr>
              <w:t>26</w:t>
            </w:r>
          </w:p>
        </w:tc>
        <w:tc>
          <w:tcPr>
            <w:tcW w:w="1536" w:type="dxa"/>
            <w:noWrap w:val="0"/>
            <w:vAlign w:val="center"/>
          </w:tcPr>
          <w:p w14:paraId="0554C1E3">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b/>
                <w:bCs w:val="0"/>
                <w:color w:val="auto"/>
                <w:sz w:val="21"/>
                <w:szCs w:val="21"/>
                <w:highlight w:val="none"/>
              </w:rPr>
            </w:pPr>
            <w:r>
              <w:rPr>
                <w:rFonts w:hint="eastAsia" w:ascii="宋体"/>
                <w:b/>
                <w:bCs w:val="0"/>
                <w:color w:val="auto"/>
                <w:sz w:val="21"/>
                <w:szCs w:val="21"/>
                <w:highlight w:val="none"/>
              </w:rPr>
              <w:t>履约担保</w:t>
            </w:r>
          </w:p>
        </w:tc>
        <w:tc>
          <w:tcPr>
            <w:tcW w:w="7288" w:type="dxa"/>
            <w:noWrap w:val="0"/>
            <w:vAlign w:val="top"/>
          </w:tcPr>
          <w:p w14:paraId="5772C54F">
            <w:pPr>
              <w:keepNext w:val="0"/>
              <w:keepLines w:val="0"/>
              <w:pageBreakBefore w:val="0"/>
              <w:numPr>
                <w:ilvl w:val="0"/>
                <w:numId w:val="3"/>
              </w:numPr>
              <w:shd w:val="clear" w:color="auto" w:fill="auto"/>
              <w:kinsoku/>
              <w:wordWrap/>
              <w:overflowPunct/>
              <w:topLinePunct w:val="0"/>
              <w:autoSpaceDE/>
              <w:autoSpaceDN/>
              <w:bidi w:val="0"/>
              <w:adjustRightInd/>
              <w:snapToGrid w:val="0"/>
              <w:spacing w:line="400" w:lineRule="exact"/>
              <w:textAlignment w:val="auto"/>
              <w:outlineLvl w:val="9"/>
              <w:rPr>
                <w:rFonts w:hint="eastAsia"/>
                <w:b w:val="0"/>
                <w:bCs/>
                <w:highlight w:val="none"/>
                <w:lang w:val="en-US" w:eastAsia="zh-CN"/>
              </w:rPr>
            </w:pPr>
            <w:r>
              <w:rPr>
                <w:rFonts w:hint="eastAsia"/>
                <w:b w:val="0"/>
                <w:bCs/>
                <w:highlight w:val="none"/>
                <w:lang w:val="en-US" w:eastAsia="zh-CN"/>
              </w:rPr>
              <w:t>中标供应商在合同签订后5个工作日内</w:t>
            </w:r>
            <w:r>
              <w:rPr>
                <w:rFonts w:hint="eastAsia"/>
                <w:b w:val="0"/>
                <w:bCs/>
                <w:color w:val="auto"/>
                <w:highlight w:val="none"/>
                <w:lang w:val="en-US" w:eastAsia="zh-CN"/>
              </w:rPr>
              <w:t>向采购人交纳不超过中标价10%的履约保证金</w:t>
            </w:r>
            <w:r>
              <w:rPr>
                <w:rFonts w:hint="eastAsia"/>
                <w:b w:val="0"/>
                <w:bCs/>
                <w:highlight w:val="none"/>
                <w:lang w:val="en-US" w:eastAsia="zh-CN"/>
              </w:rPr>
              <w:t>（本项目履约保证金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p w14:paraId="2E56BAB3">
            <w:pPr>
              <w:pageBreakBefore w:val="0"/>
              <w:shd w:val="clear" w:color="auto" w:fill="auto"/>
              <w:kinsoku/>
              <w:wordWrap/>
              <w:overflowPunct/>
              <w:topLinePunct w:val="0"/>
              <w:autoSpaceDE/>
              <w:autoSpaceDN/>
              <w:bidi w:val="0"/>
              <w:spacing w:line="400" w:lineRule="exact"/>
              <w:jc w:val="left"/>
              <w:rPr>
                <w:rFonts w:hint="eastAsia" w:ascii="宋体"/>
                <w:b w:val="0"/>
                <w:bCs/>
                <w:color w:val="auto"/>
                <w:szCs w:val="21"/>
                <w:highlight w:val="none"/>
                <w:lang w:val="en-US" w:eastAsia="zh-CN"/>
              </w:rPr>
            </w:pPr>
            <w:r>
              <w:rPr>
                <w:rFonts w:hint="eastAsia" w:ascii="宋体" w:hAnsi="Times New Roman" w:eastAsia="宋体" w:cs="宋体"/>
                <w:b w:val="0"/>
                <w:bCs/>
                <w:color w:val="auto"/>
                <w:kern w:val="0"/>
                <w:sz w:val="21"/>
                <w:szCs w:val="21"/>
                <w:highlight w:val="none"/>
                <w:u w:val="none" w:color="000000"/>
                <w:lang w:val="en-US" w:eastAsia="zh-CN" w:bidi="ar-SA"/>
              </w:rPr>
              <w:t>2、</w:t>
            </w:r>
            <w:r>
              <w:rPr>
                <w:rFonts w:hint="eastAsia" w:ascii="宋体"/>
                <w:b w:val="0"/>
                <w:bCs/>
                <w:color w:val="auto"/>
                <w:szCs w:val="21"/>
                <w:highlight w:val="none"/>
                <w:lang w:val="en-US" w:eastAsia="zh-CN"/>
              </w:rPr>
              <w:t>签订合同后，如中标供应商不按合同约定履约的，履约保证金不予退还，履约保证金不足以赔偿损失的，按实际损失赔偿。</w:t>
            </w:r>
          </w:p>
          <w:p w14:paraId="38C3F55F">
            <w:pPr>
              <w:pageBreakBefore w:val="0"/>
              <w:shd w:val="clear" w:color="auto" w:fill="auto"/>
              <w:kinsoku/>
              <w:wordWrap/>
              <w:overflowPunct/>
              <w:topLinePunct w:val="0"/>
              <w:autoSpaceDE/>
              <w:autoSpaceDN/>
              <w:bidi w:val="0"/>
              <w:spacing w:line="400" w:lineRule="exact"/>
              <w:jc w:val="left"/>
              <w:rPr>
                <w:rFonts w:hint="eastAsia"/>
                <w:b w:val="0"/>
                <w:bCs/>
                <w:highlight w:val="none"/>
                <w:lang w:val="en-US" w:eastAsia="zh-CN"/>
              </w:rPr>
            </w:pPr>
            <w:r>
              <w:rPr>
                <w:rFonts w:hint="eastAsia" w:ascii="宋体"/>
                <w:b w:val="0"/>
                <w:bCs/>
                <w:color w:val="auto"/>
                <w:szCs w:val="21"/>
                <w:highlight w:val="none"/>
                <w:lang w:val="en-US" w:eastAsia="zh-CN"/>
              </w:rPr>
              <w:t>3、如果中标供应商在供货期内没有涉及采购人的应付而未付金额或违约行为，采购人在项目验收合格后或提前终止合同后全额无息退还履约保证金。</w:t>
            </w:r>
          </w:p>
        </w:tc>
      </w:tr>
      <w:tr w14:paraId="692E6F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25" w:hRule="atLeast"/>
          <w:jc w:val="center"/>
        </w:trPr>
        <w:tc>
          <w:tcPr>
            <w:tcW w:w="1012" w:type="dxa"/>
            <w:noWrap w:val="0"/>
            <w:vAlign w:val="center"/>
          </w:tcPr>
          <w:p w14:paraId="21D4D5D9">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ascii="宋体" w:hAnsi="宋体" w:eastAsia="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27</w:t>
            </w:r>
          </w:p>
        </w:tc>
        <w:tc>
          <w:tcPr>
            <w:tcW w:w="1536" w:type="dxa"/>
            <w:noWrap w:val="0"/>
            <w:vAlign w:val="center"/>
          </w:tcPr>
          <w:p w14:paraId="4C39DE3B">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eastAsia="zh-CN"/>
              </w:rPr>
            </w:pPr>
            <w:r>
              <w:rPr>
                <w:rFonts w:hint="eastAsia" w:ascii="宋体" w:hAnsi="宋体" w:cs="宋体"/>
                <w:b/>
                <w:bCs w:val="0"/>
                <w:color w:val="auto"/>
                <w:sz w:val="21"/>
                <w:szCs w:val="21"/>
                <w:highlight w:val="none"/>
                <w:lang w:eastAsia="zh-CN"/>
              </w:rPr>
              <w:t>招标</w:t>
            </w:r>
            <w:r>
              <w:rPr>
                <w:rFonts w:hint="eastAsia" w:ascii="宋体" w:hAnsi="宋体" w:cs="宋体"/>
                <w:b/>
                <w:bCs w:val="0"/>
                <w:color w:val="auto"/>
                <w:sz w:val="21"/>
                <w:szCs w:val="21"/>
                <w:highlight w:val="none"/>
              </w:rPr>
              <w:t>文件领取</w:t>
            </w:r>
          </w:p>
        </w:tc>
        <w:tc>
          <w:tcPr>
            <w:tcW w:w="7288" w:type="dxa"/>
            <w:noWrap w:val="0"/>
            <w:vAlign w:val="top"/>
          </w:tcPr>
          <w:p w14:paraId="28EBC6E6">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时间：</w:t>
            </w:r>
            <w:r>
              <w:rPr>
                <w:rFonts w:hint="eastAsia" w:ascii="宋体" w:hAnsi="宋体" w:cs="宋体"/>
                <w:b w:val="0"/>
                <w:bCs/>
                <w:color w:val="auto"/>
                <w:sz w:val="21"/>
                <w:szCs w:val="21"/>
                <w:highlight w:val="none"/>
                <w:lang w:eastAsia="zh-CN"/>
              </w:rPr>
              <w:t>2026年04月21日至2026年04月28日，每天上午10:00至14:00，下午16:00至19:30（北京时间，法定节假日除外）</w:t>
            </w:r>
          </w:p>
          <w:p w14:paraId="43FF250F">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地点：供应商登陆政采云平台http://www.zcygov.cn/，在线申请获取招标文件（登录政府采购云平台 → 项目采购 → 获取招标文件→申请，审核通过后可下载招标文件，如有操作性问题，可与政采云在线客服进行咨询，咨询电话：</w:t>
            </w:r>
            <w:r>
              <w:rPr>
                <w:rFonts w:hint="eastAsia" w:ascii="宋体" w:hAnsi="宋体" w:cs="宋体"/>
                <w:b w:val="0"/>
                <w:bCs/>
                <w:color w:val="auto"/>
                <w:sz w:val="21"/>
                <w:szCs w:val="21"/>
                <w:highlight w:val="none"/>
                <w:lang w:eastAsia="zh-CN"/>
              </w:rPr>
              <w:t>95763</w:t>
            </w:r>
            <w:r>
              <w:rPr>
                <w:rFonts w:hint="eastAsia" w:ascii="宋体" w:hAnsi="宋体" w:cs="宋体"/>
                <w:b w:val="0"/>
                <w:bCs/>
                <w:color w:val="auto"/>
                <w:sz w:val="21"/>
                <w:szCs w:val="21"/>
                <w:highlight w:val="none"/>
              </w:rPr>
              <w:t>）。</w:t>
            </w:r>
          </w:p>
          <w:p w14:paraId="16BD748E">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方式：（1）线上获取（登录政府采购云平台 → 项目采购 → 获取招标文件→ 申请，审核通过后可下载招标文件）。本次招标不提供纸质版招标文件。</w:t>
            </w:r>
          </w:p>
          <w:p w14:paraId="03DDA24F">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（2）供应商获取招标文件前应注册成为政府采购云平台正式供应商。</w:t>
            </w:r>
          </w:p>
        </w:tc>
      </w:tr>
      <w:tr w14:paraId="49A1A7E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14:paraId="54BDA6A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7D0E575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5C1DACA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36B4E59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77AC04F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4113668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5474EC88">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3B96C3B6">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19A8E2FC">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54FF00C7">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70264723">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0D95AC44">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0AC11A1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60081B9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6B436534">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387B08B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755F0AD3">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545DD0E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1AC1610C">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0069A1D7">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7C2940F4">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4F13472B">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3BE7145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cs="宋体"/>
                <w:b/>
                <w:bCs w:val="0"/>
                <w:color w:val="auto"/>
                <w:sz w:val="21"/>
                <w:szCs w:val="21"/>
                <w:highlight w:val="none"/>
                <w:lang w:val="en-US" w:eastAsia="zh-CN"/>
              </w:rPr>
            </w:pPr>
          </w:p>
          <w:p w14:paraId="47428AAF">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default" w:ascii="宋体" w:hAnsi="宋体" w:cs="宋体"/>
                <w:b/>
                <w:bCs w:val="0"/>
                <w:color w:val="auto"/>
                <w:sz w:val="21"/>
                <w:szCs w:val="21"/>
                <w:highlight w:val="none"/>
                <w:lang w:val="en-US" w:eastAsia="zh-CN"/>
              </w:rPr>
            </w:pPr>
            <w:r>
              <w:rPr>
                <w:rFonts w:hint="eastAsia" w:ascii="宋体" w:hAnsi="宋体" w:cs="宋体"/>
                <w:b/>
                <w:bCs w:val="0"/>
                <w:color w:val="auto"/>
                <w:sz w:val="21"/>
                <w:szCs w:val="21"/>
                <w:highlight w:val="none"/>
                <w:lang w:val="en-US" w:eastAsia="zh-CN"/>
              </w:rPr>
              <w:t>28</w:t>
            </w:r>
          </w:p>
        </w:tc>
        <w:tc>
          <w:tcPr>
            <w:tcW w:w="1536" w:type="dxa"/>
            <w:vMerge w:val="restart"/>
            <w:noWrap w:val="0"/>
            <w:vAlign w:val="center"/>
          </w:tcPr>
          <w:p w14:paraId="3D204A9B">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5D226B9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6E11BB3F">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73F7817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7B5480B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0C9C1882">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0949B0C7">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444D383E">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3015F068">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13355805">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4E6A6EA0">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3513484D">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42498CB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3B2B8A10">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3FB3458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6E728044">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7B949543">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7011468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777C4D96">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7A77AD8D">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051E7D4A">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6F721FC1">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26053C78">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p w14:paraId="17687AE0">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r>
              <w:rPr>
                <w:rFonts w:hint="eastAsia" w:ascii="宋体" w:hAnsi="宋体"/>
                <w:b/>
                <w:bCs w:val="0"/>
                <w:color w:val="auto"/>
                <w:sz w:val="21"/>
                <w:szCs w:val="21"/>
                <w:highlight w:val="none"/>
                <w:lang w:eastAsia="zh-CN"/>
              </w:rPr>
              <w:t>重要说明</w:t>
            </w:r>
          </w:p>
        </w:tc>
        <w:tc>
          <w:tcPr>
            <w:tcW w:w="7288" w:type="dxa"/>
            <w:noWrap w:val="0"/>
            <w:vAlign w:val="top"/>
          </w:tcPr>
          <w:p w14:paraId="4E239C5A">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1.本项目采用全流程不见面电子开评标，投标供应商需要使用CA加密设备，供应商可通过新疆数字证书认证中心官网（https://www.xjca.com.cn/）或下载“新疆政务通”APP自行进行申领。</w:t>
            </w:r>
          </w:p>
          <w:p w14:paraId="16DDA3EB">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2.本项目实行网上投标，采用加密电子投标文件(供应商须使用CA加密设备通过政采云电子投标客户端制作投标文件)。若供应商参与投标，自行承担投标一切费用。</w:t>
            </w:r>
          </w:p>
          <w:p w14:paraId="5C33C227">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3.</w:t>
            </w:r>
            <w:r>
              <w:rPr>
                <w:rFonts w:hint="eastAsia" w:ascii="宋体" w:hAnsi="宋体" w:eastAsia="宋体" w:cs="宋体"/>
                <w:b w:val="0"/>
                <w:bCs/>
                <w:color w:val="auto"/>
                <w:sz w:val="21"/>
                <w:szCs w:val="21"/>
                <w:highlight w:val="none"/>
              </w:rPr>
              <w:t>各供应商在开标前应确保成为新疆维吾尔自治区政府采购网正式注册入库供应商，</w:t>
            </w:r>
            <w:r>
              <w:rPr>
                <w:rFonts w:hint="eastAsia" w:ascii="宋体" w:hAnsi="宋体" w:eastAsia="宋体" w:cs="宋体"/>
                <w:b w:val="0"/>
                <w:bCs/>
                <w:sz w:val="21"/>
                <w:szCs w:val="21"/>
                <w:highlight w:val="none"/>
              </w:rPr>
              <w:t>（已在政采云平台其他省份入驻的供应商无须重复注册）</w:t>
            </w:r>
            <w:r>
              <w:rPr>
                <w:rFonts w:hint="eastAsia" w:ascii="宋体" w:hAnsi="宋体" w:eastAsia="宋体" w:cs="宋体"/>
                <w:b w:val="0"/>
                <w:bCs/>
                <w:color w:val="auto"/>
                <w:sz w:val="21"/>
                <w:szCs w:val="21"/>
                <w:highlight w:val="none"/>
              </w:rPr>
              <w:t>并完成CA数字证书申领。因未注册入库、未办理CA数字证书等原因造成无法投标或投标失败等后果由供应商自行承担。</w:t>
            </w:r>
          </w:p>
          <w:p w14:paraId="6E7BBED4">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w:t>
            </w:r>
            <w:r>
              <w:rPr>
                <w:rFonts w:hint="eastAsia" w:ascii="宋体" w:hAnsi="宋体" w:cs="宋体"/>
                <w:b w:val="0"/>
                <w:bCs/>
                <w:color w:val="auto"/>
                <w:sz w:val="21"/>
                <w:szCs w:val="21"/>
                <w:highlight w:val="none"/>
                <w:lang w:eastAsia="zh-CN"/>
              </w:rPr>
              <w:t>95763</w:t>
            </w:r>
            <w:r>
              <w:rPr>
                <w:rFonts w:hint="eastAsia" w:ascii="宋体" w:hAnsi="宋体" w:cs="宋体"/>
                <w:b w:val="0"/>
                <w:bCs/>
                <w:color w:val="auto"/>
                <w:sz w:val="21"/>
                <w:szCs w:val="21"/>
                <w:highlight w:val="none"/>
              </w:rPr>
              <w:t>进行咨询。</w:t>
            </w:r>
          </w:p>
          <w:p w14:paraId="0FFB9947">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5.供应商在开标时须使用制作加密电子投标文件所使用的CA锁及电脑，电脑须提前配置好浏览器（建议使用谷歌浏览器），以便开标时解锁。</w:t>
            </w:r>
          </w:p>
          <w:p w14:paraId="7E796C42">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宋体" w:hAnsi="宋体" w:cs="宋体"/>
                <w:b w:val="0"/>
                <w:bCs/>
                <w:color w:val="auto"/>
                <w:sz w:val="21"/>
                <w:szCs w:val="21"/>
                <w:highlight w:val="none"/>
                <w:lang w:eastAsia="zh-CN"/>
              </w:rPr>
              <w:t>。</w:t>
            </w:r>
          </w:p>
          <w:p w14:paraId="1E5E5748">
            <w:pPr>
              <w:keepNext w:val="0"/>
              <w:keepLines w:val="0"/>
              <w:pageBreakBefore w:val="0"/>
              <w:shd w:val="clear" w:color="auto" w:fill="auto"/>
              <w:kinsoku/>
              <w:wordWrap/>
              <w:overflowPunct/>
              <w:topLinePunct w:val="0"/>
              <w:autoSpaceDE/>
              <w:autoSpaceDN/>
              <w:bidi w:val="0"/>
              <w:adjustRightInd/>
              <w:snapToGrid w:val="0"/>
              <w:spacing w:line="400" w:lineRule="exact"/>
              <w:jc w:val="left"/>
              <w:textAlignment w:val="auto"/>
              <w:outlineLvl w:val="9"/>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7.为了保证开评标顺利进行，政采云线上开标功能完全实现，供应商开标所使用的电脑设备须具有视频及语音功能。</w:t>
            </w:r>
          </w:p>
        </w:tc>
      </w:tr>
      <w:tr w14:paraId="11F0F5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50" w:hRule="atLeast"/>
          <w:jc w:val="center"/>
        </w:trPr>
        <w:tc>
          <w:tcPr>
            <w:tcW w:w="1012" w:type="dxa"/>
            <w:vMerge w:val="continue"/>
            <w:noWrap w:val="0"/>
            <w:vAlign w:val="center"/>
          </w:tcPr>
          <w:p w14:paraId="463A1C76">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b/>
                <w:bCs w:val="0"/>
                <w:color w:val="auto"/>
                <w:sz w:val="21"/>
                <w:szCs w:val="21"/>
                <w:highlight w:val="none"/>
                <w:lang w:eastAsia="zh-CN"/>
              </w:rPr>
            </w:pPr>
          </w:p>
        </w:tc>
        <w:tc>
          <w:tcPr>
            <w:tcW w:w="1536" w:type="dxa"/>
            <w:vMerge w:val="continue"/>
            <w:noWrap w:val="0"/>
            <w:vAlign w:val="center"/>
          </w:tcPr>
          <w:p w14:paraId="07077BF7">
            <w:pPr>
              <w:keepNext w:val="0"/>
              <w:keepLines w:val="0"/>
              <w:pageBreakBefore w:val="0"/>
              <w:shd w:val="clear" w:color="auto" w:fill="auto"/>
              <w:kinsoku/>
              <w:wordWrap/>
              <w:overflowPunct/>
              <w:topLinePunct w:val="0"/>
              <w:autoSpaceDE/>
              <w:autoSpaceDN/>
              <w:bidi w:val="0"/>
              <w:adjustRightInd/>
              <w:snapToGrid w:val="0"/>
              <w:spacing w:line="400" w:lineRule="exact"/>
              <w:jc w:val="center"/>
              <w:textAlignment w:val="auto"/>
              <w:outlineLvl w:val="9"/>
              <w:rPr>
                <w:rFonts w:hint="eastAsia" w:ascii="宋体" w:hAnsi="宋体"/>
                <w:b/>
                <w:bCs w:val="0"/>
                <w:color w:val="auto"/>
                <w:sz w:val="21"/>
                <w:szCs w:val="21"/>
                <w:highlight w:val="none"/>
                <w:lang w:eastAsia="zh-CN"/>
              </w:rPr>
            </w:pPr>
          </w:p>
        </w:tc>
        <w:tc>
          <w:tcPr>
            <w:tcW w:w="7288" w:type="dxa"/>
            <w:noWrap w:val="0"/>
            <w:vAlign w:val="top"/>
          </w:tcPr>
          <w:p w14:paraId="77964B68">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（1）电子招投标：本项目以数据电文形式，依托“政府采购云平台（www.zcygov.cn）”进行招投标活动。</w:t>
            </w:r>
          </w:p>
          <w:p w14:paraId="41AE949D">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（2）投标准备：注册账号--点击“商家入驻”，进行政府采购供应商资料填写；申领CA数字证书---申领流程详见“</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政府采购网-下载专区-电子交易客户端-CA驱动和申领流程”；安装“政采云电子交易客户端”----前往“</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政府采购网-下载专区-电子交易客户端”进行下载并安装。</w:t>
            </w:r>
          </w:p>
          <w:p w14:paraId="5663C838">
            <w:pPr>
              <w:pageBreakBefore w:val="0"/>
              <w:kinsoku/>
              <w:wordWrap/>
              <w:overflowPunct/>
              <w:topLinePunct w:val="0"/>
              <w:autoSpaceDE/>
              <w:autoSpaceDN/>
              <w:bidi w:val="0"/>
              <w:snapToGrid w:val="0"/>
              <w:spacing w:line="400" w:lineRule="exact"/>
              <w:ind w:firstLine="426" w:firstLineChars="200"/>
              <w:rPr>
                <w:rFonts w:hint="eastAsia" w:ascii="宋体" w:hAnsi="宋体" w:cs="宋体"/>
                <w:b w:val="0"/>
                <w:bCs/>
                <w:szCs w:val="21"/>
                <w:highlight w:val="none"/>
              </w:rPr>
            </w:pPr>
            <w:r>
              <w:rPr>
                <w:rFonts w:hint="eastAsia" w:ascii="宋体" w:hAnsi="宋体" w:cs="宋体"/>
                <w:b w:val="0"/>
                <w:bCs/>
                <w:szCs w:val="21"/>
                <w:highlight w:val="none"/>
              </w:rPr>
              <w:t>（</w:t>
            </w:r>
            <w:r>
              <w:rPr>
                <w:rFonts w:hint="eastAsia" w:ascii="宋体" w:hAnsi="宋体" w:cs="宋体"/>
                <w:b w:val="0"/>
                <w:bCs/>
                <w:szCs w:val="21"/>
                <w:highlight w:val="none"/>
                <w:lang w:val="en-US" w:eastAsia="zh-CN"/>
              </w:rPr>
              <w:t>3</w:t>
            </w:r>
            <w:r>
              <w:rPr>
                <w:rFonts w:hint="eastAsia" w:ascii="宋体" w:hAnsi="宋体" w:cs="宋体"/>
                <w:b w:val="0"/>
                <w:bCs/>
                <w:szCs w:val="21"/>
                <w:highlight w:val="none"/>
              </w:rPr>
              <w:t>）投标文件的制作：在“政采云电子交易客户端”中完成“填写基本信息”、“导入投标文件”、“标书关联”、“标书检查”、“电子签名”、“生成电子标书”等操作。</w:t>
            </w:r>
          </w:p>
          <w:p w14:paraId="5714773F">
            <w:pPr>
              <w:pageBreakBefore w:val="0"/>
              <w:kinsoku/>
              <w:wordWrap/>
              <w:overflowPunct/>
              <w:topLinePunct w:val="0"/>
              <w:autoSpaceDE/>
              <w:autoSpaceDN/>
              <w:bidi w:val="0"/>
              <w:snapToGrid w:val="0"/>
              <w:spacing w:line="400" w:lineRule="exact"/>
              <w:ind w:firstLine="426" w:firstLineChars="200"/>
              <w:rPr>
                <w:rFonts w:hint="eastAsia" w:ascii="宋体" w:hAnsi="宋体" w:eastAsia="宋体" w:cs="宋体"/>
                <w:b w:val="0"/>
                <w:bCs/>
                <w:color w:val="auto"/>
                <w:sz w:val="21"/>
                <w:szCs w:val="21"/>
                <w:highlight w:val="none"/>
                <w:lang w:eastAsia="zh-CN"/>
              </w:rPr>
            </w:pPr>
            <w:r>
              <w:rPr>
                <w:rFonts w:hint="eastAsia" w:ascii="宋体" w:hAnsi="宋体" w:cs="宋体"/>
                <w:b w:val="0"/>
                <w:bCs/>
                <w:szCs w:val="21"/>
                <w:highlight w:val="none"/>
              </w:rPr>
              <w:t>（</w:t>
            </w:r>
            <w:r>
              <w:rPr>
                <w:rFonts w:hint="eastAsia" w:ascii="宋体" w:hAnsi="宋体" w:cs="宋体"/>
                <w:b w:val="0"/>
                <w:bCs/>
                <w:szCs w:val="21"/>
                <w:highlight w:val="none"/>
                <w:lang w:val="en-US" w:eastAsia="zh-CN"/>
              </w:rPr>
              <w:t>4</w:t>
            </w:r>
            <w:r>
              <w:rPr>
                <w:rFonts w:hint="eastAsia" w:ascii="宋体" w:hAnsi="宋体" w:cs="宋体"/>
                <w:b w:val="0"/>
                <w:bCs/>
                <w:szCs w:val="21"/>
                <w:highlight w:val="none"/>
              </w:rPr>
              <w:t>）投标文件的传输递交：供应商在投标截止时间前将加密的投标文件上传至政府采购云平台</w:t>
            </w:r>
            <w:r>
              <w:rPr>
                <w:rFonts w:hint="eastAsia" w:ascii="宋体" w:hAnsi="宋体" w:cs="宋体"/>
                <w:b w:val="0"/>
                <w:bCs/>
                <w:szCs w:val="21"/>
                <w:highlight w:val="none"/>
                <w:lang w:eastAsia="zh-CN"/>
              </w:rPr>
              <w:t>。</w:t>
            </w:r>
          </w:p>
          <w:p w14:paraId="5C753302">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）投标文件的解密：供应商按照平台提示和采购文件的规定在半小时内完成在线解密。</w:t>
            </w:r>
          </w:p>
          <w:p w14:paraId="56B590E5">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）具体操作指南：详见政采云平台“服务中心-帮助文档-项目采购-操作流程-电子招投标-政府采购项目电子交易管理操作指南-供应商”。</w:t>
            </w:r>
          </w:p>
          <w:p w14:paraId="745FA5B6">
            <w:pPr>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）供应商在进行上述操作时，如遇技术问题可登录政采云（https://</w:t>
            </w:r>
            <w:r>
              <w:rPr>
                <w:rFonts w:hint="eastAsia" w:ascii="宋体" w:hAnsi="宋体" w:eastAsia="宋体" w:cs="宋体"/>
                <w:b w:val="0"/>
                <w:bCs/>
                <w:color w:val="auto"/>
                <w:sz w:val="21"/>
                <w:szCs w:val="21"/>
                <w:highlight w:val="none"/>
              </w:rPr>
              <w:fldChar w:fldCharType="begin"/>
            </w:r>
            <w:r>
              <w:rPr>
                <w:rFonts w:hint="eastAsia" w:ascii="宋体" w:hAnsi="宋体" w:eastAsia="宋体" w:cs="宋体"/>
                <w:b w:val="0"/>
                <w:bCs/>
                <w:color w:val="auto"/>
                <w:sz w:val="21"/>
                <w:szCs w:val="21"/>
                <w:highlight w:val="none"/>
              </w:rPr>
              <w:instrText xml:space="preserve">HYPERLINK "http://www.zcygov.cn/" \h</w:instrText>
            </w:r>
            <w:r>
              <w:rPr>
                <w:rFonts w:hint="eastAsia" w:ascii="宋体" w:hAnsi="宋体" w:eastAsia="宋体" w:cs="宋体"/>
                <w:b w:val="0"/>
                <w:bCs/>
                <w:color w:val="auto"/>
                <w:sz w:val="21"/>
                <w:szCs w:val="21"/>
                <w:highlight w:val="none"/>
              </w:rPr>
              <w:fldChar w:fldCharType="separate"/>
            </w:r>
            <w:r>
              <w:rPr>
                <w:rFonts w:hint="eastAsia" w:ascii="宋体" w:hAnsi="宋体" w:eastAsia="宋体" w:cs="宋体"/>
                <w:b w:val="0"/>
                <w:bCs/>
                <w:color w:val="auto"/>
                <w:sz w:val="21"/>
                <w:szCs w:val="21"/>
                <w:highlight w:val="none"/>
              </w:rPr>
              <w:t>www.zcygov.cn/</w:t>
            </w:r>
            <w:r>
              <w:rPr>
                <w:rFonts w:hint="eastAsia" w:ascii="宋体" w:hAnsi="宋体" w:eastAsia="宋体" w:cs="宋体"/>
                <w:b w:val="0"/>
                <w:bCs/>
                <w:color w:val="auto"/>
                <w:sz w:val="21"/>
                <w:szCs w:val="21"/>
                <w:highlight w:val="none"/>
              </w:rPr>
              <w:fldChar w:fldCharType="end"/>
            </w:r>
            <w:r>
              <w:rPr>
                <w:rFonts w:hint="eastAsia" w:ascii="宋体" w:hAnsi="宋体" w:eastAsia="宋体" w:cs="宋体"/>
                <w:b w:val="0"/>
                <w:bCs/>
                <w:color w:val="auto"/>
                <w:sz w:val="21"/>
                <w:szCs w:val="21"/>
                <w:highlight w:val="none"/>
              </w:rPr>
              <w:t xml:space="preserve">），点击右侧咨询小采，获取采小蜜智能服务管家帮助，或拨打政采云服务热线 </w:t>
            </w:r>
            <w:r>
              <w:rPr>
                <w:rFonts w:hint="eastAsia" w:ascii="宋体" w:hAnsi="宋体" w:eastAsia="宋体" w:cs="宋体"/>
                <w:b w:val="0"/>
                <w:bCs/>
                <w:color w:val="auto"/>
                <w:sz w:val="21"/>
                <w:szCs w:val="21"/>
                <w:highlight w:val="none"/>
                <w:lang w:eastAsia="zh-CN"/>
              </w:rPr>
              <w:t>95763</w:t>
            </w:r>
            <w:r>
              <w:rPr>
                <w:rFonts w:hint="eastAsia" w:ascii="宋体" w:hAnsi="宋体" w:eastAsia="宋体" w:cs="宋体"/>
                <w:b w:val="0"/>
                <w:bCs/>
                <w:color w:val="auto"/>
                <w:sz w:val="21"/>
                <w:szCs w:val="21"/>
                <w:highlight w:val="none"/>
              </w:rPr>
              <w:t xml:space="preserve"> 获取热线服务帮助。</w:t>
            </w:r>
          </w:p>
          <w:p w14:paraId="0AD11DA4">
            <w:pPr>
              <w:pStyle w:val="6"/>
              <w:keepNext w:val="0"/>
              <w:keepLines w:val="0"/>
              <w:pageBreakBefore w:val="0"/>
              <w:widowControl w:val="0"/>
              <w:shd w:val="clear" w:color="auto" w:fill="auto"/>
              <w:kinsoku/>
              <w:wordWrap/>
              <w:overflowPunct/>
              <w:topLinePunct w:val="0"/>
              <w:autoSpaceDE/>
              <w:autoSpaceDN/>
              <w:bidi w:val="0"/>
              <w:adjustRightInd/>
              <w:snapToGrid w:val="0"/>
              <w:spacing w:line="400" w:lineRule="exact"/>
              <w:ind w:firstLine="426"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温馨提醒：供应商应提前上传，以便在上传时遇到技术问题，有充足的时间请教平台的技术人员。</w:t>
            </w:r>
          </w:p>
          <w:p w14:paraId="21DA3017">
            <w:pPr>
              <w:keepNext w:val="0"/>
              <w:keepLines w:val="0"/>
              <w:pageBreakBefore w:val="0"/>
              <w:widowControl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宋体" w:hAnsi="宋体" w:eastAsia="宋体" w:cs="宋体"/>
                <w:b w:val="0"/>
                <w:bCs/>
                <w:color w:val="auto"/>
                <w:sz w:val="21"/>
                <w:szCs w:val="21"/>
                <w:highlight w:val="none"/>
                <w:lang w:eastAsia="zh-CN"/>
              </w:rPr>
              <w:t>中国</w:t>
            </w:r>
            <w:r>
              <w:rPr>
                <w:rFonts w:hint="eastAsia" w:ascii="宋体" w:hAnsi="宋体" w:eastAsia="宋体" w:cs="宋体"/>
                <w:b w:val="0"/>
                <w:bCs/>
                <w:color w:val="auto"/>
                <w:sz w:val="21"/>
                <w:szCs w:val="21"/>
                <w:highlight w:val="none"/>
              </w:rPr>
              <w:t>政府采购网下载专区下载。未按规定获取采购文件或逾期提出的不予受理、答复。</w:t>
            </w:r>
          </w:p>
        </w:tc>
      </w:tr>
      <w:tr w14:paraId="544E4F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6" w:hRule="atLeast"/>
          <w:jc w:val="center"/>
        </w:trPr>
        <w:tc>
          <w:tcPr>
            <w:tcW w:w="1012" w:type="dxa"/>
            <w:noWrap w:val="0"/>
            <w:vAlign w:val="center"/>
          </w:tcPr>
          <w:p w14:paraId="1C2FE9B6">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default" w:ascii="宋体" w:hAnsi="宋体"/>
                <w:b/>
                <w:bCs w:val="0"/>
                <w:color w:val="auto"/>
                <w:sz w:val="21"/>
                <w:szCs w:val="21"/>
                <w:highlight w:val="none"/>
                <w:lang w:val="en-US" w:eastAsia="zh-CN"/>
              </w:rPr>
            </w:pPr>
            <w:r>
              <w:rPr>
                <w:rFonts w:hint="eastAsia" w:ascii="宋体" w:hAnsi="宋体"/>
                <w:b/>
                <w:bCs w:val="0"/>
                <w:color w:val="auto"/>
                <w:sz w:val="21"/>
                <w:szCs w:val="21"/>
                <w:highlight w:val="none"/>
                <w:lang w:val="en-US" w:eastAsia="zh-CN"/>
              </w:rPr>
              <w:t>29</w:t>
            </w:r>
          </w:p>
        </w:tc>
        <w:tc>
          <w:tcPr>
            <w:tcW w:w="1536" w:type="dxa"/>
            <w:noWrap w:val="0"/>
            <w:vAlign w:val="center"/>
          </w:tcPr>
          <w:p w14:paraId="33116C4C">
            <w:pPr>
              <w:pageBreakBefore w:val="0"/>
              <w:shd w:val="clear" w:color="auto" w:fill="auto"/>
              <w:kinsoku/>
              <w:wordWrap/>
              <w:overflowPunct/>
              <w:topLinePunct w:val="0"/>
              <w:autoSpaceDE/>
              <w:autoSpaceDN/>
              <w:bidi w:val="0"/>
              <w:spacing w:line="400" w:lineRule="exact"/>
              <w:jc w:val="center"/>
              <w:rPr>
                <w:rFonts w:hint="default" w:ascii="宋体" w:hAnsi="宋体" w:eastAsia="宋体" w:cs="宋体"/>
                <w:b/>
                <w:bCs w:val="0"/>
                <w:color w:val="000000"/>
                <w:szCs w:val="21"/>
                <w:highlight w:val="none"/>
                <w:lang w:val="en-US" w:eastAsia="zh-CN"/>
              </w:rPr>
            </w:pPr>
            <w:r>
              <w:rPr>
                <w:rFonts w:hint="eastAsia" w:ascii="宋体" w:hAnsi="宋体" w:eastAsia="宋体" w:cs="宋体"/>
                <w:color w:val="auto"/>
                <w:sz w:val="21"/>
                <w:szCs w:val="21"/>
                <w:highlight w:val="none"/>
                <w:lang w:val="en-US" w:eastAsia="zh-CN"/>
              </w:rPr>
              <w:t>中小微企业政策文件说明</w:t>
            </w:r>
          </w:p>
        </w:tc>
        <w:tc>
          <w:tcPr>
            <w:tcW w:w="7288" w:type="dxa"/>
            <w:noWrap w:val="0"/>
            <w:vAlign w:val="center"/>
          </w:tcPr>
          <w:p w14:paraId="1C255128">
            <w:pPr>
              <w:keepNext w:val="0"/>
              <w:keepLines w:val="0"/>
              <w:pageBreakBefore w:val="0"/>
              <w:widowControl w:val="0"/>
              <w:numPr>
                <w:ilvl w:val="0"/>
                <w:numId w:val="4"/>
              </w:numPr>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本项目属于：其他未列明行业</w:t>
            </w:r>
            <w:r>
              <w:rPr>
                <w:rFonts w:hint="eastAsia" w:ascii="宋体" w:hAnsi="宋体" w:cs="宋体"/>
                <w:b w:val="0"/>
                <w:bCs/>
                <w:color w:val="auto"/>
                <w:sz w:val="21"/>
                <w:szCs w:val="21"/>
                <w:highlight w:val="none"/>
                <w:lang w:val="en-US" w:eastAsia="zh-CN"/>
              </w:rPr>
              <w:t>。</w:t>
            </w:r>
          </w:p>
          <w:p w14:paraId="7B14D2A3">
            <w:pPr>
              <w:keepNext w:val="0"/>
              <w:keepLines w:val="0"/>
              <w:pageBreakBefore w:val="0"/>
              <w:widowControl w:val="0"/>
              <w:numPr>
                <w:ilvl w:val="0"/>
                <w:numId w:val="4"/>
              </w:numPr>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项目为非专门面向中小企业采购；支持中小企业发展：给予小型和微型企业产品的价10%-20%的扣除（工程项目为3%~5%），用扣除后的价格参与评审，本项目具体扣除比例为10%。用扣除后的价格参与评审。残疾人福利性单位视同小型、微型企业，享受同等价格扣除，但同时属于残疾人福利性单位和小微企业的，不重复价格扣除。</w:t>
            </w:r>
          </w:p>
          <w:p w14:paraId="38833E47">
            <w:pPr>
              <w:keepNext w:val="0"/>
              <w:keepLines w:val="0"/>
              <w:pageBreakBefore w:val="0"/>
              <w:widowControl w:val="0"/>
              <w:shd w:val="clear" w:color="auto" w:fill="auto"/>
              <w:kinsoku/>
              <w:wordWrap/>
              <w:overflowPunct/>
              <w:topLinePunct w:val="0"/>
              <w:autoSpaceDE/>
              <w:autoSpaceDN/>
              <w:bidi w:val="0"/>
              <w:adjustRightInd/>
              <w:snapToGrid w:val="0"/>
              <w:spacing w:line="400" w:lineRule="exact"/>
              <w:textAlignment w:val="auto"/>
              <w:outlineLvl w:val="9"/>
              <w:rPr>
                <w:rFonts w:hint="eastAsia" w:ascii="宋体" w:hAnsi="宋体" w:eastAsia="仿宋" w:cs="宋体"/>
                <w:b w:val="0"/>
                <w:bCs/>
                <w:color w:val="000000"/>
                <w:szCs w:val="21"/>
                <w:highlight w:val="none"/>
                <w:lang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）不符合上述适用情形的投标人无需提供上述声明函件。</w:t>
            </w:r>
          </w:p>
        </w:tc>
      </w:tr>
      <w:tr w14:paraId="1F3B9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12" w:type="dxa"/>
            <w:noWrap w:val="0"/>
            <w:vAlign w:val="center"/>
          </w:tcPr>
          <w:p w14:paraId="299406AB">
            <w:pPr>
              <w:keepNext w:val="0"/>
              <w:keepLines w:val="0"/>
              <w:pageBreakBefore w:val="0"/>
              <w:shd w:val="clear" w:color="auto" w:fill="auto"/>
              <w:kinsoku/>
              <w:wordWrap/>
              <w:overflowPunct/>
              <w:topLinePunct w:val="0"/>
              <w:autoSpaceDE/>
              <w:autoSpaceDN/>
              <w:bidi w:val="0"/>
              <w:adjustRightInd/>
              <w:snapToGrid w:val="0"/>
              <w:spacing w:line="400" w:lineRule="exact"/>
              <w:textAlignment w:val="auto"/>
              <w:outlineLvl w:val="9"/>
              <w:rPr>
                <w:rFonts w:hint="eastAsia"/>
                <w:b/>
                <w:bCs w:val="0"/>
                <w:color w:val="auto"/>
                <w:sz w:val="21"/>
                <w:szCs w:val="21"/>
                <w:highlight w:val="none"/>
              </w:rPr>
            </w:pPr>
            <w:r>
              <w:rPr>
                <w:rFonts w:hint="eastAsia"/>
                <w:b/>
                <w:bCs w:val="0"/>
                <w:color w:val="auto"/>
                <w:sz w:val="21"/>
                <w:szCs w:val="21"/>
                <w:highlight w:val="none"/>
              </w:rPr>
              <w:t>备注</w:t>
            </w:r>
            <w:r>
              <w:rPr>
                <w:rFonts w:hint="eastAsia"/>
                <w:b/>
                <w:bCs w:val="0"/>
                <w:color w:val="auto"/>
                <w:sz w:val="21"/>
                <w:szCs w:val="21"/>
                <w:highlight w:val="none"/>
                <w:lang w:eastAsia="zh-CN"/>
              </w:rPr>
              <w:t>：</w:t>
            </w:r>
          </w:p>
        </w:tc>
        <w:tc>
          <w:tcPr>
            <w:tcW w:w="8824" w:type="dxa"/>
            <w:gridSpan w:val="2"/>
            <w:noWrap w:val="0"/>
            <w:vAlign w:val="center"/>
          </w:tcPr>
          <w:p w14:paraId="58F584CA">
            <w:pPr>
              <w:pageBreakBefore w:val="0"/>
              <w:numPr>
                <w:ilvl w:val="0"/>
                <w:numId w:val="0"/>
              </w:numPr>
              <w:kinsoku/>
              <w:wordWrap/>
              <w:overflowPunct/>
              <w:topLinePunct w:val="0"/>
              <w:autoSpaceDE/>
              <w:autoSpaceDN/>
              <w:bidi w:val="0"/>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1、</w:t>
            </w:r>
            <w:r>
              <w:rPr>
                <w:rFonts w:hint="eastAsia" w:ascii="Times New Roman" w:hAnsi="Times New Roman" w:eastAsia="宋体" w:cs="Times New Roman"/>
                <w:b/>
                <w:bCs w:val="0"/>
                <w:color w:val="auto"/>
                <w:kern w:val="2"/>
                <w:sz w:val="21"/>
                <w:szCs w:val="21"/>
                <w:highlight w:val="none"/>
                <w:lang w:val="en-US" w:eastAsia="zh-CN" w:bidi="ar-SA"/>
              </w:rPr>
              <w:t>着重提醒各投标人注意，并认真查看招标文件中的每一个条款及要求，因误读招标文</w:t>
            </w:r>
          </w:p>
          <w:p w14:paraId="0266B82B">
            <w:pPr>
              <w:pageBreakBefore w:val="0"/>
              <w:numPr>
                <w:ilvl w:val="0"/>
                <w:numId w:val="0"/>
              </w:numPr>
              <w:kinsoku/>
              <w:wordWrap/>
              <w:overflowPunct/>
              <w:topLinePunct w:val="0"/>
              <w:autoSpaceDE/>
              <w:autoSpaceDN/>
              <w:bidi w:val="0"/>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件而造成的后果，招标人概不负责。</w:t>
            </w:r>
          </w:p>
          <w:p w14:paraId="67AD1F2E">
            <w:pPr>
              <w:pageBreakBefore w:val="0"/>
              <w:numPr>
                <w:ilvl w:val="0"/>
                <w:numId w:val="0"/>
              </w:numPr>
              <w:kinsoku/>
              <w:wordWrap/>
              <w:overflowPunct/>
              <w:topLinePunct w:val="0"/>
              <w:autoSpaceDE/>
              <w:autoSpaceDN/>
              <w:bidi w:val="0"/>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2、</w:t>
            </w:r>
            <w:r>
              <w:rPr>
                <w:rFonts w:hint="eastAsia" w:ascii="Times New Roman" w:hAnsi="Times New Roman" w:eastAsia="宋体" w:cs="Times New Roman"/>
                <w:b/>
                <w:bCs w:val="0"/>
                <w:color w:val="auto"/>
                <w:kern w:val="2"/>
                <w:sz w:val="21"/>
                <w:szCs w:val="21"/>
                <w:highlight w:val="none"/>
                <w:lang w:val="en-US" w:eastAsia="zh-CN" w:bidi="ar-SA"/>
              </w:rPr>
              <w:t>除法律、法规和规章规定外，招标文件中用“拒绝”、“不接受”、“无效”、“不得”等文字规定，对其中任何一条的偏离，在评审时将其视为无效文件。未用上述文字规定或符</w:t>
            </w:r>
          </w:p>
          <w:p w14:paraId="58E8F5A2">
            <w:pPr>
              <w:pageBreakBefore w:val="0"/>
              <w:numPr>
                <w:ilvl w:val="0"/>
                <w:numId w:val="0"/>
              </w:numPr>
              <w:kinsoku/>
              <w:wordWrap/>
              <w:overflowPunct/>
              <w:topLinePunct w:val="0"/>
              <w:autoSpaceDE/>
              <w:autoSpaceDN/>
              <w:bidi w:val="0"/>
              <w:spacing w:line="400" w:lineRule="exact"/>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eastAsia="宋体" w:cs="Times New Roman"/>
                <w:b/>
                <w:bCs w:val="0"/>
                <w:color w:val="auto"/>
                <w:kern w:val="2"/>
                <w:sz w:val="21"/>
                <w:szCs w:val="21"/>
                <w:highlight w:val="none"/>
                <w:lang w:val="en-US" w:eastAsia="zh-CN" w:bidi="ar-SA"/>
              </w:rPr>
              <w:t>号标注的条款为非实质性要求条款(即一般条款)。</w:t>
            </w:r>
          </w:p>
          <w:p w14:paraId="681DF54F">
            <w:pPr>
              <w:pageBreakBefore w:val="0"/>
              <w:numPr>
                <w:ilvl w:val="0"/>
                <w:numId w:val="0"/>
              </w:numPr>
              <w:kinsoku/>
              <w:wordWrap/>
              <w:overflowPunct/>
              <w:topLinePunct w:val="0"/>
              <w:autoSpaceDE/>
              <w:autoSpaceDN/>
              <w:bidi w:val="0"/>
              <w:spacing w:line="400" w:lineRule="exact"/>
              <w:ind w:leftChars="0"/>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3、</w:t>
            </w:r>
            <w:r>
              <w:rPr>
                <w:rFonts w:hint="eastAsia" w:ascii="Times New Roman" w:hAnsi="Times New Roman" w:eastAsia="宋体" w:cs="Times New Roman"/>
                <w:b/>
                <w:bCs w:val="0"/>
                <w:color w:val="auto"/>
                <w:kern w:val="2"/>
                <w:sz w:val="21"/>
                <w:szCs w:val="21"/>
                <w:highlight w:val="none"/>
                <w:lang w:val="en-US" w:eastAsia="zh-CN" w:bidi="ar-SA"/>
              </w:rPr>
              <w:t>除非另有特殊说明，若本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p w14:paraId="125CD533">
            <w:pPr>
              <w:pageBreakBefore w:val="0"/>
              <w:numPr>
                <w:ilvl w:val="0"/>
                <w:numId w:val="0"/>
              </w:numPr>
              <w:kinsoku/>
              <w:wordWrap/>
              <w:overflowPunct/>
              <w:topLinePunct w:val="0"/>
              <w:autoSpaceDE/>
              <w:autoSpaceDN/>
              <w:bidi w:val="0"/>
              <w:spacing w:line="400" w:lineRule="exact"/>
              <w:ind w:leftChars="0"/>
              <w:jc w:val="left"/>
              <w:rPr>
                <w:rFonts w:hint="eastAsia" w:ascii="Times New Roman" w:hAnsi="Times New Roman" w:eastAsia="宋体" w:cs="Times New Roman"/>
                <w:b/>
                <w:bCs w:val="0"/>
                <w:color w:val="auto"/>
                <w:kern w:val="2"/>
                <w:sz w:val="21"/>
                <w:szCs w:val="21"/>
                <w:highlight w:val="none"/>
                <w:lang w:val="en-US" w:eastAsia="zh-CN" w:bidi="ar-SA"/>
              </w:rPr>
            </w:pPr>
            <w:r>
              <w:rPr>
                <w:rFonts w:hint="eastAsia" w:ascii="Times New Roman" w:hAnsi="Times New Roman" w:cs="Times New Roman"/>
                <w:b/>
                <w:bCs w:val="0"/>
                <w:color w:val="auto"/>
                <w:kern w:val="2"/>
                <w:sz w:val="21"/>
                <w:szCs w:val="21"/>
                <w:highlight w:val="none"/>
                <w:lang w:val="en-US" w:eastAsia="zh-CN" w:bidi="ar-SA"/>
              </w:rPr>
              <w:t>4</w:t>
            </w:r>
            <w:r>
              <w:rPr>
                <w:rFonts w:hint="eastAsia" w:ascii="Times New Roman" w:hAnsi="Times New Roman" w:eastAsia="宋体" w:cs="Times New Roman"/>
                <w:b/>
                <w:bCs w:val="0"/>
                <w:color w:val="auto"/>
                <w:kern w:val="2"/>
                <w:sz w:val="21"/>
                <w:szCs w:val="21"/>
                <w:highlight w:val="none"/>
                <w:lang w:val="en-US" w:eastAsia="zh-CN" w:bidi="ar-SA"/>
              </w:rPr>
              <w:t>、采购人若发现</w:t>
            </w:r>
            <w:r>
              <w:rPr>
                <w:rFonts w:hint="eastAsia" w:ascii="Times New Roman" w:hAnsi="Times New Roman" w:cs="Times New Roman"/>
                <w:b/>
                <w:bCs w:val="0"/>
                <w:color w:val="auto"/>
                <w:kern w:val="2"/>
                <w:sz w:val="21"/>
                <w:szCs w:val="21"/>
                <w:highlight w:val="none"/>
                <w:lang w:val="en-US" w:eastAsia="zh-CN" w:bidi="ar-SA"/>
              </w:rPr>
              <w:t>中标</w:t>
            </w:r>
            <w:r>
              <w:rPr>
                <w:rFonts w:hint="eastAsia" w:ascii="Times New Roman" w:hAnsi="Times New Roman" w:eastAsia="宋体" w:cs="Times New Roman"/>
                <w:b/>
                <w:bCs w:val="0"/>
                <w:color w:val="auto"/>
                <w:kern w:val="2"/>
                <w:sz w:val="21"/>
                <w:szCs w:val="21"/>
                <w:highlight w:val="none"/>
                <w:lang w:val="en-US" w:eastAsia="zh-CN" w:bidi="ar-SA"/>
              </w:rPr>
              <w:t>候选供应商在投标过程中提供虚假证明文件，故意隐瞒公司不良信誉和财务状况，以及其他可能对合同圆满履行造成风险的因素等，则按规定取消其</w:t>
            </w:r>
            <w:r>
              <w:rPr>
                <w:rFonts w:hint="eastAsia" w:ascii="Times New Roman" w:hAnsi="Times New Roman" w:cs="Times New Roman"/>
                <w:b/>
                <w:bCs w:val="0"/>
                <w:color w:val="auto"/>
                <w:kern w:val="2"/>
                <w:sz w:val="21"/>
                <w:szCs w:val="21"/>
                <w:highlight w:val="none"/>
                <w:lang w:val="en-US" w:eastAsia="zh-CN" w:bidi="ar-SA"/>
              </w:rPr>
              <w:t>中标</w:t>
            </w:r>
            <w:r>
              <w:rPr>
                <w:rFonts w:hint="eastAsia" w:ascii="Times New Roman" w:hAnsi="Times New Roman" w:eastAsia="宋体" w:cs="Times New Roman"/>
                <w:b/>
                <w:bCs w:val="0"/>
                <w:color w:val="auto"/>
                <w:kern w:val="2"/>
                <w:sz w:val="21"/>
                <w:szCs w:val="21"/>
                <w:highlight w:val="none"/>
                <w:lang w:val="en-US" w:eastAsia="zh-CN" w:bidi="ar-SA"/>
              </w:rPr>
              <w:t>资格，监管部门依法进行处理。</w:t>
            </w:r>
          </w:p>
          <w:p w14:paraId="0FFEDFF8">
            <w:pPr>
              <w:pageBreakBefore w:val="0"/>
              <w:numPr>
                <w:ilvl w:val="0"/>
                <w:numId w:val="0"/>
              </w:numPr>
              <w:kinsoku/>
              <w:wordWrap/>
              <w:overflowPunct/>
              <w:topLinePunct w:val="0"/>
              <w:autoSpaceDE/>
              <w:autoSpaceDN/>
              <w:bidi w:val="0"/>
              <w:spacing w:line="400" w:lineRule="exact"/>
              <w:ind w:leftChars="0"/>
              <w:jc w:val="left"/>
              <w:rPr>
                <w:rFonts w:hint="eastAsia"/>
                <w:highlight w:val="none"/>
              </w:rPr>
            </w:pPr>
            <w:r>
              <w:rPr>
                <w:rFonts w:hint="eastAsia" w:ascii="Times New Roman" w:hAnsi="Times New Roman" w:cs="Times New Roman"/>
                <w:b/>
                <w:bCs w:val="0"/>
                <w:color w:val="auto"/>
                <w:kern w:val="2"/>
                <w:sz w:val="21"/>
                <w:szCs w:val="21"/>
                <w:highlight w:val="none"/>
                <w:lang w:val="en-US" w:eastAsia="zh-CN" w:bidi="ar-SA"/>
              </w:rPr>
              <w:t>5</w:t>
            </w:r>
            <w:r>
              <w:rPr>
                <w:rFonts w:hint="eastAsia" w:ascii="Times New Roman" w:hAnsi="Times New Roman" w:eastAsia="宋体" w:cs="Times New Roman"/>
                <w:b/>
                <w:bCs w:val="0"/>
                <w:color w:val="auto"/>
                <w:kern w:val="2"/>
                <w:sz w:val="21"/>
                <w:szCs w:val="21"/>
                <w:highlight w:val="none"/>
                <w:lang w:val="en-US" w:eastAsia="zh-CN" w:bidi="ar-SA"/>
              </w:rPr>
              <w:t>、投标人使用相同IP地址的，一经发现，相关部门将进一步核实，查实后按串通投标处理。</w:t>
            </w:r>
          </w:p>
        </w:tc>
      </w:tr>
      <w:bookmarkEnd w:id="2"/>
    </w:tbl>
    <w:p w14:paraId="337E999F">
      <w:pPr>
        <w:pageBreakBefore/>
        <w:shd w:val="clear" w:color="auto" w:fill="auto"/>
        <w:spacing w:before="312" w:beforeLines="100" w:after="312" w:afterLines="100" w:line="440" w:lineRule="exact"/>
        <w:ind w:firstLine="283" w:firstLineChars="100"/>
        <w:jc w:val="center"/>
        <w:outlineLvl w:val="1"/>
        <w:rPr>
          <w:rFonts w:hint="eastAsia" w:ascii="宋体"/>
          <w:b/>
          <w:color w:val="auto"/>
          <w:sz w:val="28"/>
          <w:szCs w:val="32"/>
          <w:highlight w:val="none"/>
        </w:rPr>
      </w:pPr>
      <w:r>
        <w:rPr>
          <w:rFonts w:hint="eastAsia" w:ascii="宋体"/>
          <w:b/>
          <w:color w:val="auto"/>
          <w:sz w:val="28"/>
          <w:szCs w:val="28"/>
          <w:highlight w:val="none"/>
        </w:rPr>
        <w:t>二、投标人须知</w:t>
      </w:r>
    </w:p>
    <w:p w14:paraId="4D3D0EC5">
      <w:pPr>
        <w:shd w:val="clear" w:color="auto" w:fill="auto"/>
        <w:spacing w:line="440" w:lineRule="exact"/>
        <w:jc w:val="center"/>
        <w:outlineLvl w:val="2"/>
        <w:rPr>
          <w:rFonts w:hint="eastAsia" w:ascii="宋体"/>
          <w:color w:val="auto"/>
          <w:sz w:val="28"/>
          <w:szCs w:val="28"/>
          <w:highlight w:val="none"/>
        </w:rPr>
      </w:pPr>
      <w:bookmarkStart w:id="4" w:name="_Toc469495724"/>
      <w:r>
        <w:rPr>
          <w:rFonts w:hint="eastAsia" w:ascii="宋体"/>
          <w:b/>
          <w:color w:val="auto"/>
          <w:sz w:val="28"/>
          <w:szCs w:val="28"/>
          <w:highlight w:val="none"/>
        </w:rPr>
        <w:t>（一）</w:t>
      </w:r>
      <w:r>
        <w:rPr>
          <w:rFonts w:hint="eastAsia" w:ascii="宋体"/>
          <w:b/>
          <w:color w:val="auto"/>
          <w:sz w:val="28"/>
          <w:szCs w:val="32"/>
          <w:highlight w:val="none"/>
        </w:rPr>
        <w:t>总  则</w:t>
      </w:r>
      <w:bookmarkEnd w:id="4"/>
    </w:p>
    <w:p w14:paraId="58F016B9">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1.项目概况</w:t>
      </w:r>
    </w:p>
    <w:p w14:paraId="2EFD617D">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1.1本次招标采购项目名称：见投标人须知前附表。</w:t>
      </w:r>
    </w:p>
    <w:p w14:paraId="2446C710">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项目编号：见投标人须知前附表。</w:t>
      </w:r>
    </w:p>
    <w:p w14:paraId="3C6A5906">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招标人：见投标人须知前附表。</w:t>
      </w:r>
    </w:p>
    <w:p w14:paraId="0F7DF3EB">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供货期（服务周期）：见投标人须知前附表。</w:t>
      </w:r>
    </w:p>
    <w:p w14:paraId="51DB4A07">
      <w:pPr>
        <w:shd w:val="clear" w:color="auto" w:fill="auto"/>
        <w:snapToGrid w:val="0"/>
        <w:spacing w:line="440" w:lineRule="exact"/>
        <w:ind w:firstLine="852" w:firstLineChars="400"/>
        <w:rPr>
          <w:rFonts w:hint="eastAsia" w:ascii="宋体"/>
          <w:color w:val="auto"/>
          <w:szCs w:val="21"/>
          <w:highlight w:val="none"/>
          <w:u w:val="single"/>
        </w:rPr>
      </w:pPr>
      <w:r>
        <w:rPr>
          <w:rFonts w:hint="eastAsia" w:ascii="宋体"/>
          <w:color w:val="auto"/>
          <w:szCs w:val="21"/>
          <w:highlight w:val="none"/>
        </w:rPr>
        <w:t>供货地点：见投标人须知前附表。</w:t>
      </w:r>
    </w:p>
    <w:p w14:paraId="7DE46EF0">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1.2招标人及联系人:见投标人须知前附表。</w:t>
      </w:r>
    </w:p>
    <w:p w14:paraId="596F9A36">
      <w:pPr>
        <w:shd w:val="clear" w:color="auto" w:fill="auto"/>
        <w:snapToGrid w:val="0"/>
        <w:spacing w:line="440" w:lineRule="exact"/>
        <w:ind w:firstLine="745" w:firstLineChars="350"/>
        <w:rPr>
          <w:rFonts w:hint="eastAsia" w:ascii="宋体"/>
          <w:color w:val="auto"/>
          <w:szCs w:val="21"/>
          <w:highlight w:val="none"/>
          <w:u w:val="single"/>
        </w:rPr>
      </w:pPr>
      <w:r>
        <w:rPr>
          <w:rFonts w:hint="eastAsia" w:ascii="宋体"/>
          <w:color w:val="auto"/>
          <w:szCs w:val="21"/>
          <w:highlight w:val="none"/>
        </w:rPr>
        <w:t xml:space="preserve"> 代理机构及联系人:见投标人须知前附表。</w:t>
      </w:r>
    </w:p>
    <w:p w14:paraId="24B733CE">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1.3资金来源：见投标人须知前附表。</w:t>
      </w:r>
    </w:p>
    <w:p w14:paraId="2DBA41A1">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1.4本项目预算：见投标人须知前附表。</w:t>
      </w:r>
    </w:p>
    <w:p w14:paraId="3B4081E2">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1.5本项目控制价：见投标人须知前附表。</w:t>
      </w:r>
    </w:p>
    <w:p w14:paraId="01F7A40A">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2.招标范围：</w:t>
      </w:r>
    </w:p>
    <w:p w14:paraId="7B13DB83">
      <w:pPr>
        <w:shd w:val="clear" w:color="auto" w:fill="auto"/>
        <w:snapToGrid w:val="0"/>
        <w:spacing w:line="440" w:lineRule="exact"/>
        <w:ind w:firstLine="426" w:firstLineChars="200"/>
        <w:rPr>
          <w:rFonts w:hint="eastAsia" w:ascii="宋体"/>
          <w:color w:val="auto"/>
          <w:szCs w:val="21"/>
          <w:highlight w:val="none"/>
          <w:u w:val="single"/>
        </w:rPr>
      </w:pPr>
      <w:r>
        <w:rPr>
          <w:rFonts w:hint="eastAsia" w:ascii="宋体"/>
          <w:color w:val="auto"/>
          <w:szCs w:val="21"/>
          <w:highlight w:val="none"/>
        </w:rPr>
        <w:t>2.1 采购内容：见投标人须知前附表。</w:t>
      </w:r>
    </w:p>
    <w:p w14:paraId="66E22BCC">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2.2 技术要求：详见</w:t>
      </w:r>
      <w:r>
        <w:rPr>
          <w:rFonts w:hint="eastAsia" w:ascii="宋体"/>
          <w:color w:val="auto"/>
          <w:szCs w:val="21"/>
          <w:highlight w:val="none"/>
          <w:lang w:eastAsia="zh-CN"/>
        </w:rPr>
        <w:t>采购文件</w:t>
      </w:r>
      <w:r>
        <w:rPr>
          <w:rFonts w:hint="eastAsia" w:ascii="宋体"/>
          <w:color w:val="auto"/>
          <w:szCs w:val="21"/>
          <w:highlight w:val="none"/>
        </w:rPr>
        <w:t>第四章采购内容及技术要求。</w:t>
      </w:r>
    </w:p>
    <w:p w14:paraId="49E03BDB">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3.标包划分：</w:t>
      </w:r>
    </w:p>
    <w:p w14:paraId="5927259D">
      <w:pPr>
        <w:shd w:val="clear" w:color="auto" w:fill="auto"/>
        <w:snapToGrid w:val="0"/>
        <w:spacing w:line="440" w:lineRule="exact"/>
        <w:ind w:firstLine="426" w:firstLineChars="200"/>
        <w:jc w:val="left"/>
        <w:rPr>
          <w:rFonts w:hint="eastAsia" w:ascii="宋体"/>
          <w:color w:val="auto"/>
          <w:szCs w:val="21"/>
          <w:highlight w:val="none"/>
        </w:rPr>
      </w:pPr>
      <w:r>
        <w:rPr>
          <w:rFonts w:hint="eastAsia" w:ascii="宋体"/>
          <w:color w:val="auto"/>
          <w:szCs w:val="21"/>
          <w:highlight w:val="none"/>
        </w:rPr>
        <w:t>3.1本项目划分：</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1</w:t>
      </w:r>
      <w:r>
        <w:rPr>
          <w:rFonts w:hint="eastAsia" w:ascii="宋体"/>
          <w:color w:val="auto"/>
          <w:szCs w:val="21"/>
          <w:highlight w:val="none"/>
          <w:u w:val="single"/>
        </w:rPr>
        <w:t xml:space="preserve"> </w:t>
      </w:r>
      <w:r>
        <w:rPr>
          <w:rFonts w:hint="eastAsia" w:ascii="宋体"/>
          <w:color w:val="auto"/>
          <w:szCs w:val="21"/>
          <w:highlight w:val="none"/>
        </w:rPr>
        <w:t xml:space="preserve"> </w:t>
      </w:r>
      <w:r>
        <w:rPr>
          <w:rFonts w:hint="eastAsia"/>
          <w:color w:val="auto"/>
          <w:szCs w:val="21"/>
          <w:highlight w:val="none"/>
        </w:rPr>
        <w:t>个标包</w:t>
      </w:r>
      <w:r>
        <w:rPr>
          <w:rFonts w:hint="eastAsia" w:ascii="宋体" w:hAnsi="宋体" w:cs="宋体"/>
          <w:color w:val="auto"/>
          <w:kern w:val="0"/>
          <w:szCs w:val="21"/>
          <w:highlight w:val="none"/>
        </w:rPr>
        <w:t>。</w:t>
      </w:r>
    </w:p>
    <w:p w14:paraId="40C7AFE2">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4.招标方式：</w:t>
      </w:r>
    </w:p>
    <w:p w14:paraId="31196E6B">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4.1本项目招标方式：见投标人须知前附表。</w:t>
      </w:r>
    </w:p>
    <w:p w14:paraId="7E4048E1">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5.计价方式：</w:t>
      </w:r>
    </w:p>
    <w:p w14:paraId="20FEB2CE">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5.1本次招标项目合同采用</w:t>
      </w:r>
      <w:r>
        <w:rPr>
          <w:rFonts w:hint="eastAsia" w:ascii="宋体"/>
          <w:color w:val="auto"/>
          <w:szCs w:val="21"/>
          <w:highlight w:val="none"/>
          <w:u w:val="single"/>
        </w:rPr>
        <w:t xml:space="preserve">   </w:t>
      </w:r>
      <w:r>
        <w:rPr>
          <w:rFonts w:hint="eastAsia" w:ascii="宋体"/>
          <w:color w:val="auto"/>
          <w:szCs w:val="21"/>
          <w:highlight w:val="none"/>
          <w:u w:val="single"/>
          <w:lang w:eastAsia="zh-CN"/>
        </w:rPr>
        <w:t>总价</w:t>
      </w:r>
      <w:r>
        <w:rPr>
          <w:rFonts w:hint="eastAsia" w:ascii="宋体"/>
          <w:color w:val="auto"/>
          <w:szCs w:val="21"/>
          <w:highlight w:val="none"/>
          <w:u w:val="single"/>
        </w:rPr>
        <w:t xml:space="preserve"> 。</w:t>
      </w:r>
    </w:p>
    <w:p w14:paraId="2A4B349F">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6.评标办法：</w:t>
      </w:r>
    </w:p>
    <w:p w14:paraId="3714AFE4">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6.1本次招标评标采用</w:t>
      </w:r>
      <w:r>
        <w:rPr>
          <w:rFonts w:hint="eastAsia" w:ascii="宋体"/>
          <w:color w:val="auto"/>
          <w:szCs w:val="21"/>
          <w:highlight w:val="none"/>
          <w:u w:val="single"/>
        </w:rPr>
        <w:t xml:space="preserve">  </w:t>
      </w:r>
      <w:r>
        <w:rPr>
          <w:rFonts w:hint="eastAsia" w:ascii="宋体"/>
          <w:b/>
          <w:bCs/>
          <w:color w:val="auto"/>
          <w:szCs w:val="21"/>
          <w:highlight w:val="none"/>
          <w:u w:val="single"/>
        </w:rPr>
        <w:t>符合</w:t>
      </w:r>
      <w:r>
        <w:rPr>
          <w:rFonts w:hint="eastAsia" w:ascii="宋体"/>
          <w:b/>
          <w:bCs/>
          <w:color w:val="auto"/>
          <w:szCs w:val="21"/>
          <w:highlight w:val="none"/>
          <w:u w:val="single"/>
          <w:lang w:val="en-US" w:eastAsia="zh-CN"/>
        </w:rPr>
        <w:t>招标</w:t>
      </w:r>
      <w:r>
        <w:rPr>
          <w:rFonts w:hint="eastAsia" w:ascii="宋体"/>
          <w:b/>
          <w:bCs/>
          <w:color w:val="auto"/>
          <w:szCs w:val="21"/>
          <w:highlight w:val="none"/>
          <w:u w:val="single"/>
          <w:lang w:eastAsia="zh-CN"/>
        </w:rPr>
        <w:t>文件</w:t>
      </w:r>
      <w:r>
        <w:rPr>
          <w:rFonts w:hint="eastAsia" w:ascii="宋体"/>
          <w:b/>
          <w:bCs/>
          <w:color w:val="auto"/>
          <w:szCs w:val="21"/>
          <w:highlight w:val="none"/>
          <w:u w:val="single"/>
        </w:rPr>
        <w:t>的综合评分法</w:t>
      </w:r>
      <w:r>
        <w:rPr>
          <w:rFonts w:hint="eastAsia" w:ascii="宋体"/>
          <w:color w:val="auto"/>
          <w:szCs w:val="21"/>
          <w:highlight w:val="none"/>
          <w:u w:val="single"/>
        </w:rPr>
        <w:t xml:space="preserve"> </w:t>
      </w:r>
      <w:r>
        <w:rPr>
          <w:rFonts w:hint="eastAsia" w:ascii="宋体"/>
          <w:color w:val="auto"/>
          <w:szCs w:val="21"/>
          <w:highlight w:val="none"/>
        </w:rPr>
        <w:t>（详见第三章评标办法）</w:t>
      </w:r>
    </w:p>
    <w:p w14:paraId="7AD5F099">
      <w:pPr>
        <w:shd w:val="clear" w:color="auto" w:fill="auto"/>
        <w:snapToGrid w:val="0"/>
        <w:spacing w:line="440" w:lineRule="exact"/>
        <w:rPr>
          <w:rFonts w:hint="eastAsia" w:ascii="宋体"/>
          <w:b/>
          <w:color w:val="auto"/>
          <w:szCs w:val="21"/>
          <w:highlight w:val="none"/>
        </w:rPr>
      </w:pPr>
      <w:r>
        <w:rPr>
          <w:rFonts w:hint="eastAsia" w:ascii="宋体"/>
          <w:b/>
          <w:color w:val="auto"/>
          <w:szCs w:val="21"/>
          <w:highlight w:val="none"/>
        </w:rPr>
        <w:t>7.投标人资格：</w:t>
      </w:r>
    </w:p>
    <w:p w14:paraId="6233734B">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7.1参与采购活动的投标人必须是满足《中华人民共和国政府采购法》规定条件的法人、其他组织或者自然人：</w:t>
      </w:r>
    </w:p>
    <w:p w14:paraId="114A0984">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7.2由于政府采购项目的差异性，投标人在参与具体政府采购项目活动时，应仔细阅读该项目的资质要求,具体见投标人须知前附表。</w:t>
      </w:r>
    </w:p>
    <w:p w14:paraId="42E6381E">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7.3根据电子化政府采购的特点，各供应商在开标前应确保成为新疆维吾尔自治区政府采购网正式注册入库供应商</w:t>
      </w:r>
      <w:r>
        <w:rPr>
          <w:rFonts w:hint="eastAsia" w:ascii="宋体" w:hAnsi="宋体" w:eastAsia="宋体" w:cs="宋体"/>
          <w:sz w:val="21"/>
          <w:szCs w:val="21"/>
          <w:highlight w:val="none"/>
        </w:rPr>
        <w:t>（已在政采云平台其他省份入驻的供应商无须重复注册）</w:t>
      </w:r>
      <w:r>
        <w:rPr>
          <w:rFonts w:hint="eastAsia" w:ascii="宋体"/>
          <w:color w:val="auto"/>
          <w:szCs w:val="21"/>
          <w:highlight w:val="none"/>
        </w:rPr>
        <w:t>，并完成CA数字证书申领。因未注册入库、未办理CA数字证书等原因造成无法投标或投标失败等后果由供应商自行承担。</w:t>
      </w:r>
    </w:p>
    <w:p w14:paraId="05851236">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7.4投标人必须确保自己在信息库中注册的信息真实、准确，并保证投标文件中的有关信息与库中的信息相一致。否则，投标人因此蒙受损失，招标人概不负责。</w:t>
      </w:r>
    </w:p>
    <w:p w14:paraId="59AA7DCE">
      <w:pPr>
        <w:shd w:val="clear" w:color="auto" w:fill="auto"/>
        <w:spacing w:line="440" w:lineRule="exact"/>
        <w:rPr>
          <w:rFonts w:hint="eastAsia"/>
          <w:b/>
          <w:color w:val="auto"/>
          <w:szCs w:val="21"/>
          <w:highlight w:val="none"/>
        </w:rPr>
      </w:pPr>
      <w:r>
        <w:rPr>
          <w:rFonts w:hint="eastAsia"/>
          <w:b/>
          <w:color w:val="auto"/>
          <w:szCs w:val="21"/>
          <w:highlight w:val="none"/>
        </w:rPr>
        <w:t>8. 投标费用</w:t>
      </w:r>
    </w:p>
    <w:p w14:paraId="6BE01AE9">
      <w:pPr>
        <w:shd w:val="clear" w:color="auto" w:fill="auto"/>
        <w:snapToGrid w:val="0"/>
        <w:spacing w:line="440" w:lineRule="exact"/>
        <w:ind w:firstLine="426" w:firstLineChars="200"/>
        <w:rPr>
          <w:rFonts w:hint="eastAsia" w:ascii="宋体"/>
          <w:color w:val="auto"/>
          <w:szCs w:val="21"/>
          <w:highlight w:val="none"/>
        </w:rPr>
      </w:pPr>
      <w:r>
        <w:rPr>
          <w:rFonts w:hint="eastAsia" w:ascii="宋体"/>
          <w:color w:val="auto"/>
          <w:szCs w:val="21"/>
          <w:highlight w:val="none"/>
        </w:rPr>
        <w:t>8.1投标人准备和参加投标活动发生的费用自理。</w:t>
      </w:r>
    </w:p>
    <w:p w14:paraId="57F03B7A">
      <w:pPr>
        <w:shd w:val="clear" w:color="auto" w:fill="auto"/>
        <w:spacing w:line="440" w:lineRule="exact"/>
        <w:rPr>
          <w:rFonts w:hint="eastAsia"/>
          <w:b/>
          <w:color w:val="auto"/>
          <w:szCs w:val="21"/>
          <w:highlight w:val="none"/>
        </w:rPr>
      </w:pPr>
      <w:r>
        <w:rPr>
          <w:rFonts w:hint="eastAsia"/>
          <w:b/>
          <w:color w:val="auto"/>
          <w:szCs w:val="21"/>
          <w:highlight w:val="none"/>
        </w:rPr>
        <w:t>9.</w:t>
      </w:r>
      <w:bookmarkStart w:id="5" w:name="_Toc152042315"/>
      <w:bookmarkStart w:id="6" w:name="_Toc247527563"/>
      <w:bookmarkStart w:id="7" w:name="_Toc152045539"/>
      <w:bookmarkStart w:id="8" w:name="_Toc247592876"/>
      <w:bookmarkStart w:id="9" w:name="_Toc247513962"/>
      <w:bookmarkStart w:id="10" w:name="_Toc144974507"/>
      <w:bookmarkStart w:id="11" w:name="_Toc296602429"/>
      <w:r>
        <w:rPr>
          <w:rFonts w:hint="eastAsia"/>
          <w:b/>
          <w:color w:val="auto"/>
          <w:szCs w:val="21"/>
          <w:highlight w:val="none"/>
        </w:rPr>
        <w:t xml:space="preserve"> 踏勘现场</w:t>
      </w:r>
      <w:bookmarkEnd w:id="5"/>
      <w:bookmarkEnd w:id="6"/>
      <w:bookmarkEnd w:id="7"/>
      <w:bookmarkEnd w:id="8"/>
      <w:bookmarkEnd w:id="9"/>
      <w:bookmarkEnd w:id="10"/>
      <w:bookmarkEnd w:id="11"/>
    </w:p>
    <w:p w14:paraId="421159D3">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9.1 投标人须知前附表规定组织踏勘现场的，招标人按投标人须知前附表规定的时间、地点组织投标人踏勘项目现场。</w:t>
      </w:r>
      <w:r>
        <w:rPr>
          <w:rFonts w:hint="eastAsia" w:ascii="宋体"/>
          <w:color w:val="auto"/>
          <w:szCs w:val="21"/>
          <w:highlight w:val="none"/>
          <w:lang w:eastAsia="zh-CN"/>
        </w:rPr>
        <w:t>如需踏勘现场，</w:t>
      </w:r>
      <w:r>
        <w:rPr>
          <w:rFonts w:hint="eastAsia"/>
          <w:color w:val="auto"/>
          <w:highlight w:val="none"/>
          <w:lang w:eastAsia="zh-CN"/>
        </w:rPr>
        <w:t>投标人自行踏勘现场的，可咨询本项目采购人或采购代理机构联系人。</w:t>
      </w:r>
      <w:r>
        <w:rPr>
          <w:rFonts w:hint="eastAsia"/>
          <w:b/>
          <w:bCs/>
          <w:color w:val="auto"/>
          <w:highlight w:val="none"/>
          <w:lang w:eastAsia="zh-CN"/>
        </w:rPr>
        <w:t>投标人自行踏勘现场的，可咨询本项目采购人或采购代理机构联系人</w:t>
      </w:r>
      <w:r>
        <w:rPr>
          <w:rFonts w:hint="eastAsia"/>
          <w:b w:val="0"/>
          <w:bCs w:val="0"/>
          <w:color w:val="auto"/>
          <w:highlight w:val="none"/>
          <w:lang w:eastAsia="zh-CN"/>
        </w:rPr>
        <w:t>。</w:t>
      </w:r>
      <w:r>
        <w:rPr>
          <w:rFonts w:hint="eastAsia" w:ascii="宋体"/>
          <w:b w:val="0"/>
          <w:bCs w:val="0"/>
          <w:color w:val="auto"/>
          <w:szCs w:val="21"/>
          <w:highlight w:val="none"/>
        </w:rPr>
        <w:t xml:space="preserve"> </w:t>
      </w:r>
    </w:p>
    <w:p w14:paraId="3EFBCF25">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9.2 投标人踏勘现场发生的费用自理。</w:t>
      </w:r>
    </w:p>
    <w:p w14:paraId="0FE402F0">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9.3 除招标人的原因外，投标人自行负责在踏勘现场中所发生的人员伤亡和财产损失。</w:t>
      </w:r>
    </w:p>
    <w:p w14:paraId="2DA84244">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9.4 招标人在踏勘现场中介绍的场地和相关的周边环境情况，供投标人在编制投标文件时参考，招标人不对投标人据此作出的判断和决策负责。</w:t>
      </w:r>
      <w:bookmarkStart w:id="12" w:name="_Toc296602430"/>
      <w:bookmarkStart w:id="13" w:name="_Toc152045540"/>
      <w:bookmarkStart w:id="14" w:name="_Toc152042316"/>
      <w:bookmarkStart w:id="15" w:name="_Toc247513963"/>
      <w:bookmarkStart w:id="16" w:name="_Toc247592877"/>
      <w:bookmarkStart w:id="17" w:name="_Toc144974508"/>
      <w:bookmarkStart w:id="18" w:name="_Toc247527564"/>
    </w:p>
    <w:p w14:paraId="66DCDFB5">
      <w:pPr>
        <w:shd w:val="clear" w:color="auto" w:fill="auto"/>
        <w:spacing w:line="440" w:lineRule="exact"/>
        <w:rPr>
          <w:rFonts w:hint="eastAsia"/>
          <w:b/>
          <w:color w:val="auto"/>
          <w:szCs w:val="21"/>
          <w:highlight w:val="none"/>
        </w:rPr>
      </w:pPr>
      <w:r>
        <w:rPr>
          <w:rFonts w:hint="eastAsia"/>
          <w:b/>
          <w:color w:val="auto"/>
          <w:szCs w:val="21"/>
          <w:highlight w:val="none"/>
        </w:rPr>
        <w:t>10. 投标预备会</w:t>
      </w:r>
      <w:bookmarkEnd w:id="12"/>
      <w:bookmarkEnd w:id="13"/>
      <w:bookmarkEnd w:id="14"/>
      <w:bookmarkEnd w:id="15"/>
      <w:bookmarkEnd w:id="16"/>
      <w:bookmarkEnd w:id="17"/>
      <w:bookmarkEnd w:id="18"/>
    </w:p>
    <w:p w14:paraId="1780095C">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453FEFD6">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10.2投标人应在投标人须知前附表规定的时间前，将提出的问题送达招标人，以便招标人澄清。</w:t>
      </w:r>
    </w:p>
    <w:p w14:paraId="0D32F44F">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10.3招标人在投标人须知前附表规定的时间，将对投标人所提的问题进行澄清。该澄清内容为</w:t>
      </w:r>
      <w:r>
        <w:rPr>
          <w:rFonts w:hint="eastAsia" w:ascii="宋体"/>
          <w:color w:val="auto"/>
          <w:szCs w:val="21"/>
          <w:highlight w:val="none"/>
          <w:lang w:eastAsia="zh-CN"/>
        </w:rPr>
        <w:t>采购文件</w:t>
      </w:r>
      <w:r>
        <w:rPr>
          <w:rFonts w:hint="eastAsia" w:ascii="宋体"/>
          <w:color w:val="auto"/>
          <w:szCs w:val="21"/>
          <w:highlight w:val="none"/>
        </w:rPr>
        <w:t>的组成部分。</w:t>
      </w:r>
    </w:p>
    <w:p w14:paraId="3743207B">
      <w:pPr>
        <w:shd w:val="clear" w:color="auto" w:fill="auto"/>
        <w:spacing w:line="440" w:lineRule="exact"/>
        <w:rPr>
          <w:rFonts w:hint="eastAsia"/>
          <w:b/>
          <w:color w:val="auto"/>
          <w:szCs w:val="21"/>
          <w:highlight w:val="none"/>
        </w:rPr>
      </w:pPr>
      <w:r>
        <w:rPr>
          <w:rFonts w:hint="eastAsia"/>
          <w:b/>
          <w:color w:val="auto"/>
          <w:szCs w:val="21"/>
          <w:highlight w:val="none"/>
        </w:rPr>
        <w:t>11. 联合投标</w:t>
      </w:r>
    </w:p>
    <w:p w14:paraId="3E42BC87">
      <w:pPr>
        <w:shd w:val="clear" w:color="auto" w:fill="auto"/>
        <w:spacing w:line="440" w:lineRule="exact"/>
        <w:ind w:firstLine="414" w:firstLineChars="195"/>
        <w:rPr>
          <w:rFonts w:hint="eastAsia" w:ascii="宋体"/>
          <w:color w:val="auto"/>
          <w:szCs w:val="21"/>
          <w:highlight w:val="none"/>
        </w:rPr>
      </w:pPr>
      <w:r>
        <w:rPr>
          <w:rFonts w:hint="eastAsia" w:ascii="宋体"/>
          <w:color w:val="auto"/>
          <w:szCs w:val="21"/>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17F7A89F">
      <w:pPr>
        <w:shd w:val="clear" w:color="auto" w:fill="auto"/>
        <w:spacing w:line="400" w:lineRule="exact"/>
        <w:ind w:firstLine="414" w:firstLineChars="195"/>
        <w:rPr>
          <w:rFonts w:hint="eastAsia" w:ascii="宋体"/>
          <w:color w:val="auto"/>
          <w:szCs w:val="21"/>
          <w:highlight w:val="none"/>
        </w:rPr>
      </w:pPr>
      <w:r>
        <w:rPr>
          <w:rFonts w:hint="eastAsia" w:ascii="宋体"/>
          <w:color w:val="auto"/>
          <w:szCs w:val="21"/>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2575CA18">
      <w:pPr>
        <w:shd w:val="clear" w:color="auto" w:fill="auto"/>
        <w:spacing w:line="400" w:lineRule="exact"/>
        <w:ind w:firstLine="416" w:firstLineChars="196"/>
        <w:rPr>
          <w:rFonts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3 联合体应当确定其中一个单位为投标的全权代表，负责参加投标的一切事务，并承担投标及履约中应承担的全部责任与义务。</w:t>
      </w:r>
    </w:p>
    <w:p w14:paraId="391973D6">
      <w:pPr>
        <w:pStyle w:val="12"/>
        <w:shd w:val="clear" w:color="auto" w:fill="auto"/>
        <w:spacing w:after="0" w:line="400" w:lineRule="exact"/>
        <w:ind w:left="0" w:leftChars="0" w:firstLine="430" w:firstLineChars="202"/>
        <w:rPr>
          <w:rFonts w:hint="eastAsia" w:ascii="宋体"/>
          <w:color w:val="auto"/>
          <w:szCs w:val="21"/>
          <w:highlight w:val="none"/>
        </w:rPr>
      </w:pPr>
      <w:r>
        <w:rPr>
          <w:rFonts w:hint="eastAsia" w:ascii="宋体"/>
          <w:color w:val="auto"/>
          <w:szCs w:val="21"/>
          <w:highlight w:val="none"/>
        </w:rPr>
        <w:t>11</w:t>
      </w:r>
      <w:r>
        <w:rPr>
          <w:rFonts w:ascii="宋体"/>
          <w:color w:val="auto"/>
          <w:szCs w:val="21"/>
          <w:highlight w:val="none"/>
        </w:rPr>
        <w:t>.</w:t>
      </w:r>
      <w:r>
        <w:rPr>
          <w:rFonts w:hint="eastAsia" w:ascii="宋体"/>
          <w:color w:val="auto"/>
          <w:szCs w:val="21"/>
          <w:highlight w:val="none"/>
        </w:rPr>
        <w:t>4 联合体各方应当共同与招标人签订采购合同，就采购合同约定的事项对招标人承担连带责任。</w:t>
      </w:r>
    </w:p>
    <w:p w14:paraId="14FA6F6B">
      <w:pPr>
        <w:shd w:val="clear" w:color="auto" w:fill="auto"/>
        <w:spacing w:line="440" w:lineRule="exact"/>
        <w:jc w:val="left"/>
        <w:rPr>
          <w:rFonts w:hint="eastAsia" w:ascii="宋体"/>
          <w:b/>
          <w:color w:val="auto"/>
          <w:szCs w:val="21"/>
          <w:highlight w:val="none"/>
        </w:rPr>
      </w:pPr>
      <w:r>
        <w:rPr>
          <w:rFonts w:hint="eastAsia" w:ascii="宋体"/>
          <w:b/>
          <w:color w:val="auto"/>
          <w:szCs w:val="21"/>
          <w:highlight w:val="none"/>
        </w:rPr>
        <w:t>12.招标代理费</w:t>
      </w:r>
    </w:p>
    <w:p w14:paraId="7FFD6AD4">
      <w:pPr>
        <w:pStyle w:val="7"/>
        <w:ind w:firstLine="426" w:firstLineChars="200"/>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采购人与代理机构协商收取。</w:t>
      </w:r>
    </w:p>
    <w:p w14:paraId="348CF23A">
      <w:pPr>
        <w:shd w:val="clear" w:color="auto" w:fill="auto"/>
        <w:spacing w:line="440" w:lineRule="exact"/>
        <w:rPr>
          <w:rFonts w:hint="eastAsia"/>
          <w:b/>
          <w:color w:val="auto"/>
          <w:szCs w:val="21"/>
          <w:highlight w:val="none"/>
        </w:rPr>
      </w:pPr>
      <w:r>
        <w:rPr>
          <w:rFonts w:hint="eastAsia"/>
          <w:b/>
          <w:color w:val="auto"/>
          <w:szCs w:val="21"/>
          <w:highlight w:val="none"/>
        </w:rPr>
        <w:t>13.投标人应注意的事项</w:t>
      </w:r>
    </w:p>
    <w:p w14:paraId="04BFFF34">
      <w:pPr>
        <w:shd w:val="clear" w:color="auto" w:fill="auto"/>
        <w:spacing w:line="440" w:lineRule="exact"/>
        <w:ind w:firstLine="426" w:firstLineChars="200"/>
        <w:rPr>
          <w:rFonts w:hint="eastAsia" w:ascii="宋体"/>
          <w:bCs/>
          <w:color w:val="auto"/>
          <w:szCs w:val="21"/>
          <w:highlight w:val="none"/>
        </w:rPr>
      </w:pPr>
      <w:r>
        <w:rPr>
          <w:rFonts w:hint="eastAsia" w:ascii="宋体" w:hAnsi="宋体"/>
          <w:color w:val="auto"/>
          <w:szCs w:val="21"/>
          <w:highlight w:val="none"/>
        </w:rPr>
        <w:t>13.1投标人一旦按规定缴纳了投标保证金并参加投标，即被认为接受了本</w:t>
      </w:r>
      <w:r>
        <w:rPr>
          <w:rFonts w:hint="eastAsia" w:ascii="宋体" w:hAnsi="宋体"/>
          <w:color w:val="auto"/>
          <w:szCs w:val="21"/>
          <w:highlight w:val="none"/>
          <w:lang w:eastAsia="zh-CN"/>
        </w:rPr>
        <w:t>采购</w:t>
      </w:r>
      <w:r>
        <w:rPr>
          <w:rFonts w:hint="eastAsia" w:ascii="宋体" w:hAnsi="宋体"/>
          <w:color w:val="auto"/>
          <w:szCs w:val="21"/>
          <w:highlight w:val="none"/>
        </w:rPr>
        <w:t>文件中的所有条件和规定。投标人必须严格按</w:t>
      </w:r>
      <w:r>
        <w:rPr>
          <w:rFonts w:hint="eastAsia" w:ascii="宋体" w:hAnsi="宋体"/>
          <w:color w:val="auto"/>
          <w:szCs w:val="21"/>
          <w:highlight w:val="none"/>
          <w:lang w:eastAsia="zh-CN"/>
        </w:rPr>
        <w:t>采购文件</w:t>
      </w:r>
      <w:r>
        <w:rPr>
          <w:rFonts w:hint="eastAsia" w:ascii="宋体" w:hAnsi="宋体"/>
          <w:color w:val="auto"/>
          <w:szCs w:val="21"/>
          <w:highlight w:val="none"/>
        </w:rPr>
        <w:t>的要求编制投标文件，投标文件宜编制页码和目录，以便评委审核。否则，由此产生的一切后果由投标人承担。</w:t>
      </w:r>
    </w:p>
    <w:p w14:paraId="7A3B02A3">
      <w:pPr>
        <w:shd w:val="clear" w:color="auto" w:fill="auto"/>
        <w:spacing w:line="440" w:lineRule="exact"/>
        <w:ind w:firstLine="426" w:firstLineChars="200"/>
        <w:rPr>
          <w:rFonts w:hint="eastAsia" w:ascii="宋体"/>
          <w:b/>
          <w:bCs w:val="0"/>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2</w:t>
      </w:r>
      <w:r>
        <w:rPr>
          <w:rFonts w:hint="eastAsia" w:ascii="宋体"/>
          <w:bCs/>
          <w:color w:val="auto"/>
          <w:szCs w:val="21"/>
          <w:highlight w:val="none"/>
        </w:rPr>
        <w:t xml:space="preserve"> 投标人对采购内容中规定的技术参数、规格等要求必须完全响应或优于</w:t>
      </w:r>
      <w:r>
        <w:rPr>
          <w:rFonts w:hint="eastAsia" w:ascii="宋体"/>
          <w:bCs/>
          <w:color w:val="auto"/>
          <w:szCs w:val="21"/>
          <w:highlight w:val="none"/>
          <w:lang w:eastAsia="zh-CN"/>
        </w:rPr>
        <w:t>采购文件</w:t>
      </w:r>
      <w:r>
        <w:rPr>
          <w:rFonts w:hint="eastAsia" w:ascii="宋体"/>
          <w:bCs/>
          <w:color w:val="auto"/>
          <w:szCs w:val="21"/>
          <w:highlight w:val="none"/>
        </w:rPr>
        <w:t>中的要求</w:t>
      </w:r>
      <w:r>
        <w:rPr>
          <w:rFonts w:hint="eastAsia" w:ascii="宋体"/>
          <w:b/>
          <w:bCs w:val="0"/>
          <w:color w:val="auto"/>
          <w:szCs w:val="21"/>
          <w:highlight w:val="none"/>
        </w:rPr>
        <w:t>。</w:t>
      </w:r>
    </w:p>
    <w:p w14:paraId="014EF461">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3</w:t>
      </w:r>
      <w:r>
        <w:rPr>
          <w:rFonts w:hint="eastAsia" w:ascii="宋体"/>
          <w:bCs/>
          <w:color w:val="auto"/>
          <w:szCs w:val="21"/>
          <w:highlight w:val="none"/>
        </w:rPr>
        <w:t>所有投标人的投标保证金都应在</w:t>
      </w:r>
      <w:r>
        <w:rPr>
          <w:rFonts w:hint="eastAsia" w:ascii="宋体"/>
          <w:bCs/>
          <w:color w:val="auto"/>
          <w:szCs w:val="21"/>
          <w:highlight w:val="none"/>
          <w:lang w:eastAsia="zh-CN"/>
        </w:rPr>
        <w:t>采购文件</w:t>
      </w:r>
      <w:r>
        <w:rPr>
          <w:rFonts w:hint="eastAsia" w:ascii="宋体"/>
          <w:bCs/>
          <w:color w:val="auto"/>
          <w:szCs w:val="21"/>
          <w:highlight w:val="none"/>
        </w:rPr>
        <w:t>规定的投标保证金缴纳截止日期前缴纳。</w:t>
      </w:r>
    </w:p>
    <w:p w14:paraId="0474069D">
      <w:pPr>
        <w:shd w:val="clear" w:color="auto" w:fill="auto"/>
        <w:spacing w:line="440" w:lineRule="exact"/>
        <w:ind w:firstLine="416" w:firstLineChars="196"/>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4</w:t>
      </w:r>
      <w:r>
        <w:rPr>
          <w:rFonts w:ascii="宋体"/>
          <w:bCs/>
          <w:color w:val="auto"/>
          <w:szCs w:val="21"/>
          <w:highlight w:val="none"/>
        </w:rPr>
        <w:t>单位负责人为同一人或者存在直接控股、管理关系的不同供应商，不得参加同一合同项下的政府采购活动。</w:t>
      </w:r>
      <w:r>
        <w:rPr>
          <w:rFonts w:ascii="宋体" w:hAnsi="宋体" w:cs="宋体"/>
          <w:color w:val="auto"/>
          <w:szCs w:val="21"/>
          <w:highlight w:val="none"/>
        </w:rPr>
        <w:t>为采购项目提供整体设计、规范编制或者项目管理、监理、检测等服务的供应商，不得再参加该采购项目的其他采购活动。</w:t>
      </w:r>
    </w:p>
    <w:p w14:paraId="4AF4C3A5">
      <w:pPr>
        <w:shd w:val="clear" w:color="auto" w:fill="auto"/>
        <w:snapToGrid w:val="0"/>
        <w:spacing w:line="440" w:lineRule="exact"/>
        <w:ind w:firstLine="426" w:firstLineChars="200"/>
        <w:rPr>
          <w:rFonts w:hint="eastAsia" w:ascii="宋体"/>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5</w:t>
      </w:r>
      <w:r>
        <w:rPr>
          <w:rFonts w:hint="eastAsia" w:ascii="宋体"/>
          <w:bCs/>
          <w:color w:val="auto"/>
          <w:szCs w:val="21"/>
          <w:highlight w:val="none"/>
        </w:rPr>
        <w:t>本项目只接受</w:t>
      </w:r>
      <w:r>
        <w:rPr>
          <w:rFonts w:hint="eastAsia" w:ascii="宋体"/>
          <w:color w:val="auto"/>
          <w:szCs w:val="21"/>
          <w:highlight w:val="none"/>
        </w:rPr>
        <w:t>成为新疆维吾尔自治区政府采购网正式注册入库</w:t>
      </w:r>
      <w:r>
        <w:rPr>
          <w:rFonts w:hint="eastAsia" w:ascii="宋体" w:hAnsi="宋体" w:eastAsia="宋体" w:cs="宋体"/>
          <w:sz w:val="21"/>
          <w:szCs w:val="21"/>
          <w:highlight w:val="none"/>
        </w:rPr>
        <w:t>（已在政采云平台其他省份入驻的供应商无须重复注册）</w:t>
      </w:r>
      <w:r>
        <w:rPr>
          <w:rFonts w:hint="eastAsia" w:ascii="宋体"/>
          <w:color w:val="auto"/>
          <w:szCs w:val="21"/>
          <w:highlight w:val="none"/>
        </w:rPr>
        <w:t>并完成CA数字证书申领供应商</w:t>
      </w:r>
      <w:r>
        <w:rPr>
          <w:rFonts w:hint="eastAsia" w:ascii="宋体"/>
          <w:color w:val="auto"/>
          <w:szCs w:val="21"/>
          <w:highlight w:val="none"/>
          <w:lang w:eastAsia="zh-CN"/>
        </w:rPr>
        <w:t>参与投标</w:t>
      </w:r>
      <w:r>
        <w:rPr>
          <w:rFonts w:hint="eastAsia" w:ascii="宋体"/>
          <w:color w:val="auto"/>
          <w:szCs w:val="21"/>
          <w:highlight w:val="none"/>
        </w:rPr>
        <w:t>。因未注册入库、未办理CA数字证书等原因造成无法投标或投标失败等后果由供应商自行承担。</w:t>
      </w:r>
    </w:p>
    <w:p w14:paraId="5284BE86">
      <w:pPr>
        <w:shd w:val="clear" w:color="auto" w:fill="auto"/>
        <w:wordWrap w:val="0"/>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lang w:val="en-US" w:eastAsia="zh-CN"/>
        </w:rPr>
        <w:t>6</w:t>
      </w:r>
      <w:r>
        <w:rPr>
          <w:rFonts w:hint="eastAsia" w:ascii="宋体"/>
          <w:bCs/>
          <w:color w:val="auto"/>
          <w:szCs w:val="21"/>
          <w:highlight w:val="none"/>
        </w:rPr>
        <w:t xml:space="preserve">  投标人被视为充分熟悉本招标项目所在地的与履行合同有关的各种情况，包括但不限于：</w:t>
      </w:r>
    </w:p>
    <w:p w14:paraId="0FD96362">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（1）国家对本次投标货物和服务的生产、安装调试、验收、维修等有关法律、法规及行业管理标准；</w:t>
      </w:r>
    </w:p>
    <w:p w14:paraId="09504CF4">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eastAsia="zh-CN"/>
        </w:rPr>
        <w:t>本地区</w:t>
      </w:r>
      <w:r>
        <w:rPr>
          <w:rFonts w:hint="eastAsia" w:ascii="宋体"/>
          <w:bCs/>
          <w:color w:val="auto"/>
          <w:szCs w:val="21"/>
          <w:highlight w:val="none"/>
        </w:rPr>
        <w:t>有关管理部门的相关规定；</w:t>
      </w:r>
    </w:p>
    <w:p w14:paraId="096EC062">
      <w:pPr>
        <w:shd w:val="clear" w:color="auto" w:fill="auto"/>
        <w:spacing w:line="400" w:lineRule="exact"/>
        <w:ind w:firstLine="319" w:firstLineChars="150"/>
        <w:rPr>
          <w:rFonts w:hint="eastAsia" w:ascii="宋体"/>
          <w:bCs/>
          <w:color w:val="auto"/>
          <w:szCs w:val="21"/>
          <w:highlight w:val="none"/>
        </w:rPr>
      </w:pPr>
      <w:r>
        <w:rPr>
          <w:rFonts w:hint="eastAsia" w:ascii="宋体"/>
          <w:bCs/>
          <w:color w:val="auto"/>
          <w:szCs w:val="21"/>
          <w:highlight w:val="none"/>
        </w:rPr>
        <w:t>（3）招标人的相关场地情况、基础建设、电力供应情况及相关设计标准。</w:t>
      </w:r>
    </w:p>
    <w:p w14:paraId="74419CE6">
      <w:pPr>
        <w:shd w:val="clear" w:color="auto" w:fill="auto"/>
        <w:spacing w:line="400" w:lineRule="exact"/>
        <w:ind w:firstLine="319" w:firstLineChars="150"/>
        <w:rPr>
          <w:rFonts w:hint="eastAsia" w:ascii="宋体"/>
          <w:b/>
          <w:color w:val="auto"/>
          <w:sz w:val="28"/>
          <w:szCs w:val="28"/>
          <w:highlight w:val="none"/>
        </w:rPr>
      </w:pPr>
      <w:r>
        <w:rPr>
          <w:rFonts w:hint="eastAsia" w:ascii="宋体"/>
          <w:bCs/>
          <w:color w:val="auto"/>
          <w:szCs w:val="21"/>
          <w:highlight w:val="none"/>
        </w:rPr>
        <w:t>本</w:t>
      </w:r>
      <w:r>
        <w:rPr>
          <w:rFonts w:hint="eastAsia" w:ascii="宋体"/>
          <w:bCs/>
          <w:color w:val="auto"/>
          <w:szCs w:val="21"/>
          <w:highlight w:val="none"/>
          <w:lang w:eastAsia="zh-CN"/>
        </w:rPr>
        <w:t>采购文件</w:t>
      </w:r>
      <w:r>
        <w:rPr>
          <w:rFonts w:hint="eastAsia" w:ascii="宋体"/>
          <w:bCs/>
          <w:color w:val="auto"/>
          <w:szCs w:val="21"/>
          <w:highlight w:val="none"/>
        </w:rPr>
        <w:t>不再对上述情况进行描述。</w:t>
      </w:r>
      <w:bookmarkStart w:id="19" w:name="_Toc469495725"/>
    </w:p>
    <w:p w14:paraId="750C01C3">
      <w:pPr>
        <w:shd w:val="clear" w:color="auto" w:fill="auto"/>
        <w:spacing w:before="312" w:beforeLines="100" w:after="312" w:afterLines="100" w:line="440" w:lineRule="exact"/>
        <w:jc w:val="center"/>
        <w:outlineLvl w:val="2"/>
        <w:rPr>
          <w:rFonts w:hint="eastAsia" w:ascii="宋体" w:eastAsia="宋体"/>
          <w:b/>
          <w:color w:val="auto"/>
          <w:sz w:val="28"/>
          <w:szCs w:val="28"/>
          <w:highlight w:val="none"/>
          <w:lang w:eastAsia="zh-CN"/>
        </w:rPr>
      </w:pPr>
      <w:r>
        <w:rPr>
          <w:rFonts w:hint="eastAsia" w:ascii="宋体"/>
          <w:b/>
          <w:color w:val="auto"/>
          <w:sz w:val="28"/>
          <w:szCs w:val="28"/>
          <w:highlight w:val="none"/>
        </w:rPr>
        <w:t>（二）</w:t>
      </w:r>
      <w:bookmarkEnd w:id="19"/>
      <w:r>
        <w:rPr>
          <w:rFonts w:hint="eastAsia" w:ascii="宋体"/>
          <w:b/>
          <w:color w:val="auto"/>
          <w:sz w:val="28"/>
          <w:szCs w:val="28"/>
          <w:highlight w:val="none"/>
          <w:lang w:eastAsia="zh-CN"/>
        </w:rPr>
        <w:t>招标文件</w:t>
      </w:r>
    </w:p>
    <w:p w14:paraId="1D1D3DB2">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14</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的编制依据</w:t>
      </w:r>
    </w:p>
    <w:p w14:paraId="59E18537">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根据《中华人民共和国政府采购法》、《政府采购货物和服务招标投标管理办法》和《中华人民共和国</w:t>
      </w:r>
      <w:r>
        <w:rPr>
          <w:rFonts w:hint="eastAsia" w:ascii="宋体"/>
          <w:color w:val="auto"/>
          <w:szCs w:val="21"/>
          <w:highlight w:val="none"/>
          <w:lang w:val="en-US" w:eastAsia="zh-CN"/>
        </w:rPr>
        <w:t>民法典</w:t>
      </w:r>
      <w:r>
        <w:rPr>
          <w:rFonts w:hint="eastAsia" w:ascii="宋体"/>
          <w:color w:val="auto"/>
          <w:szCs w:val="21"/>
          <w:highlight w:val="none"/>
        </w:rPr>
        <w:t>》</w:t>
      </w:r>
      <w:r>
        <w:rPr>
          <w:rFonts w:hint="eastAsia" w:ascii="宋体"/>
          <w:color w:val="auto"/>
          <w:spacing w:val="-2"/>
          <w:szCs w:val="21"/>
          <w:highlight w:val="none"/>
        </w:rPr>
        <w:t>等相关法律法规和规章及部、省、市级规范性文件的规定，编制本</w:t>
      </w:r>
      <w:r>
        <w:rPr>
          <w:rFonts w:hint="eastAsia" w:ascii="宋体"/>
          <w:color w:val="auto"/>
          <w:spacing w:val="-2"/>
          <w:szCs w:val="21"/>
          <w:highlight w:val="none"/>
          <w:lang w:eastAsia="zh-CN"/>
        </w:rPr>
        <w:t>采购文件</w:t>
      </w:r>
      <w:r>
        <w:rPr>
          <w:rFonts w:hint="eastAsia" w:ascii="宋体"/>
          <w:color w:val="auto"/>
          <w:spacing w:val="-2"/>
          <w:szCs w:val="21"/>
          <w:highlight w:val="none"/>
        </w:rPr>
        <w:t>。</w:t>
      </w:r>
    </w:p>
    <w:p w14:paraId="6E6D78A5">
      <w:pPr>
        <w:shd w:val="clear" w:color="auto" w:fill="auto"/>
        <w:spacing w:line="440" w:lineRule="exact"/>
        <w:rPr>
          <w:rFonts w:hint="eastAsia"/>
          <w:b/>
          <w:color w:val="auto"/>
          <w:szCs w:val="21"/>
          <w:highlight w:val="none"/>
        </w:rPr>
      </w:pPr>
      <w:r>
        <w:rPr>
          <w:rFonts w:hint="eastAsia"/>
          <w:b/>
          <w:color w:val="auto"/>
          <w:szCs w:val="21"/>
          <w:highlight w:val="none"/>
          <w:lang w:val="en-US" w:eastAsia="zh-CN"/>
        </w:rPr>
        <w:t>15</w:t>
      </w:r>
      <w:r>
        <w:rPr>
          <w:rFonts w:hint="eastAsia"/>
          <w:b/>
          <w:color w:val="auto"/>
          <w:szCs w:val="21"/>
          <w:highlight w:val="none"/>
        </w:rPr>
        <w:t xml:space="preserve">. </w:t>
      </w:r>
      <w:r>
        <w:rPr>
          <w:rFonts w:hint="eastAsia"/>
          <w:b/>
          <w:color w:val="auto"/>
          <w:szCs w:val="21"/>
          <w:highlight w:val="none"/>
          <w:lang w:eastAsia="zh-CN"/>
        </w:rPr>
        <w:t>采购文件</w:t>
      </w:r>
      <w:r>
        <w:rPr>
          <w:rFonts w:hint="eastAsia"/>
          <w:b/>
          <w:color w:val="auto"/>
          <w:szCs w:val="21"/>
          <w:highlight w:val="none"/>
        </w:rPr>
        <w:t>的组成</w:t>
      </w:r>
    </w:p>
    <w:p w14:paraId="25920E78">
      <w:pPr>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w:t>
      </w:r>
      <w:r>
        <w:rPr>
          <w:rFonts w:hint="eastAsia" w:ascii="宋体"/>
          <w:color w:val="auto"/>
          <w:szCs w:val="21"/>
          <w:highlight w:val="none"/>
          <w:lang w:val="en-US" w:eastAsia="zh-CN"/>
        </w:rPr>
        <w:t>5</w:t>
      </w:r>
      <w:r>
        <w:rPr>
          <w:rFonts w:hint="eastAsia" w:ascii="宋体"/>
          <w:color w:val="auto"/>
          <w:szCs w:val="21"/>
          <w:highlight w:val="none"/>
        </w:rPr>
        <w:t xml:space="preserve">.1 </w:t>
      </w:r>
      <w:r>
        <w:rPr>
          <w:rFonts w:hint="eastAsia" w:ascii="宋体"/>
          <w:color w:val="auto"/>
          <w:szCs w:val="21"/>
          <w:highlight w:val="none"/>
          <w:lang w:eastAsia="zh-CN"/>
        </w:rPr>
        <w:t>采购文件</w:t>
      </w:r>
      <w:r>
        <w:rPr>
          <w:rFonts w:hint="eastAsia" w:ascii="宋体"/>
          <w:color w:val="auto"/>
          <w:szCs w:val="21"/>
          <w:highlight w:val="none"/>
        </w:rPr>
        <w:t>包括内容：</w:t>
      </w:r>
    </w:p>
    <w:p w14:paraId="04D81AB2">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 xml:space="preserve">第一章  </w:t>
      </w:r>
      <w:r>
        <w:rPr>
          <w:rFonts w:hint="eastAsia" w:ascii="宋体"/>
          <w:color w:val="auto"/>
          <w:szCs w:val="21"/>
          <w:highlight w:val="none"/>
          <w:lang w:eastAsia="zh-CN"/>
        </w:rPr>
        <w:t>招</w:t>
      </w:r>
      <w:r>
        <w:rPr>
          <w:rFonts w:hint="eastAsia" w:ascii="宋体"/>
          <w:color w:val="auto"/>
          <w:szCs w:val="21"/>
          <w:highlight w:val="none"/>
        </w:rPr>
        <w:t>标公告</w:t>
      </w:r>
    </w:p>
    <w:p w14:paraId="6FA7BA4A">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第二章  投标须知</w:t>
      </w:r>
    </w:p>
    <w:p w14:paraId="1AF06BFE">
      <w:pPr>
        <w:shd w:val="clear" w:color="auto" w:fill="auto"/>
        <w:spacing w:line="440" w:lineRule="exact"/>
        <w:ind w:firstLine="1491" w:firstLineChars="700"/>
        <w:rPr>
          <w:rFonts w:hint="eastAsia" w:ascii="宋体"/>
          <w:color w:val="auto"/>
          <w:szCs w:val="21"/>
          <w:highlight w:val="none"/>
          <w:lang w:eastAsia="zh-CN"/>
        </w:rPr>
      </w:pPr>
      <w:r>
        <w:rPr>
          <w:rFonts w:hint="eastAsia" w:ascii="宋体"/>
          <w:color w:val="auto"/>
          <w:szCs w:val="21"/>
          <w:highlight w:val="none"/>
        </w:rPr>
        <w:t>第三章  评标办法</w:t>
      </w:r>
    </w:p>
    <w:p w14:paraId="07572F79">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第四章  采购内容及技术要求</w:t>
      </w:r>
    </w:p>
    <w:p w14:paraId="0482E7D8">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第五章  合同条款及格式</w:t>
      </w:r>
    </w:p>
    <w:p w14:paraId="0C0ED341">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第六章  投标文件格式文本</w:t>
      </w:r>
    </w:p>
    <w:p w14:paraId="06D4A5C8">
      <w:pPr>
        <w:shd w:val="clear" w:color="auto" w:fill="auto"/>
        <w:spacing w:line="440" w:lineRule="exact"/>
        <w:ind w:firstLine="1491" w:firstLineChars="700"/>
        <w:rPr>
          <w:rFonts w:hint="eastAsia" w:ascii="宋体"/>
          <w:color w:val="auto"/>
          <w:szCs w:val="21"/>
          <w:highlight w:val="none"/>
        </w:rPr>
      </w:pPr>
      <w:r>
        <w:rPr>
          <w:rFonts w:hint="eastAsia" w:ascii="宋体"/>
          <w:color w:val="auto"/>
          <w:szCs w:val="21"/>
          <w:highlight w:val="none"/>
        </w:rPr>
        <w:t>第七章  招标单位、招标代理机构对本文件的确认</w:t>
      </w:r>
    </w:p>
    <w:p w14:paraId="26A3C7E1">
      <w:pPr>
        <w:shd w:val="clear" w:color="auto" w:fill="auto"/>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.2 除1</w:t>
      </w:r>
      <w:r>
        <w:rPr>
          <w:rFonts w:hint="eastAsia" w:ascii="宋体"/>
          <w:color w:val="auto"/>
          <w:szCs w:val="21"/>
          <w:highlight w:val="none"/>
          <w:lang w:val="en-US" w:eastAsia="zh-CN"/>
        </w:rPr>
        <w:t>5</w:t>
      </w:r>
      <w:r>
        <w:rPr>
          <w:rFonts w:hint="eastAsia" w:ascii="宋体"/>
          <w:color w:val="auto"/>
          <w:szCs w:val="21"/>
          <w:highlight w:val="none"/>
        </w:rPr>
        <w:t>.1内容外，招标答疑亦为</w:t>
      </w:r>
      <w:r>
        <w:rPr>
          <w:rFonts w:hint="eastAsia" w:ascii="宋体"/>
          <w:color w:val="auto"/>
          <w:szCs w:val="21"/>
          <w:highlight w:val="none"/>
          <w:lang w:eastAsia="zh-CN"/>
        </w:rPr>
        <w:t>采购文件</w:t>
      </w:r>
      <w:r>
        <w:rPr>
          <w:rFonts w:hint="eastAsia" w:ascii="宋体"/>
          <w:color w:val="auto"/>
          <w:szCs w:val="21"/>
          <w:highlight w:val="none"/>
        </w:rPr>
        <w:t>的组成部分，对招标人和投标人起约束作用。</w:t>
      </w:r>
    </w:p>
    <w:p w14:paraId="167CF10D">
      <w:pPr>
        <w:pStyle w:val="14"/>
        <w:shd w:val="clear" w:color="auto" w:fill="auto"/>
        <w:wordWrap w:val="0"/>
        <w:spacing w:line="400" w:lineRule="exact"/>
        <w:rPr>
          <w:rFonts w:hint="eastAsia"/>
          <w:color w:val="auto"/>
          <w:szCs w:val="21"/>
          <w:highlight w:val="none"/>
          <w:lang w:val="en-US"/>
        </w:rPr>
      </w:pPr>
      <w:r>
        <w:rPr>
          <w:rFonts w:hint="eastAsia"/>
          <w:color w:val="auto"/>
          <w:szCs w:val="21"/>
          <w:highlight w:val="none"/>
        </w:rPr>
        <w:t xml:space="preserve">   1</w:t>
      </w:r>
      <w:r>
        <w:rPr>
          <w:rFonts w:hint="eastAsia"/>
          <w:color w:val="auto"/>
          <w:szCs w:val="21"/>
          <w:highlight w:val="none"/>
          <w:lang w:val="en-US" w:eastAsia="zh-CN"/>
        </w:rPr>
        <w:t>5</w:t>
      </w:r>
      <w:r>
        <w:rPr>
          <w:rFonts w:hint="eastAsia"/>
          <w:color w:val="auto"/>
          <w:szCs w:val="21"/>
          <w:highlight w:val="none"/>
        </w:rPr>
        <w:t>.3</w:t>
      </w:r>
      <w:r>
        <w:rPr>
          <w:rFonts w:hint="eastAsia"/>
          <w:color w:val="auto"/>
          <w:szCs w:val="21"/>
          <w:highlight w:val="none"/>
          <w:u w:val="none" w:color="auto"/>
        </w:rPr>
        <w:t>投标人应仔细阅读和检查</w:t>
      </w:r>
      <w:r>
        <w:rPr>
          <w:rFonts w:hint="eastAsia"/>
          <w:color w:val="auto"/>
          <w:szCs w:val="21"/>
          <w:highlight w:val="none"/>
          <w:u w:val="none" w:color="auto"/>
          <w:lang w:eastAsia="zh-CN"/>
        </w:rPr>
        <w:t>采购文件</w:t>
      </w:r>
      <w:r>
        <w:rPr>
          <w:rFonts w:hint="eastAsia"/>
          <w:color w:val="auto"/>
          <w:szCs w:val="21"/>
          <w:highlight w:val="none"/>
          <w:u w:val="none" w:color="auto"/>
        </w:rPr>
        <w:t>的全部内容。如发现缺页或附件不全，应及时向招标人提出，以便补齐。如有疑问，投标人应在</w:t>
      </w:r>
      <w:r>
        <w:rPr>
          <w:rFonts w:hint="eastAsia" w:ascii="宋体"/>
          <w:color w:val="auto"/>
          <w:szCs w:val="21"/>
          <w:highlight w:val="none"/>
        </w:rPr>
        <w:t>以书面形式一次性向采购人和采购代理机构提出同一环节的质疑</w:t>
      </w:r>
      <w:r>
        <w:rPr>
          <w:rFonts w:hint="eastAsia"/>
          <w:color w:val="auto"/>
          <w:szCs w:val="21"/>
          <w:highlight w:val="none"/>
          <w:u w:val="none" w:color="auto"/>
        </w:rPr>
        <w:t>。</w:t>
      </w:r>
    </w:p>
    <w:p w14:paraId="6A88FC23">
      <w:pPr>
        <w:shd w:val="clear" w:color="auto" w:fill="auto"/>
        <w:wordWrap w:val="0"/>
        <w:spacing w:line="440" w:lineRule="exact"/>
        <w:rPr>
          <w:rFonts w:hint="eastAsia" w:ascii="宋体"/>
          <w:color w:val="auto"/>
          <w:szCs w:val="21"/>
          <w:highlight w:val="none"/>
        </w:rPr>
      </w:pPr>
      <w:r>
        <w:rPr>
          <w:rFonts w:hint="eastAsia" w:ascii="宋体"/>
          <w:color w:val="auto"/>
          <w:szCs w:val="21"/>
          <w:highlight w:val="none"/>
        </w:rPr>
        <w:t xml:space="preserve">   1</w:t>
      </w:r>
      <w:r>
        <w:rPr>
          <w:rFonts w:hint="eastAsia" w:ascii="宋体"/>
          <w:color w:val="auto"/>
          <w:szCs w:val="21"/>
          <w:highlight w:val="none"/>
          <w:lang w:val="en-US" w:eastAsia="zh-CN"/>
        </w:rPr>
        <w:t>5</w:t>
      </w:r>
      <w:r>
        <w:rPr>
          <w:rFonts w:hint="eastAsia" w:ascii="宋体"/>
          <w:color w:val="auto"/>
          <w:szCs w:val="21"/>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宋体"/>
          <w:color w:val="auto"/>
          <w:szCs w:val="21"/>
          <w:highlight w:val="none"/>
          <w:lang w:eastAsia="zh-CN"/>
        </w:rPr>
        <w:t>采购文件</w:t>
      </w:r>
      <w:r>
        <w:rPr>
          <w:rFonts w:hint="eastAsia" w:ascii="宋体"/>
          <w:color w:val="auto"/>
          <w:szCs w:val="21"/>
          <w:highlight w:val="none"/>
        </w:rPr>
        <w:t>的澄清将在</w:t>
      </w:r>
      <w:r>
        <w:rPr>
          <w:rFonts w:hint="eastAsia" w:ascii="宋体"/>
          <w:color w:val="auto"/>
          <w:szCs w:val="21"/>
          <w:highlight w:val="none"/>
          <w:lang w:eastAsia="zh-CN"/>
        </w:rPr>
        <w:t>政采云平台“更正公告”栏目予以公告</w:t>
      </w:r>
      <w:r>
        <w:rPr>
          <w:rFonts w:hint="eastAsia" w:ascii="宋体"/>
          <w:color w:val="auto"/>
          <w:szCs w:val="21"/>
          <w:highlight w:val="none"/>
        </w:rPr>
        <w:t>，但不指明澄清问题的来源。如果澄清内容影响投标文件编制的，将相应延长投标截止时间。</w:t>
      </w:r>
    </w:p>
    <w:p w14:paraId="58A7CF4F">
      <w:pPr>
        <w:shd w:val="clear" w:color="auto" w:fill="auto"/>
        <w:spacing w:line="440" w:lineRule="exact"/>
        <w:rPr>
          <w:rFonts w:hint="eastAsia" w:ascii="宋体"/>
          <w:b/>
          <w:bCs/>
          <w:color w:val="auto"/>
          <w:szCs w:val="21"/>
          <w:highlight w:val="none"/>
        </w:rPr>
      </w:pPr>
      <w:r>
        <w:rPr>
          <w:rFonts w:hint="eastAsia" w:ascii="宋体"/>
          <w:b/>
          <w:bCs/>
          <w:color w:val="auto"/>
          <w:szCs w:val="21"/>
          <w:highlight w:val="none"/>
        </w:rPr>
        <w:t>1</w:t>
      </w:r>
      <w:r>
        <w:rPr>
          <w:rFonts w:hint="eastAsia" w:ascii="宋体"/>
          <w:b/>
          <w:bCs/>
          <w:color w:val="auto"/>
          <w:szCs w:val="21"/>
          <w:highlight w:val="none"/>
          <w:lang w:val="en-US" w:eastAsia="zh-CN"/>
        </w:rPr>
        <w:t>6</w:t>
      </w:r>
      <w:r>
        <w:rPr>
          <w:rFonts w:hint="eastAsia" w:ascii="宋体"/>
          <w:b/>
          <w:bCs/>
          <w:color w:val="auto"/>
          <w:szCs w:val="21"/>
          <w:highlight w:val="none"/>
        </w:rPr>
        <w:t xml:space="preserve">. </w:t>
      </w:r>
      <w:r>
        <w:rPr>
          <w:rFonts w:hint="eastAsia" w:ascii="宋体"/>
          <w:b/>
          <w:bCs/>
          <w:color w:val="auto"/>
          <w:szCs w:val="21"/>
          <w:highlight w:val="none"/>
          <w:lang w:eastAsia="zh-CN"/>
        </w:rPr>
        <w:t>采购文件</w:t>
      </w:r>
      <w:r>
        <w:rPr>
          <w:rFonts w:hint="eastAsia" w:ascii="宋体"/>
          <w:b/>
          <w:bCs/>
          <w:color w:val="auto"/>
          <w:szCs w:val="21"/>
          <w:highlight w:val="none"/>
        </w:rPr>
        <w:t>的修改、补充、解释</w:t>
      </w:r>
    </w:p>
    <w:p w14:paraId="46B49E6E">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w:t>
      </w:r>
      <w:r>
        <w:rPr>
          <w:rFonts w:hint="eastAsia" w:ascii="宋体" w:hAnsi="宋体"/>
          <w:color w:val="auto"/>
          <w:szCs w:val="21"/>
          <w:highlight w:val="none"/>
          <w:lang w:eastAsia="zh-CN"/>
        </w:rPr>
        <w:t>采购文件</w:t>
      </w:r>
      <w:r>
        <w:rPr>
          <w:rFonts w:hint="eastAsia" w:ascii="宋体" w:hAnsi="宋体"/>
          <w:color w:val="auto"/>
          <w:szCs w:val="21"/>
          <w:highlight w:val="none"/>
        </w:rPr>
        <w:t>发出后，招标人在规定的投标截止时间前可对</w:t>
      </w:r>
      <w:r>
        <w:rPr>
          <w:rFonts w:hint="eastAsia" w:ascii="宋体" w:hAnsi="宋体"/>
          <w:color w:val="auto"/>
          <w:szCs w:val="21"/>
          <w:highlight w:val="none"/>
          <w:lang w:eastAsia="zh-CN"/>
        </w:rPr>
        <w:t>采购文件</w:t>
      </w:r>
      <w:r>
        <w:rPr>
          <w:rFonts w:hint="eastAsia" w:ascii="宋体" w:hAnsi="宋体"/>
          <w:color w:val="auto"/>
          <w:szCs w:val="21"/>
          <w:highlight w:val="none"/>
        </w:rPr>
        <w:t>进行必要的修改和补充，并以</w:t>
      </w:r>
      <w:r>
        <w:rPr>
          <w:rFonts w:hint="eastAsia" w:ascii="宋体" w:hAnsi="宋体"/>
          <w:color w:val="auto"/>
          <w:szCs w:val="21"/>
          <w:highlight w:val="none"/>
          <w:lang w:eastAsia="zh-CN"/>
        </w:rPr>
        <w:t>更正</w:t>
      </w:r>
      <w:r>
        <w:rPr>
          <w:rFonts w:hint="eastAsia" w:ascii="宋体" w:hAnsi="宋体"/>
          <w:color w:val="auto"/>
          <w:szCs w:val="21"/>
          <w:highlight w:val="none"/>
        </w:rPr>
        <w:t>公告形式在</w:t>
      </w:r>
      <w:r>
        <w:rPr>
          <w:rFonts w:hint="eastAsia" w:ascii="宋体" w:hAnsi="宋体"/>
          <w:color w:val="auto"/>
          <w:szCs w:val="21"/>
          <w:highlight w:val="none"/>
          <w:lang w:eastAsia="zh-CN"/>
        </w:rPr>
        <w:t>政采云平台</w:t>
      </w:r>
      <w:r>
        <w:rPr>
          <w:rFonts w:hint="eastAsia" w:ascii="宋体" w:hAnsi="宋体"/>
          <w:color w:val="auto"/>
          <w:szCs w:val="21"/>
          <w:highlight w:val="none"/>
        </w:rPr>
        <w:t xml:space="preserve"> “</w:t>
      </w:r>
      <w:r>
        <w:rPr>
          <w:rFonts w:hint="eastAsia" w:ascii="宋体" w:hAnsi="宋体"/>
          <w:color w:val="auto"/>
          <w:szCs w:val="21"/>
          <w:highlight w:val="none"/>
          <w:lang w:eastAsia="zh-CN"/>
        </w:rPr>
        <w:t>更正公告</w:t>
      </w:r>
      <w:r>
        <w:rPr>
          <w:rFonts w:hint="eastAsia" w:ascii="宋体" w:hAnsi="宋体"/>
          <w:color w:val="auto"/>
          <w:szCs w:val="21"/>
          <w:highlight w:val="none"/>
        </w:rPr>
        <w:t>”栏目予以公告，请各位投标人注意查看有关澄清内容，如不及时查看造成后果由投标人自负。</w:t>
      </w:r>
      <w:r>
        <w:rPr>
          <w:rFonts w:hint="eastAsia" w:ascii="宋体" w:hAnsi="宋体"/>
          <w:color w:val="auto"/>
          <w:szCs w:val="21"/>
          <w:highlight w:val="none"/>
          <w:lang w:eastAsia="zh-CN"/>
        </w:rPr>
        <w:t>采购文件</w:t>
      </w:r>
      <w:r>
        <w:rPr>
          <w:rFonts w:hint="eastAsia" w:ascii="宋体" w:hAnsi="宋体"/>
          <w:color w:val="auto"/>
          <w:szCs w:val="21"/>
          <w:highlight w:val="none"/>
        </w:rPr>
        <w:t>的修改、补充等内容作为</w:t>
      </w:r>
      <w:r>
        <w:rPr>
          <w:rFonts w:hint="eastAsia" w:ascii="宋体" w:hAnsi="宋体"/>
          <w:color w:val="auto"/>
          <w:szCs w:val="21"/>
          <w:highlight w:val="none"/>
          <w:lang w:eastAsia="zh-CN"/>
        </w:rPr>
        <w:t>采购文件</w:t>
      </w:r>
      <w:r>
        <w:rPr>
          <w:rFonts w:hint="eastAsia" w:ascii="宋体" w:hAnsi="宋体"/>
          <w:color w:val="auto"/>
          <w:szCs w:val="21"/>
          <w:highlight w:val="none"/>
        </w:rPr>
        <w:t>的组成部分，具有约束作用。</w:t>
      </w:r>
    </w:p>
    <w:p w14:paraId="10AA7869">
      <w:pPr>
        <w:shd w:val="clear" w:color="auto" w:fill="auto"/>
        <w:wordWrap w:val="0"/>
        <w:spacing w:line="400" w:lineRule="exact"/>
        <w:ind w:firstLine="319" w:firstLineChars="15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0C5DEDA4">
      <w:pPr>
        <w:shd w:val="clear" w:color="auto" w:fill="auto"/>
        <w:wordWrap w:val="0"/>
        <w:spacing w:line="400" w:lineRule="exact"/>
        <w:ind w:firstLine="426" w:firstLineChars="200"/>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w:t>
      </w:r>
      <w:r>
        <w:rPr>
          <w:rFonts w:hint="eastAsia" w:ascii="宋体" w:hAnsi="宋体"/>
          <w:color w:val="auto"/>
          <w:szCs w:val="21"/>
          <w:highlight w:val="none"/>
        </w:rPr>
        <w:t>供应商在规定的时间内未对采购文件提出疑问、质疑或要求澄清的，将视其为无异议。</w:t>
      </w:r>
    </w:p>
    <w:p w14:paraId="68DA12BA">
      <w:pPr>
        <w:shd w:val="clear" w:color="auto" w:fill="auto"/>
        <w:spacing w:line="400" w:lineRule="exact"/>
        <w:ind w:firstLine="426" w:firstLineChars="200"/>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 xml:space="preserve"> </w:t>
      </w:r>
      <w:r>
        <w:rPr>
          <w:rFonts w:hint="eastAsia" w:ascii="宋体" w:hAnsi="宋体"/>
          <w:bCs/>
          <w:color w:val="auto"/>
          <w:szCs w:val="21"/>
          <w:highlight w:val="none"/>
          <w:lang w:eastAsia="zh-CN"/>
        </w:rPr>
        <w:t>采购文件</w:t>
      </w:r>
      <w:r>
        <w:rPr>
          <w:rFonts w:hint="eastAsia" w:ascii="宋体" w:hAnsi="宋体"/>
          <w:bCs/>
          <w:color w:val="auto"/>
          <w:szCs w:val="21"/>
          <w:highlight w:val="none"/>
        </w:rPr>
        <w:t>的解释</w:t>
      </w:r>
    </w:p>
    <w:p w14:paraId="0C9BD5F6">
      <w:pPr>
        <w:shd w:val="clear" w:color="auto" w:fill="auto"/>
        <w:spacing w:line="400" w:lineRule="exact"/>
        <w:ind w:firstLine="426" w:firstLineChars="200"/>
        <w:rPr>
          <w:rFonts w:hint="eastAsia" w:ascii="宋体" w:hAnsi="宋体"/>
          <w:color w:val="auto"/>
          <w:szCs w:val="21"/>
          <w:highlight w:val="none"/>
        </w:rPr>
      </w:pPr>
      <w:r>
        <w:rPr>
          <w:rFonts w:hint="eastAsia" w:ascii="宋体" w:hAnsi="宋体"/>
          <w:color w:val="auto"/>
          <w:szCs w:val="21"/>
          <w:highlight w:val="none"/>
        </w:rPr>
        <w:t>本</w:t>
      </w:r>
      <w:r>
        <w:rPr>
          <w:rFonts w:hint="eastAsia" w:ascii="宋体" w:hAnsi="宋体"/>
          <w:color w:val="auto"/>
          <w:szCs w:val="21"/>
          <w:highlight w:val="none"/>
          <w:lang w:eastAsia="zh-CN"/>
        </w:rPr>
        <w:t>采购文件</w:t>
      </w:r>
      <w:r>
        <w:rPr>
          <w:rFonts w:hint="eastAsia" w:ascii="宋体" w:hAnsi="宋体"/>
          <w:color w:val="auto"/>
          <w:szCs w:val="21"/>
          <w:highlight w:val="none"/>
        </w:rPr>
        <w:t>由招标人（或其委托的招标代理机构）负责解释。</w:t>
      </w:r>
    </w:p>
    <w:p w14:paraId="4432F66A">
      <w:pPr>
        <w:shd w:val="clear" w:color="auto" w:fill="auto"/>
        <w:spacing w:line="400" w:lineRule="exact"/>
        <w:rPr>
          <w:rFonts w:ascii="宋体" w:hAnsi="宋体"/>
          <w:b/>
          <w:color w:val="0000FF"/>
          <w:szCs w:val="21"/>
          <w:highlight w:val="none"/>
        </w:rPr>
      </w:pPr>
      <w:r>
        <w:rPr>
          <w:rFonts w:hint="eastAsia"/>
          <w:b/>
          <w:color w:val="auto"/>
          <w:szCs w:val="21"/>
          <w:highlight w:val="none"/>
        </w:rPr>
        <w:t>1</w:t>
      </w:r>
      <w:r>
        <w:rPr>
          <w:rFonts w:hint="eastAsia"/>
          <w:b/>
          <w:color w:val="auto"/>
          <w:szCs w:val="21"/>
          <w:highlight w:val="none"/>
          <w:lang w:val="en-US" w:eastAsia="zh-CN"/>
        </w:rPr>
        <w:t>7</w:t>
      </w:r>
      <w:r>
        <w:rPr>
          <w:rFonts w:hint="eastAsia"/>
          <w:b/>
          <w:color w:val="auto"/>
          <w:szCs w:val="21"/>
          <w:highlight w:val="none"/>
        </w:rPr>
        <w:t xml:space="preserve">. </w:t>
      </w:r>
      <w:r>
        <w:rPr>
          <w:rFonts w:hint="eastAsia" w:ascii="宋体" w:hAnsi="宋体"/>
          <w:b/>
          <w:color w:val="auto"/>
          <w:szCs w:val="21"/>
          <w:highlight w:val="none"/>
          <w:lang w:eastAsia="zh-CN"/>
        </w:rPr>
        <w:t>采购文件</w:t>
      </w:r>
      <w:r>
        <w:rPr>
          <w:rFonts w:hint="eastAsia" w:ascii="宋体" w:hAnsi="宋体"/>
          <w:b/>
          <w:color w:val="auto"/>
          <w:szCs w:val="21"/>
          <w:highlight w:val="none"/>
        </w:rPr>
        <w:t>的发出</w:t>
      </w:r>
    </w:p>
    <w:p w14:paraId="75AD34FA">
      <w:pPr>
        <w:shd w:val="clear" w:color="auto" w:fill="auto"/>
        <w:spacing w:line="400" w:lineRule="exact"/>
        <w:ind w:firstLine="319" w:firstLineChars="15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.1  </w:t>
      </w:r>
      <w:r>
        <w:rPr>
          <w:rFonts w:hint="eastAsia" w:ascii="宋体" w:hAnsi="宋体"/>
          <w:color w:val="auto"/>
          <w:szCs w:val="21"/>
          <w:highlight w:val="none"/>
          <w:lang w:eastAsia="zh-CN"/>
        </w:rPr>
        <w:t>采购文件</w:t>
      </w:r>
      <w:r>
        <w:rPr>
          <w:rFonts w:hint="eastAsia" w:ascii="宋体" w:hAnsi="宋体"/>
          <w:color w:val="auto"/>
          <w:szCs w:val="21"/>
          <w:highlight w:val="none"/>
        </w:rPr>
        <w:t>、</w:t>
      </w:r>
      <w:r>
        <w:rPr>
          <w:rFonts w:hint="eastAsia" w:ascii="宋体" w:hAnsi="宋体"/>
          <w:color w:val="auto"/>
          <w:szCs w:val="21"/>
          <w:highlight w:val="none"/>
          <w:lang w:eastAsia="zh-CN"/>
        </w:rPr>
        <w:t>采购文件</w:t>
      </w:r>
      <w:r>
        <w:rPr>
          <w:rFonts w:hint="eastAsia" w:ascii="宋体" w:hAnsi="宋体"/>
          <w:color w:val="auto"/>
          <w:szCs w:val="21"/>
          <w:highlight w:val="none"/>
        </w:rPr>
        <w:t>的澄清、修改、补充及招标答疑等均应报</w:t>
      </w:r>
      <w:r>
        <w:rPr>
          <w:rFonts w:hint="eastAsia" w:ascii="宋体" w:hAnsi="宋体"/>
          <w:color w:val="auto"/>
          <w:szCs w:val="21"/>
          <w:highlight w:val="none"/>
          <w:lang w:eastAsia="zh-CN"/>
        </w:rPr>
        <w:t>相关部门</w:t>
      </w:r>
      <w:r>
        <w:rPr>
          <w:rFonts w:hint="eastAsia" w:ascii="宋体" w:hAnsi="宋体"/>
          <w:color w:val="auto"/>
          <w:szCs w:val="21"/>
          <w:highlight w:val="none"/>
        </w:rPr>
        <w:t>备案后，方可发出。</w:t>
      </w:r>
    </w:p>
    <w:p w14:paraId="4D11F797">
      <w:pPr>
        <w:shd w:val="clear" w:color="auto" w:fill="auto"/>
        <w:spacing w:line="440" w:lineRule="exact"/>
        <w:rPr>
          <w:rFonts w:hint="eastAsia" w:ascii="宋体"/>
          <w:color w:val="auto"/>
          <w:szCs w:val="21"/>
          <w:highlight w:val="none"/>
        </w:rPr>
      </w:pPr>
      <w:bookmarkStart w:id="20" w:name="_Toc469495726"/>
      <w:r>
        <w:rPr>
          <w:rFonts w:hint="eastAsia"/>
          <w:b/>
          <w:color w:val="auto"/>
          <w:szCs w:val="21"/>
          <w:highlight w:val="none"/>
        </w:rPr>
        <w:t>1</w:t>
      </w:r>
      <w:r>
        <w:rPr>
          <w:rFonts w:hint="eastAsia"/>
          <w:b/>
          <w:color w:val="auto"/>
          <w:szCs w:val="21"/>
          <w:highlight w:val="none"/>
          <w:lang w:val="en-US" w:eastAsia="zh-CN"/>
        </w:rPr>
        <w:t>8</w:t>
      </w:r>
      <w:r>
        <w:rPr>
          <w:rFonts w:hint="eastAsia"/>
          <w:b/>
          <w:color w:val="auto"/>
          <w:szCs w:val="21"/>
          <w:highlight w:val="none"/>
        </w:rPr>
        <w:t xml:space="preserve">. </w:t>
      </w:r>
      <w:r>
        <w:rPr>
          <w:rFonts w:hint="eastAsia" w:ascii="宋体"/>
          <w:color w:val="auto"/>
          <w:szCs w:val="21"/>
          <w:highlight w:val="none"/>
        </w:rPr>
        <w:t>凡需要设置样品情形时，必须明确是否需要随样品提交检测报告，并明确检测机构的要求、检测内容、</w:t>
      </w:r>
      <w:r>
        <w:rPr>
          <w:rFonts w:hint="eastAsia" w:ascii="宋体"/>
          <w:b w:val="0"/>
          <w:bCs w:val="0"/>
          <w:color w:val="auto"/>
          <w:szCs w:val="21"/>
          <w:highlight w:val="none"/>
        </w:rPr>
        <w:t>中标样品封存</w:t>
      </w:r>
      <w:r>
        <w:rPr>
          <w:rFonts w:hint="eastAsia" w:ascii="宋体"/>
          <w:color w:val="auto"/>
          <w:szCs w:val="21"/>
          <w:highlight w:val="none"/>
        </w:rPr>
        <w:t>等事项。（评标委员会无法判断样品是否合格且样品需要提供给第三方权威检测机构检测的,在投标人提供招标人认可的第三方权威检测机构检测报告后，评标委员会推荐的中标候选人方可生效，采购人或代理机构发布中标结果公告。</w:t>
      </w:r>
    </w:p>
    <w:p w14:paraId="5C696A0F">
      <w:pPr>
        <w:shd w:val="clear" w:color="auto" w:fill="auto"/>
        <w:spacing w:line="400" w:lineRule="exact"/>
        <w:ind w:firstLine="420"/>
        <w:rPr>
          <w:rFonts w:hint="eastAsia" w:ascii="宋体"/>
          <w:color w:val="auto"/>
          <w:szCs w:val="21"/>
          <w:highlight w:val="none"/>
        </w:rPr>
      </w:pPr>
      <w:r>
        <w:rPr>
          <w:rFonts w:hint="eastAsia" w:ascii="宋体"/>
          <w:color w:val="auto"/>
          <w:szCs w:val="21"/>
          <w:highlight w:val="none"/>
          <w:lang w:eastAsia="zh-CN"/>
        </w:rPr>
        <w:t>采购文件</w:t>
      </w:r>
      <w:r>
        <w:rPr>
          <w:rFonts w:hint="eastAsia" w:ascii="宋体"/>
          <w:color w:val="auto"/>
          <w:szCs w:val="21"/>
          <w:highlight w:val="none"/>
        </w:rPr>
        <w:t>中应明确样品送检方式、检测费用支付方法、投标人在规定时间内无法提供第三方权威检测机构检测报告的处理方式。（</w:t>
      </w:r>
      <w:r>
        <w:rPr>
          <w:rFonts w:hint="eastAsia" w:ascii="宋体"/>
          <w:color w:val="auto"/>
          <w:szCs w:val="21"/>
          <w:highlight w:val="none"/>
          <w:lang w:eastAsia="zh-CN"/>
        </w:rPr>
        <w:t>采购人</w:t>
      </w:r>
      <w:r>
        <w:rPr>
          <w:rFonts w:hint="eastAsia" w:ascii="宋体"/>
          <w:color w:val="auto"/>
          <w:szCs w:val="21"/>
          <w:highlight w:val="none"/>
        </w:rPr>
        <w:t>根据项目需求按上述要求自行描述）</w:t>
      </w:r>
    </w:p>
    <w:p w14:paraId="32EB8048">
      <w:pPr>
        <w:shd w:val="clear" w:color="auto" w:fill="auto"/>
        <w:spacing w:before="312" w:beforeLines="100" w:after="312" w:afterLines="100" w:line="440" w:lineRule="exact"/>
        <w:jc w:val="center"/>
        <w:outlineLvl w:val="2"/>
        <w:rPr>
          <w:rFonts w:hint="eastAsia" w:ascii="宋体"/>
          <w:b/>
          <w:color w:val="auto"/>
          <w:sz w:val="28"/>
          <w:szCs w:val="28"/>
          <w:highlight w:val="none"/>
        </w:rPr>
      </w:pPr>
      <w:r>
        <w:rPr>
          <w:rFonts w:hint="eastAsia" w:ascii="宋体"/>
          <w:b/>
          <w:color w:val="auto"/>
          <w:sz w:val="28"/>
          <w:szCs w:val="28"/>
          <w:highlight w:val="none"/>
        </w:rPr>
        <w:t>（三）投标文件的编制</w:t>
      </w:r>
      <w:bookmarkEnd w:id="20"/>
    </w:p>
    <w:p w14:paraId="19D62441">
      <w:pPr>
        <w:shd w:val="clear" w:color="auto" w:fill="auto"/>
        <w:spacing w:line="440" w:lineRule="exact"/>
        <w:rPr>
          <w:rFonts w:hint="eastAsia" w:ascii="宋体" w:cs="宋体"/>
          <w:b/>
          <w:color w:val="auto"/>
          <w:szCs w:val="21"/>
          <w:highlight w:val="none"/>
        </w:rPr>
      </w:pPr>
      <w:r>
        <w:rPr>
          <w:rFonts w:hint="eastAsia"/>
          <w:b/>
          <w:color w:val="auto"/>
          <w:szCs w:val="21"/>
          <w:highlight w:val="none"/>
          <w:lang w:val="en-US" w:eastAsia="zh-CN"/>
        </w:rPr>
        <w:t>19</w:t>
      </w:r>
      <w:r>
        <w:rPr>
          <w:rFonts w:hint="eastAsia"/>
          <w:b/>
          <w:color w:val="auto"/>
          <w:szCs w:val="21"/>
          <w:highlight w:val="none"/>
        </w:rPr>
        <w:t xml:space="preserve">. </w:t>
      </w:r>
      <w:r>
        <w:rPr>
          <w:rFonts w:hint="eastAsia" w:ascii="宋体" w:cs="宋体"/>
          <w:b/>
          <w:color w:val="auto"/>
          <w:szCs w:val="21"/>
          <w:highlight w:val="none"/>
        </w:rPr>
        <w:t>投标的语言及度量衡单位</w:t>
      </w:r>
    </w:p>
    <w:p w14:paraId="4C41D750">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.1</w:t>
      </w:r>
      <w:r>
        <w:rPr>
          <w:rFonts w:ascii="宋体" w:hAnsi="宋体"/>
          <w:color w:val="auto"/>
          <w:szCs w:val="21"/>
          <w:highlight w:val="none"/>
        </w:rPr>
        <w:t>投标人</w:t>
      </w:r>
      <w:r>
        <w:rPr>
          <w:rFonts w:hint="eastAsia" w:ascii="宋体" w:hAnsi="宋体"/>
          <w:color w:val="auto"/>
          <w:szCs w:val="21"/>
          <w:highlight w:val="none"/>
        </w:rPr>
        <w:t>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3B5DF6CF">
      <w:pPr>
        <w:shd w:val="clear" w:color="auto" w:fill="auto"/>
        <w:spacing w:line="440" w:lineRule="exact"/>
        <w:ind w:firstLine="287" w:firstLineChars="135"/>
        <w:rPr>
          <w:rFonts w:hint="eastAsia" w:ascii="宋体"/>
          <w:color w:val="auto"/>
          <w:szCs w:val="21"/>
          <w:highlight w:val="none"/>
        </w:rPr>
      </w:pPr>
      <w:r>
        <w:rPr>
          <w:rFonts w:hint="eastAsia" w:ascii="宋体"/>
          <w:color w:val="auto"/>
          <w:szCs w:val="21"/>
          <w:highlight w:val="none"/>
          <w:lang w:val="en-US" w:eastAsia="zh-CN"/>
        </w:rPr>
        <w:t>19</w:t>
      </w:r>
      <w:r>
        <w:rPr>
          <w:rFonts w:hint="eastAsia" w:ascii="宋体"/>
          <w:color w:val="auto"/>
          <w:szCs w:val="21"/>
          <w:highlight w:val="none"/>
        </w:rPr>
        <w:t>.2除</w:t>
      </w:r>
      <w:r>
        <w:rPr>
          <w:rFonts w:hint="eastAsia" w:ascii="宋体"/>
          <w:color w:val="auto"/>
          <w:szCs w:val="21"/>
          <w:highlight w:val="none"/>
          <w:lang w:eastAsia="zh-CN"/>
        </w:rPr>
        <w:t>采购文件</w:t>
      </w:r>
      <w:r>
        <w:rPr>
          <w:rFonts w:hint="eastAsia" w:ascii="宋体"/>
          <w:color w:val="auto"/>
          <w:szCs w:val="21"/>
          <w:highlight w:val="none"/>
        </w:rPr>
        <w:t>中另有规定外，投标书所使用的度量衡均须采用法定计量单位。</w:t>
      </w:r>
    </w:p>
    <w:p w14:paraId="476D525D">
      <w:pPr>
        <w:shd w:val="clear" w:color="auto" w:fill="auto"/>
        <w:spacing w:line="400" w:lineRule="exact"/>
        <w:rPr>
          <w:rFonts w:hint="eastAsia" w:ascii="宋体" w:hAnsi="宋体"/>
          <w:b/>
          <w:color w:val="auto"/>
          <w:szCs w:val="21"/>
          <w:highlight w:val="none"/>
        </w:rPr>
      </w:pPr>
      <w:r>
        <w:rPr>
          <w:rFonts w:hint="eastAsia"/>
          <w:b/>
          <w:color w:val="auto"/>
          <w:szCs w:val="21"/>
          <w:highlight w:val="none"/>
        </w:rPr>
        <w:t>2</w:t>
      </w:r>
      <w:r>
        <w:rPr>
          <w:rFonts w:hint="eastAsia"/>
          <w:b/>
          <w:color w:val="auto"/>
          <w:szCs w:val="21"/>
          <w:highlight w:val="none"/>
          <w:lang w:val="en-US" w:eastAsia="zh-CN"/>
        </w:rPr>
        <w:t>0</w:t>
      </w:r>
      <w:r>
        <w:rPr>
          <w:rFonts w:hint="eastAsia"/>
          <w:b/>
          <w:color w:val="auto"/>
          <w:szCs w:val="21"/>
          <w:highlight w:val="none"/>
        </w:rPr>
        <w:t xml:space="preserve">. </w:t>
      </w:r>
      <w:r>
        <w:rPr>
          <w:rFonts w:hint="eastAsia" w:ascii="宋体" w:hAnsi="宋体"/>
          <w:b/>
          <w:color w:val="auto"/>
          <w:szCs w:val="21"/>
          <w:highlight w:val="none"/>
        </w:rPr>
        <w:t>投标文件的组成</w:t>
      </w:r>
    </w:p>
    <w:p w14:paraId="15C89FEF">
      <w:pPr>
        <w:shd w:val="clear" w:color="auto" w:fill="auto"/>
        <w:spacing w:line="400" w:lineRule="exact"/>
        <w:ind w:firstLine="426" w:firstLineChars="200"/>
        <w:rPr>
          <w:rFonts w:hint="eastAsia" w:ascii="宋体"/>
          <w:color w:val="auto"/>
          <w:szCs w:val="21"/>
          <w:highlight w:val="none"/>
        </w:rPr>
      </w:pPr>
      <w:r>
        <w:rPr>
          <w:rFonts w:hint="eastAsia" w:ascii="宋体" w:hAnsi="宋体"/>
          <w:color w:val="auto"/>
          <w:szCs w:val="21"/>
          <w:highlight w:val="none"/>
        </w:rPr>
        <w:t>资格证明文件和商务及技术文件两部分。</w:t>
      </w:r>
    </w:p>
    <w:p w14:paraId="135C1450">
      <w:pPr>
        <w:shd w:val="clear" w:color="auto" w:fill="auto"/>
        <w:spacing w:line="440" w:lineRule="exact"/>
        <w:rPr>
          <w:rFonts w:hint="eastAsia" w:ascii="宋体" w:eastAsia="宋体"/>
          <w:b/>
          <w:color w:val="auto"/>
          <w:sz w:val="24"/>
          <w:szCs w:val="24"/>
          <w:highlight w:val="none"/>
          <w:lang w:eastAsia="zh-CN"/>
        </w:rPr>
      </w:pPr>
      <w:r>
        <w:rPr>
          <w:rFonts w:hint="eastAsia" w:ascii="宋体"/>
          <w:b/>
          <w:bCs w:val="0"/>
          <w:color w:val="auto"/>
          <w:sz w:val="21"/>
          <w:szCs w:val="21"/>
          <w:highlight w:val="none"/>
        </w:rPr>
        <w:t>2</w:t>
      </w:r>
      <w:r>
        <w:rPr>
          <w:rFonts w:hint="eastAsia" w:ascii="宋体"/>
          <w:b/>
          <w:bCs w:val="0"/>
          <w:color w:val="auto"/>
          <w:sz w:val="21"/>
          <w:szCs w:val="21"/>
          <w:highlight w:val="none"/>
          <w:lang w:val="en-US" w:eastAsia="zh-CN"/>
        </w:rPr>
        <w:t>0</w:t>
      </w:r>
      <w:r>
        <w:rPr>
          <w:rFonts w:hint="eastAsia" w:ascii="宋体"/>
          <w:b/>
          <w:bCs w:val="0"/>
          <w:color w:val="auto"/>
          <w:sz w:val="21"/>
          <w:szCs w:val="21"/>
          <w:highlight w:val="none"/>
        </w:rPr>
        <w:t>.1资格证明文件</w:t>
      </w:r>
      <w:r>
        <w:rPr>
          <w:rFonts w:hint="eastAsia" w:ascii="宋体"/>
          <w:b/>
          <w:bCs w:val="0"/>
          <w:color w:val="auto"/>
          <w:sz w:val="21"/>
          <w:szCs w:val="21"/>
          <w:highlight w:val="none"/>
          <w:lang w:eastAsia="zh-CN"/>
        </w:rPr>
        <w:t>（包括但不限于）</w:t>
      </w:r>
    </w:p>
    <w:p w14:paraId="264EA53D">
      <w:pPr>
        <w:shd w:val="clear" w:color="auto" w:fill="auto"/>
        <w:spacing w:line="440" w:lineRule="exact"/>
        <w:ind w:firstLine="312" w:firstLineChars="147"/>
        <w:rPr>
          <w:rFonts w:hint="eastAsia" w:hAnsi="宋体"/>
          <w:color w:val="auto"/>
          <w:szCs w:val="21"/>
          <w:highlight w:val="none"/>
        </w:rPr>
      </w:pPr>
      <w:r>
        <w:rPr>
          <w:rFonts w:hint="eastAsia" w:hAnsi="宋体"/>
          <w:color w:val="auto"/>
          <w:szCs w:val="21"/>
          <w:highlight w:val="none"/>
        </w:rPr>
        <w:t>资格证明</w:t>
      </w:r>
      <w:r>
        <w:rPr>
          <w:rFonts w:hint="eastAsia" w:hAnsi="宋体"/>
          <w:color w:val="auto"/>
          <w:szCs w:val="21"/>
          <w:highlight w:val="none"/>
          <w:lang w:eastAsia="zh-CN"/>
        </w:rPr>
        <w:t>文件</w:t>
      </w:r>
      <w:r>
        <w:rPr>
          <w:rFonts w:hint="eastAsia" w:hAnsi="宋体"/>
          <w:color w:val="auto"/>
          <w:szCs w:val="21"/>
          <w:highlight w:val="none"/>
        </w:rPr>
        <w:t>是证明投标人有资格参加投标和中标后有能力履行合同的文件，这些文件应能满足招标的要求，否则作无效投标处理。</w:t>
      </w:r>
    </w:p>
    <w:p w14:paraId="47DC1378">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 1、法人或者非法人组织的营业执照等证明文件复印件（须加盖本单位章）或自然人的身份证明复印件;</w:t>
      </w:r>
    </w:p>
    <w:p w14:paraId="2589CCFD">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p>
    <w:p w14:paraId="6F207EB4">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p>
    <w:p w14:paraId="2223CB4C">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cs="Times New Roman"/>
          <w:color w:val="auto"/>
          <w:szCs w:val="21"/>
          <w:highlight w:val="none"/>
          <w:lang w:val="en-US" w:eastAsia="zh-CN"/>
        </w:rPr>
        <w:t>投标保证金汇款凭证或投标担保函</w:t>
      </w:r>
      <w:r>
        <w:rPr>
          <w:rFonts w:hint="eastAsia" w:ascii="宋体" w:hAnsi="宋体" w:eastAsia="宋体" w:cs="Times New Roman"/>
          <w:color w:val="auto"/>
          <w:szCs w:val="21"/>
          <w:highlight w:val="none"/>
          <w:lang w:val="en-US" w:eastAsia="zh-CN"/>
        </w:rPr>
        <w:t>；</w:t>
      </w:r>
    </w:p>
    <w:p w14:paraId="752B7055">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kern w:val="2"/>
          <w:sz w:val="21"/>
          <w:szCs w:val="21"/>
          <w:highlight w:val="none"/>
          <w:lang w:val="en-US" w:eastAsia="zh-CN" w:bidi="ar-SA"/>
        </w:rPr>
        <w:t>投标企业须提供投标人（被授权人）</w:t>
      </w:r>
      <w:r>
        <w:rPr>
          <w:rFonts w:hint="eastAsia" w:cs="宋体"/>
          <w:kern w:val="2"/>
          <w:sz w:val="21"/>
          <w:szCs w:val="21"/>
          <w:highlight w:val="none"/>
          <w:lang w:val="en-US" w:eastAsia="zh-CN" w:bidi="ar-SA"/>
        </w:rPr>
        <w:t>近6个月内任何1月已依法缴纳社会保险的凭</w:t>
      </w:r>
      <w:r>
        <w:rPr>
          <w:rFonts w:hint="eastAsia" w:cs="宋体"/>
          <w:color w:val="auto"/>
          <w:kern w:val="2"/>
          <w:sz w:val="21"/>
          <w:szCs w:val="21"/>
          <w:highlight w:val="none"/>
          <w:lang w:val="en-US" w:eastAsia="zh-CN" w:bidi="ar-SA"/>
        </w:rPr>
        <w:t>据</w:t>
      </w:r>
      <w:r>
        <w:rPr>
          <w:rFonts w:hint="eastAsia" w:ascii="宋体" w:hAnsi="宋体" w:cs="宋体"/>
          <w:color w:val="auto"/>
          <w:sz w:val="21"/>
          <w:szCs w:val="21"/>
          <w:highlight w:val="none"/>
          <w:lang w:eastAsia="zh-CN"/>
        </w:rPr>
        <w:t>（被授权在职人员）近6个月内任何1月已依法缴纳社会保险的凭据（依法不需要缴纳社会保障资金的供应商，应提供相应证明文件，新成立企业需提供资信证明）</w:t>
      </w:r>
      <w:r>
        <w:rPr>
          <w:rFonts w:hint="eastAsia" w:ascii="宋体" w:hAnsi="宋体" w:eastAsia="宋体" w:cs="宋体"/>
          <w:color w:val="auto"/>
          <w:kern w:val="2"/>
          <w:sz w:val="21"/>
          <w:szCs w:val="21"/>
          <w:highlight w:val="none"/>
          <w:lang w:val="en-US" w:eastAsia="zh-CN" w:bidi="ar-SA"/>
        </w:rPr>
        <w:t>；</w:t>
      </w:r>
    </w:p>
    <w:p w14:paraId="6E496401">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14:paraId="79A184A5">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r>
        <w:rPr>
          <w:rFonts w:hint="eastAsia" w:ascii="宋体" w:hAnsi="宋体" w:eastAsia="宋体" w:cs="宋体"/>
          <w:kern w:val="2"/>
          <w:sz w:val="21"/>
          <w:szCs w:val="21"/>
          <w:highlight w:val="none"/>
          <w:lang w:val="en-US" w:eastAsia="zh-CN" w:bidi="ar-SA"/>
        </w:rPr>
        <w:t>参加采购活动前三年内未被“信用中国”（www.creditchina.gov.cn）、中国政府采购网（www.ccgp.gov.cn）列入失信被执行人、重大税收违法案件当事人名单、政府采购严重违法失信行为记录名单；</w:t>
      </w:r>
    </w:p>
    <w:p w14:paraId="2ABB9B73">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w:t>
      </w:r>
      <w:r>
        <w:rPr>
          <w:rFonts w:hint="eastAsia" w:ascii="宋体" w:hAnsi="宋体" w:cs="宋体"/>
          <w:kern w:val="2"/>
          <w:sz w:val="21"/>
          <w:szCs w:val="21"/>
          <w:highlight w:val="none"/>
          <w:lang w:val="en-US" w:eastAsia="zh-CN" w:bidi="ar-SA"/>
        </w:rPr>
        <w:t>投标人经国家保险监督管理机构批准在中华人民共和国境内设立和营业，并依法被核定许可责任保险业务【依据有效期内的保险许可证（分公司或中心支公司的保险机构投标的，须提供《经营保险业务许可证》或《保险许可证》；总公司投标的，须提供《保险公司法人许可证》或《保险许可证》）】</w:t>
      </w:r>
    </w:p>
    <w:p w14:paraId="34D81569">
      <w:pPr>
        <w:shd w:val="clear" w:color="auto" w:fill="auto"/>
        <w:spacing w:line="440" w:lineRule="exact"/>
        <w:rPr>
          <w:rFonts w:hint="eastAsia" w:ascii="Times New Roman" w:hAnsi="宋体" w:eastAsia="宋体" w:cs="Times New Roman"/>
          <w:color w:val="auto"/>
          <w:sz w:val="21"/>
          <w:szCs w:val="21"/>
          <w:highlight w:val="none"/>
        </w:rPr>
      </w:pP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0</w:t>
      </w:r>
      <w:r>
        <w:rPr>
          <w:rFonts w:hint="eastAsia" w:ascii="宋体" w:hAnsi="宋体" w:cs="宋体"/>
          <w:b/>
          <w:color w:val="auto"/>
          <w:sz w:val="21"/>
          <w:szCs w:val="21"/>
          <w:highlight w:val="none"/>
        </w:rPr>
        <w:t>.2</w:t>
      </w:r>
      <w:r>
        <w:rPr>
          <w:rFonts w:hint="eastAsia" w:ascii="宋体" w:hAnsi="宋体" w:cs="宋体"/>
          <w:b/>
          <w:color w:val="auto"/>
          <w:sz w:val="21"/>
          <w:szCs w:val="21"/>
          <w:highlight w:val="none"/>
          <w:lang w:val="en-US" w:eastAsia="zh-CN"/>
        </w:rPr>
        <w:t xml:space="preserve"> 商务及技术文件</w:t>
      </w:r>
      <w:r>
        <w:rPr>
          <w:rFonts w:hint="eastAsia" w:ascii="宋体"/>
          <w:b/>
          <w:color w:val="auto"/>
          <w:sz w:val="21"/>
          <w:szCs w:val="21"/>
          <w:highlight w:val="none"/>
          <w:lang w:eastAsia="zh-CN"/>
        </w:rPr>
        <w:t>（包括但不限于）</w:t>
      </w:r>
    </w:p>
    <w:p w14:paraId="0E1DB30C">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1、投标函</w:t>
      </w:r>
    </w:p>
    <w:p w14:paraId="4EE91BFE">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2、开标一览表</w:t>
      </w:r>
    </w:p>
    <w:p w14:paraId="31F21F70">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、投标分项报价表</w:t>
      </w:r>
    </w:p>
    <w:p w14:paraId="1F5721DF">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、技术规格偏离表</w:t>
      </w:r>
    </w:p>
    <w:p w14:paraId="6902701D">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、商务条款偏离表</w:t>
      </w:r>
    </w:p>
    <w:p w14:paraId="50FE5889">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、投标人基本情况表</w:t>
      </w:r>
    </w:p>
    <w:p w14:paraId="41C48A0C">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近三年（2023年至今）类似项目业绩表</w:t>
      </w:r>
    </w:p>
    <w:p w14:paraId="175D71C5">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、《残疾人福利性单位声明函》</w:t>
      </w:r>
    </w:p>
    <w:p w14:paraId="0805B867">
      <w:pPr>
        <w:shd w:val="clear" w:color="auto" w:fill="auto"/>
        <w:spacing w:line="440" w:lineRule="exact"/>
        <w:ind w:firstLine="287" w:firstLineChars="135"/>
        <w:rPr>
          <w:rFonts w:hint="eastAsia"/>
          <w:color w:val="auto"/>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、投标人关联单位的说明</w:t>
      </w:r>
    </w:p>
    <w:p w14:paraId="76E46EF0">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0</w:t>
      </w:r>
      <w:r>
        <w:rPr>
          <w:rFonts w:hint="eastAsia" w:ascii="宋体" w:hAnsi="宋体" w:eastAsia="宋体" w:cs="Times New Roman"/>
          <w:color w:val="auto"/>
          <w:szCs w:val="21"/>
          <w:highlight w:val="none"/>
          <w:lang w:val="en-US" w:eastAsia="zh-CN"/>
        </w:rPr>
        <w:t>、评分标准和细则中技术部分证明材料</w:t>
      </w:r>
    </w:p>
    <w:p w14:paraId="089B6976">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、评分标准和细则中技术部分证明材料（格式自拟）</w:t>
      </w:r>
    </w:p>
    <w:p w14:paraId="291D5819">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、投标人认为有必要提供的其他证明材料（格式自拟）</w:t>
      </w:r>
    </w:p>
    <w:p w14:paraId="65FC712E">
      <w:pPr>
        <w:shd w:val="clear" w:color="auto" w:fill="auto"/>
        <w:spacing w:line="400" w:lineRule="exact"/>
        <w:ind w:firstLine="422" w:firstLineChars="199"/>
        <w:rPr>
          <w:rFonts w:hint="eastAsia" w:ascii="宋体" w:eastAsia="宋体"/>
          <w:color w:val="auto"/>
          <w:szCs w:val="21"/>
          <w:highlight w:val="none"/>
          <w:lang w:eastAsia="zh-CN"/>
        </w:rPr>
      </w:pPr>
      <w:r>
        <w:rPr>
          <w:rFonts w:hint="eastAsia" w:ascii="宋体" w:hAnsi="宋体" w:eastAsia="宋体" w:cs="宋体"/>
          <w:b/>
          <w:color w:val="auto"/>
          <w:kern w:val="0"/>
          <w:szCs w:val="21"/>
          <w:highlight w:val="none"/>
          <w:u w:val="single"/>
        </w:rPr>
        <w:t>注：以上材料须</w:t>
      </w:r>
      <w:r>
        <w:rPr>
          <w:rFonts w:hint="eastAsia" w:ascii="宋体" w:hAnsi="宋体" w:eastAsia="宋体" w:cs="宋体"/>
          <w:b/>
          <w:color w:val="auto"/>
          <w:kern w:val="0"/>
          <w:szCs w:val="21"/>
          <w:highlight w:val="none"/>
          <w:u w:val="single"/>
          <w:lang w:eastAsia="zh-CN"/>
        </w:rPr>
        <w:t>逐页</w:t>
      </w:r>
      <w:r>
        <w:rPr>
          <w:rFonts w:hint="eastAsia" w:ascii="宋体" w:hAnsi="宋体" w:eastAsia="宋体" w:cs="宋体"/>
          <w:b/>
          <w:color w:val="auto"/>
          <w:kern w:val="0"/>
          <w:szCs w:val="21"/>
          <w:highlight w:val="none"/>
          <w:u w:val="single"/>
        </w:rPr>
        <w:t>加盖单位公章</w:t>
      </w:r>
      <w:r>
        <w:rPr>
          <w:rFonts w:hint="eastAsia" w:ascii="宋体" w:hAnsi="宋体" w:eastAsia="宋体" w:cs="宋体"/>
          <w:b/>
          <w:color w:val="auto"/>
          <w:kern w:val="0"/>
          <w:szCs w:val="21"/>
          <w:highlight w:val="none"/>
          <w:u w:val="single"/>
          <w:lang w:eastAsia="zh-CN"/>
        </w:rPr>
        <w:t>。</w:t>
      </w:r>
    </w:p>
    <w:p w14:paraId="7DCDC7DA">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0</w:t>
      </w:r>
      <w:r>
        <w:rPr>
          <w:rFonts w:hint="eastAsia" w:ascii="宋体"/>
          <w:color w:val="auto"/>
          <w:szCs w:val="21"/>
          <w:highlight w:val="none"/>
        </w:rPr>
        <w:t>.</w:t>
      </w:r>
      <w:r>
        <w:rPr>
          <w:rFonts w:hint="eastAsia" w:ascii="宋体"/>
          <w:color w:val="auto"/>
          <w:szCs w:val="21"/>
          <w:highlight w:val="none"/>
          <w:lang w:val="en-US" w:eastAsia="zh-CN"/>
        </w:rPr>
        <w:t>3</w:t>
      </w:r>
      <w:r>
        <w:rPr>
          <w:rFonts w:hint="eastAsia" w:ascii="宋体" w:hAnsi="宋体" w:eastAsia="宋体" w:cs="Times New Roman"/>
          <w:color w:val="auto"/>
          <w:szCs w:val="21"/>
          <w:highlight w:val="none"/>
          <w:lang w:eastAsia="zh-CN"/>
        </w:rPr>
        <w:t>投标文件的要求</w:t>
      </w:r>
    </w:p>
    <w:p w14:paraId="3868759F">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36C67079">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）投标文件格式应按本采购文件第六章格式要求编制，不得对采购文件格式进行增删更改，否则按无效标处理。</w:t>
      </w:r>
    </w:p>
    <w:p w14:paraId="034B015D">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 xml:space="preserve">）对采购文件格式可更改的例外情况：采购文件第六章附件格式要求中明确规定表格中行数不够用时可按相同格式增加行数，其他一切内容和格式不得更改。 </w:t>
      </w:r>
    </w:p>
    <w:p w14:paraId="406B7468">
      <w:pPr>
        <w:shd w:val="clear" w:color="auto" w:fill="auto"/>
        <w:spacing w:line="400" w:lineRule="exact"/>
        <w:ind w:firstLine="422" w:firstLineChars="199"/>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lang w:eastAsia="zh-CN"/>
        </w:rPr>
        <w:t>）投标文件为电子投标文件，电子投标文件按“政采云供应商项目采购-电子招投标操作指南”及本采购文件要求制作、加密传输。</w:t>
      </w:r>
    </w:p>
    <w:p w14:paraId="51AC8D97">
      <w:pPr>
        <w:shd w:val="clear" w:color="auto" w:fill="auto"/>
        <w:spacing w:line="400" w:lineRule="exact"/>
        <w:ind w:firstLine="422" w:firstLineChars="199"/>
        <w:rPr>
          <w:rFonts w:hint="eastAsia" w:ascii="宋体"/>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lang w:eastAsia="zh-CN"/>
        </w:rPr>
        <w:t>）投标文件未在投标截止时间前完成传输的，视为投标文件撤回；投标文件未按时解密也未提供备份投标文件的，亦视为投标文件撤回。</w:t>
      </w:r>
    </w:p>
    <w:p w14:paraId="56E42B59">
      <w:pPr>
        <w:shd w:val="clear" w:color="auto" w:fill="auto"/>
        <w:spacing w:line="440" w:lineRule="exact"/>
        <w:rPr>
          <w:rFonts w:hint="eastAsia" w:ascii="宋体"/>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1</w:t>
      </w:r>
      <w:r>
        <w:rPr>
          <w:rFonts w:hint="eastAsia" w:ascii="宋体"/>
          <w:color w:val="auto"/>
          <w:szCs w:val="21"/>
          <w:highlight w:val="none"/>
        </w:rPr>
        <w:t>.</w:t>
      </w:r>
      <w:r>
        <w:rPr>
          <w:rFonts w:hint="eastAsia" w:ascii="宋体"/>
          <w:b/>
          <w:color w:val="auto"/>
          <w:szCs w:val="21"/>
          <w:highlight w:val="none"/>
        </w:rPr>
        <w:t>投标报价</w:t>
      </w:r>
    </w:p>
    <w:p w14:paraId="7690692B">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.1投标报价文件中的单价和总价全部采用人民币表示。</w:t>
      </w:r>
    </w:p>
    <w:p w14:paraId="124E7608">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.2投标报价表上应清楚标明投标人拟提供</w:t>
      </w:r>
      <w:r>
        <w:rPr>
          <w:rFonts w:hint="eastAsia" w:ascii="宋体"/>
          <w:color w:val="auto"/>
          <w:szCs w:val="21"/>
          <w:highlight w:val="none"/>
          <w:lang w:val="en-US" w:eastAsia="zh-CN"/>
        </w:rPr>
        <w:t>货物（服务）</w:t>
      </w:r>
      <w:r>
        <w:rPr>
          <w:rFonts w:hint="eastAsia" w:ascii="宋体"/>
          <w:color w:val="auto"/>
          <w:szCs w:val="21"/>
          <w:highlight w:val="none"/>
        </w:rPr>
        <w:t>的名称、数量、单价和总价。</w:t>
      </w:r>
    </w:p>
    <w:p w14:paraId="2767245E">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.3投标人只允许有一个方案、一个报价。</w:t>
      </w:r>
    </w:p>
    <w:p w14:paraId="5845701F">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.4投标人应按“采购内容及技术参数要求”所列</w:t>
      </w:r>
      <w:r>
        <w:rPr>
          <w:rFonts w:hint="eastAsia" w:ascii="宋体"/>
          <w:color w:val="auto"/>
          <w:szCs w:val="21"/>
          <w:highlight w:val="none"/>
          <w:lang w:val="en-US" w:eastAsia="zh-CN"/>
        </w:rPr>
        <w:t>服务</w:t>
      </w:r>
      <w:r>
        <w:rPr>
          <w:rFonts w:hint="eastAsia" w:ascii="宋体"/>
          <w:color w:val="auto"/>
          <w:szCs w:val="21"/>
          <w:highlight w:val="none"/>
        </w:rPr>
        <w:t>逐项进行单价报价，并最终按</w:t>
      </w:r>
      <w:r>
        <w:rPr>
          <w:rFonts w:hint="eastAsia" w:ascii="宋体"/>
          <w:color w:val="auto"/>
          <w:szCs w:val="21"/>
          <w:highlight w:val="none"/>
          <w:lang w:val="en-US" w:eastAsia="zh-CN"/>
        </w:rPr>
        <w:t>服务</w:t>
      </w:r>
      <w:r>
        <w:rPr>
          <w:rFonts w:hint="eastAsia" w:ascii="宋体"/>
          <w:color w:val="auto"/>
          <w:szCs w:val="21"/>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70395366">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.5投标报价的价格是</w:t>
      </w:r>
      <w:r>
        <w:rPr>
          <w:rFonts w:hint="eastAsia" w:ascii="宋体"/>
          <w:color w:val="auto"/>
          <w:szCs w:val="21"/>
          <w:highlight w:val="none"/>
          <w:lang w:val="en-US" w:eastAsia="zh-CN"/>
        </w:rPr>
        <w:t>货物及服务</w:t>
      </w:r>
      <w:r>
        <w:rPr>
          <w:rFonts w:hint="eastAsia" w:ascii="宋体"/>
          <w:color w:val="auto"/>
          <w:szCs w:val="21"/>
          <w:highlight w:val="none"/>
        </w:rPr>
        <w:t>交货地验收价格，其总价即为履行合同的固定总价。</w:t>
      </w:r>
    </w:p>
    <w:p w14:paraId="33203A1D">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.6技术要求中规定的安装、调试和培训费用应包括在投标价格中。投标文件报价为含税价，招标人不再为此次招标支付任何费用。</w:t>
      </w:r>
    </w:p>
    <w:p w14:paraId="44552986">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.7投标报价应由法定代表人或被授权人签署。</w:t>
      </w:r>
    </w:p>
    <w:p w14:paraId="7BD4B07A">
      <w:pPr>
        <w:shd w:val="clear" w:color="auto" w:fill="auto"/>
        <w:spacing w:line="440" w:lineRule="exact"/>
        <w:ind w:firstLine="426" w:firstLineChars="200"/>
        <w:rPr>
          <w:rFonts w:hint="eastAsia" w:ascii="宋体"/>
          <w:bCs/>
          <w:color w:val="auto"/>
          <w:szCs w:val="21"/>
          <w:highlight w:val="none"/>
        </w:rPr>
      </w:pPr>
      <w:r>
        <w:rPr>
          <w:rFonts w:hint="eastAsia" w:ascii="宋体"/>
          <w:bCs/>
          <w:color w:val="auto"/>
          <w:szCs w:val="21"/>
          <w:highlight w:val="none"/>
        </w:rPr>
        <w:t>2</w:t>
      </w:r>
      <w:r>
        <w:rPr>
          <w:rFonts w:hint="eastAsia" w:ascii="宋体"/>
          <w:bCs/>
          <w:color w:val="auto"/>
          <w:szCs w:val="21"/>
          <w:highlight w:val="none"/>
          <w:lang w:val="en-US" w:eastAsia="zh-CN"/>
        </w:rPr>
        <w:t>1</w:t>
      </w:r>
      <w:r>
        <w:rPr>
          <w:rFonts w:hint="eastAsia" w:ascii="宋体"/>
          <w:bCs/>
          <w:color w:val="auto"/>
          <w:szCs w:val="21"/>
          <w:highlight w:val="none"/>
        </w:rPr>
        <w:t>.8</w:t>
      </w:r>
      <w:r>
        <w:rPr>
          <w:rFonts w:hint="eastAsia" w:ascii="宋体" w:hAnsi="宋体"/>
          <w:b/>
          <w:color w:val="auto"/>
          <w:szCs w:val="21"/>
          <w:highlight w:val="none"/>
        </w:rPr>
        <w:t>投标人投标总报价，不得高于本次招标设置的最高限价，</w:t>
      </w:r>
      <w:r>
        <w:rPr>
          <w:rFonts w:hint="eastAsia" w:ascii="宋体" w:hAnsi="宋体"/>
          <w:b/>
          <w:bCs/>
          <w:color w:val="auto"/>
          <w:szCs w:val="21"/>
          <w:highlight w:val="none"/>
        </w:rPr>
        <w:t>否则将作为无效投标处理。</w:t>
      </w:r>
    </w:p>
    <w:p w14:paraId="5B494E02">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.9如投标文件中未列明全面实现投标</w:t>
      </w:r>
      <w:r>
        <w:rPr>
          <w:rFonts w:hint="eastAsia" w:ascii="宋体"/>
          <w:color w:val="auto"/>
          <w:szCs w:val="21"/>
          <w:highlight w:val="none"/>
          <w:lang w:val="en-US" w:eastAsia="zh-CN"/>
        </w:rPr>
        <w:t>服务</w:t>
      </w:r>
      <w:r>
        <w:rPr>
          <w:rFonts w:hint="eastAsia" w:ascii="宋体"/>
          <w:color w:val="auto"/>
          <w:szCs w:val="21"/>
          <w:highlight w:val="none"/>
        </w:rPr>
        <w:t>功能而必须配置的配套或辅助设施及相应技术措施的费用，这些费用将被视为已包含在总投标价中。</w:t>
      </w:r>
    </w:p>
    <w:p w14:paraId="5600B653">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.10总投标价中不得包含</w:t>
      </w:r>
      <w:r>
        <w:rPr>
          <w:rFonts w:hint="eastAsia" w:ascii="宋体"/>
          <w:color w:val="auto"/>
          <w:szCs w:val="21"/>
          <w:highlight w:val="none"/>
          <w:lang w:eastAsia="zh-CN"/>
        </w:rPr>
        <w:t>采购文件</w:t>
      </w:r>
      <w:r>
        <w:rPr>
          <w:rFonts w:hint="eastAsia" w:ascii="宋体"/>
          <w:color w:val="auto"/>
          <w:szCs w:val="21"/>
          <w:highlight w:val="none"/>
        </w:rPr>
        <w:t>要求以外的内容，否则，在评标时不予核减，但在授予合同时，招标人有权将这部分价格从其中标价格中扣除。</w:t>
      </w:r>
    </w:p>
    <w:p w14:paraId="4B32F6FD">
      <w:pPr>
        <w:shd w:val="clear" w:color="auto" w:fill="auto"/>
        <w:spacing w:line="440" w:lineRule="exact"/>
        <w:ind w:firstLine="408" w:firstLineChars="192"/>
        <w:rPr>
          <w:rFonts w:hint="default" w:ascii="宋体" w:eastAsia="宋体"/>
          <w:color w:val="auto"/>
          <w:szCs w:val="21"/>
          <w:highlight w:val="none"/>
          <w:lang w:val="en-US" w:eastAsia="zh-CN"/>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.11总投标价中不得缺漏</w:t>
      </w:r>
      <w:r>
        <w:rPr>
          <w:rFonts w:hint="eastAsia" w:ascii="宋体"/>
          <w:color w:val="auto"/>
          <w:szCs w:val="21"/>
          <w:highlight w:val="none"/>
          <w:lang w:eastAsia="zh-CN"/>
        </w:rPr>
        <w:t>采购文件</w:t>
      </w:r>
      <w:r>
        <w:rPr>
          <w:rFonts w:hint="eastAsia" w:ascii="宋体"/>
          <w:color w:val="auto"/>
          <w:szCs w:val="21"/>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color w:val="auto"/>
          <w:szCs w:val="21"/>
          <w:highlight w:val="none"/>
          <w:lang w:val="en-US" w:eastAsia="zh-CN"/>
        </w:rPr>
        <w:t xml:space="preserve">    </w:t>
      </w:r>
    </w:p>
    <w:p w14:paraId="2BA4DE61">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.12投标人不得对从第三方采购</w:t>
      </w:r>
      <w:r>
        <w:rPr>
          <w:rFonts w:hint="eastAsia" w:ascii="宋体"/>
          <w:color w:val="auto"/>
          <w:szCs w:val="21"/>
          <w:highlight w:val="none"/>
          <w:lang w:val="en-US" w:eastAsia="zh-CN"/>
        </w:rPr>
        <w:t>货物及服务</w:t>
      </w:r>
      <w:r>
        <w:rPr>
          <w:rFonts w:hint="eastAsia" w:ascii="宋体"/>
          <w:color w:val="auto"/>
          <w:szCs w:val="21"/>
          <w:highlight w:val="none"/>
        </w:rPr>
        <w:t>的随机备品、备件另行收费，否则在计算评标价时这部分费用将不予扣除，在授予合同时将从中标价格中扣除该部分费用。</w:t>
      </w:r>
    </w:p>
    <w:p w14:paraId="505FE944">
      <w:pPr>
        <w:shd w:val="clear" w:color="auto" w:fill="auto"/>
        <w:spacing w:line="440" w:lineRule="exact"/>
        <w:ind w:firstLine="408"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1</w:t>
      </w:r>
      <w:r>
        <w:rPr>
          <w:rFonts w:hint="eastAsia" w:ascii="宋体"/>
          <w:color w:val="auto"/>
          <w:szCs w:val="21"/>
          <w:highlight w:val="none"/>
        </w:rPr>
        <w:t>.13投标人应根据</w:t>
      </w:r>
      <w:r>
        <w:rPr>
          <w:rFonts w:hint="eastAsia" w:ascii="宋体"/>
          <w:color w:val="auto"/>
          <w:szCs w:val="21"/>
          <w:highlight w:val="none"/>
          <w:lang w:val="en-US" w:eastAsia="zh-CN"/>
        </w:rPr>
        <w:t>服务</w:t>
      </w:r>
      <w:r>
        <w:rPr>
          <w:rFonts w:hint="eastAsia" w:ascii="宋体"/>
          <w:color w:val="auto"/>
          <w:szCs w:val="21"/>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14:paraId="08A890CE">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2</w:t>
      </w:r>
      <w:r>
        <w:rPr>
          <w:rFonts w:hint="eastAsia" w:ascii="宋体"/>
          <w:b/>
          <w:color w:val="auto"/>
          <w:szCs w:val="21"/>
          <w:highlight w:val="none"/>
        </w:rPr>
        <w:t>. 投标有效期</w:t>
      </w:r>
    </w:p>
    <w:p w14:paraId="1AED111D">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 除投标人须知前附表另有规定外，投标有效期为60天。</w:t>
      </w:r>
    </w:p>
    <w:p w14:paraId="3B959421">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.2在投标有效期内，投标人撤销或修改其投标文件的，应承担</w:t>
      </w:r>
      <w:r>
        <w:rPr>
          <w:rFonts w:hint="eastAsia" w:ascii="宋体"/>
          <w:color w:val="auto"/>
          <w:szCs w:val="21"/>
          <w:highlight w:val="none"/>
          <w:lang w:eastAsia="zh-CN"/>
        </w:rPr>
        <w:t>采购文件</w:t>
      </w:r>
      <w:r>
        <w:rPr>
          <w:rFonts w:hint="eastAsia" w:ascii="宋体"/>
          <w:color w:val="auto"/>
          <w:szCs w:val="21"/>
          <w:highlight w:val="none"/>
        </w:rPr>
        <w:t>和法律规定的责任。</w:t>
      </w:r>
    </w:p>
    <w:p w14:paraId="62949429">
      <w:pPr>
        <w:shd w:val="clear" w:color="auto" w:fill="auto"/>
        <w:spacing w:line="44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1C97F08">
      <w:pPr>
        <w:shd w:val="clear" w:color="auto" w:fill="auto"/>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3</w:t>
      </w:r>
      <w:r>
        <w:rPr>
          <w:rFonts w:hint="eastAsia" w:ascii="宋体"/>
          <w:b/>
          <w:color w:val="auto"/>
          <w:szCs w:val="21"/>
          <w:highlight w:val="none"/>
        </w:rPr>
        <w:t>. 投标保证金</w:t>
      </w:r>
    </w:p>
    <w:p w14:paraId="3D8B89EB">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4B8918DD">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.2自中标通知书发出之日起5个工作日内退还未中标投标人的投标保证金，自政府采购合同签订之日起5个工作日内退还中标人的投标保证金。</w:t>
      </w:r>
    </w:p>
    <w:p w14:paraId="6401F7A8">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 xml:space="preserve">.3有下列情形之一的，投标保证金将不予退还： </w:t>
      </w:r>
    </w:p>
    <w:p w14:paraId="274C9B86">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（1）投标人在规定的投标有效期内撤回或修改其投标文件；</w:t>
      </w:r>
    </w:p>
    <w:p w14:paraId="2039E65E">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（2）中标通知书发出后三十天内，中标人无正当理由拒签合同协议书或未按</w:t>
      </w:r>
      <w:r>
        <w:rPr>
          <w:rFonts w:hint="eastAsia" w:ascii="宋体"/>
          <w:color w:val="auto"/>
          <w:szCs w:val="21"/>
          <w:highlight w:val="none"/>
          <w:lang w:eastAsia="zh-CN"/>
        </w:rPr>
        <w:t>采购文件</w:t>
      </w:r>
      <w:r>
        <w:rPr>
          <w:rFonts w:hint="eastAsia" w:ascii="宋体"/>
          <w:color w:val="auto"/>
          <w:szCs w:val="21"/>
          <w:highlight w:val="none"/>
        </w:rPr>
        <w:t>规定提交履约担保。</w:t>
      </w:r>
    </w:p>
    <w:p w14:paraId="21DC1BE0">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（3）提供虚假材料谋取中标的；</w:t>
      </w:r>
    </w:p>
    <w:p w14:paraId="3B602EE6">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（4）经查实属于陪标、串通投标的等。</w:t>
      </w:r>
    </w:p>
    <w:p w14:paraId="7D7A43DC">
      <w:pPr>
        <w:shd w:val="clear" w:color="auto" w:fill="auto"/>
        <w:spacing w:line="400" w:lineRule="exact"/>
        <w:ind w:firstLine="426" w:firstLineChars="200"/>
        <w:rPr>
          <w:rFonts w:hint="eastAsia" w:ascii="宋体"/>
          <w:color w:val="auto"/>
          <w:szCs w:val="21"/>
          <w:highlight w:val="none"/>
        </w:rPr>
      </w:pPr>
      <w:bookmarkStart w:id="21" w:name="_Toc469495727"/>
      <w:r>
        <w:rPr>
          <w:rFonts w:hint="eastAsia" w:ascii="宋体"/>
          <w:color w:val="auto"/>
          <w:szCs w:val="21"/>
          <w:highlight w:val="none"/>
        </w:rPr>
        <w:t>2</w:t>
      </w:r>
      <w:r>
        <w:rPr>
          <w:rFonts w:hint="eastAsia" w:ascii="宋体"/>
          <w:color w:val="auto"/>
          <w:szCs w:val="21"/>
          <w:highlight w:val="none"/>
          <w:lang w:val="en-US" w:eastAsia="zh-CN"/>
        </w:rPr>
        <w:t>3</w:t>
      </w:r>
      <w:r>
        <w:rPr>
          <w:rFonts w:hint="eastAsia" w:ascii="宋体"/>
          <w:color w:val="auto"/>
          <w:szCs w:val="21"/>
          <w:highlight w:val="none"/>
        </w:rPr>
        <w:t>.4投标保证金按</w:t>
      </w:r>
      <w:r>
        <w:rPr>
          <w:rFonts w:hint="eastAsia" w:ascii="宋体"/>
          <w:color w:val="auto"/>
          <w:szCs w:val="21"/>
          <w:highlight w:val="none"/>
          <w:lang w:eastAsia="zh-CN"/>
        </w:rPr>
        <w:t>投标人须知前附表第</w:t>
      </w:r>
      <w:r>
        <w:rPr>
          <w:rFonts w:hint="eastAsia" w:ascii="宋体"/>
          <w:color w:val="auto"/>
          <w:szCs w:val="21"/>
          <w:highlight w:val="none"/>
          <w:lang w:val="en-US" w:eastAsia="zh-CN"/>
        </w:rPr>
        <w:t>24条</w:t>
      </w:r>
      <w:r>
        <w:rPr>
          <w:rFonts w:hint="eastAsia" w:ascii="宋体"/>
          <w:color w:val="auto"/>
          <w:szCs w:val="21"/>
          <w:highlight w:val="none"/>
        </w:rPr>
        <w:t>规定执行。</w:t>
      </w:r>
    </w:p>
    <w:p w14:paraId="4E72C06E">
      <w:pPr>
        <w:pStyle w:val="4"/>
        <w:shd w:val="clear" w:color="auto" w:fill="auto"/>
        <w:bidi w:val="0"/>
        <w:jc w:val="center"/>
        <w:outlineLvl w:val="2"/>
        <w:rPr>
          <w:rFonts w:hint="eastAsia"/>
          <w:color w:val="auto"/>
          <w:sz w:val="28"/>
          <w:szCs w:val="28"/>
          <w:highlight w:val="none"/>
        </w:rPr>
      </w:pPr>
      <w:r>
        <w:rPr>
          <w:rFonts w:hint="eastAsia"/>
          <w:color w:val="auto"/>
          <w:sz w:val="28"/>
          <w:szCs w:val="28"/>
          <w:highlight w:val="none"/>
        </w:rPr>
        <w:t>（四）</w:t>
      </w:r>
      <w:bookmarkEnd w:id="21"/>
      <w:r>
        <w:rPr>
          <w:rFonts w:hint="eastAsia"/>
          <w:color w:val="auto"/>
          <w:sz w:val="28"/>
          <w:szCs w:val="28"/>
          <w:highlight w:val="none"/>
        </w:rPr>
        <w:t>投标文件的制作、上传及递交要求</w:t>
      </w:r>
    </w:p>
    <w:p w14:paraId="05A8F1E8">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投标文件的制作要求</w:t>
      </w:r>
    </w:p>
    <w:p w14:paraId="53314657">
      <w:pPr>
        <w:pStyle w:val="6"/>
        <w:shd w:val="clear" w:color="auto" w:fill="auto"/>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（1）供应商应按照投标文件组成内容及项目招标需求和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政府采购云平台要求制作投标文件，不按采购文件和</w:t>
      </w:r>
      <w:r>
        <w:rPr>
          <w:rFonts w:hint="eastAsia" w:ascii="宋体" w:hAnsi="宋体" w:eastAsia="宋体" w:cs="宋体"/>
          <w:b w:val="0"/>
          <w:bCs/>
          <w:color w:val="auto"/>
          <w:sz w:val="21"/>
          <w:szCs w:val="21"/>
          <w:highlight w:val="none"/>
          <w:lang w:eastAsia="zh-CN"/>
        </w:rPr>
        <w:t>新疆</w:t>
      </w:r>
      <w:r>
        <w:rPr>
          <w:rFonts w:hint="eastAsia" w:ascii="宋体" w:hAnsi="宋体" w:eastAsia="宋体" w:cs="宋体"/>
          <w:b w:val="0"/>
          <w:bCs/>
          <w:color w:val="auto"/>
          <w:sz w:val="21"/>
          <w:szCs w:val="21"/>
          <w:highlight w:val="none"/>
        </w:rPr>
        <w:t>政府采购云平台要求制作投标文件的将视情况处理（拒收等），由此产生的责任由供应商自行承担。</w:t>
      </w:r>
    </w:p>
    <w:p w14:paraId="58EE54FA">
      <w:pPr>
        <w:pStyle w:val="6"/>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Cs/>
          <w:color w:val="auto"/>
          <w:sz w:val="21"/>
          <w:szCs w:val="21"/>
          <w:highlight w:val="none"/>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14:paraId="1CB6C1EF">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（2）供应商应对所提供的全部资料的真实性、有效性承担法律责任，电子投标文件中所须加盖公章部分均采用CA签章。</w:t>
      </w:r>
    </w:p>
    <w:p w14:paraId="059757FE">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（3）投标文件以及供应商与采购组织机构就有关投标事宜的所有来往函电，均应以中文汉语书写。除签字、盖章、专用名称等特殊情形外，以中文汉语以外的文字表述的投标文件视同未提供。</w:t>
      </w:r>
    </w:p>
    <w:p w14:paraId="168B9CD8">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（4）投标计量单位，采购文件已有明确规定的，使用采购文件规定的计量单位；采购文件没有规定的，应采用中华人民共和国法定计量单位（货币单位：人民币元）。</w:t>
      </w:r>
    </w:p>
    <w:p w14:paraId="1BC5A4ED">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（5）若供应商不按采购文件的要求提供资格审查材料，其风险由供应商自行承担。</w:t>
      </w:r>
    </w:p>
    <w:p w14:paraId="62D2B444">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（6）与本次投标无关的内容请不要制作在内，确保投标文件有针对性、简洁明了。</w:t>
      </w:r>
    </w:p>
    <w:p w14:paraId="0975C218">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投标文件的上传</w:t>
      </w:r>
    </w:p>
    <w:p w14:paraId="1DAE6AE4">
      <w:pPr>
        <w:pStyle w:val="6"/>
        <w:shd w:val="clear" w:color="auto" w:fill="auto"/>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bidi="zh-CN"/>
        </w:rPr>
        <w:t>电子加密投标文件（“.jmbs”格式）</w:t>
      </w:r>
      <w:r>
        <w:rPr>
          <w:rFonts w:hint="eastAsia" w:ascii="宋体" w:hAnsi="宋体" w:eastAsia="宋体" w:cs="宋体"/>
          <w:b/>
          <w:bCs/>
          <w:color w:val="auto"/>
          <w:sz w:val="21"/>
          <w:szCs w:val="21"/>
          <w:highlight w:val="none"/>
        </w:rPr>
        <w:t>：</w:t>
      </w:r>
    </w:p>
    <w:p w14:paraId="584BD8C0">
      <w:pPr>
        <w:pStyle w:val="6"/>
        <w:shd w:val="clear" w:color="auto" w:fill="auto"/>
        <w:snapToGrid w:val="0"/>
        <w:spacing w:line="360" w:lineRule="auto"/>
        <w:ind w:firstLine="532" w:firstLineChars="250"/>
        <w:rPr>
          <w:rFonts w:hint="eastAsia" w:ascii="宋体" w:hAnsi="宋体" w:eastAsia="宋体" w:cs="宋体"/>
          <w:b w:val="0"/>
          <w:bCs/>
          <w:color w:val="auto"/>
          <w:sz w:val="21"/>
          <w:szCs w:val="21"/>
          <w:highlight w:val="none"/>
          <w:lang w:bidi="zh-CN"/>
        </w:rPr>
      </w:pPr>
      <w:r>
        <w:rPr>
          <w:rFonts w:hint="eastAsia" w:ascii="宋体" w:hAnsi="宋体" w:eastAsia="宋体" w:cs="宋体"/>
          <w:b w:val="0"/>
          <w:bCs/>
          <w:color w:val="auto"/>
          <w:sz w:val="21"/>
          <w:szCs w:val="21"/>
          <w:highlight w:val="none"/>
          <w:lang w:bidi="zh-CN"/>
        </w:rPr>
        <w:t>a.</w:t>
      </w:r>
      <w:r>
        <w:rPr>
          <w:rFonts w:hint="eastAsia" w:ascii="宋体" w:hAnsi="宋体" w:eastAsia="宋体" w:cs="宋体"/>
          <w:b w:val="0"/>
          <w:bCs/>
          <w:color w:val="auto"/>
          <w:kern w:val="0"/>
          <w:sz w:val="21"/>
          <w:szCs w:val="21"/>
          <w:highlight w:val="none"/>
        </w:rPr>
        <w:t xml:space="preserve"> </w:t>
      </w:r>
      <w:r>
        <w:rPr>
          <w:rFonts w:hint="eastAsia" w:ascii="宋体" w:hAnsi="宋体" w:eastAsia="宋体" w:cs="宋体"/>
          <w:b w:val="0"/>
          <w:bCs/>
          <w:color w:val="auto"/>
          <w:sz w:val="21"/>
          <w:szCs w:val="21"/>
          <w:highlight w:val="none"/>
          <w:lang w:bidi="zh-CN"/>
        </w:rPr>
        <w:t>供应商应在投标截止时间前将电子加密投标文件成功上传递交至新疆政府采购云平台，否则投标无效；</w:t>
      </w:r>
    </w:p>
    <w:p w14:paraId="0A5B787C">
      <w:pPr>
        <w:pStyle w:val="6"/>
        <w:shd w:val="clear" w:color="auto" w:fill="auto"/>
        <w:snapToGrid w:val="0"/>
        <w:spacing w:line="360" w:lineRule="auto"/>
        <w:ind w:firstLine="532" w:firstLineChars="25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bidi="zh-CN"/>
        </w:rPr>
        <w:t>b.供应商成功上传电子加密投标文件后，可自行打印投标文件接收回执。</w:t>
      </w:r>
    </w:p>
    <w:p w14:paraId="3883066A">
      <w:pPr>
        <w:shd w:val="clear" w:color="auto" w:fill="auto"/>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rPr>
        <w:t>投标文件的递交要求</w:t>
      </w:r>
    </w:p>
    <w:p w14:paraId="36317C44">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（1）供应商须按照采购文件和政采云平台的要求编制并加密投标文件。在投标文件递交截止时间以前完成投标文件的传输递交，截止时间后递交的投标文件，将被拒收。</w:t>
      </w:r>
    </w:p>
    <w:p w14:paraId="5896E9D2">
      <w:pPr>
        <w:shd w:val="clear" w:color="auto" w:fill="auto"/>
        <w:tabs>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）如有特殊情况，采购组织机构延长截止时间和开标时间，采购组织机构和供应商的权利和义务将受到新的截止时间和开标时间的约束。</w:t>
      </w:r>
    </w:p>
    <w:p w14:paraId="23B7E9AE">
      <w:pPr>
        <w:shd w:val="clear" w:color="auto" w:fill="auto"/>
        <w:tabs>
          <w:tab w:val="left" w:pos="1418"/>
        </w:tabs>
        <w:autoSpaceDE w:val="0"/>
        <w:autoSpaceDN w:val="0"/>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27．投标文件的补充、修改与撤回</w:t>
      </w:r>
    </w:p>
    <w:p w14:paraId="13D67AEA">
      <w:pPr>
        <w:shd w:val="clear" w:color="auto" w:fill="auto"/>
        <w:tabs>
          <w:tab w:val="left" w:pos="960"/>
          <w:tab w:val="left" w:pos="1418"/>
        </w:tabs>
        <w:autoSpaceDE w:val="0"/>
        <w:autoSpaceDN w:val="0"/>
        <w:adjustRightInd w:val="0"/>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7D6DC47D">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黑体" w:eastAsia="黑体"/>
          <w:color w:val="auto"/>
          <w:sz w:val="28"/>
          <w:szCs w:val="28"/>
          <w:highlight w:val="none"/>
        </w:rPr>
      </w:pPr>
      <w:bookmarkStart w:id="22" w:name="_Toc469495728"/>
      <w:r>
        <w:rPr>
          <w:rFonts w:hint="eastAsia" w:ascii="黑体" w:eastAsia="黑体"/>
          <w:color w:val="auto"/>
          <w:sz w:val="28"/>
          <w:szCs w:val="28"/>
          <w:highlight w:val="none"/>
        </w:rPr>
        <w:t>（五）开 标、评标和定标</w:t>
      </w:r>
      <w:bookmarkEnd w:id="22"/>
    </w:p>
    <w:p w14:paraId="0C8C8BE1">
      <w:pPr>
        <w:shd w:val="clear" w:color="auto" w:fill="auto"/>
        <w:snapToGri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 开标</w:t>
      </w:r>
    </w:p>
    <w:p w14:paraId="127423E2">
      <w:pPr>
        <w:shd w:val="clear" w:color="auto" w:fill="auto"/>
        <w:snapToGrid w:val="0"/>
        <w:spacing w:line="360" w:lineRule="auto"/>
        <w:rPr>
          <w:rFonts w:hint="eastAsia" w:ascii="宋体" w:hAnsi="宋体" w:eastAsia="宋体" w:cs="宋体"/>
          <w:b/>
          <w:bCs/>
          <w:color w:val="auto"/>
          <w:sz w:val="21"/>
          <w:szCs w:val="21"/>
          <w:highlight w:val="none"/>
          <w:lang w:val="en-US" w:eastAsia="zh-CN"/>
        </w:rPr>
      </w:pPr>
      <w:bookmarkStart w:id="23" w:name="_Toc73975822"/>
      <w:r>
        <w:rPr>
          <w:rFonts w:hint="eastAsia" w:ascii="宋体" w:hAnsi="宋体" w:eastAsia="宋体" w:cs="宋体"/>
          <w:b/>
          <w:bCs/>
          <w:color w:val="auto"/>
          <w:sz w:val="21"/>
          <w:szCs w:val="21"/>
          <w:highlight w:val="none"/>
          <w:lang w:val="en-US" w:eastAsia="zh-CN"/>
        </w:rPr>
        <w:t>28.1开标邀请</w:t>
      </w:r>
      <w:bookmarkEnd w:id="23"/>
    </w:p>
    <w:p w14:paraId="3C1C68E4">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开标准备：本项目开标的准备工作由采购组织机构负责落实，开标过程由采购组织机构负责记录；</w:t>
      </w:r>
    </w:p>
    <w:p w14:paraId="767EEB2B">
      <w:pPr>
        <w:pStyle w:val="14"/>
        <w:shd w:val="clear" w:color="auto" w:fill="auto"/>
        <w:snapToGrid w:val="0"/>
        <w:spacing w:line="360" w:lineRule="auto"/>
        <w:ind w:firstLine="426"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开标主持：本项目开标由采购人或者采购代理机构主持；</w:t>
      </w:r>
    </w:p>
    <w:p w14:paraId="5F01E214">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开标邀请：本项目采用电子交易，采购组织机构将按照采购文件规定的时间通过“</w:t>
      </w:r>
      <w:r>
        <w:rPr>
          <w:rFonts w:hint="eastAsia" w:ascii="宋体" w:hAnsi="宋体" w:eastAsia="宋体" w:cs="宋体"/>
          <w:b w:val="0"/>
          <w:color w:val="auto"/>
          <w:sz w:val="21"/>
          <w:szCs w:val="21"/>
          <w:highlight w:val="none"/>
          <w:lang w:eastAsia="zh-CN"/>
        </w:rPr>
        <w:t>新疆</w:t>
      </w:r>
      <w:r>
        <w:rPr>
          <w:rFonts w:hint="eastAsia" w:ascii="宋体" w:hAnsi="宋体" w:eastAsia="宋体" w:cs="宋体"/>
          <w:b w:val="0"/>
          <w:color w:val="auto"/>
          <w:sz w:val="21"/>
          <w:szCs w:val="21"/>
          <w:highlight w:val="none"/>
        </w:rPr>
        <w:t>政府采购云平台，网址：</w:t>
      </w:r>
      <w:r>
        <w:rPr>
          <w:rFonts w:hint="eastAsia" w:ascii="宋体" w:hAnsi="宋体" w:eastAsia="宋体" w:cs="宋体"/>
          <w:b w:val="0"/>
          <w:color w:val="auto"/>
          <w:sz w:val="21"/>
          <w:szCs w:val="21"/>
          <w:highlight w:val="none"/>
        </w:rPr>
        <w:fldChar w:fldCharType="begin"/>
      </w:r>
      <w:r>
        <w:rPr>
          <w:rFonts w:hint="eastAsia" w:ascii="宋体" w:hAnsi="宋体" w:eastAsia="宋体" w:cs="宋体"/>
          <w:b w:val="0"/>
          <w:color w:val="auto"/>
          <w:sz w:val="21"/>
          <w:szCs w:val="21"/>
          <w:highlight w:val="none"/>
        </w:rPr>
        <w:instrText xml:space="preserve">HYPERLINK "http://www.zcygov.cn"</w:instrText>
      </w:r>
      <w:r>
        <w:rPr>
          <w:rFonts w:hint="eastAsia" w:ascii="宋体" w:hAnsi="宋体" w:eastAsia="宋体" w:cs="宋体"/>
          <w:b w:val="0"/>
          <w:color w:val="auto"/>
          <w:sz w:val="21"/>
          <w:szCs w:val="21"/>
          <w:highlight w:val="none"/>
        </w:rPr>
        <w:fldChar w:fldCharType="separate"/>
      </w:r>
      <w:r>
        <w:rPr>
          <w:rStyle w:val="38"/>
          <w:rFonts w:hint="eastAsia" w:ascii="宋体" w:hAnsi="宋体" w:eastAsia="宋体" w:cs="宋体"/>
          <w:b w:val="0"/>
          <w:color w:val="auto"/>
          <w:sz w:val="21"/>
          <w:szCs w:val="21"/>
          <w:highlight w:val="none"/>
          <w:u w:val="none"/>
        </w:rPr>
        <w:t>www.zcygov.cn</w:t>
      </w:r>
      <w:r>
        <w:rPr>
          <w:rFonts w:hint="eastAsia" w:ascii="宋体" w:hAnsi="宋体" w:eastAsia="宋体" w:cs="宋体"/>
          <w:color w:val="auto"/>
          <w:sz w:val="21"/>
          <w:szCs w:val="21"/>
          <w:highlight w:val="none"/>
        </w:rPr>
        <w:fldChar w:fldCharType="end"/>
      </w:r>
      <w:r>
        <w:rPr>
          <w:rFonts w:hint="eastAsia" w:ascii="宋体" w:hAnsi="宋体" w:eastAsia="宋体" w:cs="宋体"/>
          <w:b w:val="0"/>
          <w:color w:val="auto"/>
          <w:sz w:val="21"/>
          <w:szCs w:val="21"/>
          <w:highlight w:val="none"/>
        </w:rPr>
        <w:t>”组织开标、开启投标响应文件，所有供应商均应当准时在线参加。</w:t>
      </w:r>
    </w:p>
    <w:p w14:paraId="4870405A">
      <w:pPr>
        <w:pStyle w:val="14"/>
        <w:shd w:val="clear" w:color="auto" w:fill="auto"/>
        <w:snapToGrid w:val="0"/>
        <w:spacing w:line="360" w:lineRule="auto"/>
        <w:ind w:firstLine="426"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647E9B46">
      <w:pPr>
        <w:shd w:val="clear" w:color="auto" w:fill="auto"/>
        <w:snapToGrid w:val="0"/>
        <w:spacing w:line="360" w:lineRule="auto"/>
        <w:outlineLvl w:val="9"/>
        <w:rPr>
          <w:rFonts w:hint="eastAsia" w:ascii="宋体" w:hAnsi="宋体" w:eastAsia="宋体" w:cs="宋体"/>
          <w:b/>
          <w:color w:val="auto"/>
          <w:sz w:val="21"/>
          <w:szCs w:val="21"/>
          <w:highlight w:val="none"/>
        </w:rPr>
      </w:pPr>
      <w:bookmarkStart w:id="24" w:name="_Toc73975823"/>
      <w:r>
        <w:rPr>
          <w:rFonts w:hint="eastAsia" w:ascii="宋体" w:hAnsi="宋体" w:eastAsia="宋体" w:cs="宋体"/>
          <w:b/>
          <w:color w:val="auto"/>
          <w:sz w:val="21"/>
          <w:szCs w:val="21"/>
          <w:highlight w:val="none"/>
          <w:lang w:val="en-US" w:eastAsia="zh-CN"/>
        </w:rPr>
        <w:t>28.2</w:t>
      </w:r>
      <w:r>
        <w:rPr>
          <w:rFonts w:hint="eastAsia" w:ascii="宋体" w:hAnsi="宋体" w:eastAsia="宋体" w:cs="宋体"/>
          <w:b/>
          <w:bCs/>
          <w:color w:val="auto"/>
          <w:sz w:val="21"/>
          <w:szCs w:val="21"/>
          <w:highlight w:val="none"/>
        </w:rPr>
        <w:t>开标程序（先资格、商务技术后报价）</w:t>
      </w:r>
      <w:bookmarkEnd w:id="24"/>
    </w:p>
    <w:p w14:paraId="0DBC7A41">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开标时间到后，主持人宣布开标会议开始。</w:t>
      </w:r>
    </w:p>
    <w:p w14:paraId="694EDA96">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w:t>
      </w:r>
      <w:r>
        <w:rPr>
          <w:rFonts w:hint="eastAsia" w:ascii="宋体" w:hAnsi="宋体" w:eastAsia="宋体" w:cs="宋体"/>
          <w:b/>
          <w:color w:val="auto"/>
          <w:kern w:val="0"/>
          <w:sz w:val="21"/>
          <w:szCs w:val="21"/>
          <w:highlight w:val="none"/>
        </w:rPr>
        <w:t>解密规定见《供应商须知前附表》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33B366E">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投标文件解密异常情况处理（</w:t>
      </w:r>
      <w:r>
        <w:rPr>
          <w:rFonts w:hint="eastAsia" w:ascii="宋体" w:hAnsi="宋体" w:eastAsia="宋体" w:cs="宋体"/>
          <w:b/>
          <w:color w:val="auto"/>
          <w:kern w:val="0"/>
          <w:sz w:val="21"/>
          <w:szCs w:val="21"/>
          <w:highlight w:val="none"/>
        </w:rPr>
        <w:t>处理办法见《供应商须知前附表》</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9017FF9">
      <w:pPr>
        <w:shd w:val="clear" w:color="auto" w:fill="auto"/>
        <w:snapToGrid w:val="0"/>
        <w:spacing w:line="360" w:lineRule="auto"/>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公布投标文件解密情况（投标文件成功解密的供应商名单等信息）。</w:t>
      </w:r>
    </w:p>
    <w:p w14:paraId="776E16C2">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开启标书信息（资格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文件、商务技术文件）。标书信息开启后，首先由采购人或采购代理机构</w:t>
      </w:r>
      <w:r>
        <w:rPr>
          <w:rFonts w:hint="eastAsia" w:ascii="宋体" w:hAnsi="宋体" w:eastAsia="宋体" w:cs="宋体"/>
          <w:color w:val="auto"/>
          <w:kern w:val="0"/>
          <w:sz w:val="21"/>
          <w:szCs w:val="21"/>
          <w:highlight w:val="none"/>
          <w:lang w:eastAsia="zh-CN"/>
        </w:rPr>
        <w:t>或评审小组</w:t>
      </w:r>
      <w:r>
        <w:rPr>
          <w:rFonts w:hint="eastAsia" w:ascii="宋体" w:hAnsi="宋体" w:eastAsia="宋体" w:cs="宋体"/>
          <w:color w:val="auto"/>
          <w:kern w:val="0"/>
          <w:sz w:val="21"/>
          <w:szCs w:val="21"/>
          <w:highlight w:val="none"/>
        </w:rPr>
        <w:t>依法对投标供应商的资格</w:t>
      </w:r>
      <w:r>
        <w:rPr>
          <w:rFonts w:hint="eastAsia" w:ascii="宋体" w:hAnsi="宋体" w:eastAsia="宋体" w:cs="宋体"/>
          <w:color w:val="auto"/>
          <w:kern w:val="0"/>
          <w:sz w:val="21"/>
          <w:szCs w:val="21"/>
          <w:highlight w:val="none"/>
          <w:lang w:eastAsia="zh-CN"/>
        </w:rPr>
        <w:t>证明</w:t>
      </w:r>
      <w:r>
        <w:rPr>
          <w:rFonts w:hint="eastAsia" w:ascii="宋体" w:hAnsi="宋体" w:eastAsia="宋体" w:cs="宋体"/>
          <w:color w:val="auto"/>
          <w:kern w:val="0"/>
          <w:sz w:val="21"/>
          <w:szCs w:val="21"/>
          <w:highlight w:val="none"/>
        </w:rPr>
        <w:t>文件进行审查， 审查结束公布投标供应商的资格符合情况。资格审查未获通过的供应商，其商务技术文件及报价文件不再进入评审。</w:t>
      </w:r>
    </w:p>
    <w:p w14:paraId="2E5B9F59">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商务技术评审结束后，主持人公布商务技术评审无效投标供应商名单和商务技术评审有效投标供应商名单及其商务技术得分情况</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商务技术评审无效的供应商，其报价不再进入评审。</w:t>
      </w:r>
    </w:p>
    <w:p w14:paraId="642AF921">
      <w:pPr>
        <w:shd w:val="clear" w:color="auto" w:fill="auto"/>
        <w:snapToGrid w:val="0"/>
        <w:spacing w:line="360" w:lineRule="auto"/>
        <w:ind w:firstLine="42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开启有效投标供应商的报价，公布开标一览表有关内容，</w:t>
      </w:r>
      <w:r>
        <w:rPr>
          <w:rFonts w:hint="eastAsia" w:ascii="宋体" w:hAnsi="宋体" w:eastAsia="宋体" w:cs="宋体"/>
          <w:color w:val="auto"/>
          <w:sz w:val="21"/>
          <w:szCs w:val="21"/>
          <w:highlight w:val="none"/>
          <w:lang w:bidi="zh-CN"/>
        </w:rPr>
        <w:t>并【开启签字时段】，供应商对开标纪录进行在线签字确认（不予确认的应说明理由，否则视为无异议）</w:t>
      </w:r>
      <w:r>
        <w:rPr>
          <w:rFonts w:hint="eastAsia" w:ascii="宋体" w:hAnsi="宋体" w:eastAsia="宋体" w:cs="宋体"/>
          <w:color w:val="auto"/>
          <w:kern w:val="0"/>
          <w:sz w:val="21"/>
          <w:szCs w:val="21"/>
          <w:highlight w:val="none"/>
        </w:rPr>
        <w:t>。开标结束后，由评标委员会对报价的合理性、准确性等进行审查核实</w:t>
      </w:r>
      <w:r>
        <w:rPr>
          <w:rFonts w:hint="eastAsia" w:ascii="宋体" w:hAnsi="宋体" w:eastAsia="宋体" w:cs="宋体"/>
          <w:color w:val="auto"/>
          <w:sz w:val="21"/>
          <w:szCs w:val="21"/>
          <w:highlight w:val="none"/>
        </w:rPr>
        <w:t>。</w:t>
      </w:r>
    </w:p>
    <w:p w14:paraId="3203C244">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评审结束后，采购代理机构在系统上公布评审结果。</w:t>
      </w:r>
    </w:p>
    <w:p w14:paraId="7C54C585">
      <w:pPr>
        <w:shd w:val="clear" w:color="auto" w:fill="auto"/>
        <w:snapToGrid w:val="0"/>
        <w:spacing w:line="360" w:lineRule="auto"/>
        <w:ind w:left="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特别情况说明：</w:t>
      </w:r>
    </w:p>
    <w:p w14:paraId="5DF8D02D">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（1）本项目采用电子交易，如遇“</w:t>
      </w:r>
      <w:r>
        <w:rPr>
          <w:rFonts w:hint="eastAsia" w:ascii="宋体" w:hAnsi="宋体" w:eastAsia="宋体" w:cs="宋体"/>
          <w:b/>
          <w:color w:val="auto"/>
          <w:kern w:val="0"/>
          <w:sz w:val="21"/>
          <w:szCs w:val="21"/>
          <w:highlight w:val="none"/>
          <w:lang w:eastAsia="zh-CN"/>
        </w:rPr>
        <w:t>新疆</w:t>
      </w:r>
      <w:r>
        <w:rPr>
          <w:rFonts w:hint="eastAsia" w:ascii="宋体" w:hAnsi="宋体" w:eastAsia="宋体" w:cs="宋体"/>
          <w:b/>
          <w:color w:val="auto"/>
          <w:kern w:val="0"/>
          <w:sz w:val="21"/>
          <w:szCs w:val="21"/>
          <w:highlight w:val="none"/>
        </w:rPr>
        <w:t>政府采购云平台”电子化开标或评审程序调整的，按调整后程序执行。</w:t>
      </w:r>
    </w:p>
    <w:p w14:paraId="752B83D7">
      <w:pPr>
        <w:shd w:val="clear" w:color="auto" w:fill="auto"/>
        <w:snapToGrid w:val="0"/>
        <w:spacing w:line="360" w:lineRule="auto"/>
        <w:ind w:firstLine="376" w:firstLineChars="177"/>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1"/>
          <w:szCs w:val="21"/>
          <w:highlight w:val="none"/>
          <w:u w:val="single"/>
        </w:rPr>
        <w:t>请供应商保证办理投标事宜人员电话畅通、网络在线，签字或盖章确认的时间为20分钟。如未及时签字或盖章确认的，视为无异议</w:t>
      </w:r>
      <w:r>
        <w:rPr>
          <w:rFonts w:hint="eastAsia" w:ascii="宋体" w:hAnsi="宋体" w:eastAsia="宋体" w:cs="宋体"/>
          <w:b/>
          <w:color w:val="auto"/>
          <w:kern w:val="0"/>
          <w:sz w:val="21"/>
          <w:szCs w:val="21"/>
          <w:highlight w:val="none"/>
        </w:rPr>
        <w:t>。</w:t>
      </w:r>
    </w:p>
    <w:p w14:paraId="2579BD5A">
      <w:pPr>
        <w:shd w:val="clear" w:color="auto" w:fill="auto"/>
        <w:snapToGrid w:val="0"/>
        <w:spacing w:line="360" w:lineRule="auto"/>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28.3</w:t>
      </w:r>
      <w:r>
        <w:rPr>
          <w:rFonts w:hint="eastAsia" w:ascii="宋体" w:hAnsi="宋体" w:eastAsia="宋体" w:cs="宋体"/>
          <w:b/>
          <w:color w:val="auto"/>
          <w:kern w:val="0"/>
          <w:sz w:val="21"/>
          <w:szCs w:val="21"/>
          <w:highlight w:val="none"/>
        </w:rPr>
        <w:t xml:space="preserve"> 投标供应商资格审查：</w:t>
      </w:r>
    </w:p>
    <w:p w14:paraId="43295434">
      <w:pPr>
        <w:shd w:val="clear" w:color="auto" w:fill="auto"/>
        <w:snapToGrid w:val="0"/>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kern w:val="0"/>
          <w:sz w:val="21"/>
          <w:szCs w:val="21"/>
          <w:highlight w:val="none"/>
        </w:rPr>
        <w:t>开标（标书信息开启）后，采购人或采购代理机构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bCs/>
          <w:color w:val="auto"/>
          <w:kern w:val="0"/>
          <w:sz w:val="21"/>
          <w:szCs w:val="21"/>
          <w:highlight w:val="none"/>
        </w:rPr>
        <w:t>首先依法对投标供应商的资格文件进行审查，审查各投标供应商的资格符合情况。</w:t>
      </w:r>
      <w:r>
        <w:rPr>
          <w:rFonts w:hint="eastAsia" w:ascii="宋体" w:hAnsi="宋体" w:eastAsia="宋体" w:cs="宋体"/>
          <w:color w:val="auto"/>
          <w:sz w:val="21"/>
          <w:szCs w:val="21"/>
          <w:highlight w:val="none"/>
        </w:rPr>
        <w:t>采购人或采购代理机构</w:t>
      </w:r>
      <w:r>
        <w:rPr>
          <w:rFonts w:hint="eastAsia" w:ascii="宋体" w:hAnsi="宋体" w:eastAsia="宋体" w:cs="宋体"/>
          <w:bCs/>
          <w:color w:val="auto"/>
          <w:kern w:val="0"/>
          <w:sz w:val="21"/>
          <w:szCs w:val="21"/>
          <w:highlight w:val="none"/>
          <w:lang w:eastAsia="zh-CN"/>
        </w:rPr>
        <w:t>或</w:t>
      </w:r>
      <w:r>
        <w:rPr>
          <w:rFonts w:hint="eastAsia" w:ascii="宋体" w:hAnsi="宋体" w:eastAsia="宋体" w:cs="宋体"/>
          <w:color w:val="auto"/>
          <w:kern w:val="0"/>
          <w:sz w:val="21"/>
          <w:szCs w:val="21"/>
          <w:highlight w:val="none"/>
          <w:lang w:eastAsia="zh-CN"/>
        </w:rPr>
        <w:t>评审小组</w:t>
      </w:r>
      <w:r>
        <w:rPr>
          <w:rFonts w:hint="eastAsia" w:ascii="宋体" w:hAnsi="宋体" w:eastAsia="宋体" w:cs="宋体"/>
          <w:color w:val="auto"/>
          <w:sz w:val="21"/>
          <w:szCs w:val="21"/>
          <w:highlight w:val="none"/>
        </w:rPr>
        <w:t>对投标供应商所提交的资格证明材料仅负审核的责任。如发现投标供应商所提交的资格证明材料不合法或与事实不符，采购人可取消其中标资格并追究投标供应商的法律责任。</w:t>
      </w:r>
    </w:p>
    <w:p w14:paraId="746A355E">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0B5FFB8D">
      <w:pPr>
        <w:pStyle w:val="6"/>
        <w:shd w:val="clear" w:color="auto" w:fill="auto"/>
        <w:snapToGrid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kern w:val="0"/>
          <w:sz w:val="21"/>
          <w:szCs w:val="21"/>
          <w:highlight w:val="none"/>
        </w:rPr>
        <w:t>供应商</w:t>
      </w:r>
      <w:r>
        <w:rPr>
          <w:rFonts w:hint="eastAsia" w:ascii="宋体" w:hAnsi="宋体" w:eastAsia="宋体" w:cs="宋体"/>
          <w:b w:val="0"/>
          <w:bCs/>
          <w:color w:val="auto"/>
          <w:sz w:val="21"/>
          <w:szCs w:val="21"/>
          <w:highlight w:val="none"/>
        </w:rPr>
        <w:t>信用记录查询与使用：</w:t>
      </w:r>
      <w:r>
        <w:rPr>
          <w:rFonts w:hint="eastAsia" w:ascii="宋体" w:hAnsi="宋体" w:eastAsia="宋体" w:cs="宋体"/>
          <w:b w:val="0"/>
          <w:bCs/>
          <w:color w:val="auto"/>
          <w:kern w:val="0"/>
          <w:sz w:val="21"/>
          <w:szCs w:val="21"/>
          <w:highlight w:val="none"/>
        </w:rPr>
        <w:t>见《供应商须知前附表》。</w:t>
      </w:r>
    </w:p>
    <w:p w14:paraId="57E0A361">
      <w:pPr>
        <w:shd w:val="clear" w:color="auto" w:fill="auto"/>
        <w:snapToGrid w:val="0"/>
        <w:spacing w:line="360" w:lineRule="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29.评审工作的组织</w:t>
      </w:r>
    </w:p>
    <w:p w14:paraId="2F06480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采购人或采购代理机构负责组织本项目的评审工作，并依据《政府采购货物和服务招标投标管理办法（财政部第87号令）》第四十五条的相关规定履行职责。</w:t>
      </w:r>
    </w:p>
    <w:p w14:paraId="3624AE74">
      <w:pPr>
        <w:shd w:val="clear" w:color="auto" w:fill="auto"/>
        <w:snapToGrid w:val="0"/>
        <w:spacing w:line="360" w:lineRule="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30. 评标委员会的组建</w:t>
      </w:r>
    </w:p>
    <w:p w14:paraId="03CF28D3">
      <w:pPr>
        <w:widowControl/>
        <w:shd w:val="clear" w:color="auto" w:fill="auto"/>
        <w:spacing w:line="440" w:lineRule="exact"/>
        <w:ind w:firstLine="213" w:firstLineChars="100"/>
        <w:rPr>
          <w:rFonts w:hint="eastAsia" w:ascii="宋体"/>
          <w:b/>
          <w:bCs/>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.1</w:t>
      </w:r>
      <w:r>
        <w:rPr>
          <w:rFonts w:hint="eastAsia" w:ascii="宋体"/>
          <w:b/>
          <w:bCs/>
          <w:color w:val="auto"/>
          <w:szCs w:val="21"/>
          <w:highlight w:val="none"/>
        </w:rPr>
        <w:t>评标委员会由采购人或采购代理机构依法组建，成员由采购人代表</w:t>
      </w:r>
      <w:r>
        <w:rPr>
          <w:rFonts w:hint="eastAsia" w:ascii="宋体"/>
          <w:b/>
          <w:bCs/>
          <w:color w:val="auto"/>
          <w:szCs w:val="21"/>
          <w:highlight w:val="none"/>
          <w:lang w:val="en-US" w:eastAsia="zh-CN"/>
        </w:rPr>
        <w:t>1人</w:t>
      </w:r>
      <w:r>
        <w:rPr>
          <w:rFonts w:hint="eastAsia" w:ascii="宋体"/>
          <w:b/>
          <w:bCs/>
          <w:color w:val="auto"/>
          <w:szCs w:val="21"/>
          <w:highlight w:val="none"/>
        </w:rPr>
        <w:t>和评审专家</w:t>
      </w:r>
      <w:r>
        <w:rPr>
          <w:rFonts w:hint="eastAsia" w:ascii="宋体"/>
          <w:b/>
          <w:bCs/>
          <w:color w:val="auto"/>
          <w:szCs w:val="21"/>
          <w:highlight w:val="none"/>
          <w:lang w:val="en-US" w:eastAsia="zh-CN"/>
        </w:rPr>
        <w:t>4人</w:t>
      </w:r>
      <w:r>
        <w:rPr>
          <w:rFonts w:hint="eastAsia" w:ascii="宋体"/>
          <w:b/>
          <w:bCs/>
          <w:color w:val="auto"/>
          <w:szCs w:val="21"/>
          <w:highlight w:val="none"/>
        </w:rPr>
        <w:t>组成，成员人数为</w:t>
      </w:r>
      <w:r>
        <w:rPr>
          <w:rFonts w:hint="eastAsia" w:ascii="宋体"/>
          <w:b/>
          <w:bCs/>
          <w:color w:val="auto"/>
          <w:szCs w:val="21"/>
          <w:highlight w:val="none"/>
          <w:lang w:val="en-US" w:eastAsia="zh-CN"/>
        </w:rPr>
        <w:t>5</w:t>
      </w:r>
      <w:r>
        <w:rPr>
          <w:rFonts w:hint="eastAsia" w:ascii="宋体"/>
          <w:b/>
          <w:bCs/>
          <w:color w:val="auto"/>
          <w:szCs w:val="21"/>
          <w:highlight w:val="none"/>
        </w:rPr>
        <w:t>人，其中评审专家不少于成员总数的三分之二。</w:t>
      </w:r>
    </w:p>
    <w:p w14:paraId="6F722080">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30</w:t>
      </w:r>
      <w:r>
        <w:rPr>
          <w:rFonts w:hint="eastAsia" w:ascii="宋体"/>
          <w:color w:val="auto"/>
          <w:szCs w:val="21"/>
          <w:highlight w:val="none"/>
        </w:rPr>
        <w:t>.2评审专家从</w:t>
      </w:r>
      <w:r>
        <w:rPr>
          <w:rFonts w:hint="eastAsia" w:ascii="宋体"/>
          <w:color w:val="auto"/>
          <w:szCs w:val="21"/>
          <w:highlight w:val="none"/>
          <w:lang w:eastAsia="zh-CN"/>
        </w:rPr>
        <w:t>新疆</w:t>
      </w:r>
      <w:r>
        <w:rPr>
          <w:rFonts w:hint="eastAsia" w:ascii="宋体"/>
          <w:color w:val="auto"/>
          <w:szCs w:val="21"/>
          <w:highlight w:val="none"/>
        </w:rPr>
        <w:t>政府采购云平台专家库中通过随机方式抽取产生。评标委员会成员名单在采购结果公告前保密。</w:t>
      </w:r>
    </w:p>
    <w:p w14:paraId="04AE80F1">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31.评标委员会的职责</w:t>
      </w:r>
    </w:p>
    <w:p w14:paraId="2067FB24">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.1审查、评价投标文件是否符合采购文件的商务、技术等实质性要求。</w:t>
      </w:r>
    </w:p>
    <w:p w14:paraId="473EAC92">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.2要求供应商对投标文件有关事项作出澄清或者说明。</w:t>
      </w:r>
    </w:p>
    <w:p w14:paraId="58E52A8C">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.3对投标文件进行比较和评价。</w:t>
      </w:r>
    </w:p>
    <w:p w14:paraId="626EABFE">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.4确定中标候选人名单，以及根据采购人委托直接确定中标人。</w:t>
      </w:r>
    </w:p>
    <w:p w14:paraId="2A72376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31</w:t>
      </w:r>
      <w:r>
        <w:rPr>
          <w:rFonts w:hint="eastAsia" w:ascii="宋体"/>
          <w:color w:val="auto"/>
          <w:szCs w:val="21"/>
          <w:highlight w:val="none"/>
        </w:rPr>
        <w:t>.5向采购人、采购代理机构或者有关部门报告评审中发现的违法行为。</w:t>
      </w:r>
    </w:p>
    <w:p w14:paraId="678FF225">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32. 评标原则</w:t>
      </w:r>
    </w:p>
    <w:p w14:paraId="16002B00">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.1评标委员会将遵循公平、公正、科学的原则，对供应商提交的投标文件进行综合评审，评标委员会按照采购文件规定的评标细则进行评分。</w:t>
      </w:r>
    </w:p>
    <w:p w14:paraId="177E3C71">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 xml:space="preserve">.2客观公正对待所有供应商，对所有投标评价均采用相同的程序和标准。 </w:t>
      </w:r>
    </w:p>
    <w:p w14:paraId="5461A018">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17B950B6">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32</w:t>
      </w:r>
      <w:r>
        <w:rPr>
          <w:rFonts w:hint="eastAsia" w:ascii="宋体"/>
          <w:color w:val="auto"/>
          <w:szCs w:val="21"/>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4BDEEA43">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 xml:space="preserve">非单一产品采购项目，采购人应当根据采购项目技术构成、产品价格比重等合理确定核心产品，并在采购文件中载明。多家供应商提供的核心产品品牌相同的，按前款规定处理。      </w:t>
      </w:r>
    </w:p>
    <w:p w14:paraId="5CAA1C1D">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33. 评委纪律</w:t>
      </w:r>
    </w:p>
    <w:p w14:paraId="069A2FD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14:paraId="52298FA0">
      <w:pPr>
        <w:widowControl/>
        <w:shd w:val="clear" w:color="auto" w:fill="auto"/>
        <w:spacing w:line="440" w:lineRule="exact"/>
        <w:ind w:firstLine="213" w:firstLineChars="100"/>
        <w:rPr>
          <w:rFonts w:hint="eastAsia" w:ascii="宋体"/>
          <w:color w:val="auto"/>
          <w:szCs w:val="21"/>
          <w:highlight w:val="none"/>
        </w:rPr>
      </w:pPr>
      <w:r>
        <w:rPr>
          <w:rFonts w:hint="eastAsia" w:ascii="宋体" w:hAnsi="宋体" w:eastAsia="宋体" w:cs="宋体"/>
          <w:b/>
          <w:color w:val="auto"/>
          <w:sz w:val="21"/>
          <w:szCs w:val="21"/>
          <w:highlight w:val="none"/>
          <w:lang w:val="en-US" w:eastAsia="zh-CN"/>
        </w:rPr>
        <w:t>34.评标程序</w:t>
      </w:r>
    </w:p>
    <w:p w14:paraId="69C83C44">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 在评审专家中推选评标委员会组长，采购人代表不得担任评标委员会组长。</w:t>
      </w:r>
    </w:p>
    <w:p w14:paraId="0B90BA3C">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12A153EC">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3 评审人员对符合资格的供应商的投标文件的有效性、符合性、完整性和响应程度进行审查，确定是否对采购文件作出实质性响应。</w:t>
      </w:r>
    </w:p>
    <w:p w14:paraId="6667B837">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4 评审人员按采购文件规定的评审方法和评审标准，依法独立对供应商投标文件进行评估、比较，并给予评价或打分，不受任何单位和个人的干预。</w:t>
      </w:r>
    </w:p>
    <w:p w14:paraId="2DCB9E26">
      <w:pPr>
        <w:widowControl/>
        <w:shd w:val="clear" w:color="auto" w:fill="auto"/>
        <w:spacing w:line="440" w:lineRule="exact"/>
        <w:ind w:firstLine="426" w:firstLineChars="200"/>
        <w:rPr>
          <w:rFonts w:hint="eastAsia" w:ascii="宋体" w:hAnsi="宋体" w:eastAsia="宋体" w:cs="宋体"/>
          <w:color w:val="0000FF"/>
          <w:kern w:val="0"/>
          <w:szCs w:val="21"/>
          <w:highlight w:val="none"/>
        </w:rPr>
      </w:pPr>
      <w:r>
        <w:rPr>
          <w:rFonts w:hint="eastAsia" w:ascii="宋体" w:hAnsi="宋体" w:eastAsia="宋体" w:cs="宋体"/>
          <w:color w:val="auto"/>
          <w:kern w:val="0"/>
          <w:szCs w:val="21"/>
          <w:highlight w:val="none"/>
          <w:lang w:val="en-US" w:eastAsia="zh-CN"/>
        </w:rPr>
        <w:t>综合评分法</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lang w:val="en-US" w:eastAsia="zh-CN"/>
        </w:rPr>
        <w:t>项目的价格分值占总分值的比重(即权值)为</w:t>
      </w:r>
      <w:r>
        <w:rPr>
          <w:rFonts w:hint="eastAsia" w:ascii="宋体" w:hAnsi="宋体" w:cs="宋体"/>
          <w:color w:val="auto"/>
          <w:kern w:val="0"/>
          <w:szCs w:val="21"/>
          <w:highlight w:val="none"/>
          <w:lang w:val="en-US" w:eastAsia="zh-CN"/>
        </w:rPr>
        <w:t>15</w:t>
      </w:r>
      <w:r>
        <w:rPr>
          <w:rFonts w:hint="eastAsia" w:ascii="宋体" w:hAnsi="宋体" w:eastAsia="宋体" w:cs="宋体"/>
          <w:color w:val="auto"/>
          <w:kern w:val="0"/>
          <w:szCs w:val="21"/>
          <w:highlight w:val="none"/>
        </w:rPr>
        <w:t>％，采购项目中含不同采购对象的，以占项目资金比例最高的采购对象确定其项目属性。其价格不列为评分因素，有特殊情况需要在上述规定范围外设定价格分权重的。</w:t>
      </w:r>
    </w:p>
    <w:p w14:paraId="70EAD5F9">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综合评分法中的价格分统一采用低价优先法计算，即满足</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文件要求且最后报价最低的供应商的价格为</w:t>
      </w:r>
      <w:r>
        <w:rPr>
          <w:rFonts w:hint="eastAsia" w:ascii="宋体" w:hAnsi="宋体" w:eastAsia="宋体" w:cs="宋体"/>
          <w:color w:val="auto"/>
          <w:kern w:val="0"/>
          <w:szCs w:val="21"/>
          <w:highlight w:val="none"/>
          <w:lang w:eastAsia="zh-CN"/>
        </w:rPr>
        <w:t>招标</w:t>
      </w:r>
      <w:r>
        <w:rPr>
          <w:rFonts w:hint="eastAsia" w:ascii="宋体" w:hAnsi="宋体" w:eastAsia="宋体" w:cs="宋体"/>
          <w:color w:val="auto"/>
          <w:kern w:val="0"/>
          <w:szCs w:val="21"/>
          <w:highlight w:val="none"/>
        </w:rPr>
        <w:t>基准价，其价格分为满分。其他供应商的价格分统一按照下列公式计算：</w:t>
      </w:r>
    </w:p>
    <w:p w14:paraId="7C3275C2">
      <w:pPr>
        <w:widowControl/>
        <w:shd w:val="clear" w:color="auto" w:fill="auto"/>
        <w:spacing w:line="440" w:lineRule="exact"/>
        <w:ind w:firstLine="48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报价得分=（基准价/</w:t>
      </w:r>
      <w:r>
        <w:rPr>
          <w:rFonts w:hint="eastAsia" w:ascii="宋体" w:hAnsi="宋体" w:eastAsia="宋体" w:cs="宋体"/>
          <w:color w:val="auto"/>
          <w:kern w:val="0"/>
          <w:szCs w:val="21"/>
          <w:highlight w:val="none"/>
          <w:lang w:eastAsia="zh-CN"/>
        </w:rPr>
        <w:t>投标</w:t>
      </w:r>
      <w:r>
        <w:rPr>
          <w:rFonts w:hint="eastAsia" w:ascii="宋体" w:hAnsi="宋体" w:eastAsia="宋体" w:cs="宋体"/>
          <w:color w:val="auto"/>
          <w:kern w:val="0"/>
          <w:szCs w:val="21"/>
          <w:highlight w:val="none"/>
        </w:rPr>
        <w:t>报价）×价格权值×100</w:t>
      </w:r>
    </w:p>
    <w:p w14:paraId="79DA3A0E">
      <w:pPr>
        <w:widowControl/>
        <w:shd w:val="clear" w:color="auto" w:fill="auto"/>
        <w:spacing w:line="440" w:lineRule="exact"/>
        <w:ind w:firstLine="480"/>
        <w:rPr>
          <w:rFonts w:hint="eastAsia" w:ascii="宋体"/>
          <w:color w:val="auto"/>
          <w:szCs w:val="21"/>
          <w:highlight w:val="none"/>
          <w:lang w:val="en-US" w:eastAsia="zh-CN"/>
        </w:rPr>
      </w:pPr>
      <w:r>
        <w:rPr>
          <w:rFonts w:hint="eastAsia" w:ascii="宋体" w:hAnsi="宋体" w:eastAsia="宋体" w:cs="宋体"/>
          <w:color w:val="auto"/>
          <w:kern w:val="0"/>
          <w:szCs w:val="21"/>
          <w:highlight w:val="none"/>
        </w:rPr>
        <w:t>项目评审过程中，不得去掉最后报价中的最高报价和最低报价。</w:t>
      </w:r>
    </w:p>
    <w:p w14:paraId="0B216C70">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2B91C08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w:t>
      </w:r>
      <w:r>
        <w:rPr>
          <w:rFonts w:hint="eastAsia" w:ascii="宋体"/>
          <w:color w:val="000000"/>
          <w:szCs w:val="21"/>
          <w:highlight w:val="none"/>
        </w:rPr>
        <w:t>均分</w:t>
      </w:r>
      <w:r>
        <w:rPr>
          <w:rFonts w:hint="eastAsia" w:ascii="宋体"/>
          <w:color w:val="000000"/>
          <w:szCs w:val="21"/>
          <w:highlight w:val="none"/>
          <w:lang w:val="en-US" w:eastAsia="zh-CN"/>
        </w:rPr>
        <w:t>30</w:t>
      </w:r>
      <w:r>
        <w:rPr>
          <w:rFonts w:hint="eastAsia" w:ascii="宋体"/>
          <w:color w:val="000000"/>
          <w:szCs w:val="21"/>
          <w:highlight w:val="none"/>
        </w:rPr>
        <w:t>%以上的</w:t>
      </w:r>
      <w:r>
        <w:rPr>
          <w:rFonts w:hint="eastAsia" w:ascii="宋体"/>
          <w:color w:val="auto"/>
          <w:szCs w:val="21"/>
          <w:highlight w:val="none"/>
        </w:rPr>
        <w:t>）情形的，应由相关人员当场改正或作出书面说明；拒不改正又不作书面说明的，由现场监督员如实记载后存入项目档案资料。</w:t>
      </w:r>
    </w:p>
    <w:p w14:paraId="32254B7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7 评标委员会根据评审汇总情况和采购文件规定确定中标候选供应商排序名单。</w:t>
      </w:r>
    </w:p>
    <w:p w14:paraId="6AFCDDE8">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 xml:space="preserve">8 起草评审报告，所有评审人员须在评审报告上签字确认，对自己的评审意见承担法律责任。 </w:t>
      </w:r>
    </w:p>
    <w:p w14:paraId="5784BCD0">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9 采购组织机构对评标委员会评审专家进行评价。</w:t>
      </w:r>
    </w:p>
    <w:p w14:paraId="2BCD1586">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lang w:val="en-US" w:eastAsia="zh-CN"/>
        </w:rPr>
        <w:t>34.</w:t>
      </w:r>
      <w:r>
        <w:rPr>
          <w:rFonts w:hint="eastAsia" w:ascii="宋体"/>
          <w:color w:val="auto"/>
          <w:szCs w:val="21"/>
          <w:highlight w:val="none"/>
        </w:rPr>
        <w:t>10 修改评审结果</w:t>
      </w:r>
    </w:p>
    <w:p w14:paraId="12753812">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评标结果汇总完成后，除下列情形外，任何人不得修改评标结果：</w:t>
      </w:r>
    </w:p>
    <w:p w14:paraId="7DFA1D09">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（1）分值汇总计算错误的；</w:t>
      </w:r>
    </w:p>
    <w:p w14:paraId="34B1C89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（2）分项评分超出评分标准范围的；</w:t>
      </w:r>
    </w:p>
    <w:p w14:paraId="3A5825ED">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（3）评标委员会成员对客观评审因素评分不一致的；</w:t>
      </w:r>
    </w:p>
    <w:p w14:paraId="018915BB">
      <w:pPr>
        <w:widowControl/>
        <w:shd w:val="clear" w:color="auto" w:fill="auto"/>
        <w:spacing w:line="440" w:lineRule="exact"/>
        <w:ind w:firstLine="213" w:firstLineChars="100"/>
        <w:rPr>
          <w:rFonts w:hint="eastAsia" w:ascii="宋体"/>
          <w:color w:val="auto"/>
          <w:szCs w:val="21"/>
          <w:highlight w:val="none"/>
        </w:rPr>
      </w:pPr>
      <w:r>
        <w:rPr>
          <w:rFonts w:hint="eastAsia" w:ascii="宋体"/>
          <w:color w:val="auto"/>
          <w:szCs w:val="21"/>
          <w:highlight w:val="none"/>
        </w:rPr>
        <w:t>（4）经评标委员会认定评分畸高、畸低的。</w:t>
      </w:r>
    </w:p>
    <w:p w14:paraId="09DE1A2A">
      <w:pPr>
        <w:widowControl/>
        <w:shd w:val="clear" w:color="auto" w:fill="auto"/>
        <w:spacing w:line="440" w:lineRule="exact"/>
        <w:ind w:firstLine="213" w:firstLineChars="100"/>
        <w:rPr>
          <w:rFonts w:hint="eastAsia" w:ascii="宋体" w:hAnsi="宋体" w:eastAsia="宋体" w:cs="宋体"/>
          <w:b/>
          <w:color w:val="auto"/>
          <w:sz w:val="21"/>
          <w:szCs w:val="21"/>
          <w:highlight w:val="none"/>
          <w:lang w:val="en-US" w:eastAsia="zh-CN"/>
        </w:rPr>
      </w:pPr>
      <w:r>
        <w:rPr>
          <w:rFonts w:hint="eastAsia" w:ascii="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28E793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hAnsi="宋体" w:eastAsia="宋体" w:cs="宋体"/>
          <w:b/>
          <w:color w:val="auto"/>
          <w:sz w:val="21"/>
          <w:szCs w:val="21"/>
          <w:highlight w:val="none"/>
          <w:lang w:val="en-US" w:eastAsia="zh-CN"/>
        </w:rPr>
        <w:t>35．澄清、说明或补正的形式</w:t>
      </w:r>
    </w:p>
    <w:p w14:paraId="457A6AB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宋体"/>
          <w:b/>
          <w:bCs/>
          <w:color w:val="auto"/>
          <w:szCs w:val="21"/>
          <w:highlight w:val="none"/>
          <w:lang w:val="en-US" w:eastAsia="zh-CN"/>
        </w:rPr>
        <w:t>投标供应商澄清、说明或补正时间为20分钟</w:t>
      </w:r>
      <w:r>
        <w:rPr>
          <w:rFonts w:hint="eastAsia" w:ascii="宋体"/>
          <w:b w:val="0"/>
          <w:bCs w:val="0"/>
          <w:color w:val="auto"/>
          <w:szCs w:val="21"/>
          <w:highlight w:val="none"/>
          <w:lang w:val="en-US" w:eastAsia="zh-CN"/>
        </w:rPr>
        <w:t>。</w:t>
      </w:r>
    </w:p>
    <w:p w14:paraId="678A842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DFC5CE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3D342E62">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36．错误修正的原则</w:t>
      </w:r>
    </w:p>
    <w:p w14:paraId="6E4E9D0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30CE3CF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14:paraId="155FB58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36.1 投标函中表述的内容与报价表中不一致的，以报价表为准；报价表中的内容与报价明细表不一致的，以报价表为准；</w:t>
      </w:r>
    </w:p>
    <w:p w14:paraId="7F2939C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36.2 投标文件中的大写金额和小写金额不一致的，以大写金额为准；</w:t>
      </w:r>
    </w:p>
    <w:p w14:paraId="2F20071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36.3 单价金额小数点或者百分比有明显错位的，以开标一览表的总价为准，并修改单价；</w:t>
      </w:r>
    </w:p>
    <w:p w14:paraId="64EA4E4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36.4 总价金额与按单价汇总金额不一致的，以单价金额计算结果为准；</w:t>
      </w:r>
    </w:p>
    <w:p w14:paraId="5D6B663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36.5 若用文字表示的数值与用数字表示的数值不一致，以文字表示的数值为准；</w:t>
      </w:r>
    </w:p>
    <w:p w14:paraId="21DEE71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36.6 如有多报（指数量超出采购文件需求）、重报（指同一货物重复报价），其投标总价在评标过程中不予调整，如其中标，其合同价按其投标单价予以调整；</w:t>
      </w:r>
    </w:p>
    <w:p w14:paraId="5889764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36.7 对不同文字文本投标文件的解释发生异议的，以中文文本为准；</w:t>
      </w:r>
    </w:p>
    <w:p w14:paraId="08FDC0FB">
      <w:pPr>
        <w:shd w:val="clear" w:color="auto" w:fill="auto"/>
        <w:spacing w:line="440" w:lineRule="exact"/>
        <w:ind w:firstLine="213" w:firstLineChars="100"/>
        <w:jc w:val="left"/>
        <w:rPr>
          <w:rFonts w:hint="eastAsia" w:ascii="宋体"/>
          <w:b/>
          <w:bCs/>
          <w:color w:val="auto"/>
          <w:szCs w:val="21"/>
          <w:highlight w:val="none"/>
          <w:lang w:val="en-US" w:eastAsia="zh-CN"/>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宋体"/>
          <w:b/>
          <w:bCs/>
          <w:color w:val="auto"/>
          <w:szCs w:val="21"/>
          <w:highlight w:val="none"/>
          <w:lang w:val="en-US" w:eastAsia="zh-CN"/>
        </w:rPr>
        <w:t>修正应当采用电子询标的形式，并加盖公章（电子印章）。</w:t>
      </w:r>
    </w:p>
    <w:p w14:paraId="7B02854C">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37．无效投标文件</w:t>
      </w:r>
    </w:p>
    <w:p w14:paraId="15157B9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有下列情形之一的，投标文件按无效标处理：</w:t>
      </w:r>
    </w:p>
    <w:p w14:paraId="3E26522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 报名的投标人与参加投标的投标人发生实质性变更的且未提供有效证明的；</w:t>
      </w:r>
    </w:p>
    <w:p w14:paraId="1710DEC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37.2投标人提交两份或两份以上内容不同的投标文件，未声明哪一份有效的；</w:t>
      </w:r>
    </w:p>
    <w:p w14:paraId="082BC3E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37.3 投标文件非投标人法定代表人签署的，未提供或提供无效的法定代表人授权书；</w:t>
      </w:r>
    </w:p>
    <w:p w14:paraId="3688C34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37.4 未按招标文件规定装订；</w:t>
      </w:r>
    </w:p>
    <w:p w14:paraId="6BE84F5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37.5 投标文件内容未按招标文件规定签字或盖章的；</w:t>
      </w:r>
    </w:p>
    <w:p w14:paraId="2C1253E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37.6 投标文件组成漏项或未按规定的格式编制或投标文件正、副本份数不足或内容不全或内容字迹模糊辨认不清的等而导致评标活动无法正常进行；</w:t>
      </w:r>
    </w:p>
    <w:p w14:paraId="39456BA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37.7 投标人未按招标文件变更通知更改投标文件的；</w:t>
      </w:r>
    </w:p>
    <w:p w14:paraId="2673C8E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37.8 《开标一览表</w:t>
      </w:r>
      <w:r>
        <w:rPr>
          <w:rFonts w:hint="eastAsia" w:ascii="宋体" w:hAnsi="Times New Roman" w:eastAsia="宋体" w:cs="Times New Roman"/>
          <w:b w:val="0"/>
          <w:bCs w:val="0"/>
          <w:color w:val="auto"/>
          <w:szCs w:val="21"/>
          <w:highlight w:val="none"/>
          <w:lang w:val="en-US" w:eastAsia="zh-CN"/>
        </w:rPr>
        <w:t>》和《投标分项报价表》内容不完</w:t>
      </w:r>
      <w:r>
        <w:rPr>
          <w:rFonts w:hint="eastAsia" w:ascii="宋体"/>
          <w:b w:val="0"/>
          <w:bCs w:val="0"/>
          <w:color w:val="auto"/>
          <w:szCs w:val="21"/>
          <w:highlight w:val="none"/>
          <w:lang w:val="en-US" w:eastAsia="zh-CN"/>
        </w:rPr>
        <w:t>整且不接受修正意见或字迹不能辨认的或未提供；</w:t>
      </w:r>
    </w:p>
    <w:p w14:paraId="243664C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37.9 标项投标报价超过招标文件规定的预算金额或最高限价</w:t>
      </w:r>
    </w:p>
    <w:p w14:paraId="771A0A0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37.10 因投标人原因编制错误造成经评标委员会修正后的报价达到或超过投标报价的0.5%；</w:t>
      </w:r>
    </w:p>
    <w:p w14:paraId="7CCB2C9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37.11 投标人的报价明显低于其他通过符合性审查投标人的报价，有可能影响产品质量或者不能诚信履约的，且在规定时间内不能合理说明原因并提供证明材料的；</w:t>
      </w:r>
    </w:p>
    <w:p w14:paraId="43ADA7C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37.12 未实质性响应招标文件中条款要求的投标文件；</w:t>
      </w:r>
    </w:p>
    <w:p w14:paraId="323F6EF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37.13 不符合招标范围、技术规格、技术标准的要求无法满足采购人使用要求；</w:t>
      </w:r>
    </w:p>
    <w:p w14:paraId="375596C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37.14 投标文件附有采购人不能接受的条款；</w:t>
      </w:r>
    </w:p>
    <w:p w14:paraId="05098E5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37.15 投标文件中提供了赠品或者与本项目采购无关的其他商品、服务；</w:t>
      </w:r>
    </w:p>
    <w:p w14:paraId="0400AB3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37.16 投标文件中承诺的投标有效期少于招标文件中载明的投标有效期；</w:t>
      </w:r>
    </w:p>
    <w:p w14:paraId="0FDF617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37.17投标人串通投标，妨碍其他投标人的竞争行为，损害采购人或者其他投标人的合法权益；</w:t>
      </w:r>
    </w:p>
    <w:p w14:paraId="7947C79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37.18违反国家及政府部门相关法律、法规、文件规定或经评标委员会认定的其他属于重大偏离；</w:t>
      </w:r>
    </w:p>
    <w:p w14:paraId="0007B251">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38．废标</w:t>
      </w:r>
    </w:p>
    <w:p w14:paraId="772B0E03">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38.1 符合招标文件规定废标情形的；</w:t>
      </w:r>
    </w:p>
    <w:p w14:paraId="3474B8A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38.2 出现影响采购公正的违法、违规行为的；</w:t>
      </w:r>
    </w:p>
    <w:p w14:paraId="330ECEB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38.3 供应商的报价均超过了采购预算（或最高限价），采购人不能支付的;</w:t>
      </w:r>
    </w:p>
    <w:p w14:paraId="2021622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38.4 因重大变故，采购任务取消的。</w:t>
      </w:r>
    </w:p>
    <w:p w14:paraId="21F64622">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39．突发情况处理</w:t>
      </w:r>
    </w:p>
    <w:p w14:paraId="7B2A564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39.1 采购过程中出现以下情形，导致电子交易平台无法正常运行，或者无法保证电子交易的公平、公正和安全时，采购组织机构可中止电子交易活动：</w:t>
      </w:r>
    </w:p>
    <w:p w14:paraId="6DE9E76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（1）电子交易平台发生故障而无法登录访问的； </w:t>
      </w:r>
    </w:p>
    <w:p w14:paraId="4F6EF66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（2）电子交易平台应用或数据库出现错误，不能进行正常操作的；</w:t>
      </w:r>
    </w:p>
    <w:p w14:paraId="0A89894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（3）电子交易平台发现严重安全漏洞，有潜在泄密危险的；</w:t>
      </w:r>
    </w:p>
    <w:p w14:paraId="0FA4811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（4）病毒发作导致不能进行正常操作的； </w:t>
      </w:r>
    </w:p>
    <w:p w14:paraId="5A8F5FE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（5）其他无法保证电子交易的公平、公正和安全的情况。</w:t>
      </w:r>
    </w:p>
    <w:p w14:paraId="61495AD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9041514">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39.2 采购代理机构或评审小组因不可抗力（不可抗力包括但不限于自然灾害、断电、传播疫病等）原因造成电子交易活动无法正常运行的，将采取以下措施：</w:t>
      </w:r>
    </w:p>
    <w:p w14:paraId="3B55B0E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（1）短时间内能消除不可抗力因素的，采购代理机构或评审小组在消除不可抗力因素后继续组织电子交易活动；</w:t>
      </w:r>
    </w:p>
    <w:p w14:paraId="0F7AC29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（2）长时间内无法消除不可抗力因素的，采购代理机构或评审小组将中止电子交易活动。中止电子交易活动的，采购人应当重新组织政府采购活动。</w:t>
      </w:r>
    </w:p>
    <w:p w14:paraId="0E77D298">
      <w:pPr>
        <w:shd w:val="clear" w:color="auto" w:fill="auto"/>
        <w:spacing w:line="440" w:lineRule="exact"/>
        <w:ind w:firstLine="213" w:firstLineChars="10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40.定标</w:t>
      </w:r>
    </w:p>
    <w:p w14:paraId="6EE3AB07">
      <w:pPr>
        <w:shd w:val="clear" w:color="auto" w:fill="auto"/>
        <w:spacing w:line="440" w:lineRule="exact"/>
        <w:ind w:firstLine="426" w:firstLineChars="200"/>
        <w:jc w:val="left"/>
        <w:rPr>
          <w:rFonts w:hint="eastAsia" w:ascii="宋体"/>
          <w:b w:val="0"/>
          <w:bCs w:val="0"/>
          <w:color w:val="auto"/>
          <w:szCs w:val="21"/>
          <w:highlight w:val="none"/>
          <w:lang w:val="en-US" w:eastAsia="zh-CN"/>
        </w:rPr>
      </w:pPr>
      <w:bookmarkStart w:id="25" w:name="_Toc469495729"/>
      <w:r>
        <w:rPr>
          <w:rFonts w:hint="eastAsia" w:ascii="宋体"/>
          <w:b w:val="0"/>
          <w:bCs w:val="0"/>
          <w:color w:val="auto"/>
          <w:szCs w:val="21"/>
          <w:highlight w:val="none"/>
          <w:lang w:val="en-US" w:eastAsia="zh-CN"/>
        </w:rPr>
        <w:t>4</w:t>
      </w:r>
      <w:r>
        <w:rPr>
          <w:rFonts w:hint="eastAsia" w:ascii="宋体" w:hAnsi="宋体" w:eastAsia="宋体" w:cs="宋体"/>
          <w:b/>
          <w:color w:val="auto"/>
          <w:sz w:val="21"/>
          <w:szCs w:val="21"/>
          <w:highlight w:val="none"/>
          <w:lang w:val="en-US" w:eastAsia="zh-CN"/>
        </w:rPr>
        <w:t>0</w:t>
      </w:r>
      <w:r>
        <w:rPr>
          <w:rFonts w:hint="eastAsia" w:ascii="宋体"/>
          <w:b w:val="0"/>
          <w:bCs w:val="0"/>
          <w:color w:val="auto"/>
          <w:szCs w:val="21"/>
          <w:highlight w:val="none"/>
          <w:lang w:val="en-US" w:eastAsia="zh-CN"/>
        </w:rPr>
        <w:t>.1采购结果确认（确定中标供应商）</w:t>
      </w:r>
    </w:p>
    <w:p w14:paraId="149EE0E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采购结果确认（确定中标供应商）：本项目由采购人根据评标委员会提交的《评审报告》，通过“政府采购云平台”依法确认采购结果、确定中标供应商。具体流程如下：</w:t>
      </w:r>
    </w:p>
    <w:p w14:paraId="4407215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（1）采购代理机构将在评审结束后2个工作日内将评审报告送采购人。</w:t>
      </w:r>
    </w:p>
    <w:p w14:paraId="387E520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14:paraId="15649B95">
      <w:pPr>
        <w:shd w:val="clear" w:color="auto" w:fill="auto"/>
        <w:spacing w:line="440" w:lineRule="exact"/>
        <w:ind w:firstLine="213" w:firstLineChars="100"/>
        <w:jc w:val="left"/>
        <w:rPr>
          <w:rFonts w:hint="eastAsia" w:ascii="宋体"/>
          <w:b w:val="0"/>
          <w:bCs w:val="0"/>
          <w:color w:val="0000FF"/>
          <w:szCs w:val="21"/>
          <w:highlight w:val="none"/>
          <w:lang w:val="en-US" w:eastAsia="zh-CN"/>
        </w:rPr>
      </w:pPr>
      <w:r>
        <w:rPr>
          <w:rFonts w:hint="eastAsia" w:ascii="宋体"/>
          <w:b w:val="0"/>
          <w:bCs w:val="0"/>
          <w:color w:val="auto"/>
          <w:szCs w:val="21"/>
          <w:highlight w:val="none"/>
          <w:lang w:val="en-US" w:eastAsia="zh-CN"/>
        </w:rPr>
        <w:t>40.2</w:t>
      </w:r>
      <w:r>
        <w:rPr>
          <w:rFonts w:hint="eastAsia" w:ascii="宋体"/>
          <w:b/>
          <w:bCs/>
          <w:color w:val="auto"/>
          <w:szCs w:val="21"/>
          <w:highlight w:val="none"/>
          <w:lang w:val="en-US" w:eastAsia="zh-CN"/>
        </w:rPr>
        <w:t>采购结果经采购人确认后2个工作日内，采购代理机构将在新疆政府采购网（www.zjzfcg.gov.cn）、克州公共资源交易中心网上公告采购结果，中标公告期限为1个工作日。</w:t>
      </w:r>
    </w:p>
    <w:p w14:paraId="28AC92D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 中标通知书</w:t>
      </w:r>
    </w:p>
    <w:p w14:paraId="2E31A8E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41.1</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通知书发出前，招标人将</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侯选人的情况在</w:t>
      </w:r>
      <w:r>
        <w:rPr>
          <w:rFonts w:hint="eastAsia" w:ascii="宋体" w:hAnsi="宋体" w:eastAsia="宋体" w:cs="宋体"/>
          <w:color w:val="auto"/>
          <w:szCs w:val="21"/>
          <w:highlight w:val="none"/>
          <w:lang w:eastAsia="zh-CN"/>
        </w:rPr>
        <w:t>新疆政府采购网、</w:t>
      </w:r>
      <w:r>
        <w:rPr>
          <w:rFonts w:hint="eastAsia" w:ascii="宋体" w:hAnsi="宋体" w:eastAsia="宋体" w:cs="宋体"/>
          <w:color w:val="auto"/>
          <w:szCs w:val="21"/>
          <w:highlight w:val="none"/>
          <w:lang w:val="en-US" w:eastAsia="zh-CN"/>
        </w:rPr>
        <w:t>克州公共资源交易中心网</w:t>
      </w:r>
      <w:r>
        <w:rPr>
          <w:rFonts w:hint="eastAsia" w:ascii="宋体" w:hAnsi="宋体" w:eastAsia="宋体" w:cs="宋体"/>
          <w:color w:val="auto"/>
          <w:szCs w:val="21"/>
          <w:highlight w:val="none"/>
        </w:rPr>
        <w:t>予以公示，</w:t>
      </w:r>
      <w:r>
        <w:rPr>
          <w:rFonts w:hint="eastAsia" w:ascii="宋体" w:hAnsi="宋体" w:eastAsia="宋体" w:cs="宋体"/>
          <w:b/>
          <w:bCs/>
          <w:color w:val="auto"/>
          <w:szCs w:val="21"/>
          <w:highlight w:val="none"/>
        </w:rPr>
        <w:t>公示期为</w:t>
      </w:r>
      <w:r>
        <w:rPr>
          <w:rFonts w:hint="eastAsia" w:ascii="宋体" w:hAnsi="宋体" w:eastAsia="宋体" w:cs="宋体"/>
          <w:b/>
          <w:bCs/>
          <w:color w:val="auto"/>
          <w:szCs w:val="21"/>
          <w:highlight w:val="none"/>
          <w:lang w:eastAsia="zh-CN"/>
        </w:rPr>
        <w:t>一</w:t>
      </w:r>
      <w:r>
        <w:rPr>
          <w:rFonts w:hint="eastAsia" w:ascii="宋体" w:hAnsi="宋体" w:eastAsia="宋体" w:cs="宋体"/>
          <w:b/>
          <w:bCs/>
          <w:color w:val="auto"/>
          <w:szCs w:val="21"/>
          <w:highlight w:val="none"/>
        </w:rPr>
        <w:t>个工作日。</w:t>
      </w:r>
      <w:r>
        <w:rPr>
          <w:rFonts w:hint="eastAsia" w:ascii="宋体" w:hAnsi="宋体" w:eastAsia="宋体" w:cs="宋体"/>
          <w:b/>
          <w:bCs/>
          <w:color w:val="auto"/>
          <w:szCs w:val="21"/>
          <w:highlight w:val="none"/>
          <w:lang w:eastAsia="zh-CN"/>
        </w:rPr>
        <w:t>待公示期结束后，</w:t>
      </w:r>
      <w:r>
        <w:rPr>
          <w:rFonts w:hint="eastAsia" w:ascii="宋体"/>
          <w:b/>
          <w:bCs/>
          <w:color w:val="auto"/>
          <w:szCs w:val="21"/>
          <w:highlight w:val="none"/>
          <w:lang w:val="en-US" w:eastAsia="zh-CN"/>
        </w:rPr>
        <w:t>采购组织机构向中标人发出中标通知书。</w:t>
      </w:r>
    </w:p>
    <w:p w14:paraId="3C034F1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404139CA">
      <w:pPr>
        <w:pStyle w:val="49"/>
        <w:ind w:left="0" w:leftChars="0" w:firstLine="0" w:firstLineChars="0"/>
        <w:rPr>
          <w:rFonts w:hint="eastAsia" w:ascii="宋体"/>
          <w:b w:val="0"/>
          <w:bCs w:val="0"/>
          <w:color w:val="auto"/>
          <w:szCs w:val="21"/>
          <w:highlight w:val="none"/>
          <w:lang w:val="en-US" w:eastAsia="zh-CN"/>
        </w:rPr>
      </w:pPr>
    </w:p>
    <w:p w14:paraId="2F74520E">
      <w:pPr>
        <w:shd w:val="clear" w:color="auto" w:fill="auto"/>
        <w:spacing w:before="156" w:beforeLines="50" w:line="440" w:lineRule="exact"/>
        <w:ind w:firstLine="3113" w:firstLineChars="1100"/>
        <w:jc w:val="both"/>
        <w:outlineLvl w:val="2"/>
        <w:rPr>
          <w:rFonts w:hint="eastAsia" w:ascii="黑体" w:eastAsia="黑体"/>
          <w:color w:val="auto"/>
          <w:sz w:val="24"/>
          <w:highlight w:val="none"/>
        </w:rPr>
      </w:pPr>
      <w:r>
        <w:rPr>
          <w:rFonts w:hint="eastAsia" w:ascii="黑体" w:eastAsia="黑体"/>
          <w:color w:val="auto"/>
          <w:sz w:val="28"/>
          <w:szCs w:val="28"/>
          <w:highlight w:val="none"/>
        </w:rPr>
        <w:t>（六）合同的授予</w:t>
      </w:r>
      <w:bookmarkEnd w:id="25"/>
    </w:p>
    <w:p w14:paraId="2EA839D2">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26" w:name="_Toc73975842"/>
      <w:bookmarkStart w:id="27" w:name="_Toc469495730"/>
      <w:r>
        <w:rPr>
          <w:rFonts w:hint="eastAsia" w:ascii="宋体"/>
          <w:b w:val="0"/>
          <w:bCs w:val="0"/>
          <w:color w:val="auto"/>
          <w:szCs w:val="21"/>
          <w:highlight w:val="none"/>
          <w:lang w:val="en-US" w:eastAsia="zh-CN"/>
        </w:rPr>
        <w:t>42．履约保证金</w:t>
      </w:r>
      <w:bookmarkEnd w:id="26"/>
    </w:p>
    <w:p w14:paraId="1AFA90E2">
      <w:pPr>
        <w:widowControl/>
        <w:spacing w:line="440" w:lineRule="exact"/>
        <w:ind w:firstLine="213" w:firstLineChars="100"/>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42.1 中标供应商在签订合同后5个工作日内向采购人交纳中标价</w:t>
      </w:r>
      <w:r>
        <w:rPr>
          <w:rFonts w:hint="eastAsia" w:ascii="宋体"/>
          <w:b/>
          <w:bCs/>
          <w:color w:val="auto"/>
          <w:szCs w:val="21"/>
          <w:highlight w:val="none"/>
          <w:lang w:val="en-US" w:eastAsia="zh-CN"/>
        </w:rPr>
        <w:t>10%的履约保证金</w:t>
      </w:r>
      <w:r>
        <w:rPr>
          <w:rFonts w:hint="eastAsia" w:ascii="宋体"/>
          <w:b w:val="0"/>
          <w:bCs w:val="0"/>
          <w:color w:val="auto"/>
          <w:szCs w:val="21"/>
          <w:highlight w:val="none"/>
          <w:lang w:val="en-US" w:eastAsia="zh-CN"/>
        </w:rPr>
        <w:t>（</w:t>
      </w:r>
      <w:r>
        <w:rPr>
          <w:rFonts w:hint="eastAsia" w:ascii="宋体" w:hAnsi="宋体" w:cs="宋体"/>
          <w:color w:val="auto"/>
          <w:kern w:val="0"/>
          <w:szCs w:val="21"/>
          <w:highlight w:val="none"/>
          <w:lang w:eastAsia="zh-CN"/>
        </w:rPr>
        <w:t>本项目履约保证金接收保函形式</w:t>
      </w:r>
      <w:r>
        <w:rPr>
          <w:rFonts w:hint="eastAsia" w:ascii="宋体"/>
          <w:b w:val="0"/>
          <w:bCs w:val="0"/>
          <w:color w:val="auto"/>
          <w:szCs w:val="21"/>
          <w:highlight w:val="none"/>
          <w:lang w:val="en-US" w:eastAsia="zh-CN"/>
        </w:rPr>
        <w:t>；若以电汇、银行转账方式提交的，必须转到采购人的指定账户）。</w:t>
      </w:r>
    </w:p>
    <w:p w14:paraId="297D2D3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42.2 签订合同后，如中标供应商不按合同约定履约的，履约保证金不予退还，履约保证金不足以赔偿损失的，按实际损失赔偿。</w:t>
      </w:r>
    </w:p>
    <w:p w14:paraId="7D4A7B7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42.3 如果中标供应商在供货期内没有涉及采购人的应付而未付金额或违约行为，采购人在项目验收合格后或提前终止合同后全额无息退还履约保证金。</w:t>
      </w:r>
    </w:p>
    <w:p w14:paraId="6C82A694">
      <w:pPr>
        <w:shd w:val="clear" w:color="auto" w:fill="auto"/>
        <w:spacing w:line="440" w:lineRule="exact"/>
        <w:ind w:firstLine="213" w:firstLineChars="100"/>
        <w:jc w:val="left"/>
        <w:rPr>
          <w:rFonts w:hint="eastAsia" w:ascii="宋体"/>
          <w:b w:val="0"/>
          <w:bCs w:val="0"/>
          <w:color w:val="auto"/>
          <w:szCs w:val="21"/>
          <w:highlight w:val="none"/>
          <w:lang w:val="en-US" w:eastAsia="zh-CN"/>
        </w:rPr>
      </w:pPr>
      <w:bookmarkStart w:id="28" w:name="_Toc73975843"/>
      <w:r>
        <w:rPr>
          <w:rFonts w:hint="eastAsia" w:ascii="宋体"/>
          <w:b w:val="0"/>
          <w:bCs w:val="0"/>
          <w:color w:val="auto"/>
          <w:szCs w:val="21"/>
          <w:highlight w:val="none"/>
          <w:lang w:val="en-US" w:eastAsia="zh-CN"/>
        </w:rPr>
        <w:t>43．签订合同及公告</w:t>
      </w:r>
      <w:bookmarkEnd w:id="28"/>
    </w:p>
    <w:p w14:paraId="6EA77AB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43.1采购人在中标通知书发出之日起30日内与中标供应商签订合同。</w:t>
      </w:r>
    </w:p>
    <w:p w14:paraId="422BDB7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43.2中标供应商拖延、拒签合同的,取消中标资格。</w:t>
      </w:r>
    </w:p>
    <w:p w14:paraId="38E7E10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14:paraId="1EE736C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43.4采购人应当自政府采购合同签订之日起2个工作日内，在省级以上财政部门指定的政府采购信息发布媒体及相关网站上公告。</w:t>
      </w:r>
    </w:p>
    <w:p w14:paraId="449F283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43.5采购人应当自政府采购合同签订之日起7个工作日内，将政府采购合同副本报同级人民政府财政部门备案以及采购代理机构存档。</w:t>
      </w:r>
    </w:p>
    <w:p w14:paraId="439DCCF6">
      <w:pPr>
        <w:shd w:val="clear" w:color="auto" w:fill="auto"/>
        <w:adjustRightInd w:val="0"/>
        <w:snapToGrid w:val="0"/>
        <w:spacing w:line="440" w:lineRule="exact"/>
        <w:jc w:val="center"/>
        <w:outlineLvl w:val="2"/>
        <w:rPr>
          <w:rFonts w:hint="eastAsia" w:ascii="黑体" w:eastAsia="黑体"/>
          <w:color w:val="auto"/>
          <w:sz w:val="28"/>
          <w:szCs w:val="28"/>
          <w:highlight w:val="none"/>
        </w:rPr>
      </w:pPr>
      <w:r>
        <w:rPr>
          <w:rFonts w:hint="eastAsia" w:ascii="黑体" w:eastAsia="黑体"/>
          <w:color w:val="auto"/>
          <w:sz w:val="28"/>
          <w:szCs w:val="28"/>
          <w:highlight w:val="none"/>
        </w:rPr>
        <w:t>（七）纪律和监督</w:t>
      </w:r>
      <w:bookmarkEnd w:id="27"/>
    </w:p>
    <w:p w14:paraId="29B27A01">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44</w:t>
      </w:r>
      <w:r>
        <w:rPr>
          <w:rFonts w:hint="eastAsia" w:ascii="宋体"/>
          <w:b/>
          <w:color w:val="auto"/>
          <w:szCs w:val="21"/>
          <w:highlight w:val="none"/>
        </w:rPr>
        <w:t xml:space="preserve">. 对招标人的纪律要求 </w:t>
      </w:r>
    </w:p>
    <w:p w14:paraId="7C04F1FD">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44</w:t>
      </w:r>
      <w:r>
        <w:rPr>
          <w:rFonts w:hint="eastAsia" w:ascii="宋体"/>
          <w:color w:val="auto"/>
          <w:kern w:val="10"/>
          <w:szCs w:val="21"/>
          <w:highlight w:val="none"/>
        </w:rPr>
        <w:t xml:space="preserve">.1招标人不得泄漏招标投标活动中应当保密的情况和资料，不得与投标人串通损害国家利益，社会公共利益或者他人合法权益。 </w:t>
      </w:r>
    </w:p>
    <w:p w14:paraId="0B7E7D4A">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45</w:t>
      </w:r>
      <w:r>
        <w:rPr>
          <w:rFonts w:hint="eastAsia" w:ascii="宋体"/>
          <w:b/>
          <w:color w:val="auto"/>
          <w:szCs w:val="21"/>
          <w:highlight w:val="none"/>
        </w:rPr>
        <w:t xml:space="preserve">. 对投标人的纪律要求 </w:t>
      </w:r>
    </w:p>
    <w:p w14:paraId="2DE6189C">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45</w:t>
      </w:r>
      <w:r>
        <w:rPr>
          <w:rFonts w:hint="eastAsia" w:ascii="宋体"/>
          <w:color w:val="auto"/>
          <w:kern w:val="10"/>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59CB4B0C">
      <w:pPr>
        <w:shd w:val="clear" w:color="auto" w:fill="auto"/>
        <w:spacing w:line="440" w:lineRule="exact"/>
        <w:ind w:firstLine="312" w:firstLineChars="147"/>
        <w:jc w:val="left"/>
        <w:rPr>
          <w:rFonts w:hint="eastAsia" w:ascii="宋体"/>
          <w:b/>
          <w:color w:val="auto"/>
          <w:szCs w:val="21"/>
          <w:highlight w:val="none"/>
        </w:rPr>
      </w:pPr>
      <w:r>
        <w:rPr>
          <w:rFonts w:hint="eastAsia" w:ascii="宋体"/>
          <w:b/>
          <w:color w:val="auto"/>
          <w:szCs w:val="21"/>
          <w:highlight w:val="none"/>
          <w:lang w:val="en-US" w:eastAsia="zh-CN"/>
        </w:rPr>
        <w:t>46</w:t>
      </w:r>
      <w:r>
        <w:rPr>
          <w:rFonts w:hint="eastAsia" w:ascii="宋体"/>
          <w:b/>
          <w:color w:val="auto"/>
          <w:szCs w:val="21"/>
          <w:highlight w:val="none"/>
        </w:rPr>
        <w:t xml:space="preserve">. 对评标委员会成员的纪律要求 </w:t>
      </w:r>
    </w:p>
    <w:p w14:paraId="67502142">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.1评标委员会成员不得收受他人的财物或者其他好处，不得向他人透漏对投标文件的评审和比较、中标候选人的推荐情况以及评标有关的其他情况。</w:t>
      </w:r>
    </w:p>
    <w:p w14:paraId="4CD10BA0">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lang w:val="en-US" w:eastAsia="zh-CN"/>
        </w:rPr>
        <w:t>46</w:t>
      </w:r>
      <w:r>
        <w:rPr>
          <w:rFonts w:hint="eastAsia" w:ascii="宋体"/>
          <w:color w:val="auto"/>
          <w:kern w:val="10"/>
          <w:szCs w:val="21"/>
          <w:highlight w:val="none"/>
        </w:rPr>
        <w:t xml:space="preserve">.2在评标活动中，评标委员会成员不得擅离职守，影响评标程序正常进行，不得使用第三章“评标办法”没有规定的评审因素和标准进行评标。 </w:t>
      </w:r>
    </w:p>
    <w:p w14:paraId="56269859">
      <w:pPr>
        <w:shd w:val="clear" w:color="auto" w:fill="auto"/>
        <w:adjustRightInd w:val="0"/>
        <w:snapToGrid w:val="0"/>
        <w:spacing w:line="440" w:lineRule="exact"/>
        <w:ind w:firstLine="319" w:firstLineChars="150"/>
        <w:rPr>
          <w:rFonts w:hint="eastAsia" w:ascii="宋体"/>
          <w:b/>
          <w:color w:val="auto"/>
          <w:szCs w:val="21"/>
          <w:highlight w:val="none"/>
        </w:rPr>
      </w:pPr>
      <w:r>
        <w:rPr>
          <w:rFonts w:hint="eastAsia" w:ascii="宋体"/>
          <w:b/>
          <w:color w:val="auto"/>
          <w:szCs w:val="21"/>
          <w:highlight w:val="none"/>
          <w:lang w:val="en-US" w:eastAsia="zh-CN"/>
        </w:rPr>
        <w:t>47</w:t>
      </w:r>
      <w:r>
        <w:rPr>
          <w:rFonts w:hint="eastAsia" w:ascii="宋体"/>
          <w:b/>
          <w:color w:val="auto"/>
          <w:szCs w:val="21"/>
          <w:highlight w:val="none"/>
        </w:rPr>
        <w:t xml:space="preserve">. 对与评标活动有关的工作人员的纪律要求 </w:t>
      </w:r>
    </w:p>
    <w:p w14:paraId="78D858B7">
      <w:pPr>
        <w:shd w:val="clear" w:color="auto" w:fill="auto"/>
        <w:adjustRightInd w:val="0"/>
        <w:snapToGrid w:val="0"/>
        <w:spacing w:line="440" w:lineRule="exact"/>
        <w:ind w:firstLine="319" w:firstLineChars="150"/>
        <w:rPr>
          <w:rFonts w:hint="eastAsia" w:ascii="宋体"/>
          <w:color w:val="auto"/>
          <w:kern w:val="10"/>
          <w:szCs w:val="21"/>
          <w:highlight w:val="none"/>
        </w:rPr>
      </w:pPr>
      <w:r>
        <w:rPr>
          <w:rFonts w:hint="eastAsia" w:ascii="宋体"/>
          <w:color w:val="auto"/>
          <w:kern w:val="10"/>
          <w:szCs w:val="21"/>
          <w:highlight w:val="none"/>
        </w:rPr>
        <w:t>4</w:t>
      </w:r>
      <w:r>
        <w:rPr>
          <w:rFonts w:hint="eastAsia" w:ascii="宋体"/>
          <w:color w:val="auto"/>
          <w:kern w:val="10"/>
          <w:szCs w:val="21"/>
          <w:highlight w:val="none"/>
          <w:lang w:val="en-US" w:eastAsia="zh-CN"/>
        </w:rPr>
        <w:t>7</w:t>
      </w:r>
      <w:r>
        <w:rPr>
          <w:rFonts w:hint="eastAsia" w:ascii="宋体"/>
          <w:color w:val="auto"/>
          <w:kern w:val="10"/>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B23F028">
      <w:pPr>
        <w:shd w:val="clear" w:color="auto" w:fill="auto"/>
        <w:spacing w:before="156" w:beforeLines="50" w:after="156" w:afterLines="50" w:line="500" w:lineRule="exact"/>
        <w:ind w:firstLine="849" w:firstLineChars="300"/>
        <w:jc w:val="center"/>
        <w:outlineLvl w:val="2"/>
        <w:rPr>
          <w:rFonts w:hint="eastAsia" w:ascii="黑体" w:hAnsi="宋体" w:eastAsia="黑体"/>
          <w:color w:val="auto"/>
          <w:sz w:val="28"/>
          <w:szCs w:val="28"/>
          <w:highlight w:val="none"/>
        </w:rPr>
      </w:pPr>
      <w:r>
        <w:rPr>
          <w:rFonts w:hint="eastAsia" w:ascii="黑体" w:eastAsia="黑体"/>
          <w:color w:val="auto"/>
          <w:sz w:val="28"/>
          <w:szCs w:val="28"/>
          <w:highlight w:val="none"/>
        </w:rPr>
        <w:t>（八）</w:t>
      </w:r>
      <w:r>
        <w:rPr>
          <w:rFonts w:hint="eastAsia" w:ascii="黑体" w:hAnsi="宋体" w:eastAsia="黑体"/>
          <w:color w:val="auto"/>
          <w:sz w:val="28"/>
          <w:szCs w:val="28"/>
          <w:highlight w:val="none"/>
        </w:rPr>
        <w:t>质疑与投诉</w:t>
      </w:r>
    </w:p>
    <w:p w14:paraId="3C576C02">
      <w:pPr>
        <w:shd w:val="clear" w:color="auto" w:fill="auto"/>
        <w:spacing w:line="440" w:lineRule="exact"/>
        <w:ind w:firstLine="312" w:firstLineChars="147"/>
        <w:jc w:val="left"/>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48．质疑和投诉</w:t>
      </w:r>
    </w:p>
    <w:p w14:paraId="7B07EEE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48.1.供应商认为采购文件、采购过程和中标结果使自己的权益受到损害的，可以在知道或者应知其权益受到损害之日起七个工作日内，以书面形式向采购人提出质疑（质疑材料递交地址：乌恰县天源市政5楼8508室，电话：18099987009）。供应商应当在法定质疑期内一次性提出针对同一采购程序环节的质疑。供应商应知其权益受到损害之日，是指：</w:t>
      </w:r>
    </w:p>
    <w:p w14:paraId="1978297A">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（一）对可以质疑的采购文件提出质疑的，为收到采购文件之日或者采购文件公告期限届满之日；</w:t>
      </w:r>
    </w:p>
    <w:p w14:paraId="4BDEC317">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（二）对采购过程提出质疑的，为各采购程序环节结束之日；</w:t>
      </w:r>
    </w:p>
    <w:p w14:paraId="0ACCB46C">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（三）对中标结果提出质疑的，为中标结果公告期限届满之日。</w:t>
      </w:r>
    </w:p>
    <w:p w14:paraId="204859B9">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75F766F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供应商为自然人的，应当由本人签字；供应商为法人或者其他组织的，应当由法定代表人、主要负责人，或者其授权代表签字或者盖章，并加盖公章。</w:t>
      </w:r>
    </w:p>
    <w:p w14:paraId="76CF9C2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14:paraId="32279C0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地址：乌恰县财政局政府采购办监管办公室，投诉电话：4623075）。</w:t>
      </w:r>
    </w:p>
    <w:p w14:paraId="1E3676D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48.5</w:t>
      </w:r>
      <w:r>
        <w:rPr>
          <w:rFonts w:hint="eastAsia" w:ascii="宋体" w:hAnsi="Times New Roman" w:eastAsia="宋体" w:cs="Times New Roman"/>
          <w:b w:val="0"/>
          <w:bCs w:val="0"/>
          <w:color w:val="auto"/>
          <w:szCs w:val="21"/>
          <w:highlight w:val="none"/>
          <w:lang w:val="en-US" w:eastAsia="zh-CN"/>
        </w:rPr>
        <w:t>供应商有下列情形之一的，采购代理机构上报至</w:t>
      </w:r>
      <w:r>
        <w:rPr>
          <w:rFonts w:hint="eastAsia" w:ascii="宋体" w:cs="Times New Roman"/>
          <w:b w:val="0"/>
          <w:bCs w:val="0"/>
          <w:color w:val="auto"/>
          <w:szCs w:val="21"/>
          <w:highlight w:val="none"/>
          <w:lang w:val="en-US" w:eastAsia="zh-CN"/>
        </w:rPr>
        <w:t>乌恰县</w:t>
      </w:r>
      <w:r>
        <w:rPr>
          <w:rFonts w:hint="eastAsia" w:ascii="宋体" w:hAnsi="Times New Roman" w:eastAsia="宋体" w:cs="Times New Roman"/>
          <w:b w:val="0"/>
          <w:bCs w:val="0"/>
          <w:color w:val="auto"/>
          <w:szCs w:val="21"/>
          <w:highlight w:val="none"/>
          <w:lang w:val="en-US" w:eastAsia="zh-CN"/>
        </w:rPr>
        <w:t>政府采购办，</w:t>
      </w:r>
      <w:r>
        <w:rPr>
          <w:rFonts w:hint="eastAsia" w:ascii="宋体"/>
          <w:b w:val="0"/>
          <w:bCs w:val="0"/>
          <w:color w:val="auto"/>
          <w:szCs w:val="21"/>
          <w:highlight w:val="none"/>
          <w:lang w:val="en-US" w:eastAsia="zh-CN"/>
        </w:rPr>
        <w:t>将其列入不良行为记录名单：</w:t>
      </w:r>
    </w:p>
    <w:p w14:paraId="09ADF83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（一）一年内三次以上质疑均查无实据的；</w:t>
      </w:r>
    </w:p>
    <w:p w14:paraId="79C36911">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（二）捏造事实或者提供虚假质疑材料的。</w:t>
      </w:r>
    </w:p>
    <w:p w14:paraId="4A10D91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（三）以非法手段取得证明材料。证据来源的合法性存在明显疑问，质疑人无法证明其取得方式合法的，视为以非法手段取得证明材料。</w:t>
      </w:r>
    </w:p>
    <w:p w14:paraId="2FDE3D70">
      <w:pPr>
        <w:shd w:val="clear" w:color="auto" w:fill="auto"/>
        <w:spacing w:line="360" w:lineRule="exact"/>
        <w:jc w:val="center"/>
        <w:rPr>
          <w:rFonts w:hint="eastAsia" w:ascii="黑体" w:eastAsia="黑体"/>
          <w:color w:val="auto"/>
          <w:sz w:val="30"/>
          <w:szCs w:val="30"/>
          <w:highlight w:val="none"/>
        </w:rPr>
      </w:pPr>
    </w:p>
    <w:p w14:paraId="49C66D51">
      <w:pPr>
        <w:pStyle w:val="49"/>
        <w:shd w:val="clear" w:color="auto" w:fill="auto"/>
        <w:rPr>
          <w:rFonts w:hint="eastAsia" w:ascii="黑体" w:eastAsia="黑体"/>
          <w:color w:val="auto"/>
          <w:sz w:val="30"/>
          <w:szCs w:val="30"/>
          <w:highlight w:val="none"/>
        </w:rPr>
      </w:pPr>
    </w:p>
    <w:p w14:paraId="6B9E9E4F">
      <w:pPr>
        <w:pStyle w:val="49"/>
        <w:shd w:val="clear" w:color="auto" w:fill="auto"/>
        <w:rPr>
          <w:rFonts w:hint="eastAsia" w:ascii="黑体" w:eastAsia="黑体"/>
          <w:color w:val="auto"/>
          <w:sz w:val="30"/>
          <w:szCs w:val="30"/>
          <w:highlight w:val="none"/>
        </w:rPr>
      </w:pPr>
    </w:p>
    <w:p w14:paraId="220BE257">
      <w:pPr>
        <w:pStyle w:val="49"/>
        <w:shd w:val="clear" w:color="auto" w:fill="auto"/>
        <w:rPr>
          <w:rFonts w:hint="eastAsia" w:ascii="黑体" w:eastAsia="黑体"/>
          <w:color w:val="auto"/>
          <w:sz w:val="30"/>
          <w:szCs w:val="30"/>
          <w:highlight w:val="none"/>
        </w:rPr>
      </w:pPr>
    </w:p>
    <w:p w14:paraId="7259916F">
      <w:pPr>
        <w:pStyle w:val="49"/>
        <w:shd w:val="clear" w:color="auto" w:fill="auto"/>
        <w:rPr>
          <w:rFonts w:hint="eastAsia" w:ascii="黑体" w:eastAsia="黑体"/>
          <w:color w:val="auto"/>
          <w:sz w:val="30"/>
          <w:szCs w:val="30"/>
          <w:highlight w:val="none"/>
        </w:rPr>
      </w:pPr>
    </w:p>
    <w:p w14:paraId="5A333374">
      <w:pPr>
        <w:shd w:val="clear" w:color="auto" w:fill="auto"/>
        <w:jc w:val="left"/>
        <w:rPr>
          <w:rFonts w:hint="eastAsia" w:ascii="宋体" w:hAnsi="宋体" w:eastAsia="宋体" w:cs="宋体"/>
          <w:b/>
          <w:bCs/>
          <w:color w:val="auto"/>
          <w:sz w:val="21"/>
          <w:szCs w:val="21"/>
          <w:highlight w:val="none"/>
          <w:lang w:eastAsia="zh-CN"/>
        </w:rPr>
      </w:pPr>
    </w:p>
    <w:p w14:paraId="64461D43">
      <w:pPr>
        <w:shd w:val="clear" w:color="auto" w:fill="auto"/>
        <w:jc w:val="left"/>
        <w:rPr>
          <w:rFonts w:hint="eastAsia" w:ascii="宋体" w:hAnsi="宋体" w:eastAsia="宋体" w:cs="宋体"/>
          <w:b/>
          <w:bCs/>
          <w:color w:val="auto"/>
          <w:sz w:val="21"/>
          <w:szCs w:val="21"/>
          <w:highlight w:val="none"/>
          <w:lang w:eastAsia="zh-CN"/>
        </w:rPr>
      </w:pPr>
    </w:p>
    <w:p w14:paraId="65D43D23">
      <w:pPr>
        <w:pStyle w:val="27"/>
        <w:rPr>
          <w:rFonts w:hint="eastAsia" w:ascii="宋体" w:hAnsi="宋体" w:eastAsia="宋体" w:cs="宋体"/>
          <w:b/>
          <w:bCs/>
          <w:color w:val="auto"/>
          <w:sz w:val="21"/>
          <w:szCs w:val="21"/>
          <w:highlight w:val="none"/>
          <w:lang w:eastAsia="zh-CN"/>
        </w:rPr>
      </w:pPr>
    </w:p>
    <w:p w14:paraId="6470C203">
      <w:pPr>
        <w:pStyle w:val="27"/>
        <w:rPr>
          <w:rFonts w:hint="eastAsia" w:ascii="宋体" w:hAnsi="宋体" w:eastAsia="宋体" w:cs="宋体"/>
          <w:b/>
          <w:bCs/>
          <w:color w:val="auto"/>
          <w:sz w:val="21"/>
          <w:szCs w:val="21"/>
          <w:highlight w:val="none"/>
          <w:lang w:eastAsia="zh-CN"/>
        </w:rPr>
      </w:pPr>
    </w:p>
    <w:p w14:paraId="5B6D5B52">
      <w:pPr>
        <w:shd w:val="clear" w:color="auto" w:fill="auto"/>
        <w:jc w:val="left"/>
        <w:rPr>
          <w:rFonts w:hint="eastAsia" w:ascii="宋体" w:hAnsi="宋体" w:eastAsia="宋体" w:cs="宋体"/>
          <w:b/>
          <w:bCs/>
          <w:color w:val="auto"/>
          <w:sz w:val="21"/>
          <w:szCs w:val="21"/>
          <w:highlight w:val="none"/>
          <w:lang w:eastAsia="zh-CN"/>
        </w:rPr>
      </w:pPr>
    </w:p>
    <w:p w14:paraId="12DE89AE">
      <w:pPr>
        <w:pStyle w:val="10"/>
        <w:rPr>
          <w:rFonts w:hint="eastAsia" w:ascii="宋体" w:hAnsi="宋体" w:eastAsia="宋体" w:cs="宋体"/>
          <w:b/>
          <w:bCs/>
          <w:color w:val="auto"/>
          <w:sz w:val="21"/>
          <w:szCs w:val="21"/>
          <w:highlight w:val="none"/>
          <w:lang w:eastAsia="zh-CN"/>
        </w:rPr>
      </w:pPr>
    </w:p>
    <w:p w14:paraId="79359844">
      <w:pPr>
        <w:rPr>
          <w:rFonts w:hint="eastAsia" w:ascii="宋体" w:hAnsi="宋体" w:eastAsia="宋体" w:cs="宋体"/>
          <w:b/>
          <w:bCs/>
          <w:color w:val="auto"/>
          <w:sz w:val="21"/>
          <w:szCs w:val="21"/>
          <w:highlight w:val="none"/>
          <w:lang w:eastAsia="zh-CN"/>
        </w:rPr>
      </w:pPr>
    </w:p>
    <w:p w14:paraId="06217321">
      <w:pPr>
        <w:pStyle w:val="10"/>
        <w:rPr>
          <w:rFonts w:hint="eastAsia" w:ascii="宋体" w:hAnsi="宋体" w:eastAsia="宋体" w:cs="宋体"/>
          <w:b/>
          <w:bCs/>
          <w:color w:val="auto"/>
          <w:sz w:val="21"/>
          <w:szCs w:val="21"/>
          <w:highlight w:val="none"/>
          <w:lang w:eastAsia="zh-CN"/>
        </w:rPr>
      </w:pPr>
    </w:p>
    <w:p w14:paraId="1BAD094A">
      <w:pPr>
        <w:shd w:val="clear" w:color="auto" w:fill="auto"/>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附件：</w:t>
      </w:r>
    </w:p>
    <w:p w14:paraId="158B821E">
      <w:pPr>
        <w:shd w:val="clear" w:color="auto" w:fill="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32"/>
          <w:szCs w:val="32"/>
          <w:highlight w:val="none"/>
          <w:lang w:eastAsia="zh-CN"/>
        </w:rPr>
        <w:t>政府采购投诉书（范本）、质疑函范本</w:t>
      </w:r>
    </w:p>
    <w:p w14:paraId="4124D240">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p>
    <w:p w14:paraId="57CD657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政府采购投诉书（范本）</w:t>
      </w:r>
    </w:p>
    <w:p w14:paraId="42C11A9E">
      <w:pPr>
        <w:pStyle w:val="49"/>
        <w:rPr>
          <w:rFonts w:hint="eastAsia"/>
          <w:highlight w:val="none"/>
        </w:rPr>
      </w:pPr>
    </w:p>
    <w:p w14:paraId="6047548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09A4FD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B37BA3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r>
        <w:rPr>
          <w:rFonts w:hint="eastAsia" w:ascii="宋体" w:hAnsi="宋体" w:eastAsia="宋体" w:cs="宋体"/>
          <w:color w:val="auto"/>
          <w:sz w:val="21"/>
          <w:szCs w:val="21"/>
          <w:highlight w:val="none"/>
          <w:u w:val="single"/>
        </w:rPr>
        <w:t xml:space="preserve">               </w:t>
      </w:r>
    </w:p>
    <w:p w14:paraId="2F6CF4D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D7B8B9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p>
    <w:p w14:paraId="4CA784F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6A2F272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p>
    <w:p w14:paraId="3B706CB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我公司参加了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日被投诉人组织的</w:t>
      </w:r>
      <w:r>
        <w:rPr>
          <w:rFonts w:hint="eastAsia" w:ascii="宋体" w:hAnsi="宋体" w:eastAsia="宋体" w:cs="宋体"/>
          <w:color w:val="auto"/>
          <w:sz w:val="21"/>
          <w:szCs w:val="21"/>
          <w:highlight w:val="none"/>
          <w:u w:val="single"/>
        </w:rPr>
        <w:t>（采购人）（项目名称）（项目编号）</w:t>
      </w:r>
      <w:r>
        <w:rPr>
          <w:rFonts w:hint="eastAsia" w:ascii="宋体" w:hAnsi="宋体" w:eastAsia="宋体" w:cs="宋体"/>
          <w:color w:val="auto"/>
          <w:sz w:val="21"/>
          <w:szCs w:val="21"/>
          <w:highlight w:val="none"/>
        </w:rPr>
        <w:t>的采购活动，我公司认为该项目的</w:t>
      </w:r>
      <w:r>
        <w:rPr>
          <w:rFonts w:hint="eastAsia" w:ascii="宋体" w:hAnsi="宋体" w:eastAsia="宋体" w:cs="宋体"/>
          <w:color w:val="auto"/>
          <w:sz w:val="21"/>
          <w:szCs w:val="21"/>
          <w:highlight w:val="none"/>
          <w:u w:val="single"/>
        </w:rPr>
        <w:t>（采购文件/采购过程/中标（</w:t>
      </w:r>
      <w:r>
        <w:rPr>
          <w:rFonts w:hint="eastAsia" w:ascii="宋体" w:hAnsi="宋体" w:eastAsia="宋体" w:cs="宋体"/>
          <w:color w:val="auto"/>
          <w:sz w:val="21"/>
          <w:szCs w:val="21"/>
          <w:highlight w:val="none"/>
          <w:u w:val="single"/>
          <w:lang w:eastAsia="zh-CN"/>
        </w:rPr>
        <w:t>中标</w:t>
      </w:r>
      <w:r>
        <w:rPr>
          <w:rFonts w:hint="eastAsia" w:ascii="宋体" w:hAnsi="宋体" w:eastAsia="宋体" w:cs="宋体"/>
          <w:color w:val="auto"/>
          <w:sz w:val="21"/>
          <w:szCs w:val="21"/>
          <w:highlight w:val="none"/>
          <w:u w:val="single"/>
        </w:rPr>
        <w:t>）结果）</w:t>
      </w:r>
      <w:r>
        <w:rPr>
          <w:rFonts w:hint="eastAsia" w:ascii="宋体" w:hAnsi="宋体" w:eastAsia="宋体" w:cs="宋体"/>
          <w:color w:val="auto"/>
          <w:sz w:val="21"/>
          <w:szCs w:val="21"/>
          <w:highlight w:val="none"/>
        </w:rPr>
        <w:t>损害了我公司权益，对此，我公司于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single"/>
        </w:rPr>
        <w:t>（采购人或者政府采购代理机构）</w:t>
      </w:r>
      <w:r>
        <w:rPr>
          <w:rFonts w:hint="eastAsia" w:ascii="宋体" w:hAnsi="宋体" w:eastAsia="宋体" w:cs="宋体"/>
          <w:color w:val="auto"/>
          <w:sz w:val="21"/>
          <w:szCs w:val="21"/>
          <w:highlight w:val="none"/>
        </w:rPr>
        <w:t>提出了质疑，</w:t>
      </w:r>
      <w:r>
        <w:rPr>
          <w:rFonts w:hint="eastAsia" w:ascii="宋体" w:hAnsi="宋体" w:eastAsia="宋体" w:cs="宋体"/>
          <w:color w:val="auto"/>
          <w:sz w:val="21"/>
          <w:szCs w:val="21"/>
          <w:highlight w:val="none"/>
          <w:u w:val="single"/>
        </w:rPr>
        <w:t>（其于    年  月  日作出书面答复，因对其作出的答复不满意）/（被质疑人未在法定期内予以答复，按照政府采购有关规定）</w:t>
      </w:r>
      <w:r>
        <w:rPr>
          <w:rFonts w:hint="eastAsia" w:ascii="宋体" w:hAnsi="宋体" w:eastAsia="宋体" w:cs="宋体"/>
          <w:color w:val="auto"/>
          <w:sz w:val="21"/>
          <w:szCs w:val="21"/>
          <w:highlight w:val="none"/>
        </w:rPr>
        <w:t>，现向贵机关提起投诉：</w:t>
      </w:r>
    </w:p>
    <w:p w14:paraId="51C0F6D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具体的投诉事项及事实依据；</w:t>
      </w:r>
    </w:p>
    <w:p w14:paraId="62144CF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质疑和质疑答复情况简要描述；</w:t>
      </w:r>
    </w:p>
    <w:p w14:paraId="14BDF7D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投诉请求。</w:t>
      </w:r>
    </w:p>
    <w:p w14:paraId="078B786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p>
    <w:p w14:paraId="74FF68E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1.质疑书和质疑答复书；</w:t>
      </w:r>
    </w:p>
    <w:p w14:paraId="1F7ABB1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2.证据材料（需注明证据来源），证人的姓名、住址和联系方式等；</w:t>
      </w:r>
    </w:p>
    <w:p w14:paraId="52EDEE49">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3.营业执照；</w:t>
      </w:r>
    </w:p>
    <w:p w14:paraId="218B7A3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4.法定代表人身份证明函</w:t>
      </w:r>
    </w:p>
    <w:p w14:paraId="5B92B01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5.法定代表人授权委托书（包含法定代表人和委托代理人的身份证复印件）；</w:t>
      </w:r>
    </w:p>
    <w:p w14:paraId="2FA377C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6.政府采购监管部门认为应当提供的其它材料。</w:t>
      </w:r>
    </w:p>
    <w:p w14:paraId="398E59D1">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投诉供应商：（盖章）</w:t>
      </w:r>
    </w:p>
    <w:p w14:paraId="245E4C4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法定代表人（或主要负责人）：（签字）</w:t>
      </w:r>
    </w:p>
    <w:p w14:paraId="15F7923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408" w:firstLineChars="1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EF0AE2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12F19984">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本投诉书正本叁份，副本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份并附电子文档。</w:t>
      </w:r>
      <w:bookmarkStart w:id="29" w:name="_Toc17515"/>
    </w:p>
    <w:p w14:paraId="339397DE">
      <w:pPr>
        <w:pStyle w:val="10"/>
        <w:rPr>
          <w:rFonts w:hint="eastAsia" w:ascii="宋体" w:hAnsi="宋体" w:eastAsia="宋体" w:cs="宋体"/>
          <w:color w:val="auto"/>
          <w:sz w:val="21"/>
          <w:szCs w:val="21"/>
          <w:highlight w:val="none"/>
        </w:rPr>
      </w:pPr>
    </w:p>
    <w:p w14:paraId="42431FE5">
      <w:pPr>
        <w:pStyle w:val="11"/>
        <w:rPr>
          <w:rFonts w:hint="eastAsia"/>
          <w:highlight w:val="none"/>
        </w:rPr>
      </w:pPr>
    </w:p>
    <w:p w14:paraId="47FAFB58">
      <w:pPr>
        <w:shd w:val="clear" w:color="auto" w:fill="auto"/>
        <w:ind w:left="7951" w:hanging="5814" w:hangingChars="1800"/>
        <w:jc w:val="center"/>
        <w:outlineLvl w:val="9"/>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投诉相关说明</w:t>
      </w:r>
      <w:bookmarkEnd w:id="29"/>
    </w:p>
    <w:p w14:paraId="6FF710F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投诉人应当满足《政府采购法》、《政府采购法实施条例》和《政府采购供应商投诉处理办法》的相关规定。</w:t>
      </w:r>
    </w:p>
    <w:p w14:paraId="5FE3FE3C">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ind w:left="4055" w:leftChars="304" w:hanging="3408" w:hangingChars="1600"/>
        <w:textAlignment w:val="auto"/>
        <w:outlineLvl w:val="9"/>
        <w:rPr>
          <w:rFonts w:hint="eastAsia" w:ascii="宋体" w:hAnsi="宋体" w:eastAsia="宋体" w:cs="宋体"/>
          <w:b/>
          <w:bCs/>
          <w:color w:val="auto"/>
          <w:sz w:val="21"/>
          <w:szCs w:val="21"/>
          <w:highlight w:val="none"/>
        </w:rPr>
      </w:pPr>
      <w:bookmarkStart w:id="30" w:name="_Toc11499"/>
      <w:r>
        <w:rPr>
          <w:rFonts w:hint="eastAsia" w:ascii="宋体" w:hAnsi="宋体" w:eastAsia="宋体" w:cs="宋体"/>
          <w:b/>
          <w:bCs/>
          <w:color w:val="auto"/>
          <w:sz w:val="21"/>
          <w:szCs w:val="21"/>
          <w:highlight w:val="none"/>
        </w:rPr>
        <w:t>质疑前置及时间要求</w:t>
      </w:r>
      <w:bookmarkEnd w:id="30"/>
    </w:p>
    <w:p w14:paraId="3CD708F8">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z w:val="21"/>
          <w:szCs w:val="21"/>
          <w:highlight w:val="none"/>
        </w:rPr>
        <w:t>《中华人民共和国政府采购法》</w:t>
      </w:r>
      <w:r>
        <w:rPr>
          <w:rFonts w:hint="eastAsia" w:ascii="宋体" w:hAnsi="宋体" w:eastAsia="宋体" w:cs="宋体"/>
          <w:color w:val="auto"/>
          <w:kern w:val="0"/>
          <w:sz w:val="21"/>
          <w:szCs w:val="21"/>
          <w:highlight w:val="none"/>
          <w:shd w:val="clear" w:color="auto" w:fill="FFFFFF"/>
        </w:rPr>
        <w:t>第五十一条：供应商对政府采购活动事项有疑问的，可以向采购人提出询问，采购人应当及时作出答复，但答复的内容不得涉及商业秘密。</w:t>
      </w:r>
    </w:p>
    <w:p w14:paraId="78D99CD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shd w:val="clear" w:color="auto" w:fill="FFFFFF"/>
        </w:rPr>
        <w:t xml:space="preserve"> 第五十二条：供应商认为采购文件、采购过程和中标、</w:t>
      </w:r>
      <w:r>
        <w:rPr>
          <w:rFonts w:hint="eastAsia" w:ascii="宋体" w:hAnsi="宋体" w:eastAsia="宋体" w:cs="宋体"/>
          <w:color w:val="auto"/>
          <w:kern w:val="0"/>
          <w:sz w:val="21"/>
          <w:szCs w:val="21"/>
          <w:highlight w:val="none"/>
          <w:shd w:val="clear" w:color="auto" w:fill="FFFFFF"/>
          <w:lang w:eastAsia="zh-CN"/>
        </w:rPr>
        <w:t>中标</w:t>
      </w:r>
      <w:r>
        <w:rPr>
          <w:rFonts w:hint="eastAsia" w:ascii="宋体" w:hAnsi="宋体" w:eastAsia="宋体" w:cs="宋体"/>
          <w:color w:val="auto"/>
          <w:kern w:val="0"/>
          <w:sz w:val="21"/>
          <w:szCs w:val="21"/>
          <w:highlight w:val="none"/>
          <w:shd w:val="clear" w:color="auto" w:fill="FFFFFF"/>
        </w:rPr>
        <w:t>结果使自己的权益受到损害的，可以在知道或者应知其权益受到损害之日起七个工作日内，以书面形式向采购人提出质疑。</w:t>
      </w:r>
    </w:p>
    <w:p w14:paraId="5BD4ABCA">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14:paraId="659C7FA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425D7132">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rPr>
        <w:t xml:space="preserve">  《政府采购实施条例》第五十五条：供应商质疑、投诉应当有明确的请求和必要的证明材料。供应商投诉的事项不得超出质疑事项的范围。</w:t>
      </w:r>
    </w:p>
    <w:p w14:paraId="4DBE11AC">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 </w:t>
      </w:r>
      <w:bookmarkStart w:id="31" w:name="_Toc13508"/>
      <w:r>
        <w:rPr>
          <w:rFonts w:hint="eastAsia" w:ascii="宋体" w:hAnsi="宋体" w:eastAsia="宋体" w:cs="宋体"/>
          <w:b/>
          <w:bCs/>
          <w:color w:val="auto"/>
          <w:sz w:val="21"/>
          <w:szCs w:val="21"/>
          <w:highlight w:val="none"/>
        </w:rPr>
        <w:t>二、书面方式</w:t>
      </w:r>
      <w:bookmarkEnd w:id="31"/>
    </w:p>
    <w:p w14:paraId="113698AD">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《政府采购供应商投诉处理办法》第八条：投诉人投诉</w:t>
      </w:r>
    </w:p>
    <w:p w14:paraId="21334B22">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时，应当提交投诉书，并按照被投诉人以及与投诉事项有关的供应商数量提供投诉书的副本。</w:t>
      </w:r>
    </w:p>
    <w:p w14:paraId="5D9F9B8B">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投诉书应当包括下列主要内容：</w:t>
      </w:r>
    </w:p>
    <w:p w14:paraId="52419767">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投诉人和被投诉人的名称、地址、电话等；</w:t>
      </w:r>
    </w:p>
    <w:p w14:paraId="7C542B5C">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具体的投诉事项及事实依据；</w:t>
      </w:r>
    </w:p>
    <w:p w14:paraId="065B9741">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质疑和质疑答复情况及相关证明材料；</w:t>
      </w:r>
    </w:p>
    <w:p w14:paraId="04882A24">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提起投诉的日期。</w:t>
      </w:r>
    </w:p>
    <w:p w14:paraId="33B38FDD">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投诉书应当署名。投诉人为自然人，应当由本人签字；投诉人为法人或者其他组织的，应当由法定代表人或者主要负责人签字并加盖公章。</w:t>
      </w:r>
    </w:p>
    <w:p w14:paraId="753EFE26">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730B21C8">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《政府采购供应商投诉处理办法》第十条：投诉人提起投诉应当符合下列条件：</w:t>
      </w:r>
    </w:p>
    <w:p w14:paraId="002A4217">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投诉人是参与所投诉政府采购活动的供应商；</w:t>
      </w:r>
    </w:p>
    <w:p w14:paraId="3F94A803">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提起投诉诉前已依法进行质疑；</w:t>
      </w:r>
    </w:p>
    <w:p w14:paraId="70E1BF4E">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投诉书内容符合本办法的规定；</w:t>
      </w:r>
    </w:p>
    <w:p w14:paraId="49B735AC">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在投诉有效期内提起投诉；</w:t>
      </w:r>
    </w:p>
    <w:p w14:paraId="1157CBE2">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属于本级财政部门管辖；</w:t>
      </w:r>
    </w:p>
    <w:p w14:paraId="3E60E4BC">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同一投诉事项未经财政部门投诉处理；</w:t>
      </w:r>
    </w:p>
    <w:p w14:paraId="17626352">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国务院财政部门规定的其他条件。</w:t>
      </w:r>
    </w:p>
    <w:p w14:paraId="0949D949">
      <w:pPr>
        <w:keepNext w:val="0"/>
        <w:keepLines w:val="0"/>
        <w:pageBreakBefore w:val="0"/>
        <w:shd w:val="clear" w:color="auto" w:fill="auto"/>
        <w:kinsoku/>
        <w:wordWrap/>
        <w:overflowPunct/>
        <w:topLinePunct w:val="0"/>
        <w:autoSpaceDE/>
        <w:autoSpaceDN/>
        <w:bidi w:val="0"/>
        <w:adjustRightInd/>
        <w:snapToGrid/>
        <w:spacing w:line="400" w:lineRule="exact"/>
        <w:ind w:left="5760" w:hanging="3834" w:hangingChars="18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0B8AE4">
      <w:pPr>
        <w:shd w:val="clear" w:color="auto" w:fill="auto"/>
        <w:outlineLvl w:val="9"/>
        <w:rPr>
          <w:rFonts w:hint="eastAsia"/>
          <w:color w:val="auto"/>
          <w:sz w:val="21"/>
          <w:szCs w:val="21"/>
          <w:highlight w:val="none"/>
        </w:rPr>
      </w:pPr>
      <w:r>
        <w:rPr>
          <w:rFonts w:hint="eastAsia"/>
          <w:color w:val="auto"/>
          <w:sz w:val="21"/>
          <w:szCs w:val="21"/>
          <w:highlight w:val="none"/>
        </w:rPr>
        <w:t xml:space="preserve"> </w:t>
      </w:r>
      <w:r>
        <w:rPr>
          <w:rFonts w:hint="eastAsia" w:ascii="宋体" w:hAnsi="宋体" w:eastAsia="宋体" w:cs="宋体"/>
          <w:b/>
          <w:bCs/>
          <w:color w:val="auto"/>
          <w:sz w:val="21"/>
          <w:szCs w:val="21"/>
          <w:highlight w:val="none"/>
        </w:rPr>
        <w:t xml:space="preserve">   </w:t>
      </w:r>
      <w:bookmarkStart w:id="32" w:name="_Toc5978"/>
      <w:r>
        <w:rPr>
          <w:rFonts w:hint="eastAsia" w:ascii="宋体" w:hAnsi="宋体" w:eastAsia="宋体" w:cs="宋体"/>
          <w:b/>
          <w:bCs/>
          <w:color w:val="auto"/>
          <w:sz w:val="21"/>
          <w:szCs w:val="21"/>
          <w:highlight w:val="none"/>
        </w:rPr>
        <w:t>三、虚假、恶意投诉法律责任</w:t>
      </w:r>
      <w:bookmarkEnd w:id="32"/>
    </w:p>
    <w:p w14:paraId="41E61E1A">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第七十三条：供应商捏造实施、提供虚假材料或者以非法手段取得证明材料进行投诉的，由财政部门列入不良行为记录名单，禁止其1至3年内参加政府采购活动。</w:t>
      </w:r>
    </w:p>
    <w:p w14:paraId="67FE17D9">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《政府采购供应商投诉处理办法》第二十六条：投诉人有下列情形之一的，属于虚假、恶意投诉，财政部门应当驳回投诉，将其列入不良行为记录名单，并依法予以处罚：</w:t>
      </w:r>
    </w:p>
    <w:p w14:paraId="503BB7A1">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（一）1年内3次以上投诉均查无实据的；</w:t>
      </w:r>
    </w:p>
    <w:p w14:paraId="71EA6F2F">
      <w:pPr>
        <w:keepNext w:val="0"/>
        <w:keepLines w:val="0"/>
        <w:pageBreakBefore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（二）捏造事实或者提供虚假投诉材料的。</w:t>
      </w:r>
    </w:p>
    <w:p w14:paraId="47B52F3F">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2A533F9B">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331CE7D2">
      <w:pPr>
        <w:shd w:val="clear" w:color="auto" w:fill="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递交投诉书地址：</w:t>
      </w:r>
      <w:r>
        <w:rPr>
          <w:rFonts w:hint="eastAsia" w:ascii="宋体" w:hAnsi="宋体" w:cs="宋体"/>
          <w:color w:val="auto"/>
          <w:sz w:val="21"/>
          <w:szCs w:val="21"/>
          <w:highlight w:val="none"/>
          <w:lang w:val="en-US" w:eastAsia="zh-CN"/>
        </w:rPr>
        <w:t>乌恰县财政局</w:t>
      </w:r>
      <w:r>
        <w:rPr>
          <w:rFonts w:hint="eastAsia" w:ascii="宋体" w:hAnsi="宋体" w:eastAsia="宋体" w:cs="宋体"/>
          <w:color w:val="auto"/>
          <w:sz w:val="21"/>
          <w:szCs w:val="21"/>
          <w:highlight w:val="none"/>
          <w:lang w:val="en-US" w:eastAsia="zh-CN"/>
        </w:rPr>
        <w:t>政府采购办</w:t>
      </w:r>
      <w:r>
        <w:rPr>
          <w:rFonts w:hint="eastAsia" w:ascii="宋体" w:hAnsi="宋体" w:eastAsia="宋体" w:cs="宋体"/>
          <w:color w:val="auto"/>
          <w:sz w:val="21"/>
          <w:szCs w:val="21"/>
          <w:highlight w:val="none"/>
        </w:rPr>
        <w:t>监管办公室</w:t>
      </w:r>
    </w:p>
    <w:p w14:paraId="140D9515">
      <w:pPr>
        <w:shd w:val="clear" w:color="auto" w:fill="auto"/>
        <w:jc w:val="right"/>
        <w:rPr>
          <w:rFonts w:hint="eastAsia" w:ascii="宋体" w:hAnsi="宋体" w:eastAsia="宋体" w:cs="宋体"/>
          <w:color w:val="auto"/>
          <w:sz w:val="32"/>
          <w:szCs w:val="32"/>
          <w:highlight w:val="none"/>
        </w:rPr>
      </w:pPr>
    </w:p>
    <w:p w14:paraId="6F3CB9C4">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556500D0">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34A6912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宋体" w:hAnsi="宋体" w:eastAsia="宋体" w:cs="宋体"/>
          <w:b/>
          <w:bCs/>
          <w:color w:val="auto"/>
          <w:sz w:val="44"/>
          <w:szCs w:val="44"/>
          <w:highlight w:val="none"/>
        </w:rPr>
      </w:pPr>
    </w:p>
    <w:p w14:paraId="5FD82083">
      <w:pPr>
        <w:pStyle w:val="27"/>
        <w:rPr>
          <w:rFonts w:hint="eastAsia" w:ascii="宋体" w:hAnsi="宋体" w:eastAsia="宋体" w:cs="宋体"/>
          <w:b/>
          <w:bCs/>
          <w:color w:val="auto"/>
          <w:sz w:val="44"/>
          <w:szCs w:val="44"/>
          <w:highlight w:val="none"/>
        </w:rPr>
      </w:pPr>
    </w:p>
    <w:p w14:paraId="1F68BA5E">
      <w:pPr>
        <w:pStyle w:val="27"/>
        <w:rPr>
          <w:rFonts w:hint="eastAsia" w:ascii="宋体" w:hAnsi="宋体" w:eastAsia="宋体" w:cs="宋体"/>
          <w:b/>
          <w:bCs/>
          <w:color w:val="auto"/>
          <w:sz w:val="44"/>
          <w:szCs w:val="44"/>
          <w:highlight w:val="none"/>
        </w:rPr>
      </w:pPr>
    </w:p>
    <w:p w14:paraId="4DB9513E">
      <w:pPr>
        <w:pStyle w:val="27"/>
        <w:rPr>
          <w:rFonts w:hint="eastAsia" w:ascii="宋体" w:hAnsi="宋体" w:eastAsia="宋体" w:cs="宋体"/>
          <w:b/>
          <w:bCs/>
          <w:color w:val="auto"/>
          <w:sz w:val="44"/>
          <w:szCs w:val="44"/>
          <w:highlight w:val="none"/>
        </w:rPr>
      </w:pPr>
    </w:p>
    <w:p w14:paraId="43535283">
      <w:pPr>
        <w:pStyle w:val="27"/>
        <w:rPr>
          <w:rFonts w:hint="eastAsia" w:ascii="宋体" w:hAnsi="宋体" w:eastAsia="宋体" w:cs="宋体"/>
          <w:b/>
          <w:bCs/>
          <w:color w:val="auto"/>
          <w:sz w:val="44"/>
          <w:szCs w:val="44"/>
          <w:highlight w:val="none"/>
        </w:rPr>
      </w:pPr>
    </w:p>
    <w:p w14:paraId="6621C966">
      <w:pPr>
        <w:pStyle w:val="27"/>
        <w:rPr>
          <w:rFonts w:hint="eastAsia" w:ascii="宋体" w:hAnsi="宋体" w:eastAsia="宋体" w:cs="宋体"/>
          <w:b/>
          <w:bCs/>
          <w:color w:val="auto"/>
          <w:sz w:val="44"/>
          <w:szCs w:val="44"/>
          <w:highlight w:val="none"/>
        </w:rPr>
      </w:pPr>
    </w:p>
    <w:p w14:paraId="6DE3EAD2">
      <w:pPr>
        <w:pStyle w:val="27"/>
        <w:rPr>
          <w:rFonts w:hint="eastAsia" w:ascii="宋体" w:hAnsi="宋体" w:eastAsia="宋体" w:cs="宋体"/>
          <w:b/>
          <w:bCs/>
          <w:color w:val="auto"/>
          <w:sz w:val="44"/>
          <w:szCs w:val="44"/>
          <w:highlight w:val="none"/>
        </w:rPr>
      </w:pPr>
    </w:p>
    <w:p w14:paraId="236AFD68">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宋体" w:hAnsi="宋体" w:eastAsia="宋体" w:cs="宋体"/>
          <w:b/>
          <w:bCs/>
          <w:color w:val="auto"/>
          <w:sz w:val="32"/>
          <w:szCs w:val="32"/>
          <w:highlight w:val="none"/>
        </w:rPr>
      </w:pPr>
      <w:bookmarkStart w:id="33" w:name="_Toc1697"/>
    </w:p>
    <w:p w14:paraId="4AC45618">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p>
    <w:p w14:paraId="5C3D6599">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质疑函范本</w:t>
      </w:r>
      <w:bookmarkEnd w:id="33"/>
    </w:p>
    <w:p w14:paraId="587FD380">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6" w:firstLineChars="200"/>
        <w:textAlignment w:val="auto"/>
        <w:outlineLvl w:val="9"/>
        <w:rPr>
          <w:rFonts w:hint="eastAsia" w:ascii="宋体" w:hAnsi="宋体" w:eastAsia="宋体" w:cs="宋体"/>
          <w:bCs/>
          <w:color w:val="auto"/>
          <w:sz w:val="21"/>
          <w:szCs w:val="21"/>
          <w:highlight w:val="none"/>
        </w:rPr>
      </w:pPr>
      <w:bookmarkStart w:id="34" w:name="_Toc9061"/>
      <w:r>
        <w:rPr>
          <w:rFonts w:hint="eastAsia" w:ascii="宋体" w:hAnsi="宋体" w:eastAsia="宋体" w:cs="宋体"/>
          <w:bCs/>
          <w:color w:val="auto"/>
          <w:sz w:val="21"/>
          <w:szCs w:val="21"/>
          <w:highlight w:val="none"/>
        </w:rPr>
        <w:t>一、质疑供应商基本信息</w:t>
      </w:r>
      <w:bookmarkEnd w:id="34"/>
    </w:p>
    <w:p w14:paraId="328AFC2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7FDF6A8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738821F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D5F222A">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0DEB2DE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39584F1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4EEA1B7">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bCs/>
          <w:color w:val="auto"/>
          <w:sz w:val="21"/>
          <w:szCs w:val="21"/>
          <w:highlight w:val="none"/>
        </w:rPr>
      </w:pPr>
      <w:bookmarkStart w:id="35" w:name="_Toc15938"/>
      <w:r>
        <w:rPr>
          <w:rFonts w:hint="eastAsia" w:ascii="宋体" w:hAnsi="宋体" w:eastAsia="宋体" w:cs="宋体"/>
          <w:bCs/>
          <w:color w:val="auto"/>
          <w:sz w:val="21"/>
          <w:szCs w:val="21"/>
          <w:highlight w:val="none"/>
        </w:rPr>
        <w:t>二、质疑项目基本情况</w:t>
      </w:r>
      <w:bookmarkEnd w:id="35"/>
    </w:p>
    <w:p w14:paraId="7BD05A73">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635ECE6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0DC1929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637DC41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67A6453C">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bCs/>
          <w:color w:val="auto"/>
          <w:sz w:val="21"/>
          <w:szCs w:val="21"/>
          <w:highlight w:val="none"/>
        </w:rPr>
      </w:pPr>
      <w:bookmarkStart w:id="36" w:name="_Toc18271"/>
      <w:r>
        <w:rPr>
          <w:rFonts w:hint="eastAsia" w:ascii="宋体" w:hAnsi="宋体" w:eastAsia="宋体" w:cs="宋体"/>
          <w:bCs/>
          <w:color w:val="auto"/>
          <w:sz w:val="21"/>
          <w:szCs w:val="21"/>
          <w:highlight w:val="none"/>
        </w:rPr>
        <w:t>三、质疑事项具体内容</w:t>
      </w:r>
      <w:bookmarkEnd w:id="36"/>
    </w:p>
    <w:p w14:paraId="678AA080">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7BCAA5CD">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4958667E">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2B12D195">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1BCAE7F6">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74982DDF">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bCs/>
          <w:color w:val="auto"/>
          <w:sz w:val="21"/>
          <w:szCs w:val="21"/>
          <w:highlight w:val="none"/>
        </w:rPr>
      </w:pPr>
      <w:bookmarkStart w:id="37" w:name="_Toc22365"/>
      <w:r>
        <w:rPr>
          <w:rFonts w:hint="eastAsia" w:ascii="宋体" w:hAnsi="宋体" w:eastAsia="宋体" w:cs="宋体"/>
          <w:bCs/>
          <w:color w:val="auto"/>
          <w:sz w:val="21"/>
          <w:szCs w:val="21"/>
          <w:highlight w:val="none"/>
        </w:rPr>
        <w:t>四、与质疑事项相关的质疑请求</w:t>
      </w:r>
      <w:bookmarkEnd w:id="37"/>
    </w:p>
    <w:p w14:paraId="12D4ED62">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6" w:firstLineChars="200"/>
        <w:textAlignment w:val="auto"/>
        <w:outlineLvl w:val="9"/>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1C613BB7">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13DD6CBA">
      <w:pPr>
        <w:keepNext w:val="0"/>
        <w:keepLines w:val="0"/>
        <w:pageBreakBefore w:val="0"/>
        <w:widowControl w:val="0"/>
        <w:shd w:val="clear" w:color="auto" w:fill="auto"/>
        <w:kinsoku/>
        <w:wordWrap/>
        <w:overflowPunct/>
        <w:topLinePunct w:val="0"/>
        <w:autoSpaceDE/>
        <w:autoSpaceDN/>
        <w:bidi w:val="0"/>
        <w:spacing w:line="540" w:lineRule="exact"/>
        <w:ind w:firstLine="426"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日期：    </w:t>
      </w:r>
    </w:p>
    <w:p w14:paraId="74EB3757">
      <w:pPr>
        <w:pStyle w:val="49"/>
        <w:shd w:val="clear" w:color="auto" w:fill="auto"/>
        <w:ind w:left="0" w:leftChars="0" w:firstLine="0" w:firstLineChars="0"/>
        <w:outlineLvl w:val="9"/>
        <w:rPr>
          <w:rFonts w:hint="eastAsia" w:ascii="黑体" w:eastAsia="黑体"/>
          <w:color w:val="auto"/>
          <w:sz w:val="30"/>
          <w:szCs w:val="30"/>
          <w:highlight w:val="none"/>
        </w:rPr>
      </w:pPr>
    </w:p>
    <w:p w14:paraId="6A7D7B59">
      <w:pPr>
        <w:pageBreakBefore/>
        <w:shd w:val="clear" w:color="auto" w:fill="auto"/>
        <w:spacing w:line="440" w:lineRule="exact"/>
        <w:jc w:val="center"/>
        <w:outlineLvl w:val="0"/>
        <w:rPr>
          <w:rFonts w:hint="eastAsia" w:ascii="黑体" w:eastAsia="黑体"/>
          <w:color w:val="auto"/>
          <w:sz w:val="30"/>
          <w:szCs w:val="30"/>
          <w:highlight w:val="none"/>
        </w:rPr>
      </w:pPr>
      <w:bookmarkStart w:id="38" w:name="_Toc469495731"/>
      <w:r>
        <w:rPr>
          <w:rFonts w:hint="eastAsia" w:ascii="黑体" w:eastAsia="黑体"/>
          <w:color w:val="auto"/>
          <w:sz w:val="30"/>
          <w:szCs w:val="30"/>
          <w:highlight w:val="none"/>
        </w:rPr>
        <w:t>第三章  评标办法</w:t>
      </w:r>
      <w:bookmarkEnd w:id="38"/>
    </w:p>
    <w:p w14:paraId="339F62EA">
      <w:pPr>
        <w:shd w:val="clear" w:color="auto" w:fill="auto"/>
        <w:jc w:val="center"/>
        <w:outlineLvl w:val="1"/>
        <w:rPr>
          <w:rFonts w:hint="eastAsia" w:ascii="宋体" w:hAnsi="Times New Roman" w:eastAsia="宋体" w:cs="Times New Roman"/>
          <w:b/>
          <w:color w:val="auto"/>
          <w:sz w:val="28"/>
          <w:szCs w:val="28"/>
          <w:highlight w:val="none"/>
        </w:rPr>
      </w:pPr>
      <w:bookmarkStart w:id="39" w:name="_Toc469495733"/>
      <w:bookmarkStart w:id="40" w:name="_Toc362983802"/>
      <w:bookmarkStart w:id="41" w:name="_Toc267320058"/>
      <w:bookmarkStart w:id="42" w:name="_Toc363135205"/>
      <w:r>
        <w:rPr>
          <w:rFonts w:hint="eastAsia" w:ascii="宋体" w:hAnsi="Times New Roman" w:eastAsia="宋体" w:cs="Times New Roman"/>
          <w:b/>
          <w:color w:val="auto"/>
          <w:sz w:val="28"/>
          <w:szCs w:val="28"/>
          <w:highlight w:val="none"/>
        </w:rPr>
        <w:t>一</w:t>
      </w:r>
      <w:r>
        <w:rPr>
          <w:rFonts w:hint="eastAsia" w:ascii="宋体" w:hAnsi="Times New Roman" w:eastAsia="宋体" w:cs="Times New Roman"/>
          <w:b/>
          <w:color w:val="auto"/>
          <w:sz w:val="28"/>
          <w:szCs w:val="28"/>
          <w:highlight w:val="none"/>
          <w:lang w:val="en-US" w:eastAsia="zh-CN"/>
        </w:rPr>
        <w:t xml:space="preserve">  </w:t>
      </w:r>
      <w:r>
        <w:rPr>
          <w:rFonts w:hint="eastAsia" w:ascii="宋体" w:hAnsi="Times New Roman" w:eastAsia="宋体" w:cs="Times New Roman"/>
          <w:b/>
          <w:color w:val="auto"/>
          <w:sz w:val="28"/>
          <w:szCs w:val="28"/>
          <w:highlight w:val="none"/>
        </w:rPr>
        <w:t>总  则</w:t>
      </w:r>
    </w:p>
    <w:p w14:paraId="610DC2D8">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1、一般规定</w:t>
      </w:r>
    </w:p>
    <w:p w14:paraId="6A065089">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1.1本项目的招标按照《中华人民共和国政府采购法》、《政府采购货物和服务招标投标管理办法》及政府采购的有关规定进行。</w:t>
      </w:r>
    </w:p>
    <w:p w14:paraId="74311B65">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1.2评标必须遵循邀请、公平、公正、诚实信用的原则。</w:t>
      </w:r>
    </w:p>
    <w:p w14:paraId="6AFF99CC">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1.3招标代理机构组织招标、开标、评标工作，全过程接受政府采购有关部门的监督、管理和指导。</w:t>
      </w:r>
    </w:p>
    <w:p w14:paraId="77B5BFE6">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1.4评标按照招标文件规定的内容进行，采取符合招标文件要求的最低评标价法；</w:t>
      </w:r>
    </w:p>
    <w:p w14:paraId="277C33EB">
      <w:pPr>
        <w:shd w:val="clear" w:color="auto" w:fill="auto"/>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1.5本办法的评标对象是指投标人按照招标文件要求提供的有效投标文件，包括投标人应评标委员会要求对原投标文件作出的正式书面澄清文件。</w:t>
      </w:r>
    </w:p>
    <w:p w14:paraId="226C0644">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2、评标组织机构的组成</w:t>
      </w:r>
    </w:p>
    <w:p w14:paraId="4514682B">
      <w:pPr>
        <w:widowControl/>
        <w:shd w:val="clear" w:color="auto" w:fill="auto"/>
        <w:spacing w:line="440" w:lineRule="exact"/>
        <w:ind w:firstLine="480"/>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b/>
          <w:bCs/>
          <w:color w:val="auto"/>
          <w:kern w:val="0"/>
          <w:szCs w:val="21"/>
          <w:highlight w:val="none"/>
          <w:lang w:bidi="ar-SA"/>
        </w:rPr>
        <w:t>评标委员会由采购人代表和有关技术、经济等方面的专家组成，成员人数应当为</w:t>
      </w:r>
      <w:r>
        <w:rPr>
          <w:rFonts w:hint="eastAsia" w:ascii="宋体" w:hAnsi="宋体" w:cs="宋体"/>
          <w:b/>
          <w:bCs/>
          <w:color w:val="auto"/>
          <w:kern w:val="0"/>
          <w:szCs w:val="21"/>
          <w:highlight w:val="none"/>
          <w:lang w:val="en-US" w:eastAsia="zh-CN" w:bidi="ar-SA"/>
        </w:rPr>
        <w:t>5</w:t>
      </w:r>
      <w:r>
        <w:rPr>
          <w:rFonts w:hint="eastAsia" w:ascii="宋体" w:hAnsi="宋体" w:eastAsia="宋体" w:cs="宋体"/>
          <w:b/>
          <w:bCs/>
          <w:color w:val="auto"/>
          <w:kern w:val="0"/>
          <w:szCs w:val="21"/>
          <w:highlight w:val="none"/>
          <w:lang w:bidi="ar-SA"/>
        </w:rPr>
        <w:t>人。</w:t>
      </w:r>
      <w:r>
        <w:rPr>
          <w:rFonts w:hint="eastAsia" w:ascii="宋体" w:hAnsi="宋体" w:eastAsia="宋体" w:cs="宋体"/>
          <w:color w:val="auto"/>
          <w:kern w:val="0"/>
          <w:szCs w:val="21"/>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2B4F2940">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2.2评标工作组由招标人及有关专家组成，由评标委员会确认，并接受其领导。</w:t>
      </w:r>
    </w:p>
    <w:p w14:paraId="52E302BE">
      <w:pPr>
        <w:shd w:val="clear" w:color="auto" w:fill="auto"/>
        <w:tabs>
          <w:tab w:val="left" w:pos="567"/>
          <w:tab w:val="left" w:pos="1145"/>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2.3评标委员会应相对独立工作，负责评标、撰写技术、商务评标报告。采购代理机构负责评标过程中资料的保管、发放、回收，整理、汇总评标资料。</w:t>
      </w:r>
    </w:p>
    <w:p w14:paraId="3337D402">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3、评标委员会职责</w:t>
      </w:r>
    </w:p>
    <w:p w14:paraId="007D4274">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3.1审查投标文件是否符合招标文件要求，并作出评价；</w:t>
      </w:r>
    </w:p>
    <w:p w14:paraId="76358B66">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3.2要求投标人对投标文件有关事项作出解释或者澄清；</w:t>
      </w:r>
    </w:p>
    <w:p w14:paraId="6C1E70F5">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3.3推荐中标候选人名单；</w:t>
      </w:r>
    </w:p>
    <w:p w14:paraId="775BD5FF">
      <w:pPr>
        <w:pStyle w:val="53"/>
        <w:shd w:val="clear" w:color="auto" w:fill="auto"/>
        <w:spacing w:before="0" w:beforeAutospacing="0" w:after="0" w:afterAutospacing="0" w:line="440" w:lineRule="exact"/>
        <w:ind w:firstLine="542" w:firstLineChars="2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3.4向招标人、招标代理机构或者有关部门报告非法干预评标工作的行为。</w:t>
      </w:r>
    </w:p>
    <w:p w14:paraId="2546A71E">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4、评标委员会义务</w:t>
      </w:r>
    </w:p>
    <w:p w14:paraId="3D5E5761">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4.1遵纪守法，客观、公正、廉洁地履行职责；</w:t>
      </w:r>
    </w:p>
    <w:p w14:paraId="658DDFD8">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4.2按照招标文件规定的评标方法和评标标准进行评标，对评审意见承担个人责任；</w:t>
      </w:r>
    </w:p>
    <w:p w14:paraId="3B62F2BA">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4.3对评标过程和结果，以及投标人的商业秘密保密；</w:t>
      </w:r>
    </w:p>
    <w:p w14:paraId="62BFB8F2">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4.4参与评标报告的起草；</w:t>
      </w:r>
    </w:p>
    <w:p w14:paraId="703D1572">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4.5配合有关部门的投诉处理工作；</w:t>
      </w:r>
    </w:p>
    <w:p w14:paraId="3E0D0515">
      <w:pPr>
        <w:shd w:val="clear" w:color="auto" w:fill="auto"/>
        <w:tabs>
          <w:tab w:val="left" w:pos="567"/>
          <w:tab w:val="left" w:pos="600"/>
        </w:tabs>
        <w:spacing w:line="440" w:lineRule="exact"/>
        <w:ind w:firstLine="542" w:firstLineChars="255"/>
        <w:rPr>
          <w:rFonts w:hint="eastAsia" w:ascii="宋体" w:hAnsi="宋体" w:eastAsia="宋体" w:cs="宋体"/>
          <w:color w:val="auto"/>
          <w:szCs w:val="21"/>
          <w:highlight w:val="none"/>
        </w:rPr>
      </w:pPr>
      <w:r>
        <w:rPr>
          <w:rFonts w:hint="eastAsia" w:ascii="宋体" w:hAnsi="宋体" w:eastAsia="宋体" w:cs="宋体"/>
          <w:color w:val="auto"/>
          <w:szCs w:val="21"/>
          <w:highlight w:val="none"/>
        </w:rPr>
        <w:t>4.6配合招标人、招标代理机构答复投标供应商提出的质疑。</w:t>
      </w:r>
    </w:p>
    <w:p w14:paraId="7934C0AC">
      <w:pPr>
        <w:shd w:val="clear" w:color="auto" w:fill="auto"/>
        <w:tabs>
          <w:tab w:val="left" w:pos="1547"/>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 评标程序</w:t>
      </w:r>
    </w:p>
    <w:p w14:paraId="2A8B7AB4">
      <w:pPr>
        <w:pStyle w:val="23"/>
        <w:shd w:val="clear" w:color="auto" w:fill="auto"/>
        <w:tabs>
          <w:tab w:val="left" w:pos="720"/>
          <w:tab w:val="clear" w:pos="0"/>
        </w:tabs>
        <w:spacing w:line="440" w:lineRule="exact"/>
        <w:ind w:firstLine="542" w:firstLineChars="255"/>
        <w:rPr>
          <w:rFonts w:hint="eastAsia" w:ascii="宋体" w:hAnsi="宋体" w:eastAsia="宋体" w:cs="宋体"/>
          <w:bCs/>
          <w:color w:val="auto"/>
          <w:szCs w:val="21"/>
          <w:highlight w:val="none"/>
          <w:lang w:bidi="ar-SA"/>
        </w:rPr>
      </w:pPr>
      <w:r>
        <w:rPr>
          <w:rFonts w:hint="eastAsia" w:ascii="宋体" w:hAnsi="宋体" w:eastAsia="宋体" w:cs="宋体"/>
          <w:bCs/>
          <w:color w:val="auto"/>
          <w:szCs w:val="21"/>
          <w:highlight w:val="none"/>
          <w:lang w:bidi="ar-SA"/>
        </w:rPr>
        <w:t>5.1本次评标首先由评标委员会对投标人的投标文件进行初审，对未能通过初审的投标文件作无效标处理；</w:t>
      </w:r>
    </w:p>
    <w:p w14:paraId="3FB9742D">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5.2对通过初审的投标人的投标文件进行详细的比较和评价。如需要，进行必要的澄清工作；</w:t>
      </w:r>
    </w:p>
    <w:p w14:paraId="27097D06">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5.3评标报告与推荐</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候选人</w:t>
      </w:r>
    </w:p>
    <w:p w14:paraId="1729CAD7">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小组各成员应当独立对每个有效响应的文件进行评价、打分，然后汇总每个供应商每项评分因素的得分。</w:t>
      </w:r>
    </w:p>
    <w:p w14:paraId="0260E36C">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0000FF"/>
          <w:szCs w:val="21"/>
          <w:highlight w:val="none"/>
        </w:rPr>
        <w:t>综合评分法</w:t>
      </w:r>
      <w:r>
        <w:rPr>
          <w:rFonts w:hint="eastAsia" w:ascii="宋体" w:hAnsi="宋体" w:cs="宋体"/>
          <w:bCs/>
          <w:color w:val="0000FF"/>
          <w:szCs w:val="21"/>
          <w:highlight w:val="none"/>
          <w:lang w:val="en-US" w:eastAsia="zh-CN"/>
        </w:rPr>
        <w:t>服务采购</w:t>
      </w:r>
      <w:r>
        <w:rPr>
          <w:rFonts w:hint="eastAsia" w:ascii="宋体" w:hAnsi="宋体" w:eastAsia="宋体" w:cs="宋体"/>
          <w:bCs/>
          <w:color w:val="0000FF"/>
          <w:szCs w:val="21"/>
          <w:highlight w:val="none"/>
        </w:rPr>
        <w:t>项目的价格分值占总分值的比重(即权值)为</w:t>
      </w:r>
      <w:r>
        <w:rPr>
          <w:rFonts w:hint="eastAsia" w:ascii="宋体" w:hAnsi="宋体" w:cs="宋体"/>
          <w:bCs/>
          <w:color w:val="0000FF"/>
          <w:szCs w:val="21"/>
          <w:highlight w:val="none"/>
          <w:lang w:val="en-US" w:eastAsia="zh-CN"/>
        </w:rPr>
        <w:t>15</w:t>
      </w:r>
      <w:r>
        <w:rPr>
          <w:rFonts w:hint="eastAsia" w:ascii="宋体" w:hAnsi="宋体" w:eastAsia="宋体" w:cs="宋体"/>
          <w:bCs/>
          <w:color w:val="0000FF"/>
          <w:szCs w:val="21"/>
          <w:highlight w:val="none"/>
        </w:rPr>
        <w:t>％，</w:t>
      </w:r>
      <w:r>
        <w:rPr>
          <w:rFonts w:hint="eastAsia" w:ascii="宋体" w:hAnsi="宋体" w:eastAsia="宋体" w:cs="宋体"/>
          <w:bCs/>
          <w:color w:val="auto"/>
          <w:szCs w:val="21"/>
          <w:highlight w:val="none"/>
        </w:rPr>
        <w:t>采购项目中含不同采购对象的，以占项目资金比例最高的采购对象确定其项目属性。其价格不列为评分因素，有特殊情况需要在上述规定范围外设定价格分权重的。</w:t>
      </w:r>
    </w:p>
    <w:p w14:paraId="028F2FE0">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综合评分法中的价格分统一采用低价优先法计算，即满足</w:t>
      </w:r>
      <w:r>
        <w:rPr>
          <w:rFonts w:hint="eastAsia" w:ascii="宋体" w:hAnsi="宋体" w:eastAsia="宋体" w:cs="宋体"/>
          <w:bCs/>
          <w:color w:val="auto"/>
          <w:szCs w:val="21"/>
          <w:highlight w:val="none"/>
          <w:lang w:eastAsia="zh-CN"/>
        </w:rPr>
        <w:t>招标文件</w:t>
      </w:r>
      <w:r>
        <w:rPr>
          <w:rFonts w:hint="eastAsia" w:ascii="宋体" w:hAnsi="宋体" w:eastAsia="宋体" w:cs="宋体"/>
          <w:bCs/>
          <w:color w:val="auto"/>
          <w:szCs w:val="21"/>
          <w:highlight w:val="none"/>
        </w:rPr>
        <w:t>要求且最后报价最低的供应商的价格为</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基准价，其价格分为满分。其他供应商的价格分统一按照下列公式计算：</w:t>
      </w:r>
    </w:p>
    <w:p w14:paraId="1447B3E4">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报价得分=（</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基准价/最后</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报价）×价格权值×100</w:t>
      </w:r>
    </w:p>
    <w:p w14:paraId="44398B24">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项目评审过程中，不得去掉最后报价中的最高报价和最低报价。</w:t>
      </w:r>
    </w:p>
    <w:p w14:paraId="3E13A5CC">
      <w:pPr>
        <w:pStyle w:val="23"/>
        <w:tabs>
          <w:tab w:val="left" w:pos="720"/>
          <w:tab w:val="clear" w:pos="0"/>
        </w:tabs>
        <w:spacing w:line="440" w:lineRule="exact"/>
        <w:ind w:firstLine="542" w:firstLineChars="25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候选供应商符合《政府采购竞争性</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采购方式管理暂行办法》法第二十五条</w:t>
      </w:r>
      <w:r>
        <w:rPr>
          <w:rFonts w:hint="eastAsia" w:ascii="宋体" w:hAnsi="宋体" w:eastAsia="宋体" w:cs="宋体"/>
          <w:bCs/>
          <w:color w:val="auto"/>
          <w:szCs w:val="21"/>
          <w:highlight w:val="none"/>
          <w:lang w:eastAsia="zh-CN"/>
        </w:rPr>
        <w:t>招标</w:t>
      </w:r>
      <w:r>
        <w:rPr>
          <w:rFonts w:hint="eastAsia" w:ascii="宋体" w:hAnsi="宋体" w:eastAsia="宋体" w:cs="宋体"/>
          <w:bCs/>
          <w:color w:val="auto"/>
          <w:szCs w:val="21"/>
          <w:highlight w:val="none"/>
        </w:rPr>
        <w:t>小组应当根据综合评分情况，按照评审得分由高到低顺序推荐3名以上</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候选供应商。符合本办法第二十一条第三款情形的，可以推荐2家</w:t>
      </w:r>
      <w:r>
        <w:rPr>
          <w:rFonts w:hint="eastAsia" w:ascii="宋体" w:hAnsi="宋体" w:cs="宋体"/>
          <w:bCs/>
          <w:color w:val="auto"/>
          <w:szCs w:val="21"/>
          <w:highlight w:val="none"/>
          <w:lang w:val="en-US" w:eastAsia="zh-CN"/>
        </w:rPr>
        <w:t>中标</w:t>
      </w:r>
      <w:r>
        <w:rPr>
          <w:rFonts w:hint="eastAsia" w:ascii="宋体" w:hAnsi="宋体" w:eastAsia="宋体" w:cs="宋体"/>
          <w:bCs/>
          <w:color w:val="auto"/>
          <w:szCs w:val="21"/>
          <w:highlight w:val="none"/>
        </w:rPr>
        <w:t>候选供应商。评审得分相同的，按照最后报价由低到高的顺序推荐。评审得分且最后报价相同的，按照技术指标优劣顺序推荐。</w:t>
      </w:r>
    </w:p>
    <w:p w14:paraId="6132C3B3">
      <w:pPr>
        <w:shd w:val="clear" w:color="auto" w:fill="auto"/>
        <w:jc w:val="center"/>
        <w:outlineLvl w:val="9"/>
        <w:rPr>
          <w:rFonts w:hint="eastAsia" w:ascii="宋体"/>
          <w:b/>
          <w:color w:val="auto"/>
          <w:sz w:val="28"/>
          <w:szCs w:val="28"/>
          <w:highlight w:val="none"/>
        </w:rPr>
      </w:pPr>
    </w:p>
    <w:p w14:paraId="7A159AD9">
      <w:pPr>
        <w:shd w:val="clear" w:color="auto" w:fill="auto"/>
        <w:jc w:val="center"/>
        <w:outlineLvl w:val="9"/>
        <w:rPr>
          <w:rFonts w:hint="eastAsia" w:ascii="宋体"/>
          <w:b/>
          <w:color w:val="auto"/>
          <w:sz w:val="28"/>
          <w:szCs w:val="28"/>
          <w:highlight w:val="none"/>
        </w:rPr>
      </w:pPr>
    </w:p>
    <w:p w14:paraId="584CFDAB">
      <w:pPr>
        <w:shd w:val="clear" w:color="auto" w:fill="auto"/>
        <w:jc w:val="center"/>
        <w:outlineLvl w:val="9"/>
        <w:rPr>
          <w:rFonts w:hint="eastAsia" w:ascii="宋体"/>
          <w:b/>
          <w:color w:val="auto"/>
          <w:sz w:val="28"/>
          <w:szCs w:val="28"/>
          <w:highlight w:val="none"/>
        </w:rPr>
      </w:pPr>
    </w:p>
    <w:p w14:paraId="78C55AA5">
      <w:pPr>
        <w:shd w:val="clear" w:color="auto" w:fill="auto"/>
        <w:jc w:val="both"/>
        <w:outlineLvl w:val="9"/>
        <w:rPr>
          <w:rFonts w:hint="eastAsia" w:ascii="宋体"/>
          <w:b/>
          <w:color w:val="auto"/>
          <w:sz w:val="28"/>
          <w:szCs w:val="28"/>
          <w:highlight w:val="none"/>
        </w:rPr>
      </w:pPr>
    </w:p>
    <w:p w14:paraId="2B4991C7">
      <w:pPr>
        <w:shd w:val="clear" w:color="auto" w:fill="auto"/>
        <w:jc w:val="both"/>
        <w:outlineLvl w:val="9"/>
        <w:rPr>
          <w:rFonts w:hint="eastAsia" w:ascii="宋体"/>
          <w:b/>
          <w:color w:val="auto"/>
          <w:sz w:val="28"/>
          <w:szCs w:val="28"/>
          <w:highlight w:val="none"/>
        </w:rPr>
      </w:pPr>
    </w:p>
    <w:p w14:paraId="33647C3B">
      <w:pPr>
        <w:shd w:val="clear" w:color="auto" w:fill="auto"/>
        <w:jc w:val="center"/>
        <w:outlineLvl w:val="1"/>
        <w:rPr>
          <w:rFonts w:hint="eastAsia" w:ascii="宋体"/>
          <w:b/>
          <w:color w:val="auto"/>
          <w:sz w:val="28"/>
          <w:szCs w:val="28"/>
          <w:highlight w:val="none"/>
        </w:rPr>
      </w:pPr>
      <w:r>
        <w:rPr>
          <w:rFonts w:hint="eastAsia" w:ascii="宋体"/>
          <w:b/>
          <w:color w:val="auto"/>
          <w:sz w:val="28"/>
          <w:szCs w:val="28"/>
          <w:highlight w:val="none"/>
        </w:rPr>
        <w:t>二  投标文件初审</w:t>
      </w:r>
      <w:bookmarkEnd w:id="39"/>
      <w:bookmarkEnd w:id="40"/>
    </w:p>
    <w:p w14:paraId="2065E4BC">
      <w:pPr>
        <w:shd w:val="clear" w:color="auto" w:fill="auto"/>
        <w:spacing w:line="400" w:lineRule="exact"/>
        <w:ind w:firstLine="312" w:firstLineChars="147"/>
        <w:rPr>
          <w:rFonts w:hint="eastAsia" w:ascii="宋体"/>
          <w:b/>
          <w:color w:val="auto"/>
          <w:szCs w:val="21"/>
          <w:highlight w:val="none"/>
        </w:rPr>
      </w:pPr>
      <w:r>
        <w:rPr>
          <w:rFonts w:hint="eastAsia" w:ascii="宋体"/>
          <w:b/>
          <w:color w:val="auto"/>
          <w:szCs w:val="21"/>
          <w:highlight w:val="none"/>
          <w:lang w:val="en-US" w:eastAsia="zh-CN"/>
        </w:rPr>
        <w:t>6</w:t>
      </w:r>
      <w:r>
        <w:rPr>
          <w:rFonts w:hint="eastAsia" w:ascii="宋体"/>
          <w:b/>
          <w:color w:val="auto"/>
          <w:szCs w:val="21"/>
          <w:highlight w:val="none"/>
        </w:rPr>
        <w:t>.资格性审查:</w:t>
      </w:r>
    </w:p>
    <w:p w14:paraId="5B541F3B">
      <w:pPr>
        <w:shd w:val="clear" w:color="auto" w:fill="auto"/>
        <w:spacing w:line="400" w:lineRule="exact"/>
        <w:ind w:firstLine="312" w:firstLineChars="147"/>
        <w:rPr>
          <w:rFonts w:hint="eastAsia"/>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.1</w:t>
      </w:r>
      <w:r>
        <w:rPr>
          <w:rFonts w:hint="eastAsia"/>
          <w:color w:val="auto"/>
          <w:szCs w:val="21"/>
          <w:highlight w:val="none"/>
        </w:rPr>
        <w:t>评审细则</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372"/>
        <w:gridCol w:w="5944"/>
        <w:gridCol w:w="713"/>
        <w:gridCol w:w="696"/>
      </w:tblGrid>
      <w:tr w14:paraId="7AA3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restart"/>
            <w:noWrap w:val="0"/>
            <w:vAlign w:val="center"/>
          </w:tcPr>
          <w:p w14:paraId="3BB2BD0E">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项目</w:t>
            </w:r>
          </w:p>
        </w:tc>
        <w:tc>
          <w:tcPr>
            <w:tcW w:w="3704" w:type="pct"/>
            <w:gridSpan w:val="2"/>
            <w:vMerge w:val="restart"/>
            <w:noWrap w:val="0"/>
            <w:vAlign w:val="center"/>
          </w:tcPr>
          <w:p w14:paraId="587AD81B">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评审内容</w:t>
            </w:r>
          </w:p>
        </w:tc>
        <w:tc>
          <w:tcPr>
            <w:tcW w:w="825" w:type="pct"/>
            <w:gridSpan w:val="2"/>
            <w:noWrap w:val="0"/>
            <w:vAlign w:val="center"/>
          </w:tcPr>
          <w:p w14:paraId="1F91EA4D">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评审意见</w:t>
            </w:r>
          </w:p>
        </w:tc>
      </w:tr>
      <w:tr w14:paraId="45F8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2DA49B37">
            <w:pPr>
              <w:shd w:val="clear" w:color="auto" w:fill="auto"/>
              <w:rPr>
                <w:rFonts w:hint="eastAsia" w:ascii="宋体" w:hAnsi="宋体" w:eastAsia="宋体" w:cs="宋体"/>
                <w:bCs/>
                <w:color w:val="auto"/>
                <w:kern w:val="2"/>
                <w:sz w:val="21"/>
                <w:szCs w:val="21"/>
                <w:highlight w:val="none"/>
                <w:lang w:val="en-US" w:eastAsia="zh-CN" w:bidi="ar-SA"/>
              </w:rPr>
            </w:pPr>
          </w:p>
        </w:tc>
        <w:tc>
          <w:tcPr>
            <w:tcW w:w="3704" w:type="pct"/>
            <w:gridSpan w:val="2"/>
            <w:vMerge w:val="continue"/>
            <w:noWrap w:val="0"/>
            <w:vAlign w:val="top"/>
          </w:tcPr>
          <w:p w14:paraId="6CA1181C">
            <w:pPr>
              <w:shd w:val="clear" w:color="auto" w:fill="auto"/>
              <w:rPr>
                <w:rFonts w:hint="eastAsia" w:ascii="宋体" w:hAnsi="宋体" w:eastAsia="宋体" w:cs="宋体"/>
                <w:bCs/>
                <w:color w:val="auto"/>
                <w:kern w:val="2"/>
                <w:sz w:val="21"/>
                <w:szCs w:val="21"/>
                <w:highlight w:val="none"/>
                <w:lang w:val="en-US" w:eastAsia="zh-CN" w:bidi="ar-SA"/>
              </w:rPr>
            </w:pPr>
          </w:p>
        </w:tc>
        <w:tc>
          <w:tcPr>
            <w:tcW w:w="418" w:type="pct"/>
            <w:noWrap w:val="0"/>
            <w:vAlign w:val="center"/>
          </w:tcPr>
          <w:p w14:paraId="0AD3EA1D">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c>
          <w:tcPr>
            <w:tcW w:w="407" w:type="pct"/>
            <w:noWrap w:val="0"/>
            <w:vAlign w:val="center"/>
          </w:tcPr>
          <w:p w14:paraId="7BFD1A58">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是否合格</w:t>
            </w:r>
          </w:p>
        </w:tc>
      </w:tr>
      <w:tr w14:paraId="2EF7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restart"/>
            <w:noWrap w:val="0"/>
            <w:vAlign w:val="center"/>
          </w:tcPr>
          <w:p w14:paraId="31B3749D">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p w14:paraId="57240FBA">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查</w:t>
            </w:r>
          </w:p>
          <w:p w14:paraId="6BC4DD7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标</w:t>
            </w:r>
          </w:p>
          <w:p w14:paraId="49C8AB5A">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准</w:t>
            </w:r>
          </w:p>
          <w:p w14:paraId="6260B943">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(适</w:t>
            </w:r>
          </w:p>
          <w:p w14:paraId="1327752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用</w:t>
            </w:r>
          </w:p>
          <w:p w14:paraId="13E890F7">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于</w:t>
            </w:r>
          </w:p>
          <w:p w14:paraId="7DB08CD1">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资</w:t>
            </w:r>
          </w:p>
          <w:p w14:paraId="32FB3030">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格</w:t>
            </w:r>
          </w:p>
          <w:p w14:paraId="47FB3C2E">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后</w:t>
            </w:r>
          </w:p>
          <w:p w14:paraId="5F7DAA64">
            <w:pPr>
              <w:shd w:val="clear" w:color="auto" w:fill="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审)</w:t>
            </w:r>
          </w:p>
        </w:tc>
        <w:tc>
          <w:tcPr>
            <w:tcW w:w="218" w:type="pct"/>
            <w:noWrap w:val="0"/>
            <w:vAlign w:val="center"/>
          </w:tcPr>
          <w:p w14:paraId="08D08E8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3486" w:type="pct"/>
            <w:noWrap w:val="0"/>
            <w:vAlign w:val="center"/>
          </w:tcPr>
          <w:p w14:paraId="4BE36CCA">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zCs w:val="21"/>
                <w:highlight w:val="none"/>
              </w:rPr>
              <w:t>具备</w:t>
            </w:r>
            <w:r>
              <w:rPr>
                <w:rFonts w:hint="eastAsia" w:ascii="宋体" w:hAnsi="宋体" w:eastAsia="宋体" w:cs="宋体"/>
                <w:szCs w:val="21"/>
                <w:highlight w:val="none"/>
                <w:lang w:val="en-US" w:eastAsia="zh-CN"/>
              </w:rPr>
              <w:t>合格有效的</w:t>
            </w:r>
            <w:r>
              <w:rPr>
                <w:rFonts w:hint="eastAsia" w:ascii="宋体" w:hAnsi="宋体" w:eastAsia="宋体" w:cs="宋体"/>
                <w:szCs w:val="21"/>
                <w:highlight w:val="none"/>
              </w:rPr>
              <w:t>三证合一营业执照</w:t>
            </w:r>
            <w:r>
              <w:rPr>
                <w:rFonts w:hint="eastAsia" w:ascii="宋体" w:hAnsi="宋体" w:eastAsia="宋体" w:cs="宋体"/>
                <w:szCs w:val="21"/>
                <w:highlight w:val="none"/>
                <w:lang w:eastAsia="zh-CN"/>
              </w:rPr>
              <w:t>；</w:t>
            </w:r>
          </w:p>
        </w:tc>
        <w:tc>
          <w:tcPr>
            <w:tcW w:w="418" w:type="pct"/>
            <w:noWrap w:val="0"/>
            <w:vAlign w:val="top"/>
          </w:tcPr>
          <w:p w14:paraId="080190E6">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407" w:type="pct"/>
            <w:noWrap w:val="0"/>
            <w:vAlign w:val="top"/>
          </w:tcPr>
          <w:p w14:paraId="4019BE62">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6402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172EB384">
            <w:pPr>
              <w:shd w:val="clear" w:color="auto" w:fill="auto"/>
              <w:rPr>
                <w:rFonts w:hint="eastAsia" w:ascii="宋体" w:hAnsi="宋体" w:eastAsia="宋体" w:cs="宋体"/>
                <w:bCs/>
                <w:color w:val="auto"/>
                <w:kern w:val="2"/>
                <w:sz w:val="21"/>
                <w:szCs w:val="21"/>
                <w:highlight w:val="none"/>
                <w:lang w:val="en-US" w:eastAsia="zh-CN" w:bidi="ar-SA"/>
              </w:rPr>
            </w:pPr>
          </w:p>
        </w:tc>
        <w:tc>
          <w:tcPr>
            <w:tcW w:w="218" w:type="pct"/>
            <w:noWrap w:val="0"/>
            <w:vAlign w:val="center"/>
          </w:tcPr>
          <w:p w14:paraId="2806387A">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3486" w:type="pct"/>
            <w:noWrap w:val="0"/>
            <w:vAlign w:val="center"/>
          </w:tcPr>
          <w:p w14:paraId="428B4526">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法定代表人投标需提供法定代表人资格证明书，</w:t>
            </w:r>
            <w:r>
              <w:rPr>
                <w:rFonts w:hint="eastAsia" w:ascii="宋体" w:hAnsi="宋体" w:cs="宋体"/>
                <w:bCs/>
                <w:color w:val="auto"/>
                <w:kern w:val="2"/>
                <w:sz w:val="21"/>
                <w:szCs w:val="21"/>
                <w:highlight w:val="none"/>
                <w:lang w:val="en-US" w:eastAsia="zh-CN" w:bidi="ar-SA"/>
              </w:rPr>
              <w:t>委托代理人投标需提供法定代表人资格证明书及授权委托书</w:t>
            </w:r>
            <w:r>
              <w:rPr>
                <w:rFonts w:hint="eastAsia" w:ascii="宋体" w:hAnsi="宋体" w:eastAsia="宋体" w:cs="宋体"/>
                <w:bCs/>
                <w:color w:val="auto"/>
                <w:kern w:val="2"/>
                <w:sz w:val="21"/>
                <w:szCs w:val="21"/>
                <w:highlight w:val="none"/>
                <w:lang w:val="en-US" w:eastAsia="zh-CN" w:bidi="ar-SA"/>
              </w:rPr>
              <w:t>；</w:t>
            </w:r>
          </w:p>
        </w:tc>
        <w:tc>
          <w:tcPr>
            <w:tcW w:w="418" w:type="pct"/>
            <w:noWrap w:val="0"/>
            <w:vAlign w:val="top"/>
          </w:tcPr>
          <w:p w14:paraId="5631A440">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407" w:type="pct"/>
            <w:noWrap w:val="0"/>
            <w:vAlign w:val="top"/>
          </w:tcPr>
          <w:p w14:paraId="44F960B7">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3848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4B9E8038">
            <w:pPr>
              <w:shd w:val="clear" w:color="auto" w:fill="auto"/>
              <w:rPr>
                <w:rFonts w:hint="eastAsia" w:ascii="宋体" w:hAnsi="宋体" w:eastAsia="宋体" w:cs="宋体"/>
                <w:bCs/>
                <w:color w:val="auto"/>
                <w:kern w:val="2"/>
                <w:sz w:val="21"/>
                <w:szCs w:val="21"/>
                <w:highlight w:val="none"/>
                <w:lang w:val="en-US" w:eastAsia="zh-CN" w:bidi="ar-SA"/>
              </w:rPr>
            </w:pPr>
          </w:p>
        </w:tc>
        <w:tc>
          <w:tcPr>
            <w:tcW w:w="218" w:type="pct"/>
            <w:noWrap w:val="0"/>
            <w:vAlign w:val="center"/>
          </w:tcPr>
          <w:p w14:paraId="7EC45FDC">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3486" w:type="pct"/>
            <w:noWrap w:val="0"/>
            <w:vAlign w:val="center"/>
          </w:tcPr>
          <w:p w14:paraId="39F5F557">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投标保证金汇款凭证或保函</w:t>
            </w:r>
          </w:p>
        </w:tc>
        <w:tc>
          <w:tcPr>
            <w:tcW w:w="418" w:type="pct"/>
            <w:noWrap w:val="0"/>
            <w:vAlign w:val="top"/>
          </w:tcPr>
          <w:p w14:paraId="58B6BDC9">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407" w:type="pct"/>
            <w:noWrap w:val="0"/>
            <w:vAlign w:val="top"/>
          </w:tcPr>
          <w:p w14:paraId="2C919323">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66DD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322F97EC">
            <w:pPr>
              <w:shd w:val="clear" w:color="auto" w:fill="auto"/>
              <w:rPr>
                <w:rFonts w:hint="eastAsia" w:ascii="宋体" w:hAnsi="宋体" w:eastAsia="宋体" w:cs="宋体"/>
                <w:bCs/>
                <w:color w:val="auto"/>
                <w:kern w:val="2"/>
                <w:sz w:val="21"/>
                <w:szCs w:val="21"/>
                <w:highlight w:val="none"/>
                <w:lang w:val="en-US" w:eastAsia="zh-CN" w:bidi="ar-SA"/>
              </w:rPr>
            </w:pPr>
          </w:p>
        </w:tc>
        <w:tc>
          <w:tcPr>
            <w:tcW w:w="218" w:type="pct"/>
            <w:noWrap w:val="0"/>
            <w:vAlign w:val="center"/>
          </w:tcPr>
          <w:p w14:paraId="36816628">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3486" w:type="pct"/>
            <w:noWrap w:val="0"/>
            <w:vAlign w:val="center"/>
          </w:tcPr>
          <w:p w14:paraId="6129A572">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cs="宋体"/>
                <w:szCs w:val="21"/>
                <w:highlight w:val="none"/>
                <w:lang w:val="en-US" w:eastAsia="zh-CN"/>
              </w:rPr>
              <w:t>投标企业须提供投标人（被授权人）近6个月任意一个月的社保证明</w:t>
            </w:r>
            <w:r>
              <w:rPr>
                <w:rFonts w:hint="eastAsia" w:ascii="宋体" w:hAnsi="宋体" w:eastAsia="宋体" w:cs="宋体"/>
                <w:szCs w:val="21"/>
                <w:highlight w:val="none"/>
              </w:rPr>
              <w:t> </w:t>
            </w:r>
          </w:p>
        </w:tc>
        <w:tc>
          <w:tcPr>
            <w:tcW w:w="418" w:type="pct"/>
            <w:noWrap w:val="0"/>
            <w:vAlign w:val="top"/>
          </w:tcPr>
          <w:p w14:paraId="43CD056F">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407" w:type="pct"/>
            <w:noWrap w:val="0"/>
            <w:vAlign w:val="top"/>
          </w:tcPr>
          <w:p w14:paraId="616F4884">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6BA8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60AEEE14">
            <w:pPr>
              <w:shd w:val="clear" w:color="auto" w:fill="auto"/>
              <w:rPr>
                <w:rFonts w:hint="eastAsia" w:ascii="宋体" w:hAnsi="宋体" w:eastAsia="宋体" w:cs="宋体"/>
                <w:bCs/>
                <w:color w:val="auto"/>
                <w:kern w:val="2"/>
                <w:sz w:val="21"/>
                <w:szCs w:val="21"/>
                <w:highlight w:val="none"/>
                <w:lang w:val="en-US" w:eastAsia="zh-CN" w:bidi="ar-SA"/>
              </w:rPr>
            </w:pPr>
          </w:p>
        </w:tc>
        <w:tc>
          <w:tcPr>
            <w:tcW w:w="218" w:type="pct"/>
            <w:noWrap w:val="0"/>
            <w:vAlign w:val="center"/>
          </w:tcPr>
          <w:p w14:paraId="6EDEFE95">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3486" w:type="pct"/>
            <w:noWrap w:val="0"/>
            <w:vAlign w:val="top"/>
          </w:tcPr>
          <w:p w14:paraId="311EE51D">
            <w:pPr>
              <w:tabs>
                <w:tab w:val="left" w:pos="720"/>
              </w:tabs>
              <w:spacing w:line="44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活动前三年内未被“信用中国”（www.creditchina.gov.cn）、中国政府采购网（www.ccgp.gov.cn）列入失信被执行人、重大税收违法案件当事人名单、政府采购严重违法失信行为记录名单</w:t>
            </w:r>
          </w:p>
        </w:tc>
        <w:tc>
          <w:tcPr>
            <w:tcW w:w="418" w:type="pct"/>
            <w:noWrap w:val="0"/>
            <w:vAlign w:val="top"/>
          </w:tcPr>
          <w:p w14:paraId="0C9642AE">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407" w:type="pct"/>
            <w:noWrap w:val="0"/>
            <w:vAlign w:val="top"/>
          </w:tcPr>
          <w:p w14:paraId="0590CB17">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565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4F3A3AE8">
            <w:pPr>
              <w:shd w:val="clear" w:color="auto" w:fill="auto"/>
              <w:rPr>
                <w:rFonts w:hint="eastAsia" w:ascii="宋体" w:hAnsi="宋体" w:eastAsia="宋体" w:cs="宋体"/>
                <w:bCs/>
                <w:color w:val="auto"/>
                <w:kern w:val="2"/>
                <w:sz w:val="21"/>
                <w:szCs w:val="21"/>
                <w:highlight w:val="none"/>
                <w:lang w:val="en-US" w:eastAsia="zh-CN" w:bidi="ar-SA"/>
              </w:rPr>
            </w:pPr>
          </w:p>
        </w:tc>
        <w:tc>
          <w:tcPr>
            <w:tcW w:w="218" w:type="pct"/>
            <w:noWrap w:val="0"/>
            <w:vAlign w:val="center"/>
          </w:tcPr>
          <w:p w14:paraId="6D849C80">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6</w:t>
            </w:r>
          </w:p>
        </w:tc>
        <w:tc>
          <w:tcPr>
            <w:tcW w:w="3486" w:type="pct"/>
            <w:noWrap w:val="0"/>
            <w:vAlign w:val="top"/>
          </w:tcPr>
          <w:p w14:paraId="16C92349">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rPr>
                <w:rFonts w:hint="eastAsia" w:ascii="宋体" w:hAnsi="宋体" w:eastAsia="宋体" w:cs="宋体"/>
                <w:color w:val="333333"/>
                <w:kern w:val="2"/>
                <w:sz w:val="22"/>
                <w:szCs w:val="22"/>
                <w:highlight w:val="none"/>
                <w:lang w:val="en-US" w:eastAsia="zh-CN" w:bidi="ar"/>
              </w:rPr>
            </w:pPr>
            <w:r>
              <w:rPr>
                <w:rFonts w:hint="eastAsia" w:ascii="宋体" w:hAnsi="宋体" w:eastAsia="宋体" w:cs="宋体"/>
                <w:color w:val="333333"/>
                <w:kern w:val="2"/>
                <w:sz w:val="22"/>
                <w:szCs w:val="22"/>
                <w:highlight w:val="none"/>
                <w:lang w:val="en-US" w:eastAsia="zh-CN" w:bidi="ar"/>
              </w:rPr>
              <w:t>投标人经国家保险监督管理机构批准在中华人民共和国境内设立和营业，并依法被核定许可责任保险业务【依据有效期内的保险许可证（分公司或中心支公司的保险机构投标的，须提供《经营保险业务许可证》或《保险许可证》；总公司投标的，须提供《保险公司法人许可证》或《保险许可证》）】</w:t>
            </w:r>
          </w:p>
        </w:tc>
        <w:tc>
          <w:tcPr>
            <w:tcW w:w="418" w:type="pct"/>
            <w:noWrap w:val="0"/>
            <w:vAlign w:val="top"/>
          </w:tcPr>
          <w:p w14:paraId="56AC3501">
            <w:pPr>
              <w:shd w:val="clear" w:color="auto" w:fill="auto"/>
              <w:jc w:val="left"/>
              <w:rPr>
                <w:rFonts w:hint="eastAsia" w:ascii="宋体" w:hAnsi="宋体" w:eastAsia="宋体" w:cs="宋体"/>
                <w:bCs/>
                <w:color w:val="auto"/>
                <w:kern w:val="2"/>
                <w:sz w:val="21"/>
                <w:szCs w:val="21"/>
                <w:highlight w:val="none"/>
                <w:lang w:val="en-US" w:eastAsia="zh-CN" w:bidi="ar-SA"/>
              </w:rPr>
            </w:pPr>
          </w:p>
        </w:tc>
        <w:tc>
          <w:tcPr>
            <w:tcW w:w="407" w:type="pct"/>
            <w:noWrap w:val="0"/>
            <w:vAlign w:val="top"/>
          </w:tcPr>
          <w:p w14:paraId="3D14FFCF">
            <w:pPr>
              <w:shd w:val="clear" w:color="auto" w:fill="auto"/>
              <w:jc w:val="left"/>
              <w:rPr>
                <w:rFonts w:hint="eastAsia" w:ascii="宋体" w:hAnsi="宋体" w:eastAsia="宋体" w:cs="宋体"/>
                <w:bCs/>
                <w:color w:val="auto"/>
                <w:kern w:val="2"/>
                <w:sz w:val="21"/>
                <w:szCs w:val="21"/>
                <w:highlight w:val="none"/>
                <w:lang w:val="en-US" w:eastAsia="zh-CN" w:bidi="ar-SA"/>
              </w:rPr>
            </w:pPr>
          </w:p>
        </w:tc>
      </w:tr>
      <w:tr w14:paraId="7FB8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9" w:type="pct"/>
            <w:vMerge w:val="continue"/>
            <w:noWrap w:val="0"/>
            <w:vAlign w:val="center"/>
          </w:tcPr>
          <w:p w14:paraId="3BB5D843">
            <w:pPr>
              <w:shd w:val="clear" w:color="auto" w:fill="auto"/>
              <w:jc w:val="center"/>
              <w:rPr>
                <w:rFonts w:hint="eastAsia" w:ascii="宋体" w:hAnsi="宋体" w:eastAsia="宋体" w:cs="宋体"/>
                <w:bCs/>
                <w:color w:val="auto"/>
                <w:kern w:val="2"/>
                <w:sz w:val="21"/>
                <w:szCs w:val="21"/>
                <w:highlight w:val="none"/>
                <w:lang w:val="en-US" w:eastAsia="zh-CN" w:bidi="ar-SA"/>
              </w:rPr>
            </w:pPr>
          </w:p>
        </w:tc>
        <w:tc>
          <w:tcPr>
            <w:tcW w:w="4530" w:type="pct"/>
            <w:gridSpan w:val="4"/>
            <w:noWrap w:val="0"/>
            <w:vAlign w:val="center"/>
          </w:tcPr>
          <w:p w14:paraId="0FCFA5AC">
            <w:pPr>
              <w:shd w:val="clear" w:color="auto" w:fill="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评审结果“√”表示合格；“×”表示不合格，一项不合格结果为不合格，如不合格，请在结果中写明原因。</w:t>
            </w:r>
          </w:p>
        </w:tc>
      </w:tr>
    </w:tbl>
    <w:p w14:paraId="14A2630D">
      <w:pPr>
        <w:shd w:val="clear" w:color="auto" w:fill="auto"/>
        <w:spacing w:before="156" w:beforeLines="50" w:line="440" w:lineRule="exact"/>
        <w:ind w:firstLine="213" w:firstLineChars="100"/>
        <w:rPr>
          <w:rFonts w:hint="eastAsia" w:ascii="宋体" w:hAnsi="宋体"/>
          <w:b/>
          <w:color w:val="auto"/>
          <w:szCs w:val="21"/>
          <w:highlight w:val="none"/>
        </w:rPr>
      </w:pPr>
      <w:r>
        <w:rPr>
          <w:rFonts w:hint="eastAsia" w:ascii="宋体" w:hAnsi="宋体"/>
          <w:b/>
          <w:color w:val="auto"/>
          <w:szCs w:val="21"/>
          <w:highlight w:val="none"/>
          <w:lang w:val="en-US" w:eastAsia="zh-CN"/>
        </w:rPr>
        <w:t>6</w:t>
      </w:r>
      <w:r>
        <w:rPr>
          <w:rFonts w:hint="eastAsia" w:ascii="宋体" w:hAnsi="宋体"/>
          <w:b/>
          <w:color w:val="auto"/>
          <w:szCs w:val="21"/>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6CA917CB">
      <w:pPr>
        <w:shd w:val="clear" w:color="auto" w:fill="auto"/>
        <w:spacing w:before="156" w:beforeLines="50" w:line="440" w:lineRule="exact"/>
        <w:ind w:firstLine="213" w:firstLineChars="100"/>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.符合性审查</w:t>
      </w:r>
    </w:p>
    <w:p w14:paraId="2AF90D19">
      <w:pPr>
        <w:shd w:val="clear" w:color="auto" w:fill="auto"/>
        <w:spacing w:line="440" w:lineRule="exact"/>
        <w:ind w:firstLine="319" w:firstLineChars="1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．1评审细则</w:t>
      </w:r>
    </w:p>
    <w:tbl>
      <w:tblPr>
        <w:tblStyle w:val="28"/>
        <w:tblpPr w:leftFromText="180" w:rightFromText="180" w:vertAnchor="text" w:horzAnchor="page" w:tblpX="1293" w:tblpY="544"/>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14:paraId="37A5CB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14:paraId="5D1B1444">
            <w:pPr>
              <w:jc w:val="center"/>
              <w:rPr>
                <w:rFonts w:hint="eastAsia" w:ascii="宋体" w:hAnsi="宋体" w:cs="宋体"/>
                <w:b/>
                <w:sz w:val="24"/>
                <w:highlight w:val="none"/>
              </w:rPr>
            </w:pPr>
            <w:r>
              <w:rPr>
                <w:rFonts w:hint="eastAsia" w:ascii="宋体" w:hAnsi="宋体" w:cs="宋体"/>
                <w:b/>
                <w:sz w:val="24"/>
                <w:highlight w:val="none"/>
              </w:rPr>
              <w:t>项目</w:t>
            </w:r>
          </w:p>
        </w:tc>
        <w:tc>
          <w:tcPr>
            <w:tcW w:w="7074" w:type="dxa"/>
            <w:gridSpan w:val="2"/>
            <w:tcBorders>
              <w:top w:val="single" w:color="auto" w:sz="4" w:space="0"/>
            </w:tcBorders>
            <w:noWrap w:val="0"/>
            <w:vAlign w:val="center"/>
          </w:tcPr>
          <w:p w14:paraId="0B20448B">
            <w:pPr>
              <w:jc w:val="center"/>
              <w:rPr>
                <w:rFonts w:hint="eastAsia" w:ascii="宋体" w:hAnsi="宋体" w:cs="宋体"/>
                <w:b/>
                <w:sz w:val="24"/>
                <w:highlight w:val="none"/>
              </w:rPr>
            </w:pPr>
            <w:r>
              <w:rPr>
                <w:rFonts w:hint="eastAsia" w:ascii="宋体" w:hAnsi="宋体" w:cs="宋体"/>
                <w:b/>
                <w:sz w:val="24"/>
                <w:highlight w:val="none"/>
              </w:rPr>
              <w:t>评审内容</w:t>
            </w:r>
          </w:p>
        </w:tc>
        <w:tc>
          <w:tcPr>
            <w:tcW w:w="1502" w:type="dxa"/>
            <w:gridSpan w:val="2"/>
            <w:tcBorders>
              <w:top w:val="single" w:color="auto" w:sz="4" w:space="0"/>
              <w:right w:val="single" w:color="auto" w:sz="4" w:space="0"/>
            </w:tcBorders>
            <w:noWrap w:val="0"/>
            <w:vAlign w:val="center"/>
          </w:tcPr>
          <w:p w14:paraId="020247ED">
            <w:pPr>
              <w:jc w:val="center"/>
              <w:rPr>
                <w:rFonts w:hint="eastAsia" w:ascii="宋体" w:hAnsi="宋体" w:cs="宋体"/>
                <w:b/>
                <w:sz w:val="24"/>
                <w:highlight w:val="none"/>
              </w:rPr>
            </w:pPr>
            <w:r>
              <w:rPr>
                <w:rFonts w:hint="eastAsia" w:ascii="宋体" w:hAnsi="宋体" w:cs="宋体"/>
                <w:b/>
                <w:sz w:val="24"/>
                <w:highlight w:val="none"/>
              </w:rPr>
              <w:t>评审意见</w:t>
            </w:r>
          </w:p>
        </w:tc>
      </w:tr>
      <w:tr w14:paraId="15342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14:paraId="62F71D02">
            <w:pPr>
              <w:rPr>
                <w:rFonts w:hint="eastAsia" w:ascii="宋体" w:hAnsi="宋体" w:cs="宋体"/>
                <w:highlight w:val="none"/>
              </w:rPr>
            </w:pPr>
          </w:p>
        </w:tc>
        <w:tc>
          <w:tcPr>
            <w:tcW w:w="7074" w:type="dxa"/>
            <w:gridSpan w:val="2"/>
            <w:tcBorders>
              <w:bottom w:val="single" w:color="auto" w:sz="4" w:space="0"/>
            </w:tcBorders>
            <w:noWrap w:val="0"/>
            <w:vAlign w:val="top"/>
          </w:tcPr>
          <w:p w14:paraId="7E8FA768">
            <w:pPr>
              <w:rPr>
                <w:rFonts w:hint="eastAsia" w:ascii="宋体" w:hAnsi="宋体" w:cs="宋体"/>
                <w:highlight w:val="none"/>
              </w:rPr>
            </w:pPr>
          </w:p>
        </w:tc>
        <w:tc>
          <w:tcPr>
            <w:tcW w:w="753" w:type="dxa"/>
            <w:noWrap w:val="0"/>
            <w:vAlign w:val="center"/>
          </w:tcPr>
          <w:p w14:paraId="7BBF2025">
            <w:pPr>
              <w:jc w:val="center"/>
              <w:rPr>
                <w:rFonts w:hint="eastAsia" w:ascii="宋体" w:hAnsi="宋体" w:cs="宋体"/>
                <w:b/>
                <w:sz w:val="24"/>
                <w:highlight w:val="none"/>
              </w:rPr>
            </w:pPr>
            <w:r>
              <w:rPr>
                <w:rFonts w:hint="eastAsia" w:ascii="宋体" w:hAnsi="宋体" w:cs="宋体"/>
                <w:color w:val="auto"/>
                <w:spacing w:val="-2"/>
                <w:szCs w:val="21"/>
                <w:highlight w:val="none"/>
              </w:rPr>
              <w:t>√</w:t>
            </w:r>
          </w:p>
        </w:tc>
        <w:tc>
          <w:tcPr>
            <w:tcW w:w="749" w:type="dxa"/>
            <w:tcBorders>
              <w:right w:val="single" w:color="auto" w:sz="4" w:space="0"/>
            </w:tcBorders>
            <w:noWrap w:val="0"/>
            <w:vAlign w:val="center"/>
          </w:tcPr>
          <w:p w14:paraId="2FF59E41">
            <w:pPr>
              <w:ind w:firstLine="209" w:firstLineChars="100"/>
              <w:rPr>
                <w:rFonts w:hint="eastAsia" w:ascii="宋体" w:hAnsi="宋体" w:cs="宋体"/>
                <w:b/>
                <w:sz w:val="24"/>
                <w:highlight w:val="none"/>
              </w:rPr>
            </w:pPr>
            <w:r>
              <w:rPr>
                <w:rFonts w:hint="eastAsia" w:ascii="宋体" w:hAnsi="宋体" w:cs="宋体"/>
                <w:color w:val="auto"/>
                <w:spacing w:val="-2"/>
                <w:szCs w:val="21"/>
                <w:highlight w:val="none"/>
              </w:rPr>
              <w:t>×</w:t>
            </w:r>
          </w:p>
        </w:tc>
      </w:tr>
      <w:tr w14:paraId="6C63F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restart"/>
            <w:tcBorders>
              <w:top w:val="single" w:color="auto" w:sz="4" w:space="0"/>
              <w:left w:val="single" w:color="auto" w:sz="4" w:space="0"/>
              <w:right w:val="single" w:color="auto" w:sz="4" w:space="0"/>
            </w:tcBorders>
            <w:noWrap w:val="0"/>
            <w:vAlign w:val="center"/>
          </w:tcPr>
          <w:p w14:paraId="64F951AF">
            <w:pPr>
              <w:jc w:val="center"/>
              <w:rPr>
                <w:rFonts w:hint="eastAsia" w:ascii="宋体" w:hAnsi="宋体" w:cs="宋体"/>
                <w:szCs w:val="21"/>
                <w:highlight w:val="none"/>
              </w:rPr>
            </w:pPr>
            <w:r>
              <w:rPr>
                <w:rFonts w:hint="eastAsia" w:ascii="宋体" w:hAnsi="宋体" w:cs="宋体"/>
                <w:szCs w:val="21"/>
                <w:highlight w:val="none"/>
              </w:rPr>
              <w:t>审</w:t>
            </w:r>
          </w:p>
          <w:p w14:paraId="46C5CC40">
            <w:pPr>
              <w:jc w:val="center"/>
              <w:rPr>
                <w:rFonts w:hint="eastAsia" w:ascii="宋体" w:hAnsi="宋体" w:cs="宋体"/>
                <w:szCs w:val="21"/>
                <w:highlight w:val="none"/>
              </w:rPr>
            </w:pPr>
            <w:r>
              <w:rPr>
                <w:rFonts w:hint="eastAsia" w:ascii="宋体" w:hAnsi="宋体" w:cs="宋体"/>
                <w:szCs w:val="21"/>
                <w:highlight w:val="none"/>
              </w:rPr>
              <w:t>查</w:t>
            </w:r>
          </w:p>
          <w:p w14:paraId="5AC84DD8">
            <w:pPr>
              <w:jc w:val="center"/>
              <w:rPr>
                <w:rFonts w:hint="eastAsia" w:ascii="宋体" w:hAnsi="宋体" w:cs="宋体"/>
                <w:szCs w:val="21"/>
                <w:highlight w:val="none"/>
              </w:rPr>
            </w:pPr>
            <w:r>
              <w:rPr>
                <w:rFonts w:hint="eastAsia" w:ascii="宋体" w:hAnsi="宋体" w:cs="宋体"/>
                <w:szCs w:val="21"/>
                <w:highlight w:val="none"/>
              </w:rPr>
              <w:t>标</w:t>
            </w:r>
          </w:p>
          <w:p w14:paraId="5B9E6DED">
            <w:pPr>
              <w:jc w:val="center"/>
              <w:rPr>
                <w:rFonts w:hint="eastAsia" w:ascii="宋体" w:hAnsi="宋体" w:cs="宋体"/>
                <w:szCs w:val="21"/>
                <w:highlight w:val="none"/>
              </w:rPr>
            </w:pPr>
            <w:r>
              <w:rPr>
                <w:rFonts w:hint="eastAsia" w:ascii="宋体" w:hAnsi="宋体" w:cs="宋体"/>
                <w:szCs w:val="21"/>
                <w:highlight w:val="none"/>
              </w:rPr>
              <w:t>准</w:t>
            </w:r>
          </w:p>
        </w:tc>
        <w:tc>
          <w:tcPr>
            <w:tcW w:w="495" w:type="dxa"/>
            <w:tcBorders>
              <w:top w:val="single" w:color="auto" w:sz="4" w:space="0"/>
              <w:left w:val="single" w:color="auto" w:sz="4" w:space="0"/>
              <w:right w:val="single" w:color="auto" w:sz="4" w:space="0"/>
            </w:tcBorders>
            <w:noWrap w:val="0"/>
            <w:vAlign w:val="center"/>
          </w:tcPr>
          <w:p w14:paraId="6A679B4E">
            <w:pPr>
              <w:jc w:val="center"/>
              <w:rPr>
                <w:rFonts w:hint="eastAsia" w:ascii="宋体" w:hAnsi="宋体" w:cs="宋体"/>
                <w:sz w:val="20"/>
                <w:szCs w:val="20"/>
                <w:highlight w:val="none"/>
              </w:rPr>
            </w:pPr>
            <w:r>
              <w:rPr>
                <w:rFonts w:hint="eastAsia" w:ascii="宋体" w:hAnsi="宋体" w:cs="宋体"/>
                <w:sz w:val="20"/>
                <w:szCs w:val="20"/>
                <w:highlight w:val="none"/>
              </w:rPr>
              <w:t>1</w:t>
            </w:r>
          </w:p>
        </w:tc>
        <w:tc>
          <w:tcPr>
            <w:tcW w:w="6579" w:type="dxa"/>
            <w:tcBorders>
              <w:top w:val="single" w:color="auto" w:sz="4" w:space="0"/>
              <w:left w:val="single" w:color="auto" w:sz="4" w:space="0"/>
              <w:right w:val="single" w:color="auto" w:sz="4" w:space="0"/>
            </w:tcBorders>
            <w:noWrap w:val="0"/>
            <w:vAlign w:val="center"/>
          </w:tcPr>
          <w:p w14:paraId="382A348C">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由政府立项核准、审批的采购项目, 报价</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高于设定的采购</w:t>
            </w:r>
            <w:r>
              <w:rPr>
                <w:rFonts w:hint="eastAsia" w:ascii="宋体" w:cs="Times New Roman"/>
                <w:color w:val="auto"/>
                <w:szCs w:val="21"/>
                <w:highlight w:val="none"/>
                <w:lang w:val="en-US" w:eastAsia="zh-CN"/>
              </w:rPr>
              <w:t>最高限价</w:t>
            </w:r>
            <w:r>
              <w:rPr>
                <w:rFonts w:hint="eastAsia" w:ascii="宋体" w:hAnsi="Times New Roman" w:eastAsia="宋体" w:cs="Times New Roman"/>
                <w:color w:val="auto"/>
                <w:szCs w:val="21"/>
                <w:highlight w:val="none"/>
              </w:rPr>
              <w:t>的；</w:t>
            </w:r>
          </w:p>
        </w:tc>
        <w:tc>
          <w:tcPr>
            <w:tcW w:w="753" w:type="dxa"/>
            <w:tcBorders>
              <w:left w:val="single" w:color="auto" w:sz="4" w:space="0"/>
              <w:right w:val="single" w:color="auto" w:sz="4" w:space="0"/>
            </w:tcBorders>
            <w:noWrap w:val="0"/>
            <w:vAlign w:val="top"/>
          </w:tcPr>
          <w:p w14:paraId="7551050F">
            <w:pPr>
              <w:jc w:val="center"/>
              <w:rPr>
                <w:rFonts w:hint="eastAsia" w:ascii="宋体" w:hAnsi="宋体" w:cs="宋体"/>
                <w:b/>
                <w:szCs w:val="21"/>
                <w:highlight w:val="none"/>
              </w:rPr>
            </w:pPr>
          </w:p>
        </w:tc>
        <w:tc>
          <w:tcPr>
            <w:tcW w:w="749" w:type="dxa"/>
            <w:tcBorders>
              <w:left w:val="single" w:color="auto" w:sz="4" w:space="0"/>
              <w:right w:val="single" w:color="auto" w:sz="4" w:space="0"/>
            </w:tcBorders>
            <w:noWrap w:val="0"/>
            <w:vAlign w:val="top"/>
          </w:tcPr>
          <w:p w14:paraId="214CF7AE">
            <w:pPr>
              <w:jc w:val="center"/>
              <w:rPr>
                <w:rFonts w:hint="eastAsia" w:ascii="宋体" w:hAnsi="宋体" w:cs="宋体"/>
                <w:b/>
                <w:szCs w:val="21"/>
                <w:highlight w:val="none"/>
              </w:rPr>
            </w:pPr>
          </w:p>
        </w:tc>
      </w:tr>
      <w:tr w14:paraId="0EC62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922" w:type="dxa"/>
            <w:vMerge w:val="continue"/>
            <w:tcBorders>
              <w:left w:val="single" w:color="auto" w:sz="4" w:space="0"/>
              <w:right w:val="single" w:color="auto" w:sz="4" w:space="0"/>
            </w:tcBorders>
            <w:noWrap w:val="0"/>
            <w:vAlign w:val="center"/>
          </w:tcPr>
          <w:p w14:paraId="6FAB9DC4">
            <w:pPr>
              <w:rPr>
                <w:rFonts w:hint="eastAsia" w:ascii="宋体" w:hAnsi="宋体" w:cs="宋体"/>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BDDF4DE">
            <w:pPr>
              <w:jc w:val="center"/>
              <w:rPr>
                <w:rFonts w:hint="eastAsia" w:ascii="宋体" w:hAnsi="宋体" w:cs="宋体"/>
                <w:sz w:val="20"/>
                <w:szCs w:val="20"/>
                <w:highlight w:val="none"/>
              </w:rPr>
            </w:pPr>
            <w:r>
              <w:rPr>
                <w:rFonts w:hint="eastAsia" w:ascii="宋体" w:hAnsi="宋体" w:cs="宋体"/>
                <w:sz w:val="20"/>
                <w:szCs w:val="20"/>
                <w:highlight w:val="none"/>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2B9B5BFE">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法定代表人身份证明及授权委托书有效，且符合招标文件规定的格式。</w:t>
            </w:r>
          </w:p>
        </w:tc>
        <w:tc>
          <w:tcPr>
            <w:tcW w:w="753" w:type="dxa"/>
            <w:tcBorders>
              <w:left w:val="single" w:color="auto" w:sz="4" w:space="0"/>
            </w:tcBorders>
            <w:noWrap w:val="0"/>
            <w:vAlign w:val="top"/>
          </w:tcPr>
          <w:p w14:paraId="56BA37A2">
            <w:pPr>
              <w:rPr>
                <w:rFonts w:hint="eastAsia" w:ascii="宋体" w:hAnsi="宋体" w:cs="宋体"/>
                <w:szCs w:val="21"/>
                <w:highlight w:val="none"/>
              </w:rPr>
            </w:pPr>
          </w:p>
        </w:tc>
        <w:tc>
          <w:tcPr>
            <w:tcW w:w="749" w:type="dxa"/>
            <w:tcBorders>
              <w:right w:val="single" w:color="auto" w:sz="4" w:space="0"/>
            </w:tcBorders>
            <w:noWrap w:val="0"/>
            <w:vAlign w:val="top"/>
          </w:tcPr>
          <w:p w14:paraId="451F8C05">
            <w:pPr>
              <w:rPr>
                <w:rFonts w:hint="eastAsia" w:ascii="宋体" w:hAnsi="宋体" w:cs="宋体"/>
                <w:szCs w:val="21"/>
                <w:highlight w:val="none"/>
              </w:rPr>
            </w:pPr>
          </w:p>
        </w:tc>
      </w:tr>
      <w:tr w14:paraId="7F8D2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922" w:type="dxa"/>
            <w:vMerge w:val="continue"/>
            <w:tcBorders>
              <w:left w:val="single" w:color="auto" w:sz="4" w:space="0"/>
              <w:right w:val="single" w:color="auto" w:sz="4" w:space="0"/>
            </w:tcBorders>
            <w:noWrap w:val="0"/>
            <w:vAlign w:val="center"/>
          </w:tcPr>
          <w:p w14:paraId="46AA31C1">
            <w:pPr>
              <w:rPr>
                <w:rFonts w:hint="eastAsia" w:ascii="宋体" w:hAnsi="宋体" w:cs="宋体"/>
                <w:highlight w:val="none"/>
              </w:rPr>
            </w:pPr>
          </w:p>
        </w:tc>
        <w:tc>
          <w:tcPr>
            <w:tcW w:w="495" w:type="dxa"/>
            <w:tcBorders>
              <w:top w:val="single" w:color="auto" w:sz="4" w:space="0"/>
              <w:left w:val="single" w:color="auto" w:sz="4" w:space="0"/>
              <w:right w:val="single" w:color="auto" w:sz="4" w:space="0"/>
            </w:tcBorders>
            <w:noWrap w:val="0"/>
            <w:vAlign w:val="center"/>
          </w:tcPr>
          <w:p w14:paraId="5E91F42D">
            <w:pPr>
              <w:jc w:val="center"/>
              <w:rPr>
                <w:rFonts w:hint="eastAsia" w:ascii="宋体" w:hAnsi="宋体" w:cs="宋体"/>
                <w:sz w:val="20"/>
                <w:szCs w:val="20"/>
                <w:highlight w:val="none"/>
              </w:rPr>
            </w:pPr>
            <w:r>
              <w:rPr>
                <w:rFonts w:hint="eastAsia" w:ascii="宋体" w:hAnsi="宋体" w:cs="宋体"/>
                <w:sz w:val="20"/>
                <w:szCs w:val="20"/>
                <w:highlight w:val="none"/>
              </w:rPr>
              <w:t>3</w:t>
            </w:r>
          </w:p>
        </w:tc>
        <w:tc>
          <w:tcPr>
            <w:tcW w:w="6579" w:type="dxa"/>
            <w:tcBorders>
              <w:top w:val="single" w:color="auto" w:sz="4" w:space="0"/>
              <w:left w:val="single" w:color="auto" w:sz="4" w:space="0"/>
              <w:right w:val="single" w:color="auto" w:sz="4" w:space="0"/>
            </w:tcBorders>
            <w:noWrap w:val="0"/>
            <w:vAlign w:val="center"/>
          </w:tcPr>
          <w:p w14:paraId="52E0B71C">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只有一个方案投标。</w:t>
            </w:r>
          </w:p>
        </w:tc>
        <w:tc>
          <w:tcPr>
            <w:tcW w:w="753" w:type="dxa"/>
            <w:tcBorders>
              <w:left w:val="single" w:color="auto" w:sz="4" w:space="0"/>
            </w:tcBorders>
            <w:noWrap w:val="0"/>
            <w:vAlign w:val="top"/>
          </w:tcPr>
          <w:p w14:paraId="5D099DFD">
            <w:pPr>
              <w:rPr>
                <w:rFonts w:hint="eastAsia" w:ascii="宋体" w:hAnsi="宋体" w:cs="宋体"/>
                <w:szCs w:val="21"/>
                <w:highlight w:val="none"/>
              </w:rPr>
            </w:pPr>
          </w:p>
        </w:tc>
        <w:tc>
          <w:tcPr>
            <w:tcW w:w="749" w:type="dxa"/>
            <w:tcBorders>
              <w:right w:val="single" w:color="auto" w:sz="4" w:space="0"/>
            </w:tcBorders>
            <w:noWrap w:val="0"/>
            <w:vAlign w:val="top"/>
          </w:tcPr>
          <w:p w14:paraId="59C11A98">
            <w:pPr>
              <w:rPr>
                <w:rFonts w:hint="eastAsia" w:ascii="宋体" w:hAnsi="宋体" w:cs="宋体"/>
                <w:szCs w:val="21"/>
                <w:highlight w:val="none"/>
              </w:rPr>
            </w:pPr>
          </w:p>
        </w:tc>
      </w:tr>
      <w:tr w14:paraId="5D75E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5D9E69FA">
            <w:pPr>
              <w:rPr>
                <w:rFonts w:hint="eastAsia" w:ascii="宋体" w:hAnsi="宋体" w:cs="宋体"/>
                <w:highlight w:val="none"/>
              </w:rPr>
            </w:pPr>
          </w:p>
        </w:tc>
        <w:tc>
          <w:tcPr>
            <w:tcW w:w="495" w:type="dxa"/>
            <w:tcBorders>
              <w:left w:val="single" w:color="auto" w:sz="4" w:space="0"/>
            </w:tcBorders>
            <w:noWrap w:val="0"/>
            <w:vAlign w:val="center"/>
          </w:tcPr>
          <w:p w14:paraId="317C7A22">
            <w:pPr>
              <w:jc w:val="center"/>
              <w:rPr>
                <w:rFonts w:hint="eastAsia" w:ascii="宋体" w:hAnsi="宋体" w:cs="宋体"/>
                <w:sz w:val="20"/>
                <w:szCs w:val="20"/>
                <w:highlight w:val="none"/>
              </w:rPr>
            </w:pPr>
            <w:r>
              <w:rPr>
                <w:rFonts w:hint="eastAsia" w:ascii="宋体" w:hAnsi="宋体" w:cs="宋体"/>
                <w:sz w:val="20"/>
                <w:szCs w:val="20"/>
                <w:highlight w:val="none"/>
              </w:rPr>
              <w:t>4</w:t>
            </w:r>
          </w:p>
        </w:tc>
        <w:tc>
          <w:tcPr>
            <w:tcW w:w="6579" w:type="dxa"/>
            <w:tcBorders>
              <w:right w:val="single" w:color="auto" w:sz="4" w:space="0"/>
            </w:tcBorders>
            <w:noWrap w:val="0"/>
            <w:vAlign w:val="center"/>
          </w:tcPr>
          <w:p w14:paraId="5CA1A820">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投标文件内签章是否齐全、无遗漏。</w:t>
            </w:r>
          </w:p>
        </w:tc>
        <w:tc>
          <w:tcPr>
            <w:tcW w:w="753" w:type="dxa"/>
            <w:tcBorders>
              <w:left w:val="single" w:color="auto" w:sz="4" w:space="0"/>
            </w:tcBorders>
            <w:noWrap w:val="0"/>
            <w:vAlign w:val="top"/>
          </w:tcPr>
          <w:p w14:paraId="7E6525C7">
            <w:pPr>
              <w:rPr>
                <w:rFonts w:hint="eastAsia" w:ascii="宋体" w:hAnsi="宋体" w:cs="宋体"/>
                <w:szCs w:val="21"/>
                <w:highlight w:val="none"/>
              </w:rPr>
            </w:pPr>
          </w:p>
        </w:tc>
        <w:tc>
          <w:tcPr>
            <w:tcW w:w="749" w:type="dxa"/>
            <w:tcBorders>
              <w:right w:val="single" w:color="auto" w:sz="4" w:space="0"/>
            </w:tcBorders>
            <w:noWrap w:val="0"/>
            <w:vAlign w:val="top"/>
          </w:tcPr>
          <w:p w14:paraId="0BC1248C">
            <w:pPr>
              <w:rPr>
                <w:rFonts w:hint="eastAsia" w:ascii="宋体" w:hAnsi="宋体" w:cs="宋体"/>
                <w:szCs w:val="21"/>
                <w:highlight w:val="none"/>
              </w:rPr>
            </w:pPr>
          </w:p>
        </w:tc>
      </w:tr>
      <w:tr w14:paraId="20AB2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4A87D152">
            <w:pPr>
              <w:rPr>
                <w:rFonts w:hint="eastAsia" w:ascii="宋体" w:hAnsi="宋体" w:cs="宋体"/>
                <w:highlight w:val="none"/>
              </w:rPr>
            </w:pPr>
          </w:p>
        </w:tc>
        <w:tc>
          <w:tcPr>
            <w:tcW w:w="495" w:type="dxa"/>
            <w:tcBorders>
              <w:left w:val="single" w:color="auto" w:sz="4" w:space="0"/>
              <w:bottom w:val="single" w:color="auto" w:sz="4" w:space="0"/>
            </w:tcBorders>
            <w:noWrap w:val="0"/>
            <w:vAlign w:val="center"/>
          </w:tcPr>
          <w:p w14:paraId="6AA7980C">
            <w:pPr>
              <w:jc w:val="center"/>
              <w:rPr>
                <w:rFonts w:hint="eastAsia" w:ascii="宋体" w:hAnsi="宋体" w:cs="宋体"/>
                <w:sz w:val="20"/>
                <w:szCs w:val="20"/>
                <w:highlight w:val="none"/>
              </w:rPr>
            </w:pPr>
            <w:r>
              <w:rPr>
                <w:rFonts w:hint="eastAsia" w:ascii="宋体" w:hAnsi="宋体" w:cs="宋体"/>
                <w:sz w:val="20"/>
                <w:szCs w:val="20"/>
                <w:highlight w:val="none"/>
              </w:rPr>
              <w:t>5</w:t>
            </w:r>
          </w:p>
        </w:tc>
        <w:tc>
          <w:tcPr>
            <w:tcW w:w="6579" w:type="dxa"/>
            <w:tcBorders>
              <w:bottom w:val="single" w:color="auto" w:sz="4" w:space="0"/>
              <w:right w:val="single" w:color="auto" w:sz="4" w:space="0"/>
            </w:tcBorders>
            <w:noWrap w:val="0"/>
            <w:vAlign w:val="center"/>
          </w:tcPr>
          <w:p w14:paraId="1F6789EC">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对招标文件规定的招标内容全部作出响应。</w:t>
            </w:r>
          </w:p>
        </w:tc>
        <w:tc>
          <w:tcPr>
            <w:tcW w:w="753" w:type="dxa"/>
            <w:tcBorders>
              <w:left w:val="single" w:color="auto" w:sz="4" w:space="0"/>
              <w:bottom w:val="single" w:color="auto" w:sz="4" w:space="0"/>
            </w:tcBorders>
            <w:noWrap w:val="0"/>
            <w:vAlign w:val="top"/>
          </w:tcPr>
          <w:p w14:paraId="28440ACE">
            <w:pPr>
              <w:rPr>
                <w:rFonts w:hint="eastAsia" w:ascii="宋体" w:hAnsi="宋体" w:cs="宋体"/>
                <w:szCs w:val="21"/>
                <w:highlight w:val="none"/>
              </w:rPr>
            </w:pPr>
          </w:p>
        </w:tc>
        <w:tc>
          <w:tcPr>
            <w:tcW w:w="749" w:type="dxa"/>
            <w:tcBorders>
              <w:bottom w:val="single" w:color="auto" w:sz="4" w:space="0"/>
              <w:right w:val="single" w:color="auto" w:sz="4" w:space="0"/>
            </w:tcBorders>
            <w:noWrap w:val="0"/>
            <w:vAlign w:val="top"/>
          </w:tcPr>
          <w:p w14:paraId="46C4D094">
            <w:pPr>
              <w:rPr>
                <w:rFonts w:hint="eastAsia" w:ascii="宋体" w:hAnsi="宋体" w:cs="宋体"/>
                <w:szCs w:val="21"/>
                <w:highlight w:val="none"/>
              </w:rPr>
            </w:pPr>
          </w:p>
        </w:tc>
      </w:tr>
      <w:tr w14:paraId="3EBC8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922" w:type="dxa"/>
            <w:vMerge w:val="continue"/>
            <w:tcBorders>
              <w:left w:val="single" w:color="auto" w:sz="4" w:space="0"/>
              <w:right w:val="single" w:color="auto" w:sz="4" w:space="0"/>
            </w:tcBorders>
            <w:noWrap w:val="0"/>
            <w:vAlign w:val="center"/>
          </w:tcPr>
          <w:p w14:paraId="5CA3B79F">
            <w:pPr>
              <w:rPr>
                <w:rFonts w:hint="eastAsia" w:ascii="宋体" w:hAnsi="宋体" w:cs="宋体"/>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7252B0D9">
            <w:pPr>
              <w:jc w:val="center"/>
              <w:rPr>
                <w:rFonts w:hint="eastAsia" w:ascii="宋体" w:hAnsi="宋体" w:cs="宋体"/>
                <w:sz w:val="20"/>
                <w:szCs w:val="20"/>
                <w:highlight w:val="none"/>
              </w:rPr>
            </w:pPr>
            <w:r>
              <w:rPr>
                <w:rFonts w:hint="eastAsia" w:ascii="宋体" w:hAnsi="宋体" w:cs="宋体"/>
                <w:sz w:val="20"/>
                <w:szCs w:val="20"/>
                <w:highlight w:val="none"/>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14:paraId="65179B17">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14:paraId="5090C349">
            <w:pPr>
              <w:rPr>
                <w:rFonts w:hint="eastAsia" w:ascii="宋体" w:hAnsi="宋体" w:cs="宋体"/>
                <w:szCs w:val="21"/>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top"/>
          </w:tcPr>
          <w:p w14:paraId="28CC6E96">
            <w:pPr>
              <w:rPr>
                <w:rFonts w:hint="eastAsia" w:ascii="宋体" w:hAnsi="宋体" w:cs="宋体"/>
                <w:szCs w:val="21"/>
                <w:highlight w:val="none"/>
              </w:rPr>
            </w:pPr>
          </w:p>
        </w:tc>
      </w:tr>
      <w:tr w14:paraId="005E8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922" w:type="dxa"/>
            <w:vMerge w:val="continue"/>
            <w:tcBorders>
              <w:left w:val="single" w:color="auto" w:sz="4" w:space="0"/>
              <w:right w:val="single" w:color="auto" w:sz="4" w:space="0"/>
            </w:tcBorders>
            <w:noWrap w:val="0"/>
            <w:vAlign w:val="center"/>
          </w:tcPr>
          <w:p w14:paraId="4B16166F">
            <w:pPr>
              <w:rPr>
                <w:rFonts w:hint="eastAsia" w:ascii="宋体" w:hAnsi="宋体" w:cs="宋体"/>
                <w:highlight w:val="none"/>
              </w:rPr>
            </w:pPr>
          </w:p>
        </w:tc>
        <w:tc>
          <w:tcPr>
            <w:tcW w:w="495" w:type="dxa"/>
            <w:tcBorders>
              <w:top w:val="single" w:color="auto" w:sz="4" w:space="0"/>
              <w:left w:val="single" w:color="auto" w:sz="4" w:space="0"/>
            </w:tcBorders>
            <w:noWrap w:val="0"/>
            <w:vAlign w:val="center"/>
          </w:tcPr>
          <w:p w14:paraId="028A90B6">
            <w:pPr>
              <w:shd w:val="clear" w:color="auto" w:fill="auto"/>
              <w:spacing w:line="400" w:lineRule="exact"/>
              <w:jc w:val="center"/>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w:t>
            </w:r>
          </w:p>
        </w:tc>
        <w:tc>
          <w:tcPr>
            <w:tcW w:w="6579" w:type="dxa"/>
            <w:tcBorders>
              <w:top w:val="single" w:color="auto" w:sz="4" w:space="0"/>
              <w:right w:val="single" w:color="auto" w:sz="4" w:space="0"/>
            </w:tcBorders>
            <w:noWrap w:val="0"/>
            <w:vAlign w:val="center"/>
          </w:tcPr>
          <w:p w14:paraId="47E6433D">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供货</w:t>
            </w:r>
            <w:r>
              <w:rPr>
                <w:rFonts w:hint="eastAsia" w:ascii="宋体" w:hAnsi="Times New Roman" w:eastAsia="宋体" w:cs="Times New Roman"/>
                <w:color w:val="auto"/>
                <w:szCs w:val="21"/>
                <w:highlight w:val="none"/>
              </w:rPr>
              <w:t>期限满足招标文件要求。</w:t>
            </w:r>
          </w:p>
        </w:tc>
        <w:tc>
          <w:tcPr>
            <w:tcW w:w="753" w:type="dxa"/>
            <w:tcBorders>
              <w:top w:val="single" w:color="auto" w:sz="4" w:space="0"/>
              <w:left w:val="single" w:color="auto" w:sz="4" w:space="0"/>
            </w:tcBorders>
            <w:noWrap w:val="0"/>
            <w:vAlign w:val="top"/>
          </w:tcPr>
          <w:p w14:paraId="29F629CA">
            <w:pPr>
              <w:rPr>
                <w:rFonts w:hint="eastAsia" w:ascii="宋体" w:hAnsi="宋体" w:cs="宋体"/>
                <w:szCs w:val="21"/>
                <w:highlight w:val="none"/>
              </w:rPr>
            </w:pPr>
          </w:p>
        </w:tc>
        <w:tc>
          <w:tcPr>
            <w:tcW w:w="749" w:type="dxa"/>
            <w:tcBorders>
              <w:top w:val="single" w:color="auto" w:sz="4" w:space="0"/>
              <w:right w:val="single" w:color="auto" w:sz="4" w:space="0"/>
            </w:tcBorders>
            <w:noWrap w:val="0"/>
            <w:vAlign w:val="top"/>
          </w:tcPr>
          <w:p w14:paraId="06AD6F7A">
            <w:pPr>
              <w:rPr>
                <w:rFonts w:hint="eastAsia" w:ascii="宋体" w:hAnsi="宋体" w:cs="宋体"/>
                <w:szCs w:val="21"/>
                <w:highlight w:val="none"/>
              </w:rPr>
            </w:pPr>
          </w:p>
        </w:tc>
      </w:tr>
      <w:tr w14:paraId="42B46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922" w:type="dxa"/>
            <w:vMerge w:val="continue"/>
            <w:tcBorders>
              <w:left w:val="single" w:color="auto" w:sz="4" w:space="0"/>
              <w:right w:val="single" w:color="auto" w:sz="4" w:space="0"/>
            </w:tcBorders>
            <w:noWrap w:val="0"/>
            <w:vAlign w:val="center"/>
          </w:tcPr>
          <w:p w14:paraId="59C5A0F1">
            <w:pPr>
              <w:rPr>
                <w:rFonts w:hint="eastAsia" w:ascii="宋体" w:hAnsi="宋体" w:cs="宋体"/>
                <w:highlight w:val="none"/>
              </w:rPr>
            </w:pPr>
          </w:p>
        </w:tc>
        <w:tc>
          <w:tcPr>
            <w:tcW w:w="495" w:type="dxa"/>
            <w:tcBorders>
              <w:left w:val="single" w:color="auto" w:sz="4" w:space="0"/>
            </w:tcBorders>
            <w:noWrap w:val="0"/>
            <w:vAlign w:val="center"/>
          </w:tcPr>
          <w:p w14:paraId="6BCD7180">
            <w:pPr>
              <w:jc w:val="center"/>
              <w:rPr>
                <w:rFonts w:hint="eastAsia" w:ascii="宋体" w:hAnsi="宋体" w:cs="宋体"/>
                <w:sz w:val="20"/>
                <w:szCs w:val="20"/>
                <w:highlight w:val="none"/>
              </w:rPr>
            </w:pPr>
            <w:r>
              <w:rPr>
                <w:rFonts w:hint="eastAsia" w:ascii="宋体" w:hAnsi="宋体" w:cs="宋体"/>
                <w:sz w:val="20"/>
                <w:szCs w:val="20"/>
                <w:highlight w:val="none"/>
              </w:rPr>
              <w:t>8</w:t>
            </w:r>
          </w:p>
        </w:tc>
        <w:tc>
          <w:tcPr>
            <w:tcW w:w="6579" w:type="dxa"/>
            <w:tcBorders>
              <w:right w:val="single" w:color="auto" w:sz="4" w:space="0"/>
            </w:tcBorders>
            <w:noWrap w:val="0"/>
            <w:vAlign w:val="center"/>
          </w:tcPr>
          <w:p w14:paraId="0CD1908D">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投标文件</w:t>
            </w:r>
            <w:r>
              <w:rPr>
                <w:rFonts w:hint="eastAsia" w:ascii="宋体" w:hAnsi="Times New Roman" w:eastAsia="宋体" w:cs="Times New Roman"/>
                <w:color w:val="auto"/>
                <w:szCs w:val="21"/>
                <w:highlight w:val="none"/>
                <w:lang w:val="en-US" w:eastAsia="zh-CN"/>
              </w:rPr>
              <w:t>未</w:t>
            </w:r>
            <w:r>
              <w:rPr>
                <w:rFonts w:hint="eastAsia" w:ascii="宋体" w:hAnsi="Times New Roman" w:eastAsia="宋体" w:cs="Times New Roman"/>
                <w:color w:val="auto"/>
                <w:szCs w:val="21"/>
                <w:highlight w:val="none"/>
              </w:rPr>
              <w:t>含有采购人不能接受的附加条件</w:t>
            </w:r>
            <w:r>
              <w:rPr>
                <w:rFonts w:hint="eastAsia" w:ascii="宋体" w:cs="Times New Roman"/>
                <w:color w:val="auto"/>
                <w:szCs w:val="21"/>
                <w:highlight w:val="none"/>
                <w:lang w:eastAsia="zh-CN"/>
              </w:rPr>
              <w:t>。</w:t>
            </w:r>
          </w:p>
        </w:tc>
        <w:tc>
          <w:tcPr>
            <w:tcW w:w="753" w:type="dxa"/>
            <w:tcBorders>
              <w:left w:val="single" w:color="auto" w:sz="4" w:space="0"/>
            </w:tcBorders>
            <w:noWrap w:val="0"/>
            <w:vAlign w:val="top"/>
          </w:tcPr>
          <w:p w14:paraId="45FDC1A7">
            <w:pPr>
              <w:rPr>
                <w:rFonts w:hint="eastAsia" w:ascii="宋体" w:hAnsi="宋体" w:cs="宋体"/>
                <w:szCs w:val="21"/>
                <w:highlight w:val="none"/>
              </w:rPr>
            </w:pPr>
          </w:p>
        </w:tc>
        <w:tc>
          <w:tcPr>
            <w:tcW w:w="749" w:type="dxa"/>
            <w:tcBorders>
              <w:right w:val="single" w:color="auto" w:sz="4" w:space="0"/>
            </w:tcBorders>
            <w:noWrap w:val="0"/>
            <w:vAlign w:val="top"/>
          </w:tcPr>
          <w:p w14:paraId="01002D5B">
            <w:pPr>
              <w:rPr>
                <w:rFonts w:hint="eastAsia" w:ascii="宋体" w:hAnsi="宋体" w:cs="宋体"/>
                <w:szCs w:val="21"/>
                <w:highlight w:val="none"/>
              </w:rPr>
            </w:pPr>
          </w:p>
        </w:tc>
      </w:tr>
      <w:tr w14:paraId="192D4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14:paraId="0C06DDE9">
            <w:pPr>
              <w:rPr>
                <w:rFonts w:hint="eastAsia" w:ascii="宋体" w:hAnsi="宋体" w:cs="宋体"/>
                <w:highlight w:val="none"/>
              </w:rPr>
            </w:pPr>
          </w:p>
        </w:tc>
        <w:tc>
          <w:tcPr>
            <w:tcW w:w="495" w:type="dxa"/>
            <w:tcBorders>
              <w:left w:val="single" w:color="auto" w:sz="4" w:space="0"/>
            </w:tcBorders>
            <w:noWrap w:val="0"/>
            <w:vAlign w:val="center"/>
          </w:tcPr>
          <w:p w14:paraId="0D900034">
            <w:pPr>
              <w:jc w:val="center"/>
              <w:rPr>
                <w:rFonts w:hint="eastAsia" w:ascii="宋体" w:hAnsi="宋体" w:cs="宋体"/>
                <w:sz w:val="20"/>
                <w:szCs w:val="20"/>
                <w:highlight w:val="none"/>
              </w:rPr>
            </w:pPr>
            <w:r>
              <w:rPr>
                <w:rFonts w:hint="eastAsia" w:ascii="宋体" w:hAnsi="宋体" w:cs="宋体"/>
                <w:sz w:val="20"/>
                <w:szCs w:val="20"/>
                <w:highlight w:val="none"/>
              </w:rPr>
              <w:t>9</w:t>
            </w:r>
          </w:p>
        </w:tc>
        <w:tc>
          <w:tcPr>
            <w:tcW w:w="6579" w:type="dxa"/>
            <w:tcBorders>
              <w:right w:val="single" w:color="auto" w:sz="4" w:space="0"/>
            </w:tcBorders>
            <w:noWrap w:val="0"/>
            <w:vAlign w:val="center"/>
          </w:tcPr>
          <w:p w14:paraId="134F1D3B">
            <w:pPr>
              <w:shd w:val="clear" w:color="auto" w:fill="auto"/>
              <w:spacing w:line="400" w:lineRule="exact"/>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投标有效期满足招标文件要求。</w:t>
            </w:r>
          </w:p>
        </w:tc>
        <w:tc>
          <w:tcPr>
            <w:tcW w:w="753" w:type="dxa"/>
            <w:tcBorders>
              <w:left w:val="single" w:color="auto" w:sz="4" w:space="0"/>
            </w:tcBorders>
            <w:noWrap w:val="0"/>
            <w:vAlign w:val="top"/>
          </w:tcPr>
          <w:p w14:paraId="6B91C9A1">
            <w:pPr>
              <w:rPr>
                <w:rFonts w:hint="eastAsia" w:ascii="宋体" w:hAnsi="宋体" w:cs="宋体"/>
                <w:szCs w:val="21"/>
                <w:highlight w:val="none"/>
              </w:rPr>
            </w:pPr>
          </w:p>
        </w:tc>
        <w:tc>
          <w:tcPr>
            <w:tcW w:w="749" w:type="dxa"/>
            <w:tcBorders>
              <w:right w:val="single" w:color="auto" w:sz="4" w:space="0"/>
            </w:tcBorders>
            <w:noWrap w:val="0"/>
            <w:vAlign w:val="top"/>
          </w:tcPr>
          <w:p w14:paraId="37F9FB28">
            <w:pPr>
              <w:rPr>
                <w:rFonts w:hint="eastAsia" w:ascii="宋体" w:hAnsi="宋体" w:cs="宋体"/>
                <w:szCs w:val="21"/>
                <w:highlight w:val="none"/>
              </w:rPr>
            </w:pPr>
          </w:p>
        </w:tc>
      </w:tr>
      <w:tr w14:paraId="2480B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922" w:type="dxa"/>
            <w:vMerge w:val="continue"/>
            <w:tcBorders>
              <w:left w:val="single" w:color="auto" w:sz="4" w:space="0"/>
              <w:right w:val="single" w:color="auto" w:sz="4" w:space="0"/>
            </w:tcBorders>
            <w:noWrap w:val="0"/>
            <w:vAlign w:val="center"/>
          </w:tcPr>
          <w:p w14:paraId="6EF9674D">
            <w:pPr>
              <w:rPr>
                <w:rFonts w:hint="eastAsia" w:ascii="宋体" w:hAnsi="宋体" w:cs="宋体"/>
                <w:highlight w:val="none"/>
              </w:rPr>
            </w:pPr>
          </w:p>
        </w:tc>
        <w:tc>
          <w:tcPr>
            <w:tcW w:w="495" w:type="dxa"/>
            <w:tcBorders>
              <w:left w:val="single" w:color="auto" w:sz="4" w:space="0"/>
            </w:tcBorders>
            <w:noWrap w:val="0"/>
            <w:vAlign w:val="center"/>
          </w:tcPr>
          <w:p w14:paraId="625C2ABD">
            <w:pPr>
              <w:jc w:val="center"/>
              <w:rPr>
                <w:rFonts w:hint="eastAsia" w:ascii="宋体" w:hAnsi="宋体" w:cs="宋体"/>
                <w:sz w:val="20"/>
                <w:szCs w:val="20"/>
                <w:highlight w:val="none"/>
              </w:rPr>
            </w:pPr>
            <w:r>
              <w:rPr>
                <w:rFonts w:hint="eastAsia" w:ascii="宋体" w:hAnsi="宋体" w:cs="宋体"/>
                <w:sz w:val="20"/>
                <w:szCs w:val="20"/>
                <w:highlight w:val="none"/>
              </w:rPr>
              <w:t>10</w:t>
            </w:r>
          </w:p>
        </w:tc>
        <w:tc>
          <w:tcPr>
            <w:tcW w:w="6579" w:type="dxa"/>
            <w:tcBorders>
              <w:right w:val="single" w:color="auto" w:sz="4" w:space="0"/>
            </w:tcBorders>
            <w:noWrap w:val="0"/>
            <w:vAlign w:val="center"/>
          </w:tcPr>
          <w:p w14:paraId="6F7A1EAF">
            <w:pPr>
              <w:shd w:val="clear" w:color="auto" w:fill="auto"/>
              <w:spacing w:line="400" w:lineRule="exact"/>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投标人详细地址、联系人、电话</w:t>
            </w:r>
            <w:r>
              <w:rPr>
                <w:rFonts w:hint="eastAsia" w:ascii="宋体" w:hAnsi="Times New Roman" w:eastAsia="宋体" w:cs="Times New Roman"/>
                <w:color w:val="auto"/>
                <w:szCs w:val="21"/>
                <w:highlight w:val="none"/>
                <w:lang w:eastAsia="zh-CN"/>
              </w:rPr>
              <w:t>。</w:t>
            </w:r>
          </w:p>
        </w:tc>
        <w:tc>
          <w:tcPr>
            <w:tcW w:w="753" w:type="dxa"/>
            <w:tcBorders>
              <w:left w:val="single" w:color="auto" w:sz="4" w:space="0"/>
            </w:tcBorders>
            <w:noWrap w:val="0"/>
            <w:vAlign w:val="top"/>
          </w:tcPr>
          <w:p w14:paraId="425EA40F">
            <w:pPr>
              <w:rPr>
                <w:rFonts w:hint="eastAsia" w:ascii="宋体" w:hAnsi="宋体" w:cs="宋体"/>
                <w:szCs w:val="21"/>
                <w:highlight w:val="none"/>
              </w:rPr>
            </w:pPr>
          </w:p>
        </w:tc>
        <w:tc>
          <w:tcPr>
            <w:tcW w:w="749" w:type="dxa"/>
            <w:tcBorders>
              <w:right w:val="single" w:color="auto" w:sz="4" w:space="0"/>
            </w:tcBorders>
            <w:noWrap w:val="0"/>
            <w:vAlign w:val="top"/>
          </w:tcPr>
          <w:p w14:paraId="1EFE3A79">
            <w:pPr>
              <w:rPr>
                <w:rFonts w:hint="eastAsia" w:ascii="宋体" w:hAnsi="宋体" w:cs="宋体"/>
                <w:szCs w:val="21"/>
                <w:highlight w:val="none"/>
              </w:rPr>
            </w:pPr>
          </w:p>
        </w:tc>
      </w:tr>
      <w:tr w14:paraId="1A912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trPr>
        <w:tc>
          <w:tcPr>
            <w:tcW w:w="7996" w:type="dxa"/>
            <w:gridSpan w:val="3"/>
            <w:tcBorders>
              <w:left w:val="single" w:color="auto" w:sz="4" w:space="0"/>
              <w:right w:val="single" w:color="auto" w:sz="4" w:space="0"/>
            </w:tcBorders>
            <w:noWrap w:val="0"/>
            <w:vAlign w:val="center"/>
          </w:tcPr>
          <w:p w14:paraId="06EA35D3">
            <w:pPr>
              <w:jc w:val="center"/>
              <w:rPr>
                <w:rFonts w:hint="eastAsia" w:ascii="宋体" w:hAnsi="宋体" w:cs="宋体"/>
                <w:sz w:val="20"/>
                <w:szCs w:val="20"/>
                <w:highlight w:val="none"/>
              </w:rPr>
            </w:pPr>
            <w:r>
              <w:rPr>
                <w:rFonts w:hint="eastAsia" w:ascii="宋体" w:hAnsi="宋体" w:cs="宋体"/>
                <w:color w:val="auto"/>
                <w:spacing w:val="-2"/>
                <w:szCs w:val="21"/>
                <w:highlight w:val="none"/>
                <w:lang w:eastAsia="zh-CN"/>
              </w:rPr>
              <w:t>评审结果：须写通过或者不通过</w:t>
            </w:r>
          </w:p>
        </w:tc>
        <w:tc>
          <w:tcPr>
            <w:tcW w:w="1502" w:type="dxa"/>
            <w:gridSpan w:val="2"/>
            <w:tcBorders>
              <w:left w:val="single" w:color="auto" w:sz="4" w:space="0"/>
              <w:right w:val="single" w:color="auto" w:sz="4" w:space="0"/>
            </w:tcBorders>
            <w:noWrap w:val="0"/>
            <w:vAlign w:val="center"/>
          </w:tcPr>
          <w:p w14:paraId="20D19DEB">
            <w:pPr>
              <w:rPr>
                <w:rFonts w:hint="eastAsia" w:ascii="宋体" w:hAnsi="宋体" w:cs="宋体"/>
                <w:szCs w:val="21"/>
                <w:highlight w:val="none"/>
              </w:rPr>
            </w:pPr>
          </w:p>
        </w:tc>
      </w:tr>
      <w:tr w14:paraId="2020E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14:paraId="21479762">
            <w:pPr>
              <w:ind w:firstLine="375" w:firstLineChars="180"/>
              <w:rPr>
                <w:rFonts w:hint="eastAsia" w:ascii="宋体" w:hAnsi="宋体" w:cs="宋体"/>
                <w:szCs w:val="21"/>
                <w:highlight w:val="none"/>
              </w:rPr>
            </w:pPr>
            <w:r>
              <w:rPr>
                <w:rFonts w:hint="eastAsia" w:ascii="宋体" w:hAnsi="宋体" w:cs="宋体"/>
                <w:color w:val="auto"/>
                <w:spacing w:val="-2"/>
                <w:szCs w:val="21"/>
                <w:highlight w:val="none"/>
              </w:rPr>
              <w:t xml:space="preserve">结论：通过评审打“√”，未通过评审打“×”   </w:t>
            </w:r>
            <w:r>
              <w:rPr>
                <w:rFonts w:hint="eastAsia" w:ascii="宋体" w:hAnsi="宋体" w:cs="宋体"/>
                <w:color w:val="auto"/>
                <w:szCs w:val="21"/>
                <w:highlight w:val="none"/>
              </w:rPr>
              <w:t>注：如有一项不合格，作废标处理。</w:t>
            </w:r>
          </w:p>
        </w:tc>
      </w:tr>
    </w:tbl>
    <w:p w14:paraId="4A02C853">
      <w:pPr>
        <w:shd w:val="clear" w:color="auto" w:fill="auto"/>
        <w:spacing w:line="400" w:lineRule="exact"/>
        <w:rPr>
          <w:rFonts w:hint="eastAsia" w:ascii="宋体"/>
          <w:color w:val="auto"/>
          <w:szCs w:val="21"/>
          <w:highlight w:val="none"/>
          <w:lang w:val="en-US" w:eastAsia="zh-CN"/>
        </w:rPr>
      </w:pPr>
    </w:p>
    <w:p w14:paraId="18B6351E">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.2评委会判定投标文件的响应性只根据投标文件本身的内容，而不寻求外部的证据，但投标有不真实不正确的内容时除外。</w:t>
      </w:r>
    </w:p>
    <w:p w14:paraId="7720D499">
      <w:pPr>
        <w:shd w:val="clear" w:color="auto" w:fill="auto"/>
        <w:spacing w:line="400" w:lineRule="exact"/>
        <w:ind w:firstLine="513" w:firstLineChars="241"/>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.3如果投标文件实质上没有响应</w:t>
      </w:r>
      <w:r>
        <w:rPr>
          <w:rFonts w:hint="eastAsia" w:ascii="宋体"/>
          <w:color w:val="auto"/>
          <w:szCs w:val="21"/>
          <w:highlight w:val="none"/>
          <w:lang w:eastAsia="zh-CN"/>
        </w:rPr>
        <w:t>采购文件</w:t>
      </w:r>
      <w:r>
        <w:rPr>
          <w:rFonts w:hint="eastAsia" w:ascii="宋体"/>
          <w:color w:val="auto"/>
          <w:szCs w:val="21"/>
          <w:highlight w:val="none"/>
        </w:rPr>
        <w:t>的要求，评委会将予以拒绝，投标人不得通过修正或撤销不符合要求的偏离或保留，而使其投标成为实质上响应的投标。</w:t>
      </w:r>
    </w:p>
    <w:p w14:paraId="62A8792D">
      <w:pPr>
        <w:shd w:val="clear" w:color="auto" w:fill="auto"/>
        <w:spacing w:line="400" w:lineRule="exact"/>
        <w:ind w:firstLine="426" w:firstLineChars="200"/>
        <w:rPr>
          <w:rFonts w:hint="eastAsia" w:ascii="宋体"/>
          <w:color w:val="auto"/>
          <w:szCs w:val="21"/>
          <w:highlight w:val="none"/>
        </w:rPr>
      </w:pPr>
      <w:r>
        <w:rPr>
          <w:rFonts w:hint="eastAsia" w:ascii="宋体"/>
          <w:color w:val="auto"/>
          <w:szCs w:val="21"/>
          <w:highlight w:val="none"/>
        </w:rPr>
        <w:t xml:space="preserve"> </w:t>
      </w:r>
      <w:r>
        <w:rPr>
          <w:rFonts w:hint="eastAsia" w:ascii="宋体"/>
          <w:color w:val="auto"/>
          <w:szCs w:val="21"/>
          <w:highlight w:val="none"/>
          <w:lang w:val="en-US" w:eastAsia="zh-CN"/>
        </w:rPr>
        <w:t>7</w:t>
      </w:r>
      <w:r>
        <w:rPr>
          <w:rFonts w:hint="eastAsia" w:ascii="宋体"/>
          <w:color w:val="auto"/>
          <w:szCs w:val="21"/>
          <w:highlight w:val="none"/>
        </w:rPr>
        <w:t>.4投标人可在现场20分钟内对评标委员会的评审结论提出异议，评标委员会根据</w:t>
      </w:r>
      <w:r>
        <w:rPr>
          <w:rFonts w:hint="eastAsia" w:ascii="宋体"/>
          <w:color w:val="auto"/>
          <w:szCs w:val="21"/>
          <w:highlight w:val="none"/>
          <w:lang w:eastAsia="zh-CN"/>
        </w:rPr>
        <w:t>采购文件</w:t>
      </w:r>
      <w:r>
        <w:rPr>
          <w:rFonts w:hint="eastAsia" w:ascii="宋体"/>
          <w:color w:val="auto"/>
          <w:szCs w:val="21"/>
          <w:highlight w:val="none"/>
        </w:rPr>
        <w:t>及有关规定对投标人的异议进行复议</w:t>
      </w:r>
    </w:p>
    <w:p w14:paraId="4229C17B">
      <w:pPr>
        <w:shd w:val="clear" w:color="auto" w:fill="auto"/>
        <w:spacing w:line="400" w:lineRule="exact"/>
        <w:ind w:firstLine="532" w:firstLineChars="250"/>
        <w:rPr>
          <w:rFonts w:hint="eastAsia" w:ascii="宋体"/>
          <w:color w:val="auto"/>
          <w:szCs w:val="21"/>
          <w:highlight w:val="none"/>
        </w:rPr>
      </w:pPr>
      <w:r>
        <w:rPr>
          <w:rFonts w:hint="eastAsia" w:ascii="宋体"/>
          <w:color w:val="auto"/>
          <w:szCs w:val="21"/>
          <w:highlight w:val="none"/>
          <w:lang w:val="en-US" w:eastAsia="zh-CN"/>
        </w:rPr>
        <w:t>7</w:t>
      </w:r>
      <w:r>
        <w:rPr>
          <w:rFonts w:hint="eastAsia" w:ascii="宋体"/>
          <w:color w:val="auto"/>
          <w:szCs w:val="21"/>
          <w:highlight w:val="none"/>
        </w:rPr>
        <w:t>.5只有通过初审的投标人才能进入下一步评标程序。</w:t>
      </w:r>
    </w:p>
    <w:p w14:paraId="5C54C1A8">
      <w:pPr>
        <w:shd w:val="clear" w:color="auto" w:fill="auto"/>
        <w:spacing w:line="400" w:lineRule="exact"/>
        <w:ind w:firstLine="426" w:firstLineChars="200"/>
        <w:rPr>
          <w:rFonts w:hint="eastAsia" w:ascii="宋体" w:hAnsi="宋体"/>
          <w:b/>
          <w:color w:val="auto"/>
          <w:szCs w:val="21"/>
          <w:highlight w:val="none"/>
        </w:rPr>
      </w:pPr>
      <w:r>
        <w:rPr>
          <w:rFonts w:hint="eastAsia" w:ascii="宋体" w:hAnsi="宋体"/>
          <w:b/>
          <w:color w:val="auto"/>
          <w:szCs w:val="21"/>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bookmarkStart w:id="43" w:name="_Toc469495734"/>
      <w:bookmarkStart w:id="44" w:name="_Toc362983803"/>
    </w:p>
    <w:p w14:paraId="03C19A5E">
      <w:pPr>
        <w:shd w:val="clear" w:color="auto" w:fill="auto"/>
        <w:spacing w:line="400" w:lineRule="exact"/>
        <w:ind w:firstLine="3113" w:firstLineChars="1100"/>
        <w:rPr>
          <w:rFonts w:hint="eastAsia" w:ascii="宋体"/>
          <w:b/>
          <w:color w:val="auto"/>
          <w:sz w:val="28"/>
          <w:szCs w:val="28"/>
          <w:highlight w:val="none"/>
        </w:rPr>
      </w:pPr>
    </w:p>
    <w:p w14:paraId="4D6BAC3E">
      <w:pPr>
        <w:pStyle w:val="7"/>
        <w:rPr>
          <w:rFonts w:hint="eastAsia"/>
          <w:highlight w:val="none"/>
        </w:rPr>
      </w:pPr>
    </w:p>
    <w:p w14:paraId="125A9D37">
      <w:pPr>
        <w:shd w:val="clear" w:color="auto" w:fill="auto"/>
        <w:spacing w:line="400" w:lineRule="exact"/>
        <w:ind w:firstLine="3113" w:firstLineChars="1100"/>
        <w:outlineLvl w:val="1"/>
        <w:rPr>
          <w:rFonts w:hint="eastAsia" w:ascii="宋体"/>
          <w:b/>
          <w:color w:val="auto"/>
          <w:sz w:val="24"/>
          <w:highlight w:val="none"/>
        </w:rPr>
      </w:pPr>
      <w:r>
        <w:rPr>
          <w:rFonts w:hint="eastAsia" w:ascii="宋体"/>
          <w:b/>
          <w:color w:val="auto"/>
          <w:sz w:val="28"/>
          <w:szCs w:val="28"/>
          <w:highlight w:val="none"/>
        </w:rPr>
        <w:t>三  投标文件的澄清和补正</w:t>
      </w:r>
      <w:bookmarkEnd w:id="43"/>
      <w:bookmarkEnd w:id="44"/>
    </w:p>
    <w:p w14:paraId="4555FB8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8．澄清、说明或补正的形式</w:t>
      </w:r>
    </w:p>
    <w:p w14:paraId="0215AF4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4587408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50785255">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997712F">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9．错误修正的原则</w:t>
      </w:r>
    </w:p>
    <w:p w14:paraId="089D3E7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电子交易平台客户端里开标一览表录入的投标报价或优惠率与扫描上传的报价文件信息不一致的，以扫描上传的报价文件信息为准进行修正。</w:t>
      </w:r>
    </w:p>
    <w:p w14:paraId="4C44493D">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投标文件报价出现前后不一致的，除采购文件另有规定外，按照下列规定修正：</w:t>
      </w:r>
    </w:p>
    <w:p w14:paraId="29B5826B">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9.1 投标函中表述的内容与报价表中不一致的，以报价表为准；报价表中的内容与报价明细表不一致的，以报价表为准；</w:t>
      </w:r>
    </w:p>
    <w:p w14:paraId="6ACC7E5E">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9.2 投标文件中的大写金额和小写金额不一致的，以大写金额为准；</w:t>
      </w:r>
    </w:p>
    <w:p w14:paraId="067DF936">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9.3 单价金额小数点或者百分比有明显错位的，以开标一览表的总价为准，并修改单价；</w:t>
      </w:r>
    </w:p>
    <w:p w14:paraId="4B9AA35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9.4 总价金额与按单价汇总金额不一致的，以单价金额计算结果为准；</w:t>
      </w:r>
    </w:p>
    <w:p w14:paraId="2C86B590">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9.5 若用文字表示的数值与用数字表示的数值不一致，以文字表示的数值为准；</w:t>
      </w:r>
    </w:p>
    <w:p w14:paraId="7494AE68">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9.6 如有多报（指数量超出采购文件需求）、重报（指同一货物重复报价），其投标总价在评标过程中不予调整，如其中标，其合同价按其投标单价予以调整；</w:t>
      </w:r>
    </w:p>
    <w:p w14:paraId="7AF44ED2">
      <w:pPr>
        <w:shd w:val="clear" w:color="auto" w:fill="auto"/>
        <w:spacing w:line="440" w:lineRule="exact"/>
        <w:ind w:firstLine="213" w:firstLineChars="100"/>
        <w:jc w:val="left"/>
        <w:rPr>
          <w:rFonts w:hint="eastAsia" w:ascii="宋体"/>
          <w:b w:val="0"/>
          <w:bCs w:val="0"/>
          <w:color w:val="auto"/>
          <w:szCs w:val="21"/>
          <w:highlight w:val="none"/>
          <w:lang w:val="en-US" w:eastAsia="zh-CN"/>
        </w:rPr>
      </w:pPr>
      <w:r>
        <w:rPr>
          <w:rFonts w:hint="eastAsia" w:ascii="宋体"/>
          <w:b w:val="0"/>
          <w:bCs w:val="0"/>
          <w:color w:val="auto"/>
          <w:szCs w:val="21"/>
          <w:highlight w:val="none"/>
          <w:lang w:val="en-US" w:eastAsia="zh-CN"/>
        </w:rPr>
        <w:t>9.7 对不同文字文本投标文件的解释发生异议的，以中文文本为准；</w:t>
      </w:r>
    </w:p>
    <w:p w14:paraId="650B3422">
      <w:pPr>
        <w:shd w:val="clear" w:color="auto" w:fill="auto"/>
        <w:spacing w:line="440" w:lineRule="exact"/>
        <w:ind w:firstLine="213" w:firstLineChars="100"/>
        <w:jc w:val="left"/>
        <w:rPr>
          <w:rFonts w:hint="eastAsia" w:ascii="宋体"/>
          <w:color w:val="auto"/>
          <w:szCs w:val="21"/>
          <w:highlight w:val="none"/>
        </w:rPr>
      </w:pPr>
      <w:r>
        <w:rPr>
          <w:rFonts w:hint="eastAsia" w:ascii="宋体"/>
          <w:b w:val="0"/>
          <w:bCs w:val="0"/>
          <w:color w:val="auto"/>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5890B73B">
      <w:pPr>
        <w:shd w:val="clear" w:color="auto" w:fill="auto"/>
        <w:spacing w:line="400" w:lineRule="exact"/>
        <w:jc w:val="center"/>
        <w:outlineLvl w:val="1"/>
        <w:rPr>
          <w:rFonts w:hint="eastAsia" w:ascii="宋体"/>
          <w:b/>
          <w:color w:val="auto"/>
          <w:sz w:val="24"/>
          <w:highlight w:val="none"/>
        </w:rPr>
      </w:pPr>
      <w:bookmarkStart w:id="45" w:name="_Toc469495735"/>
      <w:r>
        <w:rPr>
          <w:rFonts w:hint="eastAsia" w:ascii="宋体"/>
          <w:b/>
          <w:color w:val="auto"/>
          <w:sz w:val="24"/>
          <w:highlight w:val="none"/>
        </w:rPr>
        <w:t>四 比较与评价</w:t>
      </w:r>
      <w:bookmarkEnd w:id="45"/>
    </w:p>
    <w:p w14:paraId="731A1A32">
      <w:pPr>
        <w:shd w:val="clear" w:color="auto" w:fill="auto"/>
        <w:tabs>
          <w:tab w:val="left" w:pos="720"/>
        </w:tabs>
        <w:spacing w:line="440" w:lineRule="exact"/>
        <w:ind w:firstLine="542" w:firstLineChars="255"/>
        <w:rPr>
          <w:rFonts w:hint="eastAsia" w:ascii="宋体" w:hAnsi="宋体" w:eastAsia="宋体" w:cs="宋体"/>
          <w:color w:val="auto"/>
          <w:szCs w:val="21"/>
          <w:highlight w:val="none"/>
          <w:lang w:bidi="ar-SA"/>
        </w:rPr>
      </w:pPr>
      <w:bookmarkStart w:id="46" w:name="_Toc362983805"/>
      <w:bookmarkStart w:id="47" w:name="_Toc469495736"/>
      <w:r>
        <w:rPr>
          <w:rFonts w:hint="eastAsia" w:ascii="宋体" w:hAnsi="宋体" w:eastAsia="宋体" w:cs="宋体"/>
          <w:color w:val="auto"/>
          <w:szCs w:val="21"/>
          <w:highlight w:val="none"/>
          <w:lang w:val="en-US" w:eastAsia="zh-CN" w:bidi="ar-SA"/>
        </w:rPr>
        <w:t>10.1</w:t>
      </w:r>
      <w:r>
        <w:rPr>
          <w:rFonts w:hint="eastAsia" w:ascii="宋体" w:hAnsi="宋体" w:eastAsia="宋体" w:cs="宋体"/>
          <w:color w:val="auto"/>
          <w:szCs w:val="21"/>
          <w:highlight w:val="none"/>
          <w:lang w:bidi="ar-SA"/>
        </w:rPr>
        <w:t>评标委员会按招标文件中规定的评标方法和标准，对资格性检查和符合性检查合格的投标文件进行商务和技术评估、综合比较与评价。</w:t>
      </w:r>
    </w:p>
    <w:p w14:paraId="4F991032">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val="en-US" w:eastAsia="zh-CN" w:bidi="ar-SA"/>
        </w:rPr>
        <w:t>10.2</w:t>
      </w:r>
      <w:r>
        <w:rPr>
          <w:rFonts w:hint="eastAsia" w:ascii="宋体" w:hAnsi="宋体" w:eastAsia="宋体" w:cs="宋体"/>
          <w:color w:val="auto"/>
          <w:szCs w:val="21"/>
          <w:highlight w:val="none"/>
          <w:lang w:bidi="ar-SA"/>
        </w:rPr>
        <w:t>评标委员会根据商务和技术评估的结果，采用综合评分法，分别对投标文件的商务、技术、价格等内容进行打分。其中，商务评估、技术评估、价格评估的评分权值（详见附件1）。</w:t>
      </w:r>
    </w:p>
    <w:p w14:paraId="37F65A50">
      <w:pPr>
        <w:shd w:val="clear" w:color="auto" w:fill="auto"/>
        <w:spacing w:line="440" w:lineRule="exact"/>
        <w:ind w:firstLine="546" w:firstLineChars="257"/>
        <w:rPr>
          <w:rFonts w:hint="eastAsia" w:ascii="宋体" w:hAnsi="宋体" w:eastAsia="宋体" w:cs="宋体"/>
          <w:bCs/>
          <w:color w:val="auto"/>
          <w:szCs w:val="21"/>
          <w:highlight w:val="none"/>
          <w:lang w:bidi="ar-SA"/>
        </w:rPr>
      </w:pPr>
      <w:r>
        <w:rPr>
          <w:rFonts w:hint="eastAsia" w:ascii="宋体" w:hAnsi="宋体" w:eastAsia="宋体" w:cs="宋体"/>
          <w:color w:val="auto"/>
          <w:szCs w:val="21"/>
          <w:highlight w:val="none"/>
          <w:lang w:val="en-US" w:eastAsia="zh-CN" w:bidi="ar-SA"/>
        </w:rPr>
        <w:t>10.</w:t>
      </w:r>
      <w:r>
        <w:rPr>
          <w:rFonts w:hint="eastAsia" w:ascii="宋体" w:hAnsi="宋体" w:eastAsia="宋体" w:cs="宋体"/>
          <w:bCs/>
          <w:color w:val="auto"/>
          <w:szCs w:val="21"/>
          <w:highlight w:val="none"/>
          <w:lang w:val="en-US" w:eastAsia="zh-CN" w:bidi="ar-SA"/>
        </w:rPr>
        <w:t>2.1</w:t>
      </w:r>
      <w:r>
        <w:rPr>
          <w:rFonts w:hint="eastAsia" w:ascii="宋体" w:hAnsi="宋体" w:eastAsia="宋体" w:cs="宋体"/>
          <w:bCs/>
          <w:color w:val="auto"/>
          <w:szCs w:val="21"/>
          <w:highlight w:val="none"/>
          <w:lang w:bidi="ar-SA"/>
        </w:rPr>
        <w:t>评委打分办法</w:t>
      </w:r>
    </w:p>
    <w:p w14:paraId="68D51544">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bCs/>
          <w:color w:val="auto"/>
          <w:szCs w:val="21"/>
          <w:highlight w:val="none"/>
          <w:lang w:bidi="ar-SA"/>
        </w:rPr>
        <w:t>（1）</w:t>
      </w:r>
      <w:r>
        <w:rPr>
          <w:rFonts w:hint="eastAsia" w:ascii="宋体" w:hAnsi="宋体" w:eastAsia="宋体" w:cs="宋体"/>
          <w:color w:val="auto"/>
          <w:szCs w:val="21"/>
          <w:highlight w:val="none"/>
          <w:lang w:bidi="ar-SA"/>
        </w:rPr>
        <w:t>参加评分的评委应尽力体现客观、实事求是，避免学派偏见和个人偏好。</w:t>
      </w:r>
    </w:p>
    <w:p w14:paraId="32554CD6">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（2）衡量、对比的依据，应以招标文件、投标文件、提供的正式试验数据、质询澄清中的文字为准，口头回答和收集的资料只作为参考。</w:t>
      </w:r>
    </w:p>
    <w:p w14:paraId="01354BCA">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（3）评分主要是为比较各投标人的价格、商务和技术综合排序。</w:t>
      </w:r>
    </w:p>
    <w:p w14:paraId="7562FE24">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（4）评委打分采取记名形式。</w:t>
      </w:r>
    </w:p>
    <w:p w14:paraId="3ACFAE6C">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（5）各评委根据提供的技术打分表独立自主打分，任何人不得要求评委统一打分或统一确定等次顺序。</w:t>
      </w:r>
    </w:p>
    <w:p w14:paraId="0FB86C45">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（6）对打分表中的每项条款，各评委应根据投标文件、澄清材料、招标文件要求，按满足的程度给投标人打分。</w:t>
      </w:r>
    </w:p>
    <w:p w14:paraId="79790C3C">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（7）评分程序</w:t>
      </w:r>
    </w:p>
    <w:p w14:paraId="3FC1D4D5">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1)就投标人的投标文件对照整理出商务、技术评标因素对比表、偏差表，并在经过校核的基础上逐项打分。</w:t>
      </w:r>
    </w:p>
    <w:p w14:paraId="1FC059AB">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2)各评委独立完成打分后，将评分表交给代理机构，由代理机构组织进行分数统计。</w:t>
      </w:r>
    </w:p>
    <w:p w14:paraId="7EAA847F">
      <w:pPr>
        <w:shd w:val="clear" w:color="auto" w:fill="auto"/>
        <w:spacing w:line="440" w:lineRule="exact"/>
        <w:ind w:firstLine="546" w:firstLineChars="257"/>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3)最终汇总表中各投标人得分应为评委打分的算术平均值。</w:t>
      </w:r>
    </w:p>
    <w:p w14:paraId="3393B46A">
      <w:pPr>
        <w:numPr>
          <w:ilvl w:val="0"/>
          <w:numId w:val="0"/>
        </w:numPr>
        <w:shd w:val="clear" w:color="auto" w:fill="auto"/>
        <w:spacing w:line="500" w:lineRule="exact"/>
        <w:ind w:firstLine="426" w:firstLineChars="200"/>
        <w:jc w:val="left"/>
        <w:rPr>
          <w:rFonts w:hint="eastAsia" w:ascii="宋体" w:hAnsi="宋体" w:eastAsia="宋体" w:cs="宋体"/>
          <w:color w:val="auto"/>
          <w:szCs w:val="21"/>
          <w:highlight w:val="none"/>
          <w:lang w:bidi="ar-SA"/>
        </w:rPr>
      </w:pPr>
      <w:r>
        <w:rPr>
          <w:rFonts w:hint="eastAsia" w:ascii="宋体" w:hAnsi="宋体" w:eastAsia="宋体" w:cs="宋体"/>
          <w:color w:val="auto"/>
          <w:szCs w:val="21"/>
          <w:highlight w:val="none"/>
          <w:lang w:bidi="ar-SA"/>
        </w:rPr>
        <w:t>（8）评分标准和细则（综合评分法评分标准）</w:t>
      </w:r>
    </w:p>
    <w:p w14:paraId="69F61885">
      <w:pPr>
        <w:rPr>
          <w:rFonts w:hint="eastAsia"/>
          <w:highlight w:val="none"/>
          <w:lang w:val="en-US" w:eastAsia="zh-CN"/>
        </w:rPr>
      </w:pPr>
    </w:p>
    <w:tbl>
      <w:tblPr>
        <w:tblStyle w:val="29"/>
        <w:tblpPr w:leftFromText="180" w:rightFromText="180" w:vertAnchor="text" w:horzAnchor="page" w:tblpX="1777" w:tblpY="446"/>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85"/>
        <w:gridCol w:w="6345"/>
      </w:tblGrid>
      <w:tr w14:paraId="7A6A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25" w:type="dxa"/>
            <w:vAlign w:val="center"/>
          </w:tcPr>
          <w:p w14:paraId="11FA499A">
            <w:pPr>
              <w:pStyle w:val="27"/>
              <w:ind w:left="0" w:leftChars="0" w:firstLine="0" w:firstLineChars="0"/>
              <w:jc w:val="cente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评审</w:t>
            </w:r>
          </w:p>
          <w:p w14:paraId="5DE02311">
            <w:pPr>
              <w:pStyle w:val="27"/>
              <w:ind w:left="0" w:leftChars="0" w:firstLine="0" w:firstLineChars="0"/>
              <w:jc w:val="cente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项目</w:t>
            </w:r>
          </w:p>
        </w:tc>
        <w:tc>
          <w:tcPr>
            <w:tcW w:w="1385" w:type="dxa"/>
            <w:vAlign w:val="center"/>
          </w:tcPr>
          <w:p w14:paraId="71BF365E">
            <w:pPr>
              <w:keepNext w:val="0"/>
              <w:keepLines w:val="0"/>
              <w:widowControl/>
              <w:suppressLineNumbers w:val="0"/>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评分</w:t>
            </w:r>
          </w:p>
          <w:p w14:paraId="120464A2">
            <w:pPr>
              <w:keepNext w:val="0"/>
              <w:keepLines w:val="0"/>
              <w:widowControl/>
              <w:suppressLineNumbers w:val="0"/>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因素</w:t>
            </w:r>
          </w:p>
        </w:tc>
        <w:tc>
          <w:tcPr>
            <w:tcW w:w="6345" w:type="dxa"/>
          </w:tcPr>
          <w:p w14:paraId="632783B4">
            <w:pPr>
              <w:pStyle w:val="27"/>
              <w:ind w:left="0" w:leftChars="0" w:firstLine="0" w:firstLineChars="0"/>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评分标准</w:t>
            </w:r>
          </w:p>
        </w:tc>
      </w:tr>
      <w:tr w14:paraId="30AD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925" w:type="dxa"/>
            <w:vAlign w:val="center"/>
          </w:tcPr>
          <w:p w14:paraId="71AB1523">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价格</w:t>
            </w:r>
          </w:p>
        </w:tc>
        <w:tc>
          <w:tcPr>
            <w:tcW w:w="1385" w:type="dxa"/>
            <w:vAlign w:val="center"/>
          </w:tcPr>
          <w:p w14:paraId="5A256155">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p w14:paraId="4B64AD38">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投标报价</w:t>
            </w:r>
          </w:p>
          <w:p w14:paraId="57B2B539">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Times New Roman"/>
                <w:b/>
                <w:bCs/>
                <w:color w:val="000000" w:themeColor="text1"/>
                <w:kern w:val="2"/>
                <w:sz w:val="21"/>
                <w:szCs w:val="21"/>
                <w:highlight w:val="none"/>
                <w:shd w:val="clear" w:color="auto" w:fill="auto"/>
                <w:lang w:val="en-US" w:eastAsia="zh-CN" w:bidi="ar-SA"/>
                <w14:textFill>
                  <w14:solidFill>
                    <w14:schemeClr w14:val="tx1"/>
                  </w14:solidFill>
                </w14:textFill>
              </w:rPr>
              <w:t>（15分）</w:t>
            </w:r>
          </w:p>
        </w:tc>
        <w:tc>
          <w:tcPr>
            <w:tcW w:w="6345" w:type="dxa"/>
          </w:tcPr>
          <w:p w14:paraId="30DFB488">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评标基准价=有效投标报价的最低价，有效投标报价等于评标基准价的得满分，投标报价得分=（评标基准价/投标报价）×价格权重。有效投标报价为通过初步审查的供应商报价。</w:t>
            </w:r>
          </w:p>
        </w:tc>
      </w:tr>
      <w:tr w14:paraId="6633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25" w:type="dxa"/>
            <w:vMerge w:val="restart"/>
            <w:vAlign w:val="center"/>
          </w:tcPr>
          <w:p w14:paraId="76F296C3">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2B38C33A">
            <w:pPr>
              <w:spacing w:line="180" w:lineRule="atLeast"/>
              <w:jc w:val="cente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bookmarkStart w:id="48" w:name="OLE_LINK36"/>
            <w:r>
              <w:rPr>
                <w:rFonts w:hint="default"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类似业绩（8分）</w:t>
            </w:r>
            <w:bookmarkEnd w:id="48"/>
          </w:p>
        </w:tc>
        <w:tc>
          <w:tcPr>
            <w:tcW w:w="6345" w:type="dxa"/>
            <w:vAlign w:val="top"/>
          </w:tcPr>
          <w:p w14:paraId="03E4FD62">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bookmarkStart w:id="49" w:name="OLE_LINK37"/>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 xml:space="preserve">提供近三年（2023年至今）类似项目承保业绩，承保过同类案例，每个得 2 分，满分为 8 分。 </w:t>
            </w:r>
          </w:p>
          <w:p w14:paraId="602B61B3">
            <w:pPr>
              <w:spacing w:line="180" w:lineRule="atLeast"/>
              <w:jc w:val="left"/>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t>注：以上证明文件，提供保险合同或保险单等证明材料。</w:t>
            </w:r>
            <w:bookmarkEnd w:id="49"/>
          </w:p>
        </w:tc>
      </w:tr>
      <w:tr w14:paraId="5641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Merge w:val="continue"/>
            <w:vAlign w:val="center"/>
          </w:tcPr>
          <w:p w14:paraId="24F8C318">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0B2F390D">
            <w:pPr>
              <w:spacing w:line="180" w:lineRule="atLeast"/>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p>
          <w:p w14:paraId="0A8C86F7">
            <w:pPr>
              <w:spacing w:line="180" w:lineRule="atLeast"/>
              <w:jc w:val="center"/>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default" w:ascii="Times New Roman" w:hAnsi="Times New Roman" w:eastAsia="宋体" w:cs="Times New Roman"/>
                <w:b/>
                <w:bCs/>
                <w:color w:val="auto"/>
                <w:kern w:val="2"/>
                <w:sz w:val="21"/>
                <w:szCs w:val="21"/>
                <w:highlight w:val="none"/>
                <w:shd w:val="clear" w:color="auto" w:fill="auto"/>
                <w:lang w:val="en-US" w:eastAsia="zh-CN" w:bidi="ar-SA"/>
              </w:rPr>
              <w:t>追诉时效(12分)</w:t>
            </w:r>
          </w:p>
        </w:tc>
        <w:tc>
          <w:tcPr>
            <w:tcW w:w="6345" w:type="dxa"/>
            <w:vAlign w:val="top"/>
          </w:tcPr>
          <w:p w14:paraId="76F6C682">
            <w:pPr>
              <w:spacing w:line="180" w:lineRule="atLeast"/>
              <w:jc w:val="left"/>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cs="Times New Roman"/>
                <w:b/>
                <w:bCs/>
                <w:color w:val="auto"/>
                <w:kern w:val="2"/>
                <w:sz w:val="21"/>
                <w:szCs w:val="21"/>
                <w:highlight w:val="none"/>
                <w:shd w:val="clear" w:color="auto" w:fill="auto"/>
                <w:lang w:val="en-US" w:eastAsia="zh-CN" w:bidi="ar-SA"/>
              </w:rPr>
              <w:t>各投标企业承诺对上年度保险期满与本项目保单生效之前的空白期之间发生的保单进行全额赔付得6分；2、</w:t>
            </w:r>
            <w:r>
              <w:rPr>
                <w:rFonts w:hint="eastAsia" w:ascii="Times New Roman" w:hAnsi="Times New Roman" w:eastAsia="宋体" w:cs="Times New Roman"/>
                <w:b/>
                <w:bCs/>
                <w:color w:val="auto"/>
                <w:kern w:val="2"/>
                <w:sz w:val="21"/>
                <w:szCs w:val="21"/>
                <w:highlight w:val="none"/>
                <w:shd w:val="clear" w:color="auto" w:fill="auto"/>
                <w:lang w:val="en-US" w:eastAsia="zh-CN" w:bidi="ar-SA"/>
              </w:rPr>
              <w:t>承诺本项目合同期满与下年度保单生效之前的空白期之间发生的保单进行</w:t>
            </w:r>
            <w:r>
              <w:rPr>
                <w:rFonts w:hint="eastAsia" w:cs="Times New Roman"/>
                <w:b/>
                <w:bCs/>
                <w:color w:val="auto"/>
                <w:kern w:val="2"/>
                <w:sz w:val="21"/>
                <w:szCs w:val="21"/>
                <w:highlight w:val="none"/>
                <w:shd w:val="clear" w:color="auto" w:fill="auto"/>
                <w:lang w:val="en-US" w:eastAsia="zh-CN" w:bidi="ar-SA"/>
              </w:rPr>
              <w:t>全额</w:t>
            </w:r>
            <w:r>
              <w:rPr>
                <w:rFonts w:hint="eastAsia" w:ascii="Times New Roman" w:hAnsi="Times New Roman" w:eastAsia="宋体" w:cs="Times New Roman"/>
                <w:b/>
                <w:bCs/>
                <w:color w:val="auto"/>
                <w:kern w:val="2"/>
                <w:sz w:val="21"/>
                <w:szCs w:val="21"/>
                <w:highlight w:val="none"/>
                <w:shd w:val="clear" w:color="auto" w:fill="auto"/>
                <w:lang w:val="en-US" w:eastAsia="zh-CN" w:bidi="ar-SA"/>
              </w:rPr>
              <w:t>赔付得6分</w:t>
            </w:r>
            <w:r>
              <w:rPr>
                <w:rFonts w:hint="eastAsia" w:cs="Times New Roman"/>
                <w:b/>
                <w:bCs/>
                <w:color w:val="auto"/>
                <w:kern w:val="2"/>
                <w:sz w:val="21"/>
                <w:szCs w:val="21"/>
                <w:highlight w:val="none"/>
                <w:shd w:val="clear" w:color="auto" w:fill="auto"/>
                <w:lang w:val="en-US" w:eastAsia="zh-CN" w:bidi="ar-SA"/>
              </w:rPr>
              <w:t>.(此项最高得12分）。</w:t>
            </w:r>
          </w:p>
        </w:tc>
      </w:tr>
      <w:tr w14:paraId="021B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5" w:type="dxa"/>
            <w:vMerge w:val="continue"/>
            <w:vAlign w:val="center"/>
          </w:tcPr>
          <w:p w14:paraId="711E1451">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72C02A88">
            <w:pPr>
              <w:spacing w:line="180" w:lineRule="atLeast"/>
              <w:jc w:val="center"/>
              <w:rPr>
                <w:rFonts w:hint="default"/>
                <w:b/>
                <w:bCs/>
                <w:color w:val="auto"/>
                <w:highlight w:val="none"/>
                <w:lang w:val="en-US" w:eastAsia="zh-CN"/>
              </w:rPr>
            </w:pPr>
            <w:r>
              <w:rPr>
                <w:rFonts w:hint="default"/>
                <w:b/>
                <w:bCs/>
                <w:color w:val="auto"/>
                <w:highlight w:val="none"/>
                <w:lang w:val="en-US" w:eastAsia="zh-CN"/>
              </w:rPr>
              <w:t>项目实施</w:t>
            </w:r>
          </w:p>
          <w:p w14:paraId="3026EBCF">
            <w:pPr>
              <w:spacing w:line="180" w:lineRule="atLeast"/>
              <w:jc w:val="center"/>
              <w:rPr>
                <w:rFonts w:hint="default"/>
                <w:b/>
                <w:bCs/>
                <w:color w:val="auto"/>
                <w:highlight w:val="none"/>
                <w:lang w:val="en-US" w:eastAsia="zh-CN"/>
              </w:rPr>
            </w:pPr>
            <w:r>
              <w:rPr>
                <w:rFonts w:hint="default"/>
                <w:b/>
                <w:bCs/>
                <w:color w:val="auto"/>
                <w:highlight w:val="none"/>
                <w:lang w:val="en-US" w:eastAsia="zh-CN"/>
              </w:rPr>
              <w:t>方案</w:t>
            </w:r>
          </w:p>
          <w:p w14:paraId="6389C2A3">
            <w:pPr>
              <w:spacing w:line="180" w:lineRule="atLeast"/>
              <w:jc w:val="center"/>
              <w:rPr>
                <w:rFonts w:hint="default"/>
                <w:color w:val="auto"/>
                <w:highlight w:val="none"/>
                <w:lang w:val="en-US" w:eastAsia="zh-CN"/>
              </w:rPr>
            </w:pPr>
            <w:r>
              <w:rPr>
                <w:rFonts w:hint="default"/>
                <w:b/>
                <w:bCs/>
                <w:color w:val="auto"/>
                <w:highlight w:val="none"/>
                <w:lang w:val="en-US" w:eastAsia="zh-CN"/>
              </w:rPr>
              <w:t>（25分）</w:t>
            </w:r>
          </w:p>
        </w:tc>
        <w:tc>
          <w:tcPr>
            <w:tcW w:w="6345" w:type="dxa"/>
            <w:vAlign w:val="top"/>
          </w:tcPr>
          <w:p w14:paraId="32597F58">
            <w:pPr>
              <w:spacing w:line="180" w:lineRule="atLeast"/>
              <w:jc w:val="left"/>
              <w:rPr>
                <w:rFonts w:hint="eastAsia" w:ascii="Times New Roman" w:hAnsi="Times New Roman" w:eastAsia="宋体" w:cs="Times New Roman"/>
                <w:b/>
                <w:bCs/>
                <w:color w:val="auto"/>
                <w:kern w:val="2"/>
                <w:sz w:val="21"/>
                <w:szCs w:val="21"/>
                <w:highlight w:val="none"/>
                <w:shd w:val="clear" w:color="auto" w:fill="auto"/>
                <w:lang w:val="en-US" w:eastAsia="zh-CN" w:bidi="ar-SA"/>
              </w:rPr>
            </w:pPr>
            <w:bookmarkStart w:id="50" w:name="OLE_LINK41"/>
            <w:r>
              <w:rPr>
                <w:rFonts w:hint="eastAsia" w:ascii="Times New Roman" w:hAnsi="Times New Roman" w:eastAsia="宋体" w:cs="Times New Roman"/>
                <w:b/>
                <w:bCs/>
                <w:color w:val="auto"/>
                <w:kern w:val="2"/>
                <w:sz w:val="21"/>
                <w:szCs w:val="21"/>
                <w:highlight w:val="none"/>
                <w:shd w:val="clear" w:color="auto" w:fill="auto"/>
                <w:lang w:val="en-US" w:eastAsia="zh-CN" w:bidi="ar-SA"/>
              </w:rPr>
              <w:t xml:space="preserve">供应商针对本项目提供详细的项目实施方案，内容包括但不限于： </w:t>
            </w:r>
          </w:p>
          <w:p w14:paraId="6C5CD59F">
            <w:pPr>
              <w:spacing w:line="180" w:lineRule="atLeast"/>
              <w:jc w:val="left"/>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①履约目标分析；②对被保险人的用户档案建立；③理赔、投诉等服务；</w:t>
            </w:r>
            <w:bookmarkStart w:id="51" w:name="OLE_LINK2"/>
            <w:r>
              <w:rPr>
                <w:rFonts w:hint="eastAsia" w:ascii="Times New Roman" w:hAnsi="Times New Roman" w:eastAsia="宋体" w:cs="Times New Roman"/>
                <w:b/>
                <w:bCs/>
                <w:color w:val="auto"/>
                <w:kern w:val="2"/>
                <w:sz w:val="21"/>
                <w:szCs w:val="21"/>
                <w:highlight w:val="none"/>
                <w:shd w:val="clear" w:color="auto" w:fill="auto"/>
                <w:lang w:val="en-US" w:eastAsia="zh-CN" w:bidi="ar-SA"/>
              </w:rPr>
              <w:t>④</w:t>
            </w:r>
            <w:bookmarkEnd w:id="51"/>
            <w:r>
              <w:rPr>
                <w:rFonts w:hint="eastAsia" w:ascii="Times New Roman" w:hAnsi="Times New Roman" w:eastAsia="宋体" w:cs="Times New Roman"/>
                <w:b/>
                <w:bCs/>
                <w:color w:val="auto"/>
                <w:kern w:val="2"/>
                <w:sz w:val="21"/>
                <w:szCs w:val="21"/>
                <w:highlight w:val="none"/>
                <w:shd w:val="clear" w:color="auto" w:fill="auto"/>
                <w:lang w:val="en-US" w:eastAsia="zh-CN" w:bidi="ar-SA"/>
              </w:rPr>
              <w:t>回溯分析；⑤资金运营风险分析；⑥接到出险报案后各阶段理赔响应时间；⑦核定赔付方案；⑧理赔流程方案及各项承诺；⑨保障能力及措施；⑩应急处理方案（涉及被保险人权益的突发事件、投诉处理）等相关实施内容，以上方案内容完整清晰明确且科学合理、可行性高具有针对性并满足采购需求的得 25分，每缺少一项内容，扣 2.5分，每有一处不具有针对性或逻辑性错误，不满足本项目要求的，扣 1.5分，扣完为止。</w:t>
            </w:r>
            <w:bookmarkEnd w:id="50"/>
          </w:p>
        </w:tc>
      </w:tr>
      <w:tr w14:paraId="62C7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5" w:type="dxa"/>
            <w:vMerge w:val="continue"/>
            <w:vAlign w:val="center"/>
          </w:tcPr>
          <w:p w14:paraId="42460143">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0DC9340E">
            <w:pPr>
              <w:pStyle w:val="10"/>
              <w:jc w:val="center"/>
              <w:rPr>
                <w:rFonts w:hint="default"/>
                <w:color w:val="auto"/>
                <w:highlight w:val="none"/>
                <w:lang w:val="en-US" w:eastAsia="zh-CN"/>
              </w:rPr>
            </w:pPr>
            <w:r>
              <w:rPr>
                <w:rFonts w:hint="default"/>
                <w:b/>
                <w:bCs/>
                <w:color w:val="auto"/>
                <w:highlight w:val="none"/>
                <w:lang w:val="en-US" w:eastAsia="zh-CN"/>
              </w:rPr>
              <w:t>理赔服务流程（20分）</w:t>
            </w:r>
          </w:p>
        </w:tc>
        <w:tc>
          <w:tcPr>
            <w:tcW w:w="6345" w:type="dxa"/>
            <w:vAlign w:val="top"/>
          </w:tcPr>
          <w:p w14:paraId="766118C1">
            <w:pPr>
              <w:spacing w:line="180" w:lineRule="atLeast"/>
              <w:jc w:val="left"/>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投标人提供完善、易于操作的理赔流程及时效（包括但不限于接听报案，现场查勘，定损理算，赔付结案等）；以上内容完整且完全满足项目需求得 20 分；每缺失一项内容扣 5 分，每项内容中每有一处内容缺陷扣2 分(缺陷是指：存在不适用项目实际情况的情形、凭空编造、内容前后不一致、前后逻辑错误、涉及的规范及标准错误、地点区域错误、内容遗漏、不符合采购需求等)，扣完为止。</w:t>
            </w:r>
          </w:p>
        </w:tc>
      </w:tr>
      <w:tr w14:paraId="7DB36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5" w:type="dxa"/>
            <w:vMerge w:val="continue"/>
            <w:vAlign w:val="center"/>
          </w:tcPr>
          <w:p w14:paraId="4EEEFB5C">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56D4B5B6">
            <w:pPr>
              <w:pStyle w:val="10"/>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bookmarkStart w:id="52" w:name="OLE_LINK46"/>
            <w:r>
              <w:rPr>
                <w:rFonts w:hint="eastAsia" w:ascii="Times New Roman" w:hAnsi="Times New Roman" w:eastAsia="宋体" w:cs="Times New Roman"/>
                <w:b/>
                <w:bCs/>
                <w:color w:val="auto"/>
                <w:kern w:val="2"/>
                <w:sz w:val="21"/>
                <w:szCs w:val="21"/>
                <w:highlight w:val="none"/>
                <w:shd w:val="clear" w:color="auto" w:fill="auto"/>
                <w:lang w:val="en-US" w:eastAsia="zh-CN" w:bidi="ar-SA"/>
              </w:rPr>
              <w:t>理赔承诺</w:t>
            </w:r>
          </w:p>
          <w:p w14:paraId="4E61E664">
            <w:pPr>
              <w:pStyle w:val="10"/>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（8分）</w:t>
            </w:r>
            <w:bookmarkEnd w:id="52"/>
          </w:p>
        </w:tc>
        <w:tc>
          <w:tcPr>
            <w:tcW w:w="6345" w:type="dxa"/>
            <w:vAlign w:val="top"/>
          </w:tcPr>
          <w:p w14:paraId="139C5D4B">
            <w:pPr>
              <w:numPr>
                <w:ilvl w:val="0"/>
                <w:numId w:val="0"/>
              </w:numPr>
              <w:spacing w:line="180" w:lineRule="atLeast"/>
              <w:jc w:val="left"/>
              <w:rPr>
                <w:rFonts w:hint="default"/>
                <w:b/>
                <w:bCs/>
                <w:highlight w:val="none"/>
                <w:lang w:val="en-US" w:eastAsia="zh-CN"/>
              </w:rPr>
            </w:pPr>
            <w:r>
              <w:rPr>
                <w:rFonts w:hint="default"/>
                <w:b/>
                <w:bCs/>
                <w:highlight w:val="none"/>
                <w:lang w:val="en-US" w:eastAsia="zh-CN"/>
              </w:rPr>
              <w:t xml:space="preserve">（1）针对本项目成立专门的理赔服务小组（须提供花名册，不提供不得分），满足条件者得 3 分，其它不得分。 </w:t>
            </w:r>
          </w:p>
          <w:p w14:paraId="3690D160">
            <w:pPr>
              <w:numPr>
                <w:ilvl w:val="0"/>
                <w:numId w:val="0"/>
              </w:numPr>
              <w:spacing w:line="180" w:lineRule="atLeast"/>
              <w:jc w:val="left"/>
              <w:rPr>
                <w:rFonts w:hint="default"/>
                <w:highlight w:val="none"/>
                <w:lang w:val="en-US" w:eastAsia="zh-CN"/>
              </w:rPr>
            </w:pPr>
            <w:r>
              <w:rPr>
                <w:rFonts w:hint="default"/>
                <w:b/>
                <w:bCs/>
                <w:highlight w:val="none"/>
                <w:lang w:val="en-US" w:eastAsia="zh-CN"/>
              </w:rPr>
              <w:t>（2）预付赔款：估损人民币在 10 万元以上的赔案，承诺在未结案前可先预付已能确认金额的 50 %者得 5 分，每减少 10% 扣 1 分，扣完为止；</w:t>
            </w:r>
          </w:p>
        </w:tc>
      </w:tr>
      <w:tr w14:paraId="60AA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5" w:type="dxa"/>
            <w:vAlign w:val="center"/>
          </w:tcPr>
          <w:p w14:paraId="2435AA37">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199D2AF4">
            <w:pPr>
              <w:pStyle w:val="10"/>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bookmarkStart w:id="53" w:name="OLE_LINK48"/>
            <w:r>
              <w:rPr>
                <w:rFonts w:hint="eastAsia" w:ascii="Times New Roman" w:hAnsi="Times New Roman" w:eastAsia="宋体" w:cs="Times New Roman"/>
                <w:b/>
                <w:bCs/>
                <w:color w:val="auto"/>
                <w:kern w:val="2"/>
                <w:sz w:val="21"/>
                <w:szCs w:val="21"/>
                <w:highlight w:val="none"/>
                <w:shd w:val="clear" w:color="auto" w:fill="auto"/>
                <w:lang w:val="en-US" w:eastAsia="zh-CN" w:bidi="ar-SA"/>
              </w:rPr>
              <w:t>应急方案</w:t>
            </w:r>
          </w:p>
          <w:p w14:paraId="42EF56F3">
            <w:pPr>
              <w:pStyle w:val="10"/>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（6分）</w:t>
            </w:r>
            <w:bookmarkEnd w:id="53"/>
          </w:p>
        </w:tc>
        <w:tc>
          <w:tcPr>
            <w:tcW w:w="6345" w:type="dxa"/>
            <w:vAlign w:val="top"/>
          </w:tcPr>
          <w:p w14:paraId="1CFE61D9">
            <w:pPr>
              <w:numPr>
                <w:ilvl w:val="0"/>
                <w:numId w:val="0"/>
              </w:numPr>
              <w:spacing w:line="180" w:lineRule="atLeast"/>
              <w:jc w:val="left"/>
              <w:rPr>
                <w:rFonts w:hint="eastAsia" w:cs="Times New Roman"/>
                <w:b/>
                <w:bCs/>
                <w:color w:val="auto"/>
                <w:kern w:val="2"/>
                <w:sz w:val="21"/>
                <w:szCs w:val="21"/>
                <w:highlight w:val="none"/>
                <w:shd w:val="clear" w:color="auto" w:fill="auto"/>
                <w:lang w:val="en-US" w:eastAsia="zh-CN" w:bidi="ar-SA"/>
              </w:rPr>
            </w:pPr>
            <w:bookmarkStart w:id="54" w:name="OLE_LINK49"/>
            <w:r>
              <w:rPr>
                <w:rFonts w:hint="eastAsia" w:cs="Times New Roman"/>
                <w:b/>
                <w:bCs/>
                <w:color w:val="auto"/>
                <w:kern w:val="2"/>
                <w:sz w:val="21"/>
                <w:szCs w:val="21"/>
                <w:highlight w:val="none"/>
                <w:shd w:val="clear" w:color="auto" w:fill="auto"/>
                <w:lang w:val="en-US" w:eastAsia="zh-CN" w:bidi="ar-SA"/>
              </w:rPr>
              <w:t>应急方案包括但不限于：①突发情况的处理能力；②人员的调配；③保障及应急响应服务等内容。方案内容完整清晰明确且科学合理、可行性高</w:t>
            </w:r>
          </w:p>
          <w:p w14:paraId="1D98119B">
            <w:pPr>
              <w:numPr>
                <w:ilvl w:val="0"/>
                <w:numId w:val="0"/>
              </w:numPr>
              <w:spacing w:line="180" w:lineRule="atLeast"/>
              <w:jc w:val="left"/>
              <w:rPr>
                <w:rFonts w:hint="eastAsia" w:cs="Times New Roman"/>
                <w:b/>
                <w:bCs/>
                <w:color w:val="auto"/>
                <w:kern w:val="2"/>
                <w:sz w:val="21"/>
                <w:szCs w:val="21"/>
                <w:highlight w:val="none"/>
                <w:shd w:val="clear" w:color="auto" w:fill="auto"/>
                <w:lang w:val="en-US" w:eastAsia="zh-CN" w:bidi="ar-SA"/>
              </w:rPr>
            </w:pPr>
            <w:r>
              <w:rPr>
                <w:rFonts w:hint="eastAsia" w:cs="Times New Roman"/>
                <w:b/>
                <w:bCs/>
                <w:color w:val="auto"/>
                <w:kern w:val="2"/>
                <w:sz w:val="21"/>
                <w:szCs w:val="21"/>
                <w:highlight w:val="none"/>
                <w:shd w:val="clear" w:color="auto" w:fill="auto"/>
                <w:lang w:val="en-US" w:eastAsia="zh-CN" w:bidi="ar-SA"/>
              </w:rPr>
              <w:t>具有针对性并满足采购需求的得 6分，每缺少一项内容，扣 2分，每有一处不具有针对性或逻辑性错误，不满足本项目要求的，扣 1分，扣完为止。</w:t>
            </w:r>
            <w:bookmarkEnd w:id="54"/>
          </w:p>
        </w:tc>
      </w:tr>
      <w:tr w14:paraId="6725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925" w:type="dxa"/>
            <w:vAlign w:val="center"/>
          </w:tcPr>
          <w:p w14:paraId="05B5243D">
            <w:pPr>
              <w:spacing w:line="180" w:lineRule="atLeast"/>
              <w:jc w:val="center"/>
              <w:rPr>
                <w:rFonts w:hint="eastAsia" w:ascii="Times New Roman" w:hAnsi="Times New Roman" w:eastAsia="宋体" w:cs="Times New Roman"/>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1385" w:type="dxa"/>
            <w:vAlign w:val="center"/>
          </w:tcPr>
          <w:p w14:paraId="7ADD8529">
            <w:pPr>
              <w:pStyle w:val="10"/>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bookmarkStart w:id="55" w:name="OLE_LINK50"/>
            <w:r>
              <w:rPr>
                <w:rFonts w:hint="eastAsia" w:ascii="Times New Roman" w:hAnsi="Times New Roman" w:eastAsia="宋体" w:cs="Times New Roman"/>
                <w:b/>
                <w:bCs/>
                <w:color w:val="auto"/>
                <w:kern w:val="2"/>
                <w:sz w:val="21"/>
                <w:szCs w:val="21"/>
                <w:highlight w:val="none"/>
                <w:shd w:val="clear" w:color="auto" w:fill="auto"/>
                <w:lang w:val="en-US" w:eastAsia="zh-CN" w:bidi="ar-SA"/>
              </w:rPr>
              <w:t>增值服务</w:t>
            </w:r>
          </w:p>
          <w:p w14:paraId="36B4C1D5">
            <w:pPr>
              <w:pStyle w:val="10"/>
              <w:jc w:val="center"/>
              <w:rPr>
                <w:rFonts w:hint="eastAsia" w:ascii="Times New Roman" w:hAnsi="Times New Roman" w:eastAsia="宋体" w:cs="Times New Roman"/>
                <w:b/>
                <w:bCs/>
                <w:color w:val="auto"/>
                <w:kern w:val="2"/>
                <w:sz w:val="21"/>
                <w:szCs w:val="21"/>
                <w:highlight w:val="none"/>
                <w:shd w:val="clear" w:color="auto" w:fill="auto"/>
                <w:lang w:val="en-US" w:eastAsia="zh-CN" w:bidi="ar-SA"/>
              </w:rPr>
            </w:pPr>
            <w:r>
              <w:rPr>
                <w:rFonts w:hint="eastAsia" w:ascii="Times New Roman" w:hAnsi="Times New Roman" w:eastAsia="宋体" w:cs="Times New Roman"/>
                <w:b/>
                <w:bCs/>
                <w:color w:val="auto"/>
                <w:kern w:val="2"/>
                <w:sz w:val="21"/>
                <w:szCs w:val="21"/>
                <w:highlight w:val="none"/>
                <w:shd w:val="clear" w:color="auto" w:fill="auto"/>
                <w:lang w:val="en-US" w:eastAsia="zh-CN" w:bidi="ar-SA"/>
              </w:rPr>
              <w:t xml:space="preserve"> (6分)</w:t>
            </w:r>
            <w:bookmarkEnd w:id="55"/>
          </w:p>
        </w:tc>
        <w:tc>
          <w:tcPr>
            <w:tcW w:w="6345" w:type="dxa"/>
            <w:vAlign w:val="top"/>
          </w:tcPr>
          <w:p w14:paraId="5C25BF84">
            <w:pPr>
              <w:numPr>
                <w:ilvl w:val="0"/>
                <w:numId w:val="0"/>
              </w:numPr>
              <w:spacing w:line="180" w:lineRule="atLeast"/>
              <w:jc w:val="left"/>
              <w:rPr>
                <w:rFonts w:hint="eastAsia" w:cs="Times New Roman"/>
                <w:b/>
                <w:bCs/>
                <w:color w:val="auto"/>
                <w:kern w:val="2"/>
                <w:sz w:val="21"/>
                <w:szCs w:val="21"/>
                <w:highlight w:val="none"/>
                <w:shd w:val="clear" w:color="auto" w:fill="auto"/>
                <w:lang w:val="en-US" w:eastAsia="zh-CN" w:bidi="ar-SA"/>
              </w:rPr>
            </w:pPr>
            <w:r>
              <w:rPr>
                <w:rFonts w:hint="eastAsia" w:cs="Times New Roman"/>
                <w:b/>
                <w:bCs/>
                <w:color w:val="auto"/>
                <w:kern w:val="2"/>
                <w:sz w:val="21"/>
                <w:szCs w:val="21"/>
                <w:highlight w:val="none"/>
                <w:shd w:val="clear" w:color="auto" w:fill="auto"/>
                <w:lang w:val="en-US" w:eastAsia="zh-CN" w:bidi="ar-SA"/>
              </w:rPr>
              <w:t>根据供应商在服务承诺基础上提供增值服务方案进行综合评价：增值服务方案内容详尽、合理、措施具体完整、可操作性强，有利于项目需求，得6分； 每缺失一项内容扣1分，每项内容中每有一处内容缺陷扣0.5分(缺陷是指：存在不适用项目实际情况的情形、凭空编造、内容前后不一致、前后逻辑错误、涉及的规范及标准错误、地点区域错误、内容遗漏、不符合采购需求等)，扣完为止。</w:t>
            </w:r>
          </w:p>
        </w:tc>
      </w:tr>
      <w:tr w14:paraId="2B11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10" w:type="dxa"/>
            <w:gridSpan w:val="2"/>
            <w:vAlign w:val="center"/>
          </w:tcPr>
          <w:p w14:paraId="58E2ADBA">
            <w:pPr>
              <w:pStyle w:val="10"/>
              <w:jc w:val="center"/>
              <w:rPr>
                <w:rFonts w:hint="default" w:ascii="Times New Roman" w:hAnsi="Times New Roman" w:eastAsia="宋体" w:cs="Times New Roman"/>
                <w:b/>
                <w:bCs/>
                <w:color w:val="auto"/>
                <w:kern w:val="2"/>
                <w:sz w:val="21"/>
                <w:szCs w:val="21"/>
                <w:highlight w:val="none"/>
                <w:shd w:val="clear" w:color="auto" w:fill="auto"/>
                <w:lang w:val="en-US" w:eastAsia="zh-CN" w:bidi="ar-SA"/>
              </w:rPr>
            </w:pPr>
            <w:r>
              <w:rPr>
                <w:rFonts w:hint="eastAsia" w:cs="Times New Roman"/>
                <w:b/>
                <w:bCs/>
                <w:color w:val="auto"/>
                <w:kern w:val="2"/>
                <w:sz w:val="21"/>
                <w:szCs w:val="21"/>
                <w:highlight w:val="none"/>
                <w:shd w:val="clear" w:color="auto" w:fill="auto"/>
                <w:lang w:val="en-US" w:eastAsia="zh-CN" w:bidi="ar-SA"/>
              </w:rPr>
              <w:t>合计100分</w:t>
            </w:r>
          </w:p>
        </w:tc>
        <w:tc>
          <w:tcPr>
            <w:tcW w:w="6345" w:type="dxa"/>
            <w:vAlign w:val="top"/>
          </w:tcPr>
          <w:p w14:paraId="1BF67691">
            <w:pPr>
              <w:numPr>
                <w:ilvl w:val="0"/>
                <w:numId w:val="0"/>
              </w:numPr>
              <w:spacing w:line="180" w:lineRule="atLeast"/>
              <w:jc w:val="left"/>
              <w:rPr>
                <w:rFonts w:hint="eastAsia" w:cs="Times New Roman"/>
                <w:b/>
                <w:bCs/>
                <w:color w:val="auto"/>
                <w:kern w:val="2"/>
                <w:sz w:val="21"/>
                <w:szCs w:val="21"/>
                <w:highlight w:val="none"/>
                <w:shd w:val="clear" w:color="auto" w:fill="auto"/>
                <w:lang w:val="en-US" w:eastAsia="zh-CN" w:bidi="ar-SA"/>
              </w:rPr>
            </w:pPr>
          </w:p>
        </w:tc>
      </w:tr>
    </w:tbl>
    <w:p w14:paraId="5FEA56D2">
      <w:pPr>
        <w:shd w:val="clear" w:color="auto" w:fill="auto"/>
        <w:snapToGrid w:val="0"/>
        <w:spacing w:line="400" w:lineRule="exact"/>
        <w:jc w:val="left"/>
        <w:rPr>
          <w:rFonts w:hint="eastAsia" w:ascii="宋体" w:hAnsi="宋体" w:eastAsia="宋体" w:cs="宋体"/>
          <w:color w:val="auto"/>
          <w:szCs w:val="21"/>
          <w:highlight w:val="none"/>
          <w:lang w:val="en-US" w:eastAsia="zh-CN"/>
        </w:rPr>
      </w:pPr>
    </w:p>
    <w:p w14:paraId="3978985D">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备注:</w:t>
      </w:r>
    </w:p>
    <w:p w14:paraId="6B8536D2">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1、根据财库〔2026〕2号</w:t>
      </w:r>
      <w:r>
        <w:rPr>
          <w:rFonts w:hint="eastAsia" w:ascii="宋体" w:hAnsi="宋体" w:cs="宋体"/>
          <w:color w:val="auto"/>
          <w:szCs w:val="21"/>
          <w:highlight w:val="none"/>
          <w:lang w:val="en-US" w:eastAsia="zh-CN"/>
        </w:rPr>
        <w:t>第二条</w:t>
      </w:r>
      <w:r>
        <w:rPr>
          <w:rFonts w:hint="eastAsia" w:ascii="宋体" w:hAnsi="宋体" w:eastAsia="宋体" w:cs="宋体"/>
          <w:color w:val="auto"/>
          <w:szCs w:val="21"/>
          <w:highlight w:val="none"/>
          <w:lang w:val="en-US" w:eastAsia="zh-CN"/>
        </w:rPr>
        <w:t>：（一）采购人应当在采购文件中明确，政府采购评审中出现下列情形之一的，评审委员会应当启动异常低价投标（响应）审查程序：</w:t>
      </w:r>
    </w:p>
    <w:p w14:paraId="23984667">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2C74A9C">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77E4FC37">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374E3593">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4.评审委员会基于专业判断，认为供应商报价过低，有可能影响产品质量或者不能诚信履约的其他情形。</w:t>
      </w:r>
    </w:p>
    <w:p w14:paraId="67B2F8C3">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采购人可以结合具体项目实际情况，提高上述第1项至第3项中启动异常低价投标（响应）审查的数值标准，但是最高不得超过65%。</w:t>
      </w:r>
    </w:p>
    <w:p w14:paraId="5C100FD7">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相关法律法规对供应商报价有规定的，从其规定。</w:t>
      </w:r>
    </w:p>
    <w:p w14:paraId="1E556605">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65F83B8">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2、供应商在评标过程中，所进行的力图影响评标结果的不符合招标规则的活动，可能导致其被取消中标资格。</w:t>
      </w:r>
    </w:p>
    <w:p w14:paraId="6E22EECA">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3、与招标文件有重大偏离的投标文件将被拒绝。</w:t>
      </w:r>
    </w:p>
    <w:p w14:paraId="587935DE">
      <w:pPr>
        <w:shd w:val="clear" w:color="auto" w:fill="auto"/>
        <w:snapToGrid w:val="0"/>
        <w:spacing w:line="400" w:lineRule="exact"/>
        <w:ind w:firstLine="426"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w:t>
      </w:r>
      <w:r>
        <w:rPr>
          <w:rFonts w:hint="eastAsia" w:ascii="宋体" w:hAnsi="宋体" w:eastAsia="宋体" w:cs="宋体"/>
          <w:color w:val="0000FF"/>
          <w:szCs w:val="21"/>
          <w:highlight w:val="none"/>
          <w:lang w:val="en-US" w:eastAsia="zh-CN"/>
        </w:rPr>
        <w:t>报价得分=(评标基准价／评标价格)×</w:t>
      </w:r>
      <w:r>
        <w:rPr>
          <w:rFonts w:hint="eastAsia" w:ascii="宋体" w:hAnsi="宋体" w:cs="宋体"/>
          <w:color w:val="0000FF"/>
          <w:szCs w:val="21"/>
          <w:highlight w:val="none"/>
          <w:lang w:val="en-US" w:eastAsia="zh-CN"/>
        </w:rPr>
        <w:t>15%</w:t>
      </w:r>
      <w:r>
        <w:rPr>
          <w:rFonts w:hint="eastAsia" w:ascii="宋体" w:hAnsi="宋体" w:eastAsia="宋体" w:cs="宋体"/>
          <w:color w:val="0000FF"/>
          <w:szCs w:val="21"/>
          <w:highlight w:val="none"/>
          <w:lang w:val="en-US" w:eastAsia="zh-CN"/>
        </w:rPr>
        <w:t>×100</w:t>
      </w:r>
    </w:p>
    <w:p w14:paraId="0F8861B0">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14:paraId="0C0D5278">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5、最低报价不作为评标的唯一依据。采购人不承诺将合同授予报价最低的投标人。</w:t>
      </w:r>
    </w:p>
    <w:p w14:paraId="3A483E4F">
      <w:pPr>
        <w:shd w:val="clear" w:color="auto" w:fill="auto"/>
        <w:snapToGrid w:val="0"/>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6、经评标委员会评议，认为投标报价过高、超出采购人预算的项目，可以不确立中标人，做为废标处理。</w:t>
      </w:r>
    </w:p>
    <w:p w14:paraId="0AB428BE">
      <w:pPr>
        <w:shd w:val="clear" w:color="auto" w:fill="auto"/>
        <w:spacing w:before="156" w:beforeLines="50" w:line="400" w:lineRule="exact"/>
        <w:jc w:val="center"/>
        <w:outlineLvl w:val="1"/>
        <w:rPr>
          <w:rFonts w:hint="eastAsia" w:ascii="宋体"/>
          <w:b w:val="0"/>
          <w:bCs/>
          <w:color w:val="auto"/>
          <w:sz w:val="24"/>
          <w:highlight w:val="none"/>
        </w:rPr>
      </w:pPr>
      <w:r>
        <w:rPr>
          <w:rFonts w:hint="eastAsia" w:ascii="宋体"/>
          <w:b w:val="0"/>
          <w:bCs/>
          <w:color w:val="auto"/>
          <w:sz w:val="24"/>
          <w:highlight w:val="none"/>
        </w:rPr>
        <w:t>五</w:t>
      </w:r>
      <w:r>
        <w:rPr>
          <w:rFonts w:hint="eastAsia" w:ascii="宋体"/>
          <w:b w:val="0"/>
          <w:bCs/>
          <w:color w:val="auto"/>
          <w:sz w:val="24"/>
          <w:highlight w:val="none"/>
          <w:lang w:val="en-US" w:eastAsia="zh-CN"/>
        </w:rPr>
        <w:t xml:space="preserve"> </w:t>
      </w:r>
      <w:r>
        <w:rPr>
          <w:rFonts w:hint="eastAsia" w:ascii="宋体"/>
          <w:b w:val="0"/>
          <w:bCs/>
          <w:color w:val="auto"/>
          <w:sz w:val="24"/>
          <w:highlight w:val="none"/>
        </w:rPr>
        <w:t>推荐中标候选人</w:t>
      </w:r>
    </w:p>
    <w:p w14:paraId="1503C321">
      <w:pPr>
        <w:shd w:val="clear" w:color="auto" w:fill="auto"/>
        <w:snapToGrid w:val="0"/>
        <w:spacing w:line="400" w:lineRule="exact"/>
        <w:ind w:firstLine="426" w:firstLineChars="200"/>
        <w:rPr>
          <w:rFonts w:hint="eastAsia" w:ascii="宋体"/>
          <w:b w:val="0"/>
          <w:bCs/>
          <w:color w:val="auto"/>
          <w:szCs w:val="21"/>
          <w:highlight w:val="none"/>
        </w:rPr>
      </w:pPr>
      <w:r>
        <w:rPr>
          <w:rFonts w:hint="eastAsia" w:ascii="宋体"/>
          <w:b w:val="0"/>
          <w:bCs/>
          <w:color w:val="auto"/>
          <w:szCs w:val="21"/>
          <w:highlight w:val="none"/>
          <w:lang w:val="en-US" w:eastAsia="zh-CN"/>
        </w:rPr>
        <w:t>11.1</w:t>
      </w:r>
      <w:r>
        <w:rPr>
          <w:rFonts w:hint="eastAsia" w:ascii="宋体" w:hAnsi="宋体"/>
          <w:b w:val="0"/>
          <w:bCs/>
          <w:color w:val="auto"/>
          <w:szCs w:val="21"/>
          <w:highlight w:val="none"/>
        </w:rPr>
        <w:t>评标委员会推荐</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名中标候选人，并标明排序。</w:t>
      </w:r>
    </w:p>
    <w:p w14:paraId="56F900C6">
      <w:pPr>
        <w:shd w:val="clear" w:color="auto" w:fill="auto"/>
        <w:spacing w:line="400" w:lineRule="exact"/>
        <w:ind w:firstLine="416" w:firstLineChars="196"/>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11.2</w:t>
      </w:r>
      <w:r>
        <w:rPr>
          <w:rFonts w:hint="eastAsia" w:ascii="宋体" w:hAnsi="宋体"/>
          <w:b w:val="0"/>
          <w:bCs/>
          <w:color w:val="auto"/>
          <w:szCs w:val="21"/>
          <w:highlight w:val="none"/>
        </w:rPr>
        <w:t>如出现报价相同情况，则由招标人现场抽签确定中标候选人排名顺序。</w:t>
      </w:r>
    </w:p>
    <w:p w14:paraId="3629ADB1">
      <w:pPr>
        <w:shd w:val="clear" w:color="auto" w:fill="auto"/>
        <w:snapToGrid w:val="0"/>
        <w:spacing w:line="400" w:lineRule="exact"/>
        <w:ind w:firstLine="426" w:firstLineChars="200"/>
        <w:rPr>
          <w:rFonts w:hint="eastAsia" w:ascii="宋体" w:hAnsi="宋体"/>
          <w:b w:val="0"/>
          <w:bCs/>
          <w:color w:val="auto"/>
          <w:szCs w:val="21"/>
          <w:highlight w:val="none"/>
        </w:rPr>
      </w:pPr>
      <w:r>
        <w:rPr>
          <w:rFonts w:hint="eastAsia" w:ascii="宋体" w:hAnsi="宋体"/>
          <w:b w:val="0"/>
          <w:bCs/>
          <w:color w:val="auto"/>
          <w:szCs w:val="21"/>
          <w:highlight w:val="none"/>
          <w:lang w:val="en-US" w:eastAsia="zh-CN"/>
        </w:rPr>
        <w:t>12.</w:t>
      </w:r>
      <w:r>
        <w:rPr>
          <w:rFonts w:hint="eastAsia" w:ascii="宋体" w:hAnsi="宋体"/>
          <w:b w:val="0"/>
          <w:bCs/>
          <w:color w:val="auto"/>
          <w:szCs w:val="21"/>
          <w:highlight w:val="none"/>
        </w:rPr>
        <w:t>无效投标条款</w:t>
      </w:r>
    </w:p>
    <w:p w14:paraId="09BA9C7A">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.1投标文件有下列情形之一的,其投标文件拒收:</w:t>
      </w:r>
    </w:p>
    <w:p w14:paraId="34E3206D">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w:t>
      </w:r>
      <w:r>
        <w:rPr>
          <w:rFonts w:hint="eastAsia" w:ascii="宋体" w:hAnsi="宋体" w:cs="宋体"/>
          <w:b w:val="0"/>
          <w:bCs/>
          <w:color w:val="auto"/>
          <w:szCs w:val="21"/>
          <w:highlight w:val="none"/>
        </w:rPr>
        <w:t>未在开标截止时间前通过网上招标投标系统递交有效电子投标文件的，开标系统不予接收。</w:t>
      </w:r>
    </w:p>
    <w:p w14:paraId="5E7B16A2">
      <w:pPr>
        <w:shd w:val="clear" w:color="auto" w:fill="auto"/>
        <w:snapToGrid w:val="0"/>
        <w:spacing w:line="400" w:lineRule="exact"/>
        <w:ind w:firstLine="426" w:firstLineChars="200"/>
        <w:jc w:val="left"/>
        <w:rPr>
          <w:rFonts w:hint="eastAsia" w:ascii="宋体" w:hAnsi="宋体"/>
          <w:b w:val="0"/>
          <w:bCs/>
          <w:color w:val="auto"/>
          <w:szCs w:val="21"/>
          <w:highlight w:val="none"/>
        </w:rPr>
      </w:pPr>
      <w:r>
        <w:rPr>
          <w:rFonts w:hint="eastAsia" w:ascii="宋体" w:hAnsi="宋体" w:cs="宋体"/>
          <w:b w:val="0"/>
          <w:bCs/>
          <w:color w:val="auto"/>
          <w:szCs w:val="21"/>
          <w:highlight w:val="none"/>
        </w:rPr>
        <w:t>（2）</w:t>
      </w:r>
      <w:r>
        <w:rPr>
          <w:rFonts w:hint="eastAsia" w:ascii="宋体" w:hAnsi="宋体"/>
          <w:b w:val="0"/>
          <w:bCs/>
          <w:color w:val="auto"/>
          <w:szCs w:val="21"/>
          <w:highlight w:val="none"/>
        </w:rPr>
        <w:t>所有投标人应在规定时间里完成投标文件的解密工作【投标人</w:t>
      </w:r>
      <w:r>
        <w:rPr>
          <w:rFonts w:hint="eastAsia" w:ascii="宋体" w:hAnsi="宋体"/>
          <w:b w:val="0"/>
          <w:bCs/>
          <w:color w:val="auto"/>
          <w:szCs w:val="21"/>
          <w:highlight w:val="none"/>
          <w:lang w:eastAsia="zh-CN"/>
        </w:rPr>
        <w:t>使用</w:t>
      </w:r>
      <w:r>
        <w:rPr>
          <w:rFonts w:hint="eastAsia" w:ascii="宋体" w:hAnsi="宋体"/>
          <w:b w:val="0"/>
          <w:bCs/>
          <w:color w:val="auto"/>
          <w:szCs w:val="21"/>
          <w:highlight w:val="none"/>
        </w:rPr>
        <w:t>其有效加密</w:t>
      </w:r>
    </w:p>
    <w:p w14:paraId="733F89D2">
      <w:pPr>
        <w:shd w:val="clear" w:color="auto" w:fill="auto"/>
        <w:snapToGrid w:val="0"/>
        <w:spacing w:line="400" w:lineRule="exact"/>
        <w:jc w:val="left"/>
        <w:rPr>
          <w:rFonts w:hint="eastAsia" w:ascii="宋体" w:hAnsi="宋体" w:cs="宋体"/>
          <w:b w:val="0"/>
          <w:bCs/>
          <w:color w:val="auto"/>
          <w:szCs w:val="21"/>
          <w:highlight w:val="none"/>
        </w:rPr>
      </w:pPr>
      <w:r>
        <w:rPr>
          <w:rFonts w:hint="eastAsia" w:ascii="宋体" w:hAnsi="宋体"/>
          <w:b w:val="0"/>
          <w:bCs/>
          <w:color w:val="auto"/>
          <w:szCs w:val="21"/>
          <w:highlight w:val="none"/>
        </w:rPr>
        <w:t>锁（CA锁）</w:t>
      </w:r>
      <w:r>
        <w:rPr>
          <w:rFonts w:hint="eastAsia" w:ascii="宋体" w:hAnsi="宋体"/>
          <w:b w:val="0"/>
          <w:bCs/>
          <w:color w:val="auto"/>
          <w:szCs w:val="21"/>
          <w:highlight w:val="none"/>
          <w:lang w:eastAsia="zh-CN"/>
        </w:rPr>
        <w:t>进行</w:t>
      </w:r>
      <w:r>
        <w:rPr>
          <w:rFonts w:hint="eastAsia" w:ascii="宋体" w:hAnsi="宋体"/>
          <w:b w:val="0"/>
          <w:bCs/>
          <w:color w:val="auto"/>
          <w:szCs w:val="21"/>
          <w:highlight w:val="none"/>
        </w:rPr>
        <w:t>解密（因投标人原因未能提供有效CA锁对其投标文件进行解密的，其投标文件按无效标处理），以网上招投标系统解密倒计时为准】，因系统原因未能成功解密的投标文件，可导入</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w:t>
      </w:r>
      <w:r>
        <w:rPr>
          <w:rFonts w:hint="eastAsia" w:ascii="宋体" w:hAnsi="宋体"/>
          <w:b w:val="0"/>
          <w:bCs/>
          <w:color w:val="auto"/>
          <w:szCs w:val="21"/>
          <w:highlight w:val="none"/>
          <w:lang w:eastAsia="zh-CN"/>
        </w:rPr>
        <w:t>备份投标文件</w:t>
      </w:r>
      <w:r>
        <w:rPr>
          <w:rFonts w:hint="eastAsia" w:ascii="宋体" w:hAnsi="宋体"/>
          <w:b w:val="0"/>
          <w:bCs/>
          <w:color w:val="auto"/>
          <w:szCs w:val="21"/>
          <w:highlight w:val="none"/>
        </w:rPr>
        <w:t>也无法导入的，则投标文件被否决。</w:t>
      </w:r>
    </w:p>
    <w:p w14:paraId="6CC9507B">
      <w:pPr>
        <w:shd w:val="clear" w:color="auto" w:fill="auto"/>
        <w:snapToGrid w:val="0"/>
        <w:spacing w:line="400" w:lineRule="exact"/>
        <w:rPr>
          <w:rFonts w:hint="eastAsia" w:ascii="宋体" w:hAnsi="宋体" w:cs="宋体"/>
          <w:b w:val="0"/>
          <w:bCs/>
          <w:color w:val="auto"/>
          <w:szCs w:val="21"/>
          <w:highlight w:val="none"/>
        </w:rPr>
      </w:pPr>
      <w:r>
        <w:rPr>
          <w:rFonts w:hint="eastAsia" w:ascii="宋体" w:hAnsi="宋体" w:cs="宋体"/>
          <w:b w:val="0"/>
          <w:bCs/>
          <w:color w:val="auto"/>
          <w:szCs w:val="21"/>
          <w:highlight w:val="none"/>
        </w:rPr>
        <w:t xml:space="preserve">  </w:t>
      </w: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.2投标人有下列情形之一的,资格审查后其投标作无效投标处理：</w:t>
      </w:r>
    </w:p>
    <w:p w14:paraId="10BF76B1">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(1)法定代表人参加开标会议未携带有效的法定代表人身份证明原件和本人身份证的；委托代理人参加开标会议未携带有效的法定代表人授权书和本人身份证；</w:t>
      </w:r>
    </w:p>
    <w:p w14:paraId="50A533CA">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(2)投标人为本项目提供招标代理服务的；</w:t>
      </w:r>
    </w:p>
    <w:p w14:paraId="4821CEBD">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(3)投标人与在本项目代理机构存在相互任职或工作的；</w:t>
      </w:r>
    </w:p>
    <w:p w14:paraId="1129E57D">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(4)投标保证金未按规定要求缴纳的；</w:t>
      </w:r>
    </w:p>
    <w:p w14:paraId="3A37C736">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(5)</w:t>
      </w:r>
      <w:r>
        <w:rPr>
          <w:rFonts w:hint="eastAsia" w:ascii="宋体" w:hAnsi="宋体"/>
          <w:b w:val="0"/>
          <w:bCs/>
          <w:color w:val="auto"/>
          <w:szCs w:val="21"/>
          <w:highlight w:val="none"/>
        </w:rPr>
        <w:t>评标专家无法查看并检验电子标书中相关资料的；</w:t>
      </w:r>
    </w:p>
    <w:p w14:paraId="7528B5EE">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(6)投标人超出营业范围投标的；</w:t>
      </w:r>
    </w:p>
    <w:p w14:paraId="5249C99A">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(7)联合体投标未提交联合体协议的；</w:t>
      </w:r>
    </w:p>
    <w:p w14:paraId="708BBF08">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(8)被暂停营业的；</w:t>
      </w:r>
    </w:p>
    <w:p w14:paraId="01DE1F96">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(9)被暂停或取消投标资格的；</w:t>
      </w:r>
    </w:p>
    <w:p w14:paraId="0A93B2DD">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(10)财产被接管或冻结的；</w:t>
      </w:r>
    </w:p>
    <w:p w14:paraId="354B0EA7">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(11)投标人单位负责人为同一人或者存在控股、管理关系的不同单位的；</w:t>
      </w:r>
    </w:p>
    <w:p w14:paraId="704FC4D3">
      <w:pPr>
        <w:shd w:val="clear" w:color="auto" w:fill="auto"/>
        <w:snapToGrid w:val="0"/>
        <w:spacing w:line="400" w:lineRule="exact"/>
        <w:ind w:firstLine="319" w:firstLineChars="150"/>
        <w:jc w:val="left"/>
        <w:rPr>
          <w:rFonts w:hint="eastAsia" w:ascii="宋体" w:hAnsi="宋体" w:cs="宋体"/>
          <w:b w:val="0"/>
          <w:bCs/>
          <w:color w:val="auto"/>
          <w:szCs w:val="21"/>
          <w:highlight w:val="none"/>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12</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rPr>
        <w:t>投</w:t>
      </w:r>
      <w:r>
        <w:rPr>
          <w:rFonts w:hint="eastAsia" w:ascii="宋体" w:hAnsi="宋体" w:cs="宋体"/>
          <w:b w:val="0"/>
          <w:bCs/>
          <w:color w:val="auto"/>
          <w:szCs w:val="21"/>
          <w:highlight w:val="none"/>
        </w:rPr>
        <w:t>标人基本资格条件和特定资格条件中有一项及以上不符合要求的；</w:t>
      </w:r>
    </w:p>
    <w:p w14:paraId="4DB244C3">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（13）投标人使用相同的MAC地址进行报名的；</w:t>
      </w:r>
    </w:p>
    <w:p w14:paraId="07854DAC">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（14）其它情形，经评标委员会委提出按无效投标处理，并经公共资源交易监督部门核准的；</w:t>
      </w:r>
    </w:p>
    <w:p w14:paraId="3BBEA6C9">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（15）投标人使用相同IP地址报名的，一经发现，监管部门将进一步核实，查实后按串通投标处理；</w:t>
      </w:r>
    </w:p>
    <w:p w14:paraId="2BB2E1D3">
      <w:pPr>
        <w:shd w:val="clear" w:color="auto" w:fill="auto"/>
        <w:snapToGrid w:val="0"/>
        <w:spacing w:line="400" w:lineRule="exact"/>
        <w:ind w:firstLine="426"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w:t>
      </w:r>
      <w:r>
        <w:rPr>
          <w:rFonts w:hint="eastAsia" w:ascii="宋体" w:hAnsi="宋体" w:cs="宋体"/>
          <w:b w:val="0"/>
          <w:bCs/>
          <w:color w:val="auto"/>
          <w:szCs w:val="21"/>
          <w:highlight w:val="none"/>
          <w:lang w:eastAsia="zh-CN"/>
        </w:rPr>
        <w:t>采购文件</w:t>
      </w:r>
      <w:r>
        <w:rPr>
          <w:rFonts w:hint="eastAsia" w:ascii="宋体" w:hAnsi="宋体" w:cs="宋体"/>
          <w:b w:val="0"/>
          <w:bCs/>
          <w:color w:val="auto"/>
          <w:szCs w:val="21"/>
          <w:highlight w:val="none"/>
        </w:rPr>
        <w:t>规定的其它无效投标情形。</w:t>
      </w:r>
    </w:p>
    <w:p w14:paraId="2A8A6F9B">
      <w:pPr>
        <w:shd w:val="clear" w:color="auto" w:fill="auto"/>
        <w:snapToGrid w:val="0"/>
        <w:spacing w:line="400" w:lineRule="exact"/>
        <w:ind w:firstLine="426" w:firstLineChars="2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lang w:val="en-US" w:eastAsia="zh-CN"/>
        </w:rPr>
        <w:t>12</w:t>
      </w:r>
      <w:r>
        <w:rPr>
          <w:rFonts w:hint="eastAsia" w:ascii="宋体" w:hAnsi="宋体" w:cs="宋体"/>
          <w:b w:val="0"/>
          <w:bCs/>
          <w:color w:val="auto"/>
          <w:szCs w:val="21"/>
          <w:highlight w:val="none"/>
        </w:rPr>
        <w:t>.3 投标人有下列情形之一的,符合性审查后其投标按无效投标处理：</w:t>
      </w:r>
    </w:p>
    <w:p w14:paraId="3D8F8366">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(1)投标文件签字、盖章不全，经评标委员会一致认定对开评标内容有实质性影响并经监督部门核准的；</w:t>
      </w:r>
    </w:p>
    <w:p w14:paraId="299AB998">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rPr>
        <w:t>)未按规定的格式填写，实质性内容不全或关键字迹模糊、无法辨认; 经监督部门核准的；</w:t>
      </w:r>
    </w:p>
    <w:p w14:paraId="48E68A40">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rPr>
        <w:t>)同一投标人提交两个以上不同的投标文件或者投标报价，但</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规定提交备选方案的除外；</w:t>
      </w:r>
    </w:p>
    <w:p w14:paraId="6EEDB3EB">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rPr>
        <w:t>)投标文件没有对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的实质性要求和条件作出响应;</w:t>
      </w:r>
    </w:p>
    <w:p w14:paraId="0A2E953D">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rPr>
        <w:t>)投标报价超出规定的投标限价或公布的采购预算的；注：投标人的投标报价各项单价均不得高于</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给定的单价最高限价，否则，其投标文件将按无效投标处理。</w:t>
      </w:r>
    </w:p>
    <w:p w14:paraId="3B4123C0">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)不按评标委员会要求澄清、说明或补正的，或者评标委员会根据</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的规定对</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的计算错误进行修正后，投标人不接受修正的投标报价的。</w:t>
      </w:r>
    </w:p>
    <w:p w14:paraId="477161EF">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rPr>
        <w:t>）其它情形，经评标委员会委提出按无效投标处理，并经公共资源交易监督部门核准的；</w:t>
      </w:r>
    </w:p>
    <w:p w14:paraId="48C9E61B">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8</w:t>
      </w:r>
      <w:r>
        <w:rPr>
          <w:rFonts w:hint="eastAsia" w:ascii="宋体" w:hAnsi="宋体" w:eastAsia="宋体" w:cs="宋体"/>
          <w:b w:val="0"/>
          <w:bCs/>
          <w:color w:val="auto"/>
          <w:szCs w:val="21"/>
          <w:highlight w:val="none"/>
        </w:rPr>
        <w:t>）未按照</w:t>
      </w:r>
      <w:r>
        <w:rPr>
          <w:rFonts w:hint="eastAsia" w:ascii="宋体" w:hAnsi="宋体" w:eastAsia="宋体" w:cs="宋体"/>
          <w:b w:val="0"/>
          <w:bCs/>
          <w:color w:val="auto"/>
          <w:szCs w:val="21"/>
          <w:highlight w:val="none"/>
          <w:lang w:eastAsia="zh-CN"/>
        </w:rPr>
        <w:t>招标文件</w:t>
      </w:r>
      <w:r>
        <w:rPr>
          <w:rFonts w:hint="eastAsia" w:ascii="宋体" w:hAnsi="宋体" w:eastAsia="宋体" w:cs="宋体"/>
          <w:b w:val="0"/>
          <w:bCs/>
          <w:color w:val="auto"/>
          <w:szCs w:val="21"/>
          <w:highlight w:val="none"/>
        </w:rPr>
        <w:t>的规定提交投标保证金的；</w:t>
      </w:r>
    </w:p>
    <w:p w14:paraId="38BE9BE5">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9</w:t>
      </w:r>
      <w:r>
        <w:rPr>
          <w:rFonts w:hint="eastAsia" w:ascii="宋体" w:hAnsi="宋体" w:eastAsia="宋体" w:cs="宋体"/>
          <w:b w:val="0"/>
          <w:bCs/>
          <w:color w:val="auto"/>
          <w:szCs w:val="21"/>
          <w:highlight w:val="none"/>
        </w:rPr>
        <w:t>）投标文件含有采购人不能接受的附加条件的;</w:t>
      </w:r>
    </w:p>
    <w:p w14:paraId="5C95C0C0">
      <w:pPr>
        <w:shd w:val="clear" w:color="auto" w:fill="auto"/>
        <w:snapToGrid w:val="0"/>
        <w:spacing w:line="400" w:lineRule="exact"/>
        <w:ind w:firstLine="426" w:firstLineChars="20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10</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采购文件</w:t>
      </w:r>
      <w:r>
        <w:rPr>
          <w:rFonts w:hint="eastAsia" w:ascii="宋体" w:hAnsi="宋体" w:eastAsia="宋体" w:cs="宋体"/>
          <w:b w:val="0"/>
          <w:bCs/>
          <w:color w:val="auto"/>
          <w:szCs w:val="21"/>
          <w:highlight w:val="none"/>
        </w:rPr>
        <w:t>规定的其它无效投标情形。</w:t>
      </w:r>
    </w:p>
    <w:p w14:paraId="193AD847">
      <w:pPr>
        <w:shd w:val="clear" w:color="auto" w:fill="auto"/>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.4 投标人有下列情形之一的, 详细评审后其投标按无效投标处理：</w:t>
      </w:r>
    </w:p>
    <w:p w14:paraId="7F9E6A0C">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投标产品不符合必须强制执行的国家标准的；</w:t>
      </w:r>
    </w:p>
    <w:p w14:paraId="7600E964">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投标人有串通投标、弄虚作假、行贿等违法行为；</w:t>
      </w:r>
    </w:p>
    <w:p w14:paraId="01CAACFB">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投标文件含有违反国家法律、法规的内容，或附有招标人不能接受的条件的；</w:t>
      </w:r>
    </w:p>
    <w:p w14:paraId="2D7FE7EF">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在同一项目（或同一标段）中有多个投标人有效投标报价接近最高限价，且评标委员会认为报价出现异常的，可以宣布其投标无效；</w:t>
      </w:r>
    </w:p>
    <w:p w14:paraId="30E7A8B3">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（5）报价明显低于其他投标人，且不能证明报价合理性的投标无效；</w:t>
      </w:r>
    </w:p>
    <w:p w14:paraId="48AB6421">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（6）拒不确认评标委员会评审修正的投标无效；</w:t>
      </w:r>
    </w:p>
    <w:p w14:paraId="674280C7">
      <w:pPr>
        <w:shd w:val="clear" w:color="auto" w:fill="auto"/>
        <w:snapToGrid w:val="0"/>
        <w:spacing w:line="4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（7）其它情形，经评标委员会委提出按无效投标处理，并经公共资源交易监督部门核准的；</w:t>
      </w:r>
    </w:p>
    <w:p w14:paraId="7BC28ACF">
      <w:pPr>
        <w:shd w:val="clear" w:color="auto" w:fill="auto"/>
        <w:snapToGrid w:val="0"/>
        <w:spacing w:line="400" w:lineRule="exact"/>
        <w:ind w:firstLine="426" w:firstLineChars="200"/>
        <w:rPr>
          <w:rFonts w:hint="eastAsia" w:ascii="宋体" w:hAnsi="宋体" w:eastAsia="宋体" w:cs="宋体"/>
          <w:b/>
          <w:bCs/>
          <w:kern w:val="2"/>
          <w:sz w:val="30"/>
          <w:szCs w:val="30"/>
          <w:highlight w:val="none"/>
          <w:lang w:val="en-US" w:eastAsia="zh-CN" w:bidi="ar-SA"/>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规定的其它无效投标情形。</w:t>
      </w:r>
      <w:bookmarkEnd w:id="41"/>
      <w:bookmarkEnd w:id="42"/>
      <w:bookmarkEnd w:id="46"/>
      <w:bookmarkEnd w:id="47"/>
      <w:bookmarkStart w:id="56" w:name="OLE_LINK4"/>
    </w:p>
    <w:p w14:paraId="56BA8B97">
      <w:pPr>
        <w:pStyle w:val="27"/>
        <w:rPr>
          <w:rFonts w:hint="eastAsia" w:ascii="宋体" w:hAnsi="宋体" w:eastAsia="宋体" w:cs="宋体"/>
          <w:b/>
          <w:bCs/>
          <w:kern w:val="2"/>
          <w:sz w:val="30"/>
          <w:szCs w:val="30"/>
          <w:highlight w:val="none"/>
          <w:lang w:val="en-US" w:eastAsia="zh-CN" w:bidi="ar-SA"/>
        </w:rPr>
      </w:pPr>
    </w:p>
    <w:p w14:paraId="6204D04A">
      <w:pPr>
        <w:rPr>
          <w:rFonts w:hint="eastAsia" w:ascii="宋体" w:hAnsi="宋体" w:eastAsia="宋体" w:cs="宋体"/>
          <w:b/>
          <w:bCs/>
          <w:kern w:val="2"/>
          <w:sz w:val="30"/>
          <w:szCs w:val="30"/>
          <w:highlight w:val="none"/>
          <w:lang w:val="en-US" w:eastAsia="zh-CN" w:bidi="ar-SA"/>
        </w:rPr>
      </w:pPr>
    </w:p>
    <w:p w14:paraId="7F3AECDD">
      <w:pPr>
        <w:jc w:val="both"/>
        <w:rPr>
          <w:rFonts w:hint="eastAsia" w:ascii="Times New Roman" w:hAnsi="Times New Roman" w:eastAsia="宋体" w:cs="Times New Roman"/>
          <w:b/>
          <w:bCs/>
          <w:sz w:val="32"/>
          <w:szCs w:val="40"/>
          <w:highlight w:val="none"/>
          <w:lang w:val="en-US" w:eastAsia="zh-CN"/>
        </w:rPr>
      </w:pPr>
    </w:p>
    <w:p w14:paraId="2EDA736C">
      <w:pPr>
        <w:jc w:val="center"/>
        <w:outlineLvl w:val="0"/>
        <w:rPr>
          <w:rFonts w:hint="eastAsia" w:ascii="Times New Roman" w:hAnsi="Times New Roman" w:eastAsia="宋体" w:cs="Times New Roman"/>
          <w:b/>
          <w:bCs/>
          <w:sz w:val="32"/>
          <w:szCs w:val="40"/>
          <w:highlight w:val="none"/>
          <w:lang w:val="en-US" w:eastAsia="zh-CN"/>
        </w:rPr>
      </w:pPr>
      <w:r>
        <w:rPr>
          <w:rFonts w:hint="eastAsia" w:ascii="Times New Roman" w:hAnsi="Times New Roman" w:eastAsia="宋体" w:cs="Times New Roman"/>
          <w:b/>
          <w:bCs/>
          <w:sz w:val="32"/>
          <w:szCs w:val="40"/>
          <w:highlight w:val="none"/>
          <w:lang w:val="en-US" w:eastAsia="zh-CN"/>
        </w:rPr>
        <w:t>第四章、采购内容及</w:t>
      </w:r>
      <w:r>
        <w:rPr>
          <w:rFonts w:hint="eastAsia" w:cs="Times New Roman"/>
          <w:b/>
          <w:bCs/>
          <w:sz w:val="32"/>
          <w:szCs w:val="40"/>
          <w:highlight w:val="none"/>
          <w:lang w:val="en-US" w:eastAsia="zh-CN"/>
        </w:rPr>
        <w:t>需</w:t>
      </w:r>
      <w:r>
        <w:rPr>
          <w:rFonts w:hint="eastAsia" w:ascii="Times New Roman" w:hAnsi="Times New Roman" w:eastAsia="宋体" w:cs="Times New Roman"/>
          <w:b/>
          <w:bCs/>
          <w:sz w:val="32"/>
          <w:szCs w:val="40"/>
          <w:highlight w:val="none"/>
          <w:lang w:val="en-US" w:eastAsia="zh-CN"/>
        </w:rPr>
        <w:t>求</w:t>
      </w:r>
    </w:p>
    <w:p w14:paraId="2E75EAFA">
      <w:pP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一、采购内容及需求</w:t>
      </w:r>
    </w:p>
    <w:p w14:paraId="51A37252">
      <w:pPr>
        <w:jc w:val="center"/>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第三方雇主责任保险方案</w:t>
      </w:r>
    </w:p>
    <w:tbl>
      <w:tblPr>
        <w:tblStyle w:val="29"/>
        <w:tblW w:w="6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2958"/>
        <w:gridCol w:w="1506"/>
      </w:tblGrid>
      <w:tr w14:paraId="40B7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00" w:type="dxa"/>
            <w:vAlign w:val="center"/>
          </w:tcPr>
          <w:p w14:paraId="25429F38">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保险责任</w:t>
            </w:r>
          </w:p>
        </w:tc>
        <w:tc>
          <w:tcPr>
            <w:tcW w:w="2958" w:type="dxa"/>
            <w:vAlign w:val="center"/>
          </w:tcPr>
          <w:p w14:paraId="69769C8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保险责任</w:t>
            </w:r>
          </w:p>
        </w:tc>
        <w:tc>
          <w:tcPr>
            <w:tcW w:w="1506" w:type="dxa"/>
            <w:vAlign w:val="center"/>
          </w:tcPr>
          <w:p w14:paraId="059784F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保额</w:t>
            </w:r>
          </w:p>
        </w:tc>
      </w:tr>
      <w:tr w14:paraId="3B47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00" w:type="dxa"/>
            <w:vMerge w:val="restart"/>
            <w:vAlign w:val="center"/>
          </w:tcPr>
          <w:p w14:paraId="56AC9B1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雇主责任保险条款</w:t>
            </w:r>
          </w:p>
        </w:tc>
        <w:tc>
          <w:tcPr>
            <w:tcW w:w="2958" w:type="dxa"/>
            <w:vAlign w:val="center"/>
          </w:tcPr>
          <w:p w14:paraId="39CE74E2">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人身伤亡责任</w:t>
            </w:r>
          </w:p>
        </w:tc>
        <w:tc>
          <w:tcPr>
            <w:tcW w:w="1506" w:type="dxa"/>
            <w:vAlign w:val="center"/>
          </w:tcPr>
          <w:p w14:paraId="72FD7A8E">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30万</w:t>
            </w:r>
          </w:p>
        </w:tc>
      </w:tr>
      <w:tr w14:paraId="0F25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00" w:type="dxa"/>
            <w:vMerge w:val="continue"/>
            <w:vAlign w:val="center"/>
          </w:tcPr>
          <w:p w14:paraId="2A9401F0">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center"/>
              <w:textAlignment w:val="auto"/>
              <w:rPr>
                <w:rFonts w:hint="eastAsia" w:cs="宋体"/>
                <w:b/>
                <w:bCs/>
                <w:color w:val="auto"/>
                <w:kern w:val="2"/>
                <w:sz w:val="22"/>
                <w:szCs w:val="22"/>
                <w:highlight w:val="none"/>
                <w:lang w:val="en-US" w:eastAsia="zh-CN" w:bidi="ar-SA"/>
              </w:rPr>
            </w:pPr>
          </w:p>
        </w:tc>
        <w:tc>
          <w:tcPr>
            <w:tcW w:w="2958" w:type="dxa"/>
            <w:vAlign w:val="center"/>
          </w:tcPr>
          <w:p w14:paraId="2BA9BEED">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医疗费用责任</w:t>
            </w:r>
          </w:p>
        </w:tc>
        <w:tc>
          <w:tcPr>
            <w:tcW w:w="1506" w:type="dxa"/>
            <w:vAlign w:val="center"/>
          </w:tcPr>
          <w:p w14:paraId="4CE1541A">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3.5万</w:t>
            </w:r>
          </w:p>
        </w:tc>
      </w:tr>
      <w:tr w14:paraId="0DBA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exact"/>
          <w:jc w:val="center"/>
        </w:trPr>
        <w:tc>
          <w:tcPr>
            <w:tcW w:w="2000" w:type="dxa"/>
            <w:vAlign w:val="center"/>
          </w:tcPr>
          <w:p w14:paraId="3774B86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default"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附加误工费用赔偿标准调整保险条款</w:t>
            </w:r>
          </w:p>
        </w:tc>
        <w:tc>
          <w:tcPr>
            <w:tcW w:w="2958" w:type="dxa"/>
            <w:vAlign w:val="center"/>
          </w:tcPr>
          <w:p w14:paraId="27C8B1B2">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both"/>
              <w:textAlignment w:val="auto"/>
              <w:rPr>
                <w:rFonts w:hint="eastAsia" w:cs="宋体"/>
                <w:b/>
                <w:bCs/>
                <w:color w:val="auto"/>
                <w:kern w:val="2"/>
                <w:sz w:val="22"/>
                <w:szCs w:val="22"/>
                <w:highlight w:val="none"/>
                <w:lang w:val="en-US" w:eastAsia="zh-CN" w:bidi="ar-SA"/>
              </w:rPr>
            </w:pPr>
          </w:p>
        </w:tc>
        <w:tc>
          <w:tcPr>
            <w:tcW w:w="1506" w:type="dxa"/>
            <w:vAlign w:val="center"/>
          </w:tcPr>
          <w:p w14:paraId="00D00DC1">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default"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0.9万</w:t>
            </w:r>
          </w:p>
        </w:tc>
      </w:tr>
      <w:tr w14:paraId="48A7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64" w:type="dxa"/>
            <w:gridSpan w:val="3"/>
            <w:vAlign w:val="center"/>
          </w:tcPr>
          <w:p w14:paraId="7968E02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保险费合计</w:t>
            </w:r>
          </w:p>
        </w:tc>
      </w:tr>
    </w:tbl>
    <w:p w14:paraId="741A73A2">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备注:附加误工费用赔偿标准调整保险条款</w:t>
      </w:r>
    </w:p>
    <w:p w14:paraId="64151D62">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每次住院补贴100元/天，每次补偿不超过30天，免赔天数3天，年累计最高90天。</w:t>
      </w:r>
    </w:p>
    <w:p w14:paraId="14CE64AB">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预计投保人数为 6317人（上下500人浮动），最终以实际人数为准，人员名单的更换，根据乌恰县财政局供的更换人员名单，及时配合修改雇员信息。</w:t>
      </w:r>
    </w:p>
    <w:p w14:paraId="3BCBFDB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伤亡责任限额比例支付表</w:t>
      </w:r>
    </w:p>
    <w:tbl>
      <w:tblPr>
        <w:tblStyle w:val="29"/>
        <w:tblW w:w="46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962"/>
        <w:gridCol w:w="2935"/>
      </w:tblGrid>
      <w:tr w14:paraId="6942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center"/>
          </w:tcPr>
          <w:p w14:paraId="0C9BA471">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项目</w:t>
            </w:r>
          </w:p>
        </w:tc>
        <w:tc>
          <w:tcPr>
            <w:tcW w:w="2500" w:type="pct"/>
            <w:vAlign w:val="center"/>
          </w:tcPr>
          <w:p w14:paraId="31ABBC3D">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伤害程度</w:t>
            </w:r>
          </w:p>
        </w:tc>
        <w:tc>
          <w:tcPr>
            <w:tcW w:w="1852" w:type="pct"/>
            <w:vAlign w:val="center"/>
          </w:tcPr>
          <w:p w14:paraId="24712D2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保险合同约定每人伤亡责任限额的百分比</w:t>
            </w:r>
          </w:p>
        </w:tc>
      </w:tr>
      <w:tr w14:paraId="7BBB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54333400">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1</w:t>
            </w:r>
          </w:p>
        </w:tc>
        <w:tc>
          <w:tcPr>
            <w:tcW w:w="2500" w:type="pct"/>
            <w:vAlign w:val="center"/>
          </w:tcPr>
          <w:p w14:paraId="3A3B79EB">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一级伤残</w:t>
            </w:r>
          </w:p>
        </w:tc>
        <w:tc>
          <w:tcPr>
            <w:tcW w:w="1852" w:type="pct"/>
            <w:vAlign w:val="center"/>
          </w:tcPr>
          <w:p w14:paraId="1B469471">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100%</w:t>
            </w:r>
          </w:p>
        </w:tc>
      </w:tr>
      <w:tr w14:paraId="0D74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73BD10A2">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2</w:t>
            </w:r>
          </w:p>
        </w:tc>
        <w:tc>
          <w:tcPr>
            <w:tcW w:w="2500" w:type="pct"/>
            <w:vAlign w:val="center"/>
          </w:tcPr>
          <w:p w14:paraId="035C334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二级伤残</w:t>
            </w:r>
          </w:p>
        </w:tc>
        <w:tc>
          <w:tcPr>
            <w:tcW w:w="1852" w:type="pct"/>
            <w:vAlign w:val="center"/>
          </w:tcPr>
          <w:p w14:paraId="0D5BD145">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80%</w:t>
            </w:r>
          </w:p>
        </w:tc>
      </w:tr>
      <w:tr w14:paraId="4318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181E076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3</w:t>
            </w:r>
          </w:p>
        </w:tc>
        <w:tc>
          <w:tcPr>
            <w:tcW w:w="2500" w:type="pct"/>
            <w:vAlign w:val="center"/>
          </w:tcPr>
          <w:p w14:paraId="0305F6C3">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三级伤残</w:t>
            </w:r>
          </w:p>
        </w:tc>
        <w:tc>
          <w:tcPr>
            <w:tcW w:w="1852" w:type="pct"/>
            <w:vAlign w:val="center"/>
          </w:tcPr>
          <w:p w14:paraId="10065F40">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65%</w:t>
            </w:r>
          </w:p>
        </w:tc>
      </w:tr>
      <w:tr w14:paraId="4AC0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613D2405">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4</w:t>
            </w:r>
          </w:p>
        </w:tc>
        <w:tc>
          <w:tcPr>
            <w:tcW w:w="2500" w:type="pct"/>
            <w:vAlign w:val="center"/>
          </w:tcPr>
          <w:p w14:paraId="218B2A11">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四级伤残</w:t>
            </w:r>
          </w:p>
        </w:tc>
        <w:tc>
          <w:tcPr>
            <w:tcW w:w="1852" w:type="pct"/>
            <w:vAlign w:val="center"/>
          </w:tcPr>
          <w:p w14:paraId="5A2C5359">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55%</w:t>
            </w:r>
          </w:p>
        </w:tc>
      </w:tr>
      <w:tr w14:paraId="5EE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4F1B4D59">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5</w:t>
            </w:r>
          </w:p>
        </w:tc>
        <w:tc>
          <w:tcPr>
            <w:tcW w:w="2500" w:type="pct"/>
            <w:vAlign w:val="center"/>
          </w:tcPr>
          <w:p w14:paraId="16807EB9">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五级伤残</w:t>
            </w:r>
          </w:p>
        </w:tc>
        <w:tc>
          <w:tcPr>
            <w:tcW w:w="1852" w:type="pct"/>
            <w:vAlign w:val="center"/>
          </w:tcPr>
          <w:p w14:paraId="1C2554CE">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45%</w:t>
            </w:r>
          </w:p>
        </w:tc>
      </w:tr>
      <w:tr w14:paraId="7973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6B72EF6D">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6</w:t>
            </w:r>
          </w:p>
        </w:tc>
        <w:tc>
          <w:tcPr>
            <w:tcW w:w="2500" w:type="pct"/>
            <w:vAlign w:val="center"/>
          </w:tcPr>
          <w:p w14:paraId="5C6A441E">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六级伤残</w:t>
            </w:r>
          </w:p>
        </w:tc>
        <w:tc>
          <w:tcPr>
            <w:tcW w:w="1852" w:type="pct"/>
            <w:vAlign w:val="center"/>
          </w:tcPr>
          <w:p w14:paraId="6150078E">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25%</w:t>
            </w:r>
          </w:p>
        </w:tc>
      </w:tr>
      <w:tr w14:paraId="6D03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616BA8FD">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7</w:t>
            </w:r>
          </w:p>
        </w:tc>
        <w:tc>
          <w:tcPr>
            <w:tcW w:w="2500" w:type="pct"/>
            <w:vAlign w:val="center"/>
          </w:tcPr>
          <w:p w14:paraId="1BB9AE2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七级伤残</w:t>
            </w:r>
          </w:p>
        </w:tc>
        <w:tc>
          <w:tcPr>
            <w:tcW w:w="1852" w:type="pct"/>
            <w:vAlign w:val="center"/>
          </w:tcPr>
          <w:p w14:paraId="06B9D4E8">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15%</w:t>
            </w:r>
          </w:p>
        </w:tc>
      </w:tr>
      <w:tr w14:paraId="1017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38193FAC">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8</w:t>
            </w:r>
          </w:p>
        </w:tc>
        <w:tc>
          <w:tcPr>
            <w:tcW w:w="2500" w:type="pct"/>
            <w:vAlign w:val="center"/>
          </w:tcPr>
          <w:p w14:paraId="58B6A570">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八级伤残</w:t>
            </w:r>
          </w:p>
        </w:tc>
        <w:tc>
          <w:tcPr>
            <w:tcW w:w="1852" w:type="pct"/>
            <w:vAlign w:val="center"/>
          </w:tcPr>
          <w:p w14:paraId="562CD4C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10%</w:t>
            </w:r>
          </w:p>
        </w:tc>
      </w:tr>
      <w:tr w14:paraId="69D7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1BF779ED">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9</w:t>
            </w:r>
          </w:p>
        </w:tc>
        <w:tc>
          <w:tcPr>
            <w:tcW w:w="2500" w:type="pct"/>
            <w:vAlign w:val="center"/>
          </w:tcPr>
          <w:p w14:paraId="3808ECC4">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九级伤残</w:t>
            </w:r>
          </w:p>
        </w:tc>
        <w:tc>
          <w:tcPr>
            <w:tcW w:w="1852" w:type="pct"/>
            <w:vAlign w:val="center"/>
          </w:tcPr>
          <w:p w14:paraId="287E39E9">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4%</w:t>
            </w:r>
          </w:p>
        </w:tc>
      </w:tr>
      <w:tr w14:paraId="4EC2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6" w:type="pct"/>
            <w:vAlign w:val="top"/>
          </w:tcPr>
          <w:p w14:paraId="50BED316">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left="0" w:right="0" w:firstLine="446" w:firstLineChars="200"/>
              <w:jc w:val="both"/>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10</w:t>
            </w:r>
          </w:p>
        </w:tc>
        <w:tc>
          <w:tcPr>
            <w:tcW w:w="2500" w:type="pct"/>
            <w:vAlign w:val="center"/>
          </w:tcPr>
          <w:p w14:paraId="02AFA3A0">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十级伤残</w:t>
            </w:r>
          </w:p>
        </w:tc>
        <w:tc>
          <w:tcPr>
            <w:tcW w:w="1852" w:type="pct"/>
            <w:vAlign w:val="center"/>
          </w:tcPr>
          <w:p w14:paraId="681723B8">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center"/>
              <w:textAlignment w:val="auto"/>
              <w:rPr>
                <w:rFonts w:hint="eastAsia" w:cs="宋体"/>
                <w:b/>
                <w:bCs/>
                <w:color w:val="auto"/>
                <w:kern w:val="2"/>
                <w:sz w:val="22"/>
                <w:szCs w:val="22"/>
                <w:highlight w:val="none"/>
                <w:lang w:val="en-US" w:eastAsia="zh-CN" w:bidi="ar-SA"/>
              </w:rPr>
            </w:pPr>
            <w:r>
              <w:rPr>
                <w:rFonts w:hint="eastAsia" w:cs="宋体"/>
                <w:b/>
                <w:bCs/>
                <w:color w:val="auto"/>
                <w:kern w:val="2"/>
                <w:sz w:val="22"/>
                <w:szCs w:val="22"/>
                <w:highlight w:val="none"/>
                <w:lang w:val="en-US" w:eastAsia="zh-CN" w:bidi="ar-SA"/>
              </w:rPr>
              <w:t>1%</w:t>
            </w:r>
          </w:p>
        </w:tc>
      </w:tr>
    </w:tbl>
    <w:p w14:paraId="726D80D7">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240" w:lineRule="auto"/>
        <w:ind w:right="0"/>
        <w:jc w:val="both"/>
        <w:textAlignment w:val="auto"/>
        <w:rPr>
          <w:rFonts w:hint="default" w:cs="宋体"/>
          <w:b/>
          <w:bCs/>
          <w:color w:val="FF0000"/>
          <w:kern w:val="2"/>
          <w:sz w:val="22"/>
          <w:szCs w:val="22"/>
          <w:highlight w:val="none"/>
          <w:lang w:val="en-US" w:eastAsia="zh-CN" w:bidi="ar-SA"/>
        </w:rPr>
      </w:pPr>
      <w:r>
        <w:rPr>
          <w:rFonts w:hint="eastAsia" w:cs="宋体"/>
          <w:b/>
          <w:bCs/>
          <w:color w:val="FF0000"/>
          <w:kern w:val="2"/>
          <w:sz w:val="22"/>
          <w:szCs w:val="22"/>
          <w:highlight w:val="none"/>
          <w:lang w:val="en-US" w:eastAsia="zh-CN" w:bidi="ar-SA"/>
        </w:rPr>
        <w:t>注：伤残等级依照《劳动能力鉴定职工</w:t>
      </w:r>
      <w:r>
        <w:rPr>
          <w:rFonts w:hint="default" w:cs="宋体"/>
          <w:b/>
          <w:bCs/>
          <w:color w:val="FF0000"/>
          <w:kern w:val="2"/>
          <w:sz w:val="22"/>
          <w:szCs w:val="22"/>
          <w:highlight w:val="none"/>
          <w:lang w:eastAsia="zh-CN" w:bidi="ar-SA"/>
        </w:rPr>
        <w:t>工伤与职业病致残等级</w:t>
      </w:r>
      <w:r>
        <w:rPr>
          <w:rFonts w:hint="eastAsia" w:cs="宋体"/>
          <w:b/>
          <w:bCs/>
          <w:color w:val="FF0000"/>
          <w:kern w:val="2"/>
          <w:sz w:val="22"/>
          <w:szCs w:val="22"/>
          <w:highlight w:val="none"/>
          <w:lang w:val="en-US" w:eastAsia="zh-CN" w:bidi="ar-SA"/>
        </w:rPr>
        <w:t>》</w:t>
      </w:r>
      <w:r>
        <w:rPr>
          <w:rFonts w:hint="default" w:cs="宋体"/>
          <w:b/>
          <w:bCs/>
          <w:color w:val="FF0000"/>
          <w:kern w:val="2"/>
          <w:sz w:val="22"/>
          <w:szCs w:val="22"/>
          <w:highlight w:val="none"/>
          <w:lang w:eastAsia="zh-CN" w:bidi="ar-SA"/>
        </w:rPr>
        <w:t>（国家质量监督检验检疫总</w:t>
      </w:r>
      <w:r>
        <w:rPr>
          <w:rFonts w:hint="eastAsia" w:cs="宋体"/>
          <w:b/>
          <w:bCs/>
          <w:color w:val="FF0000"/>
          <w:kern w:val="2"/>
          <w:sz w:val="22"/>
          <w:szCs w:val="22"/>
          <w:highlight w:val="none"/>
          <w:lang w:val="en-US" w:eastAsia="zh-CN" w:bidi="ar-SA"/>
        </w:rPr>
        <w:t>局、国家标准化委员会批准发布GB/T 16180-2014</w:t>
      </w:r>
      <w:r>
        <w:rPr>
          <w:rFonts w:hint="default" w:cs="宋体"/>
          <w:b/>
          <w:bCs/>
          <w:color w:val="FF0000"/>
          <w:kern w:val="2"/>
          <w:sz w:val="22"/>
          <w:szCs w:val="22"/>
          <w:highlight w:val="none"/>
          <w:lang w:eastAsia="zh-CN" w:bidi="ar-SA"/>
        </w:rPr>
        <w:t>）</w:t>
      </w:r>
      <w:r>
        <w:rPr>
          <w:rFonts w:hint="eastAsia" w:cs="宋体"/>
          <w:b/>
          <w:bCs/>
          <w:color w:val="FF0000"/>
          <w:kern w:val="2"/>
          <w:sz w:val="22"/>
          <w:szCs w:val="22"/>
          <w:highlight w:val="none"/>
          <w:lang w:val="en-US" w:eastAsia="zh-CN" w:bidi="ar-SA"/>
        </w:rPr>
        <w:t>鉴定</w:t>
      </w:r>
    </w:p>
    <w:p w14:paraId="0F1BE687">
      <w:pPr>
        <w:keepNext w:val="0"/>
        <w:keepLines w:val="0"/>
        <w:widowControl/>
        <w:suppressLineNumbers w:val="0"/>
        <w:jc w:val="left"/>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采购需求：</w:t>
      </w:r>
    </w:p>
    <w:p w14:paraId="537FE6C8">
      <w:pPr>
        <w:keepNext w:val="0"/>
        <w:keepLines w:val="0"/>
        <w:widowControl/>
        <w:suppressLineNumbers w:val="0"/>
        <w:jc w:val="left"/>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t>1</w:t>
      </w: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 xml:space="preserve">、出单速度快，针对本项目的所有保全事项，接到保全申请后快速完成并递交投保人。 </w:t>
      </w:r>
    </w:p>
    <w:p w14:paraId="54BB886A">
      <w:pPr>
        <w:keepNext w:val="0"/>
        <w:keepLines w:val="0"/>
        <w:widowControl/>
        <w:suppressLineNumbers w:val="0"/>
        <w:jc w:val="left"/>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 xml:space="preserve">2、成立专门服务团队、开通理赔绿色通道。提供优质、快速理赔服务。当被保险人发生责任范围内的保险事故后，尽快协助出险人报案，并在理赔过程中将尽力协助被保险办理理赔相关事宜。 </w:t>
      </w:r>
    </w:p>
    <w:p w14:paraId="22EC8274">
      <w:pPr>
        <w:keepNext w:val="0"/>
        <w:keepLines w:val="0"/>
        <w:widowControl/>
        <w:suppressLineNumbers w:val="0"/>
        <w:jc w:val="left"/>
        <w:rPr>
          <w:rFonts w:hint="default" w:ascii="宋体" w:hAnsi="宋体" w:eastAsia="宋体" w:cs="宋体"/>
          <w:b/>
          <w:bCs/>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3、对本项目提交的各类医疗报销单证进行审核，并根据出险人实际情况进行调查。对属于保险责任人范围内的赔案，理赔申请资料齐全后，快速结案</w:t>
      </w:r>
      <w:r>
        <w:rPr>
          <w:rFonts w:hint="eastAsia" w:ascii="宋体" w:hAnsi="宋体" w:cs="宋体"/>
          <w:b/>
          <w:bCs/>
          <w:color w:val="000000" w:themeColor="text1"/>
          <w:kern w:val="2"/>
          <w:sz w:val="22"/>
          <w:szCs w:val="22"/>
          <w:highlight w:val="none"/>
          <w:lang w:val="en-US" w:eastAsia="zh-CN" w:bidi="ar-SA"/>
          <w14:textFill>
            <w14:solidFill>
              <w14:schemeClr w14:val="tx1"/>
            </w14:solidFill>
          </w14:textFill>
        </w:rPr>
        <w:t>。</w:t>
      </w:r>
    </w:p>
    <w:p w14:paraId="297B3634">
      <w:pPr>
        <w:spacing w:line="240" w:lineRule="auto"/>
        <w:rPr>
          <w:rFonts w:hint="eastAsia"/>
          <w:b/>
          <w:bCs/>
          <w:color w:val="000000" w:themeColor="text1"/>
          <w:sz w:val="24"/>
          <w:szCs w:val="32"/>
          <w:highlight w:val="none"/>
          <w:lang w:val="en-US" w:eastAsia="zh-CN"/>
          <w14:textFill>
            <w14:solidFill>
              <w14:schemeClr w14:val="tx1"/>
            </w14:solidFill>
          </w14:textFill>
        </w:rPr>
      </w:pPr>
    </w:p>
    <w:p w14:paraId="6E1D2120">
      <w:pPr>
        <w:spacing w:line="240" w:lineRule="auto"/>
        <w:rPr>
          <w:rFonts w:hint="eastAsia" w:ascii="宋体" w:hAnsi="宋体" w:cs="宋体"/>
          <w:b/>
          <w:color w:val="000000" w:themeColor="text1"/>
          <w:szCs w:val="21"/>
          <w:highlight w:val="none"/>
          <w14:textFill>
            <w14:solidFill>
              <w14:schemeClr w14:val="tx1"/>
            </w14:solidFill>
          </w14:textFill>
        </w:rPr>
      </w:pPr>
      <w:r>
        <w:rPr>
          <w:rFonts w:hint="eastAsia"/>
          <w:b/>
          <w:bCs/>
          <w:color w:val="000000" w:themeColor="text1"/>
          <w:sz w:val="24"/>
          <w:szCs w:val="32"/>
          <w:highlight w:val="none"/>
          <w:lang w:val="en-US" w:eastAsia="zh-CN"/>
          <w14:textFill>
            <w14:solidFill>
              <w14:schemeClr w14:val="tx1"/>
            </w14:solidFill>
          </w14:textFill>
        </w:rPr>
        <w:t>二、</w:t>
      </w:r>
      <w:bookmarkStart w:id="57" w:name="_Toc340225290"/>
      <w:bookmarkStart w:id="58" w:name="_Toc267320049"/>
      <w:r>
        <w:rPr>
          <w:rFonts w:hint="eastAsia"/>
          <w:b/>
          <w:bCs/>
          <w:color w:val="000000" w:themeColor="text1"/>
          <w:sz w:val="22"/>
          <w:szCs w:val="28"/>
          <w:highlight w:val="none"/>
          <w:lang w:val="en-US" w:eastAsia="zh-CN"/>
          <w14:textFill>
            <w14:solidFill>
              <w14:schemeClr w14:val="tx1"/>
            </w14:solidFill>
          </w14:textFill>
        </w:rPr>
        <w:t>项目验收、质保、售后服务等要求</w:t>
      </w:r>
      <w:bookmarkEnd w:id="57"/>
      <w:bookmarkEnd w:id="58"/>
    </w:p>
    <w:p w14:paraId="42D3F19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w:t>
      </w:r>
      <w:r>
        <w:rPr>
          <w:rFonts w:hint="eastAsia" w:ascii="宋体" w:hAnsi="宋体" w:cs="宋体"/>
          <w:b/>
          <w:color w:val="000000" w:themeColor="text1"/>
          <w:szCs w:val="21"/>
          <w:highlight w:val="none"/>
          <w:lang w:val="en-US" w:eastAsia="zh-CN"/>
          <w14:textFill>
            <w14:solidFill>
              <w14:schemeClr w14:val="tx1"/>
            </w14:solidFill>
          </w14:textFill>
        </w:rPr>
        <w:t xml:space="preserve"> 供货</w:t>
      </w:r>
      <w:r>
        <w:rPr>
          <w:rFonts w:hint="eastAsia" w:ascii="宋体" w:hAnsi="宋体" w:cs="宋体"/>
          <w:b/>
          <w:color w:val="000000" w:themeColor="text1"/>
          <w:szCs w:val="21"/>
          <w:highlight w:val="none"/>
          <w14:textFill>
            <w14:solidFill>
              <w14:schemeClr w14:val="tx1"/>
            </w14:solidFill>
          </w14:textFill>
        </w:rPr>
        <w:t>时间</w:t>
      </w:r>
    </w:p>
    <w:p w14:paraId="4EC44BA8">
      <w:pPr>
        <w:keepNext w:val="0"/>
        <w:keepLines w:val="0"/>
        <w:pageBreakBefore w:val="0"/>
        <w:numPr>
          <w:ilvl w:val="0"/>
          <w:numId w:val="0"/>
        </w:numPr>
        <w:kinsoku/>
        <w:wordWrap/>
        <w:overflowPunct/>
        <w:topLinePunct w:val="0"/>
        <w:autoSpaceDE/>
        <w:autoSpaceDN/>
        <w:bidi w:val="0"/>
        <w:adjustRightInd/>
        <w:snapToGrid/>
        <w:spacing w:line="360" w:lineRule="auto"/>
        <w:ind w:firstLine="426"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cs="Times New Roman"/>
          <w:b/>
          <w:bCs w:val="0"/>
          <w:color w:val="000000" w:themeColor="text1"/>
          <w:kern w:val="2"/>
          <w:sz w:val="21"/>
          <w:szCs w:val="21"/>
          <w:highlight w:val="none"/>
          <w:lang w:val="en-US" w:eastAsia="zh-CN" w:bidi="ar-SA"/>
          <w14:textFill>
            <w14:solidFill>
              <w14:schemeClr w14:val="tx1"/>
            </w14:solidFill>
          </w14:textFill>
        </w:rPr>
        <w:t>甲乙双方签订合同后3个工作日内完成保险单</w:t>
      </w:r>
      <w:r>
        <w:rPr>
          <w:rFonts w:hint="eastAsia" w:ascii="Times New Roman" w:hAnsi="Times New Roman" w:eastAsia="宋体" w:cs="Times New Roman"/>
          <w:b/>
          <w:bCs w:val="0"/>
          <w:color w:val="000000" w:themeColor="text1"/>
          <w:kern w:val="2"/>
          <w:sz w:val="21"/>
          <w:szCs w:val="21"/>
          <w:highlight w:val="none"/>
          <w:lang w:val="en-US" w:eastAsia="zh-CN" w:bidi="ar-SA"/>
          <w14:textFill>
            <w14:solidFill>
              <w14:schemeClr w14:val="tx1"/>
            </w14:solidFill>
          </w14:textFill>
        </w:rPr>
        <w:t>。</w:t>
      </w:r>
    </w:p>
    <w:p w14:paraId="223EC2ED">
      <w:pPr>
        <w:keepNext w:val="0"/>
        <w:keepLines w:val="0"/>
        <w:pageBreakBefore w:val="0"/>
        <w:numPr>
          <w:ilvl w:val="0"/>
          <w:numId w:val="8"/>
        </w:numPr>
        <w:kinsoku/>
        <w:wordWrap/>
        <w:overflowPunct/>
        <w:topLinePunct w:val="0"/>
        <w:autoSpaceDE/>
        <w:autoSpaceDN/>
        <w:bidi w:val="0"/>
        <w:adjustRightInd/>
        <w:snapToGrid/>
        <w:spacing w:line="360" w:lineRule="auto"/>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供货</w:t>
      </w:r>
      <w:r>
        <w:rPr>
          <w:rFonts w:hint="eastAsia" w:ascii="宋体" w:hAnsi="宋体" w:cs="宋体"/>
          <w:b/>
          <w:color w:val="auto"/>
          <w:szCs w:val="21"/>
          <w:highlight w:val="none"/>
        </w:rPr>
        <w:t>地点</w:t>
      </w:r>
    </w:p>
    <w:p w14:paraId="757B894D">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default" w:ascii="宋体" w:hAnsi="宋体" w:cs="宋体"/>
          <w:b/>
          <w:color w:val="auto"/>
          <w:szCs w:val="21"/>
          <w:highlight w:val="none"/>
          <w:lang w:val="en-US" w:eastAsia="zh-CN"/>
        </w:rPr>
      </w:pPr>
      <w:r>
        <w:rPr>
          <w:rFonts w:hint="eastAsia" w:ascii="宋体" w:hAnsi="宋体" w:cs="宋体"/>
          <w:b w:val="0"/>
          <w:bCs/>
          <w:color w:val="auto"/>
          <w:szCs w:val="21"/>
          <w:highlight w:val="none"/>
          <w:lang w:val="en-US" w:eastAsia="zh-CN"/>
        </w:rPr>
        <w:t>甲方指定地点。</w:t>
      </w:r>
      <w:r>
        <w:rPr>
          <w:rFonts w:hint="eastAsia" w:ascii="宋体" w:hAnsi="宋体" w:cs="宋体"/>
          <w:b/>
          <w:color w:val="auto"/>
          <w:szCs w:val="21"/>
          <w:highlight w:val="none"/>
          <w:lang w:val="en-US" w:eastAsia="zh-CN"/>
        </w:rPr>
        <w:t xml:space="preserve"> </w:t>
      </w:r>
    </w:p>
    <w:p w14:paraId="14DA7876">
      <w:pPr>
        <w:spacing w:line="360" w:lineRule="auto"/>
        <w:rPr>
          <w:rFonts w:hint="eastAsia" w:ascii="宋体" w:hAnsi="宋体" w:cs="宋体"/>
          <w:b/>
          <w:color w:val="auto"/>
          <w:szCs w:val="21"/>
          <w:highlight w:val="none"/>
        </w:rPr>
      </w:pPr>
      <w:bookmarkStart w:id="59" w:name="_Toc340225291"/>
      <w:bookmarkStart w:id="60" w:name="_Toc267320050"/>
      <w:r>
        <w:rPr>
          <w:rFonts w:hint="eastAsia" w:ascii="宋体" w:hAnsi="宋体" w:cs="宋体"/>
          <w:b/>
          <w:color w:val="auto"/>
          <w:szCs w:val="21"/>
          <w:highlight w:val="none"/>
        </w:rPr>
        <w:t>（三）报价要求</w:t>
      </w:r>
      <w:bookmarkEnd w:id="59"/>
    </w:p>
    <w:p w14:paraId="4A01AD4E">
      <w:pPr>
        <w:keepNext w:val="0"/>
        <w:keepLines w:val="0"/>
        <w:pageBreakBefore w:val="0"/>
        <w:widowControl w:val="0"/>
        <w:kinsoku/>
        <w:wordWrap/>
        <w:overflowPunct/>
        <w:topLinePunct w:val="0"/>
        <w:autoSpaceDE/>
        <w:autoSpaceDN/>
        <w:bidi w:val="0"/>
        <w:adjustRightInd/>
        <w:snapToGrid/>
        <w:spacing w:line="540" w:lineRule="exact"/>
        <w:ind w:firstLine="426"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本次报价为人民币报价，</w:t>
      </w:r>
      <w:bookmarkEnd w:id="60"/>
      <w:r>
        <w:rPr>
          <w:rFonts w:hint="eastAsia" w:ascii="宋体" w:hAnsi="宋体" w:eastAsia="宋体" w:cs="宋体"/>
          <w:bCs/>
          <w:color w:val="auto"/>
          <w:kern w:val="2"/>
          <w:sz w:val="21"/>
          <w:szCs w:val="21"/>
          <w:highlight w:val="none"/>
          <w:lang w:val="en-US" w:eastAsia="zh-CN" w:bidi="ar-SA"/>
        </w:rPr>
        <w:t>投标报价应包括：货物本身价格、包装费、运输费用、二次搬运费、损耗、安装费、技术指导、税金费用、伴随服务过程中备件费、专用工具费、伴随产品资料费、技术服务费、技术考察费、自检费及验收合格前和质保期内发生的一切费用、应当提供的伴随服务/售后服务费用以及及招标文件要求的供应商需要支付的所有费用。因中标供应商自身原因造成漏报、少报皆由其自行承担责任，采购人不再补偿。</w:t>
      </w:r>
    </w:p>
    <w:p w14:paraId="5EE5B552">
      <w:pPr>
        <w:widowControl/>
        <w:numPr>
          <w:ilvl w:val="0"/>
          <w:numId w:val="8"/>
        </w:numPr>
        <w:spacing w:line="360" w:lineRule="auto"/>
        <w:ind w:left="0" w:leftChars="0" w:firstLine="0" w:firstLineChars="0"/>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服务要求</w:t>
      </w:r>
    </w:p>
    <w:p w14:paraId="495E879D">
      <w:pPr>
        <w:pStyle w:val="10"/>
        <w:numPr>
          <w:ilvl w:val="0"/>
          <w:numId w:val="0"/>
        </w:numPr>
        <w:ind w:leftChars="0" w:firstLine="426" w:firstLineChars="200"/>
        <w:rPr>
          <w:rFonts w:hint="default"/>
          <w:color w:val="FF0000"/>
          <w:highlight w:val="none"/>
          <w:lang w:val="en-US" w:eastAsia="zh-CN"/>
        </w:rPr>
      </w:pPr>
      <w:r>
        <w:rPr>
          <w:rFonts w:hint="eastAsia" w:ascii="宋体" w:hAnsi="宋体" w:cs="宋体"/>
          <w:bCs/>
          <w:color w:val="FF0000"/>
          <w:szCs w:val="21"/>
          <w:highlight w:val="none"/>
        </w:rPr>
        <w:t>中标人应当为</w:t>
      </w:r>
      <w:r>
        <w:rPr>
          <w:rFonts w:hint="eastAsia" w:ascii="宋体" w:hAnsi="宋体" w:cs="宋体"/>
          <w:bCs/>
          <w:color w:val="FF0000"/>
          <w:szCs w:val="21"/>
          <w:highlight w:val="none"/>
          <w:lang w:eastAsia="zh-CN"/>
        </w:rPr>
        <w:t>采购单位</w:t>
      </w:r>
      <w:r>
        <w:rPr>
          <w:rFonts w:hint="eastAsia" w:ascii="宋体" w:hAnsi="宋体" w:cs="宋体"/>
          <w:bCs/>
          <w:color w:val="FF0000"/>
          <w:szCs w:val="21"/>
          <w:highlight w:val="none"/>
        </w:rPr>
        <w:t>24小时提供</w:t>
      </w:r>
      <w:r>
        <w:rPr>
          <w:rFonts w:hint="eastAsia" w:ascii="宋体" w:hAnsi="宋体" w:cs="宋体"/>
          <w:bCs/>
          <w:color w:val="FF0000"/>
          <w:szCs w:val="21"/>
          <w:highlight w:val="none"/>
          <w:lang w:val="en-US" w:eastAsia="zh-CN"/>
        </w:rPr>
        <w:t>客服</w:t>
      </w:r>
      <w:r>
        <w:rPr>
          <w:rFonts w:hint="eastAsia" w:ascii="宋体" w:hAnsi="宋体" w:cs="宋体"/>
          <w:bCs/>
          <w:color w:val="FF0000"/>
          <w:szCs w:val="21"/>
          <w:highlight w:val="none"/>
        </w:rPr>
        <w:t>援助电话，接到电话后</w:t>
      </w:r>
      <w:r>
        <w:rPr>
          <w:rFonts w:hint="eastAsia" w:ascii="宋体" w:hAnsi="宋体" w:cs="宋体"/>
          <w:bCs/>
          <w:color w:val="FF0000"/>
          <w:szCs w:val="21"/>
          <w:highlight w:val="none"/>
          <w:lang w:val="en-US" w:eastAsia="zh-CN"/>
        </w:rPr>
        <w:t>1</w:t>
      </w:r>
      <w:r>
        <w:rPr>
          <w:rFonts w:hint="eastAsia" w:ascii="宋体" w:hAnsi="宋体" w:cs="宋体"/>
          <w:bCs/>
          <w:color w:val="FF0000"/>
          <w:szCs w:val="21"/>
          <w:highlight w:val="none"/>
        </w:rPr>
        <w:t>小时响应</w:t>
      </w:r>
      <w:r>
        <w:rPr>
          <w:rFonts w:hint="eastAsia" w:ascii="宋体" w:hAnsi="宋体" w:cs="宋体"/>
          <w:bCs/>
          <w:color w:val="FF0000"/>
          <w:szCs w:val="21"/>
          <w:highlight w:val="none"/>
          <w:lang w:val="en-US" w:eastAsia="zh-CN"/>
        </w:rPr>
        <w:t>并</w:t>
      </w:r>
      <w:r>
        <w:rPr>
          <w:rFonts w:hint="eastAsia" w:ascii="宋体" w:hAnsi="宋体" w:cs="宋体"/>
          <w:bCs/>
          <w:color w:val="FF0000"/>
          <w:szCs w:val="21"/>
          <w:highlight w:val="none"/>
        </w:rPr>
        <w:t>解答</w:t>
      </w:r>
      <w:r>
        <w:rPr>
          <w:rFonts w:hint="eastAsia" w:ascii="宋体" w:hAnsi="宋体" w:cs="宋体"/>
          <w:bCs/>
          <w:color w:val="FF0000"/>
          <w:szCs w:val="21"/>
          <w:highlight w:val="none"/>
          <w:lang w:eastAsia="zh-CN"/>
        </w:rPr>
        <w:t>采购单位</w:t>
      </w:r>
      <w:r>
        <w:rPr>
          <w:rFonts w:hint="eastAsia" w:ascii="宋体" w:hAnsi="宋体" w:cs="宋体"/>
          <w:bCs/>
          <w:color w:val="FF0000"/>
          <w:szCs w:val="21"/>
          <w:highlight w:val="none"/>
        </w:rPr>
        <w:t>在使用中遇到的问题</w:t>
      </w:r>
      <w:r>
        <w:rPr>
          <w:rFonts w:hint="eastAsia" w:ascii="宋体" w:hAnsi="宋体" w:cs="宋体"/>
          <w:bCs/>
          <w:color w:val="FF0000"/>
          <w:szCs w:val="21"/>
          <w:highlight w:val="none"/>
          <w:lang w:eastAsia="zh-CN"/>
        </w:rPr>
        <w:t>，</w:t>
      </w:r>
      <w:r>
        <w:rPr>
          <w:rFonts w:hint="eastAsia" w:ascii="宋体" w:hAnsi="宋体" w:cs="宋体"/>
          <w:bCs/>
          <w:color w:val="FF0000"/>
          <w:szCs w:val="21"/>
          <w:highlight w:val="none"/>
          <w:lang w:val="en-US" w:eastAsia="zh-CN"/>
        </w:rPr>
        <w:t>24小时内进入理赔程序</w:t>
      </w:r>
      <w:r>
        <w:rPr>
          <w:rFonts w:hint="eastAsia" w:ascii="宋体" w:hAnsi="宋体" w:cs="宋体"/>
          <w:bCs/>
          <w:color w:val="FF0000"/>
          <w:szCs w:val="21"/>
          <w:highlight w:val="none"/>
        </w:rPr>
        <w:t>，及时为</w:t>
      </w:r>
      <w:r>
        <w:rPr>
          <w:rFonts w:hint="eastAsia" w:ascii="宋体" w:hAnsi="宋体" w:cs="宋体"/>
          <w:bCs/>
          <w:color w:val="FF0000"/>
          <w:szCs w:val="21"/>
          <w:highlight w:val="none"/>
          <w:lang w:eastAsia="zh-CN"/>
        </w:rPr>
        <w:t>采购单位</w:t>
      </w:r>
      <w:r>
        <w:rPr>
          <w:rFonts w:hint="eastAsia" w:ascii="宋体" w:hAnsi="宋体" w:cs="宋体"/>
          <w:bCs/>
          <w:color w:val="FF0000"/>
          <w:szCs w:val="21"/>
          <w:highlight w:val="none"/>
        </w:rPr>
        <w:t>提出解决问题的建议。</w:t>
      </w:r>
    </w:p>
    <w:p w14:paraId="3987F821">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1、</w:t>
      </w:r>
      <w:r>
        <w:rPr>
          <w:rFonts w:hint="eastAsia" w:ascii="宋体" w:hAnsi="宋体" w:cs="宋体"/>
          <w:b/>
          <w:bCs w:val="0"/>
          <w:color w:val="000000" w:themeColor="text1"/>
          <w:szCs w:val="21"/>
          <w:highlight w:val="none"/>
          <w:lang w:val="en-US" w:eastAsia="zh-CN"/>
          <w14:textFill>
            <w14:solidFill>
              <w14:schemeClr w14:val="tx1"/>
            </w14:solidFill>
          </w14:textFill>
        </w:rPr>
        <w:t>服务期：</w:t>
      </w:r>
      <w:r>
        <w:rPr>
          <w:rFonts w:hint="eastAsia" w:ascii="宋体" w:hAnsi="宋体" w:eastAsia="宋体" w:cs="宋体"/>
          <w:b/>
          <w:bCs w:val="0"/>
          <w:color w:val="000000" w:themeColor="text1"/>
          <w:szCs w:val="21"/>
          <w:highlight w:val="none"/>
          <w:lang w:val="en-US" w:eastAsia="zh-CN"/>
          <w14:textFill>
            <w14:solidFill>
              <w14:schemeClr w14:val="tx1"/>
            </w14:solidFill>
          </w14:textFill>
        </w:rPr>
        <w:t>自</w:t>
      </w:r>
      <w:r>
        <w:rPr>
          <w:rFonts w:hint="eastAsia" w:ascii="宋体" w:hAnsi="宋体" w:cs="宋体"/>
          <w:b/>
          <w:bCs w:val="0"/>
          <w:color w:val="000000" w:themeColor="text1"/>
          <w:szCs w:val="21"/>
          <w:highlight w:val="none"/>
          <w:lang w:val="en-US" w:eastAsia="zh-CN"/>
          <w14:textFill>
            <w14:solidFill>
              <w14:schemeClr w14:val="tx1"/>
            </w14:solidFill>
          </w14:textFill>
        </w:rPr>
        <w:t>出具保险单后一年</w:t>
      </w:r>
      <w:r>
        <w:rPr>
          <w:rFonts w:hint="eastAsia" w:ascii="宋体" w:hAnsi="宋体" w:eastAsia="宋体" w:cs="宋体"/>
          <w:b/>
          <w:bCs w:val="0"/>
          <w:color w:val="000000" w:themeColor="text1"/>
          <w:szCs w:val="21"/>
          <w:highlight w:val="none"/>
          <w:lang w:val="en-US" w:eastAsia="zh-CN"/>
          <w14:textFill>
            <w14:solidFill>
              <w14:schemeClr w14:val="tx1"/>
            </w14:solidFill>
          </w14:textFill>
        </w:rPr>
        <w:t>。</w:t>
      </w:r>
    </w:p>
    <w:p w14:paraId="71244EC6">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 xml:space="preserve">2、保险公司需提交针对本项目的实施计划，其中包括： 保险方案及条款、理赔方案及条款、理赔细则说明、 服务响应时效、承保及偿付能力说明、对于本项目的风险认识、服务机构及服务小组的构成情况服务等； </w:t>
      </w:r>
    </w:p>
    <w:p w14:paraId="382D26A1">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 xml:space="preserve">3、为保证民生保险的服务质量，承保公司需承诺组成本项目的服务小组，小组人员数量满足服务需求、有专人负责，明确理赔程序及联系方式。被保险人出险后，服务小组人员按响应承诺负责现场查勘、材料搜集、确认理赔等服务工作； </w:t>
      </w:r>
    </w:p>
    <w:p w14:paraId="0EE43F35">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 xml:space="preserve">4、承保公司必须明确项目的理赔人员名单，该人员如调动离岗，须及时告知被保险人接替人员联系方式。 </w:t>
      </w:r>
    </w:p>
    <w:p w14:paraId="1F61BE2C">
      <w:pPr>
        <w:widowControl/>
        <w:spacing w:line="36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lang w:eastAsia="zh-CN"/>
          <w14:textFill>
            <w14:solidFill>
              <w14:schemeClr w14:val="tx1"/>
            </w14:solidFill>
          </w14:textFill>
        </w:rPr>
        <w:t>五</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验收保证的承诺</w:t>
      </w:r>
    </w:p>
    <w:p w14:paraId="1AFAF611">
      <w:pPr>
        <w:keepNext w:val="0"/>
        <w:keepLines w:val="0"/>
        <w:pageBreakBefore w:val="0"/>
        <w:kinsoku/>
        <w:wordWrap/>
        <w:overflowPunct/>
        <w:topLinePunct w:val="0"/>
        <w:autoSpaceDE/>
        <w:autoSpaceDN/>
        <w:bidi w:val="0"/>
        <w:adjustRightInd/>
        <w:snapToGrid/>
        <w:spacing w:line="360" w:lineRule="auto"/>
        <w:ind w:firstLine="426" w:firstLineChars="200"/>
        <w:textAlignment w:val="auto"/>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采购人按相关法律法规组织验收。</w:t>
      </w:r>
    </w:p>
    <w:p w14:paraId="3FA7A361">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eastAsia="zh-CN"/>
          <w14:textFill>
            <w14:solidFill>
              <w14:schemeClr w14:val="tx1"/>
            </w14:solidFill>
          </w14:textFill>
        </w:rPr>
        <w:t>六</w:t>
      </w:r>
      <w:r>
        <w:rPr>
          <w:rFonts w:hint="eastAsia" w:ascii="宋体" w:hAnsi="宋体" w:cs="宋体"/>
          <w:b/>
          <w:color w:val="000000" w:themeColor="text1"/>
          <w:szCs w:val="21"/>
          <w:highlight w:val="none"/>
          <w14:textFill>
            <w14:solidFill>
              <w14:schemeClr w14:val="tx1"/>
            </w14:solidFill>
          </w14:textFill>
        </w:rPr>
        <w:t>）付款方式</w:t>
      </w:r>
    </w:p>
    <w:p w14:paraId="3E43CF28">
      <w:pPr>
        <w:spacing w:line="360" w:lineRule="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预付全部款项(具体以甲乙双方签订合同约定)</w:t>
      </w:r>
    </w:p>
    <w:p w14:paraId="5A983973">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（七）售后</w:t>
      </w:r>
      <w:r>
        <w:rPr>
          <w:rFonts w:hint="eastAsia" w:ascii="宋体" w:hAnsi="宋体" w:eastAsia="宋体" w:cs="宋体"/>
          <w:b/>
          <w:color w:val="000000" w:themeColor="text1"/>
          <w:sz w:val="21"/>
          <w:szCs w:val="21"/>
          <w:highlight w:val="none"/>
          <w:lang w:eastAsia="zh-CN"/>
          <w14:textFill>
            <w14:solidFill>
              <w14:schemeClr w14:val="tx1"/>
            </w14:solidFill>
          </w14:textFill>
        </w:rPr>
        <w:t>服务</w:t>
      </w:r>
      <w:r>
        <w:rPr>
          <w:rFonts w:hint="eastAsia" w:ascii="宋体" w:hAnsi="宋体" w:eastAsia="宋体" w:cs="宋体"/>
          <w:b/>
          <w:color w:val="000000" w:themeColor="text1"/>
          <w:sz w:val="21"/>
          <w:szCs w:val="21"/>
          <w:highlight w:val="none"/>
          <w14:textFill>
            <w14:solidFill>
              <w14:schemeClr w14:val="tx1"/>
            </w14:solidFill>
          </w14:textFill>
        </w:rPr>
        <w:t>要求</w:t>
      </w:r>
    </w:p>
    <w:p w14:paraId="22100110">
      <w:pPr>
        <w:spacing w:line="360" w:lineRule="auto"/>
        <w:ind w:firstLine="426" w:firstLineChars="200"/>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 xml:space="preserve">1、售后服务承诺：设立365天无休日，24 小时报案、咨询受理电话，应针对本项目开设绿色通道服务，确保本项目项下的相关当事人可以获取优先、便捷、高效、优质、全面的服务； </w:t>
      </w:r>
    </w:p>
    <w:p w14:paraId="1D78836C">
      <w:pPr>
        <w:keepNext w:val="0"/>
        <w:keepLines w:val="0"/>
        <w:pageBreakBefore w:val="0"/>
        <w:widowControl w:val="0"/>
        <w:kinsoku/>
        <w:wordWrap/>
        <w:overflowPunct/>
        <w:topLinePunct w:val="0"/>
        <w:autoSpaceDE/>
        <w:autoSpaceDN/>
        <w:bidi w:val="0"/>
        <w:adjustRightInd/>
        <w:snapToGrid/>
        <w:spacing w:line="360" w:lineRule="auto"/>
        <w:ind w:firstLine="426"/>
        <w:jc w:val="left"/>
        <w:textAlignment w:val="auto"/>
        <w:rPr>
          <w:rFonts w:hint="eastAsia" w:ascii="宋体" w:hAnsi="宋体" w:eastAsia="宋体" w:cs="宋体"/>
          <w:b/>
          <w:bCs w:val="0"/>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ascii="宋体" w:hAnsi="宋体" w:eastAsia="宋体" w:cs="宋体"/>
          <w:b/>
          <w:bCs w:val="0"/>
          <w:color w:val="000000" w:themeColor="text1"/>
          <w:szCs w:val="21"/>
          <w:highlight w:val="none"/>
          <w:lang w:val="en-US" w:eastAsia="zh-CN"/>
          <w14:textFill>
            <w14:solidFill>
              <w14:schemeClr w14:val="tx1"/>
            </w14:solidFill>
          </w14:textFill>
        </w:rPr>
        <w:t>设立客户理赔投诉电话，建立客户投诉处理机制，对投诉案件及时登记备案；</w:t>
      </w:r>
    </w:p>
    <w:p w14:paraId="4DE719E3">
      <w:pPr>
        <w:pStyle w:val="10"/>
        <w:ind w:firstLine="426"/>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ascii="宋体" w:hAnsi="宋体" w:eastAsia="宋体" w:cs="宋体"/>
          <w:b/>
          <w:bCs w:val="0"/>
          <w:color w:val="000000" w:themeColor="text1"/>
          <w:szCs w:val="21"/>
          <w:highlight w:val="none"/>
          <w:lang w:val="en-US" w:eastAsia="zh-CN"/>
          <w14:textFill>
            <w14:solidFill>
              <w14:schemeClr w14:val="tx1"/>
            </w14:solidFill>
          </w14:textFill>
        </w:rPr>
        <w:t>在保险期限内，承保公司于每半年后的15天内必须向投保人提供已解决与未解决赔款统计数。</w:t>
      </w:r>
    </w:p>
    <w:p w14:paraId="4ECC398D">
      <w:pPr>
        <w:spacing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八</w:t>
      </w:r>
      <w:r>
        <w:rPr>
          <w:rFonts w:hint="eastAsia" w:ascii="宋体" w:hAnsi="宋体" w:cs="宋体"/>
          <w:b/>
          <w:color w:val="000000" w:themeColor="text1"/>
          <w:szCs w:val="21"/>
          <w:highlight w:val="none"/>
          <w14:textFill>
            <w14:solidFill>
              <w14:schemeClr w14:val="tx1"/>
            </w14:solidFill>
          </w14:textFill>
        </w:rPr>
        <w:t>）知识产权</w:t>
      </w:r>
    </w:p>
    <w:p w14:paraId="15F1008B">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     采购人在中华人民共和国境内使用投标人提供的货物及服务时免受第三方提出的侵犯其专利权或其它知识产权的起诉。如果第三方提出侵权指控，中标人应承担由此而引起的一切法律责任和费用。</w:t>
      </w:r>
    </w:p>
    <w:p w14:paraId="10A91C15">
      <w:pPr>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九</w:t>
      </w:r>
      <w:r>
        <w:rPr>
          <w:rFonts w:hint="eastAsia" w:ascii="宋体" w:hAnsi="宋体" w:cs="宋体"/>
          <w:b/>
          <w:color w:val="000000" w:themeColor="text1"/>
          <w:szCs w:val="21"/>
          <w:highlight w:val="none"/>
          <w14:textFill>
            <w14:solidFill>
              <w14:schemeClr w14:val="tx1"/>
            </w14:solidFill>
          </w14:textFill>
        </w:rPr>
        <w:t>）其他</w:t>
      </w:r>
    </w:p>
    <w:p w14:paraId="6CAF9250">
      <w:pPr>
        <w:spacing w:line="360" w:lineRule="auto"/>
        <w:ind w:firstLine="426"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1、投标人必须在投标文件中对以上条款和服务承诺明确列出，承诺内容必须达到本篇及招标文件其他条款的要求。</w:t>
      </w:r>
    </w:p>
    <w:p w14:paraId="0CA4893F">
      <w:pPr>
        <w:spacing w:line="360" w:lineRule="auto"/>
        <w:ind w:firstLine="426"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2、其他未尽事宜由供需双方在采购合同中详细约定。</w:t>
      </w:r>
      <w:bookmarkEnd w:id="56"/>
      <w:bookmarkStart w:id="61" w:name="_Toc469495740"/>
    </w:p>
    <w:p w14:paraId="3D3BA1FB">
      <w:pPr>
        <w:spacing w:line="360" w:lineRule="auto"/>
        <w:ind w:firstLine="426" w:firstLineChars="20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3、投标人在服务期必须遵守安全生产事项、如：发生安全事故由投标人承担一切责任。</w:t>
      </w:r>
    </w:p>
    <w:p w14:paraId="23DAF6BA">
      <w:pPr>
        <w:pStyle w:val="10"/>
        <w:spacing w:line="360" w:lineRule="auto"/>
        <w:rPr>
          <w:rFonts w:hint="eastAsia" w:ascii="宋体" w:hAnsi="宋体" w:cs="宋体"/>
          <w:bCs/>
          <w:color w:val="000000" w:themeColor="text1"/>
          <w:szCs w:val="21"/>
          <w:highlight w:val="none"/>
          <w:lang w:val="en-US" w:eastAsia="zh-CN"/>
          <w14:textFill>
            <w14:solidFill>
              <w14:schemeClr w14:val="tx1"/>
            </w14:solidFill>
          </w14:textFill>
        </w:rPr>
      </w:pPr>
    </w:p>
    <w:p w14:paraId="401B6C50">
      <w:pPr>
        <w:rPr>
          <w:rFonts w:hint="eastAsia"/>
          <w:highlight w:val="none"/>
          <w:lang w:val="en-US" w:eastAsia="zh-CN"/>
        </w:rPr>
      </w:pPr>
      <w:r>
        <w:rPr>
          <w:rFonts w:hint="eastAsia"/>
          <w:highlight w:val="none"/>
          <w:lang w:val="en-US" w:eastAsia="zh-CN"/>
        </w:rPr>
        <w:br w:type="page"/>
      </w:r>
    </w:p>
    <w:p w14:paraId="7E60D1DC">
      <w:pPr>
        <w:pStyle w:val="27"/>
        <w:ind w:left="0" w:leftChars="0" w:firstLine="0" w:firstLineChars="0"/>
        <w:rPr>
          <w:rFonts w:hint="eastAsia"/>
          <w:highlight w:val="none"/>
          <w:lang w:val="en-US" w:eastAsia="zh-CN"/>
        </w:rPr>
      </w:pPr>
    </w:p>
    <w:p w14:paraId="5B42385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424" w:firstLineChars="800"/>
        <w:jc w:val="both"/>
        <w:textAlignment w:val="auto"/>
        <w:outlineLvl w:val="0"/>
        <w:rPr>
          <w:rFonts w:hint="eastAsia" w:ascii="宋体"/>
          <w:b/>
          <w:color w:val="auto"/>
          <w:sz w:val="30"/>
          <w:szCs w:val="30"/>
          <w:highlight w:val="none"/>
        </w:rPr>
      </w:pPr>
      <w:r>
        <w:rPr>
          <w:rFonts w:hint="eastAsia" w:ascii="宋体"/>
          <w:b/>
          <w:color w:val="auto"/>
          <w:sz w:val="30"/>
          <w:szCs w:val="30"/>
          <w:highlight w:val="none"/>
          <w:lang w:val="en-US" w:eastAsia="zh-CN"/>
        </w:rPr>
        <w:t xml:space="preserve">第五章 </w:t>
      </w:r>
      <w:r>
        <w:rPr>
          <w:rFonts w:hint="eastAsia" w:ascii="宋体"/>
          <w:b/>
          <w:color w:val="auto"/>
          <w:sz w:val="30"/>
          <w:szCs w:val="30"/>
          <w:highlight w:val="none"/>
        </w:rPr>
        <w:t xml:space="preserve"> 合同条款及格式</w:t>
      </w:r>
      <w:bookmarkEnd w:id="61"/>
      <w:bookmarkStart w:id="62" w:name="_Toc20669"/>
    </w:p>
    <w:p w14:paraId="17DD03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（本合同为合同样稿，最终稿由供需双方协商后确定）</w:t>
      </w:r>
      <w:bookmarkEnd w:id="62"/>
    </w:p>
    <w:p w14:paraId="502F8C10">
      <w:pPr>
        <w:widowControl/>
        <w:numPr>
          <w:ilvl w:val="0"/>
          <w:numId w:val="9"/>
        </w:numPr>
        <w:shd w:val="clear" w:color="auto" w:fill="auto"/>
        <w:spacing w:line="600" w:lineRule="exact"/>
        <w:jc w:val="center"/>
        <w:textAlignment w:val="baseline"/>
        <w:outlineLvl w:val="9"/>
        <w:rPr>
          <w:rFonts w:hint="eastAsia" w:ascii="黑体" w:eastAsia="黑体"/>
          <w:b/>
          <w:color w:val="auto"/>
          <w:sz w:val="28"/>
          <w:szCs w:val="28"/>
          <w:highlight w:val="none"/>
        </w:rPr>
      </w:pPr>
      <w:r>
        <w:rPr>
          <w:rFonts w:hint="eastAsia" w:ascii="宋体"/>
          <w:b/>
          <w:color w:val="auto"/>
          <w:sz w:val="28"/>
          <w:szCs w:val="28"/>
          <w:highlight w:val="none"/>
        </w:rPr>
        <w:t xml:space="preserve"> </w:t>
      </w:r>
      <w:bookmarkStart w:id="63" w:name="_Toc469495741"/>
      <w:r>
        <w:rPr>
          <w:rFonts w:hint="eastAsia" w:ascii="宋体"/>
          <w:b/>
          <w:color w:val="auto"/>
          <w:sz w:val="28"/>
          <w:szCs w:val="28"/>
          <w:highlight w:val="none"/>
        </w:rPr>
        <w:t>合同协议书</w:t>
      </w:r>
      <w:bookmarkEnd w:id="63"/>
    </w:p>
    <w:p w14:paraId="4265EBD7">
      <w:pPr>
        <w:shd w:val="clear" w:color="auto" w:fill="auto"/>
        <w:spacing w:line="360" w:lineRule="auto"/>
        <w:ind w:firstLine="486" w:firstLineChars="200"/>
        <w:jc w:val="both"/>
        <w:outlineLvl w:val="9"/>
        <w:rPr>
          <w:rFonts w:hint="eastAsia"/>
          <w:highlight w:val="none"/>
          <w:lang w:eastAsia="zh-CN"/>
        </w:rPr>
      </w:pPr>
      <w:r>
        <w:rPr>
          <w:rFonts w:hint="eastAsia" w:ascii="宋体"/>
          <w:color w:val="auto"/>
          <w:sz w:val="24"/>
          <w:highlight w:val="none"/>
          <w:lang w:val="en-US" w:eastAsia="zh-CN"/>
        </w:rPr>
        <w:t>合同名称 ：</w:t>
      </w:r>
      <w:r>
        <w:rPr>
          <w:rFonts w:hint="eastAsia" w:ascii="宋体"/>
          <w:b/>
          <w:color w:val="auto"/>
          <w:sz w:val="24"/>
          <w:highlight w:val="none"/>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编号</w:t>
      </w:r>
      <w:r>
        <w:rPr>
          <w:rFonts w:hint="eastAsia" w:ascii="宋体"/>
          <w:color w:val="auto"/>
          <w:sz w:val="24"/>
          <w:highlight w:val="none"/>
          <w:lang w:eastAsia="zh-CN"/>
        </w:rPr>
        <w:t>：</w:t>
      </w:r>
    </w:p>
    <w:p w14:paraId="7BD1C9C5">
      <w:pPr>
        <w:shd w:val="clear" w:color="auto" w:fill="auto"/>
        <w:spacing w:line="420" w:lineRule="exact"/>
        <w:ind w:firstLine="426" w:firstLineChars="200"/>
        <w:outlineLvl w:val="9"/>
        <w:rPr>
          <w:rFonts w:hint="eastAsia" w:ascii="宋体" w:cs="宋体"/>
          <w:color w:val="auto"/>
          <w:szCs w:val="21"/>
          <w:highlight w:val="none"/>
        </w:rPr>
      </w:pPr>
      <w:bookmarkStart w:id="64" w:name="_Toc179632628"/>
      <w:bookmarkStart w:id="65" w:name="_Toc152045610"/>
      <w:bookmarkStart w:id="66" w:name="_Toc296602498"/>
      <w:bookmarkStart w:id="67" w:name="_Toc246996253"/>
      <w:bookmarkStart w:id="68" w:name="_Toc469495742"/>
      <w:bookmarkStart w:id="69" w:name="_Toc247085768"/>
      <w:bookmarkStart w:id="70" w:name="_Toc152042388"/>
      <w:bookmarkStart w:id="71" w:name="_Toc144974578"/>
      <w:bookmarkStart w:id="72" w:name="_Toc246996996"/>
      <w:r>
        <w:rPr>
          <w:rFonts w:hint="eastAsia" w:ascii="宋体" w:cs="宋体"/>
          <w:color w:val="auto"/>
          <w:szCs w:val="21"/>
          <w:highlight w:val="none"/>
        </w:rPr>
        <w:t>买    方：                                   卖    方：</w:t>
      </w:r>
    </w:p>
    <w:p w14:paraId="3D987C33">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电    话：                                   电    话：</w:t>
      </w:r>
    </w:p>
    <w:p w14:paraId="7F3A5A57">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 xml:space="preserve">住    所：                                   住    所：                       </w:t>
      </w:r>
    </w:p>
    <w:p w14:paraId="0D73AB6C">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u w:val="single"/>
        </w:rPr>
        <w:t>（买方）</w:t>
      </w:r>
      <w:r>
        <w:rPr>
          <w:rFonts w:hint="eastAsia" w:ascii="宋体" w:cs="宋体"/>
          <w:color w:val="auto"/>
          <w:szCs w:val="21"/>
          <w:highlight w:val="none"/>
        </w:rPr>
        <w:t>的</w:t>
      </w:r>
      <w:r>
        <w:rPr>
          <w:rFonts w:hint="eastAsia" w:ascii="宋体" w:cs="宋体"/>
          <w:color w:val="auto"/>
          <w:szCs w:val="21"/>
          <w:highlight w:val="none"/>
          <w:u w:val="single"/>
        </w:rPr>
        <w:t>（项目名称）</w:t>
      </w:r>
      <w:r>
        <w:rPr>
          <w:rFonts w:hint="eastAsia" w:ascii="宋体" w:cs="宋体"/>
          <w:color w:val="auto"/>
          <w:szCs w:val="21"/>
          <w:highlight w:val="none"/>
        </w:rPr>
        <w:t>中所需</w:t>
      </w:r>
      <w:r>
        <w:rPr>
          <w:rFonts w:hint="eastAsia" w:ascii="宋体" w:cs="宋体"/>
          <w:color w:val="auto"/>
          <w:szCs w:val="21"/>
          <w:highlight w:val="none"/>
          <w:u w:val="single"/>
        </w:rPr>
        <w:t>（产品名称）</w:t>
      </w:r>
      <w:r>
        <w:rPr>
          <w:rFonts w:hint="eastAsia" w:ascii="宋体" w:cs="宋体"/>
          <w:color w:val="auto"/>
          <w:szCs w:val="21"/>
          <w:highlight w:val="none"/>
        </w:rPr>
        <w:t xml:space="preserve"> 经公开招标，确定</w:t>
      </w:r>
      <w:r>
        <w:rPr>
          <w:rFonts w:hint="eastAsia" w:ascii="宋体" w:cs="宋体"/>
          <w:color w:val="auto"/>
          <w:szCs w:val="21"/>
          <w:highlight w:val="none"/>
          <w:u w:val="single"/>
        </w:rPr>
        <w:t>（卖方）</w:t>
      </w:r>
      <w:r>
        <w:rPr>
          <w:rFonts w:hint="eastAsia" w:ascii="宋体" w:cs="宋体"/>
          <w:color w:val="auto"/>
          <w:szCs w:val="21"/>
          <w:highlight w:val="none"/>
        </w:rPr>
        <w:t>为中标人。按照中华人民共和国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的规定，买卖双方同意按照下述的条款和条件，签署本合同。</w:t>
      </w:r>
    </w:p>
    <w:p w14:paraId="6046553A">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1、本合同文件</w:t>
      </w:r>
    </w:p>
    <w:p w14:paraId="3EE5FE1A">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下列每一文件均应作为合同的组成部分进行阅读和解释：</w:t>
      </w:r>
    </w:p>
    <w:p w14:paraId="50EB7182">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eastAsia="zh-CN"/>
        </w:rPr>
        <w:t>采购文件</w:t>
      </w:r>
      <w:r>
        <w:rPr>
          <w:rFonts w:hint="eastAsia" w:ascii="宋体" w:cs="宋体"/>
          <w:color w:val="auto"/>
          <w:szCs w:val="21"/>
          <w:highlight w:val="none"/>
        </w:rPr>
        <w:t>（2）投标文件（3）中标通知书</w:t>
      </w:r>
    </w:p>
    <w:p w14:paraId="7681F4D2">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（4）经双方确认进入合同的其它文件、补充条款或说明</w:t>
      </w:r>
    </w:p>
    <w:p w14:paraId="4DEBB6F2">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2、采购标的、数量、质量要求</w:t>
      </w:r>
    </w:p>
    <w:p w14:paraId="4EEC9683">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3、合同总价</w:t>
      </w:r>
    </w:p>
    <w:p w14:paraId="57ACD377">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 xml:space="preserve">合同总价为 </w:t>
      </w:r>
      <w:r>
        <w:rPr>
          <w:rFonts w:hint="eastAsia" w:ascii="宋体" w:cs="宋体"/>
          <w:color w:val="auto"/>
          <w:szCs w:val="21"/>
          <w:highlight w:val="none"/>
          <w:u w:val="single"/>
        </w:rPr>
        <w:t xml:space="preserve">              </w:t>
      </w:r>
      <w:r>
        <w:rPr>
          <w:rFonts w:hint="eastAsia" w:ascii="宋体" w:cs="宋体"/>
          <w:color w:val="auto"/>
          <w:szCs w:val="21"/>
          <w:highlight w:val="none"/>
        </w:rPr>
        <w:t>元人民币。</w:t>
      </w:r>
    </w:p>
    <w:p w14:paraId="03057097">
      <w:pPr>
        <w:shd w:val="clear" w:color="auto" w:fill="auto"/>
        <w:autoSpaceDN w:val="0"/>
        <w:spacing w:line="240" w:lineRule="atLeast"/>
        <w:ind w:firstLine="426" w:firstLineChars="200"/>
        <w:outlineLvl w:val="9"/>
        <w:rPr>
          <w:rFonts w:hint="eastAsia" w:ascii="宋体" w:hAnsi="宋体" w:cs="宋体"/>
          <w:b/>
          <w:color w:val="auto"/>
          <w:kern w:val="0"/>
          <w:szCs w:val="21"/>
          <w:highlight w:val="none"/>
        </w:rPr>
      </w:pPr>
      <w:r>
        <w:rPr>
          <w:rFonts w:hint="eastAsia" w:ascii="宋体" w:cs="宋体"/>
          <w:color w:val="auto"/>
          <w:szCs w:val="21"/>
          <w:highlight w:val="none"/>
        </w:rPr>
        <w:t>4、付款方式</w:t>
      </w:r>
      <w:r>
        <w:rPr>
          <w:rFonts w:hint="eastAsia" w:ascii="黑体" w:eastAsia="黑体" w:cs="宋体"/>
          <w:b/>
          <w:bCs/>
          <w:color w:val="auto"/>
          <w:szCs w:val="21"/>
          <w:highlight w:val="none"/>
        </w:rPr>
        <w:t>：</w:t>
      </w:r>
      <w:r>
        <w:rPr>
          <w:rFonts w:hint="eastAsia" w:ascii="宋体"/>
          <w:color w:val="auto"/>
          <w:szCs w:val="21"/>
          <w:highlight w:val="none"/>
          <w:u w:val="single"/>
        </w:rPr>
        <w:t xml:space="preserve">                                         。</w:t>
      </w:r>
    </w:p>
    <w:p w14:paraId="533C09D6">
      <w:pPr>
        <w:shd w:val="clear" w:color="auto" w:fill="auto"/>
        <w:spacing w:line="360" w:lineRule="auto"/>
        <w:ind w:firstLine="426" w:firstLineChars="200"/>
        <w:outlineLvl w:val="9"/>
        <w:rPr>
          <w:rFonts w:hint="eastAsia" w:ascii="宋体"/>
          <w:color w:val="auto"/>
          <w:szCs w:val="21"/>
          <w:highlight w:val="none"/>
        </w:rPr>
      </w:pPr>
      <w:r>
        <w:rPr>
          <w:rFonts w:hint="eastAsia" w:ascii="宋体" w:cs="宋体"/>
          <w:color w:val="auto"/>
          <w:szCs w:val="21"/>
          <w:highlight w:val="none"/>
        </w:rPr>
        <w:t>5、</w:t>
      </w:r>
      <w:r>
        <w:rPr>
          <w:rFonts w:hint="eastAsia" w:ascii="宋体"/>
          <w:color w:val="auto"/>
          <w:szCs w:val="21"/>
          <w:highlight w:val="none"/>
        </w:rPr>
        <w:t>合同供货（服务）期限及地点和方式</w:t>
      </w:r>
    </w:p>
    <w:p w14:paraId="20B5FD27">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6、验收要求及违约责任</w:t>
      </w:r>
    </w:p>
    <w:p w14:paraId="6F171BE3">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7、违约责任及解决争议方法</w:t>
      </w:r>
    </w:p>
    <w:p w14:paraId="0365991E">
      <w:pPr>
        <w:shd w:val="clear" w:color="auto" w:fill="auto"/>
        <w:spacing w:line="420" w:lineRule="exact"/>
        <w:ind w:firstLine="426" w:firstLineChars="200"/>
        <w:outlineLvl w:val="9"/>
        <w:rPr>
          <w:rFonts w:hint="eastAsia" w:ascii="宋体" w:cs="宋体"/>
          <w:color w:val="auto"/>
          <w:szCs w:val="21"/>
          <w:highlight w:val="none"/>
        </w:rPr>
      </w:pPr>
      <w:r>
        <w:rPr>
          <w:rFonts w:hint="eastAsia" w:ascii="宋体" w:cs="宋体"/>
          <w:color w:val="auto"/>
          <w:szCs w:val="21"/>
          <w:highlight w:val="none"/>
        </w:rPr>
        <w:t>8、合同的生效</w:t>
      </w:r>
    </w:p>
    <w:p w14:paraId="37A6569C">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合同经双方授权代表签署，买卖双方加盖印章之后生效。</w:t>
      </w:r>
    </w:p>
    <w:p w14:paraId="2F0282F7">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本合同一式     份，双方各执     份。</w:t>
      </w:r>
    </w:p>
    <w:p w14:paraId="35CA795A">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买  方：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卖  方：</w:t>
      </w:r>
    </w:p>
    <w:p w14:paraId="43333F8D">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名  称：（盖章）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名  称：（盖章）</w:t>
      </w:r>
    </w:p>
    <w:p w14:paraId="7C186AE8">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法定代表人（或委托代理人）： （签字） 法定代表人（或委托代理人）：（签字）                        </w:t>
      </w:r>
    </w:p>
    <w:p w14:paraId="4068FDD0">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地    址：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地    址：</w:t>
      </w:r>
    </w:p>
    <w:p w14:paraId="4230ACBF">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邮政编码：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邮政编码：</w:t>
      </w:r>
    </w:p>
    <w:p w14:paraId="6462A723">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电    话：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电    话：</w:t>
      </w:r>
    </w:p>
    <w:p w14:paraId="0BDFE8DC">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开户银行：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 xml:space="preserve"> 开户银行：</w:t>
      </w:r>
    </w:p>
    <w:p w14:paraId="4D2794B9">
      <w:pPr>
        <w:pStyle w:val="12"/>
        <w:shd w:val="clear" w:color="auto" w:fill="auto"/>
        <w:spacing w:after="0" w:line="420" w:lineRule="exact"/>
        <w:ind w:left="0" w:leftChars="0" w:firstLine="426" w:firstLineChars="200"/>
        <w:outlineLvl w:val="9"/>
        <w:rPr>
          <w:rFonts w:hint="eastAsia" w:ascii="宋体" w:cs="宋体"/>
          <w:color w:val="auto"/>
          <w:kern w:val="0"/>
          <w:szCs w:val="21"/>
          <w:highlight w:val="none"/>
          <w:u w:val="none" w:color="000000"/>
        </w:rPr>
      </w:pPr>
      <w:r>
        <w:rPr>
          <w:rFonts w:hint="eastAsia" w:ascii="宋体" w:cs="宋体"/>
          <w:color w:val="auto"/>
          <w:kern w:val="0"/>
          <w:szCs w:val="21"/>
          <w:highlight w:val="none"/>
          <w:u w:val="none" w:color="000000"/>
        </w:rPr>
        <w:t xml:space="preserve">帐    号：                        </w:t>
      </w:r>
      <w:r>
        <w:rPr>
          <w:rFonts w:hint="eastAsia" w:ascii="宋体" w:cs="宋体"/>
          <w:color w:val="auto"/>
          <w:kern w:val="0"/>
          <w:szCs w:val="21"/>
          <w:highlight w:val="none"/>
          <w:u w:val="none" w:color="000000"/>
          <w:lang w:val="en-US" w:eastAsia="zh-CN"/>
        </w:rPr>
        <w:t xml:space="preserve">    </w:t>
      </w:r>
      <w:r>
        <w:rPr>
          <w:rFonts w:hint="eastAsia" w:ascii="宋体" w:cs="宋体"/>
          <w:color w:val="auto"/>
          <w:kern w:val="0"/>
          <w:szCs w:val="21"/>
          <w:highlight w:val="none"/>
          <w:u w:val="none" w:color="000000"/>
        </w:rPr>
        <w:t>帐    号：</w:t>
      </w:r>
    </w:p>
    <w:p w14:paraId="37A8EC86">
      <w:pPr>
        <w:outlineLvl w:val="9"/>
        <w:rPr>
          <w:rFonts w:hint="eastAsia"/>
          <w:highlight w:val="none"/>
        </w:rPr>
      </w:pPr>
    </w:p>
    <w:p w14:paraId="0EB263C0">
      <w:pPr>
        <w:pStyle w:val="12"/>
        <w:shd w:val="clear" w:color="auto" w:fill="auto"/>
        <w:spacing w:after="0" w:line="420" w:lineRule="exact"/>
        <w:ind w:left="0" w:leftChars="0" w:firstLine="566" w:firstLineChars="200"/>
        <w:jc w:val="center"/>
        <w:outlineLvl w:val="9"/>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二  合同条款</w:t>
      </w:r>
      <w:bookmarkEnd w:id="64"/>
      <w:bookmarkEnd w:id="65"/>
      <w:bookmarkEnd w:id="66"/>
      <w:bookmarkEnd w:id="67"/>
      <w:bookmarkEnd w:id="68"/>
      <w:bookmarkEnd w:id="69"/>
      <w:bookmarkEnd w:id="70"/>
      <w:bookmarkEnd w:id="71"/>
      <w:bookmarkEnd w:id="72"/>
    </w:p>
    <w:p w14:paraId="23C50B8C">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一.  合同文件</w:t>
      </w:r>
    </w:p>
    <w:p w14:paraId="73FA5E70">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1、合同文件适用法律</w:t>
      </w:r>
    </w:p>
    <w:p w14:paraId="66B3E0D3">
      <w:pPr>
        <w:shd w:val="clear" w:color="auto" w:fill="auto"/>
        <w:spacing w:line="440" w:lineRule="exact"/>
        <w:ind w:firstLine="639" w:firstLineChars="300"/>
        <w:outlineLvl w:val="9"/>
        <w:rPr>
          <w:rFonts w:hint="eastAsia" w:ascii="宋体" w:cs="宋体"/>
          <w:color w:val="auto"/>
          <w:szCs w:val="21"/>
          <w:highlight w:val="none"/>
        </w:rPr>
      </w:pPr>
      <w:r>
        <w:rPr>
          <w:rFonts w:hint="eastAsia" w:ascii="宋体" w:cs="宋体"/>
          <w:color w:val="auto"/>
          <w:szCs w:val="21"/>
          <w:highlight w:val="none"/>
        </w:rPr>
        <w:t>适用于合同文件的法律是中华人民共和国现行法律、法规及招标人所在地的地方性法规。</w:t>
      </w:r>
    </w:p>
    <w:p w14:paraId="10F33C2E">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2、合同文件组成和解释顺序</w:t>
      </w:r>
    </w:p>
    <w:p w14:paraId="5AF06E52">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(1)合同文件的组成和解释顺序如下：</w:t>
      </w:r>
    </w:p>
    <w:p w14:paraId="279D54C6">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&lt;1&gt;合同的主要条款；</w:t>
      </w:r>
    </w:p>
    <w:p w14:paraId="1C647E37">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&lt;2&gt;合同的一般性条款；</w:t>
      </w:r>
    </w:p>
    <w:p w14:paraId="7B40B9A2">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&lt;3&gt;洽商、变更等明确双方权利义务的纪要、协议；</w:t>
      </w:r>
    </w:p>
    <w:p w14:paraId="5D225FFC">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&lt;4&gt;中标通知书、投标文件和</w:t>
      </w:r>
      <w:r>
        <w:rPr>
          <w:rFonts w:hint="eastAsia" w:ascii="宋体" w:cs="宋体"/>
          <w:color w:val="auto"/>
          <w:szCs w:val="21"/>
          <w:highlight w:val="none"/>
          <w:lang w:eastAsia="zh-CN"/>
        </w:rPr>
        <w:t>采购文件</w:t>
      </w:r>
      <w:r>
        <w:rPr>
          <w:rFonts w:hint="eastAsia" w:ascii="宋体" w:cs="宋体"/>
          <w:color w:val="auto"/>
          <w:szCs w:val="21"/>
          <w:highlight w:val="none"/>
        </w:rPr>
        <w:t>；</w:t>
      </w:r>
    </w:p>
    <w:p w14:paraId="370B9E69">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&lt;5&gt;有关图纸、标准、规范和其它有关技术资料、技术要求。</w:t>
      </w:r>
    </w:p>
    <w:p w14:paraId="4D5C2745">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&lt;6&gt;合同的主要条款的效力优于合同的一般性条款的效力。</w:t>
      </w:r>
    </w:p>
    <w:p w14:paraId="2BE02813">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3、合同文件使用文字</w:t>
      </w:r>
    </w:p>
    <w:p w14:paraId="067FFA73">
      <w:pPr>
        <w:pStyle w:val="6"/>
        <w:shd w:val="clear" w:color="auto" w:fill="auto"/>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(1)合同文件使用中文书写、解释和说明。</w:t>
      </w:r>
    </w:p>
    <w:p w14:paraId="1E70947B">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(2)合同文件使用技术性条款约定的为国家标准和规范；国家没有相应标准、规范时，可使用行业标准、规范。非标货物应按约定的技术性条款的标准和规范。 </w:t>
      </w:r>
    </w:p>
    <w:p w14:paraId="2EB09C1E">
      <w:pPr>
        <w:shd w:val="clear" w:color="auto" w:fill="auto"/>
        <w:spacing w:line="440" w:lineRule="exact"/>
        <w:outlineLvl w:val="9"/>
        <w:rPr>
          <w:rFonts w:hint="eastAsia" w:ascii="宋体" w:cs="宋体"/>
          <w:b/>
          <w:color w:val="auto"/>
          <w:szCs w:val="21"/>
          <w:highlight w:val="none"/>
        </w:rPr>
      </w:pPr>
      <w:r>
        <w:rPr>
          <w:rFonts w:hint="eastAsia" w:ascii="宋体" w:cs="宋体"/>
          <w:b/>
          <w:color w:val="000000" w:themeColor="text1"/>
          <w:szCs w:val="21"/>
          <w:highlight w:val="none"/>
          <w14:textFill>
            <w14:solidFill>
              <w14:schemeClr w14:val="tx1"/>
            </w14:solidFill>
          </w14:textFill>
        </w:rPr>
        <w:t>二.  标的物的一般条款</w:t>
      </w:r>
    </w:p>
    <w:p w14:paraId="2D053FC9">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4、完整物权</w:t>
      </w:r>
    </w:p>
    <w:p w14:paraId="731C3D58">
      <w:pPr>
        <w:shd w:val="clear" w:color="auto" w:fill="auto"/>
        <w:tabs>
          <w:tab w:val="left" w:pos="660"/>
        </w:tabs>
        <w:spacing w:line="440" w:lineRule="exact"/>
        <w:outlineLvl w:val="9"/>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对于出卖的标的物，卖方应当拥有完整物权，并且卖方负有保证第三人不得向买方主张任何权利（包括知识产权）的义务。</w:t>
      </w:r>
    </w:p>
    <w:p w14:paraId="42FD3800">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5、质量保证</w:t>
      </w:r>
    </w:p>
    <w:p w14:paraId="39866AA6">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7F07BB1E">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155CC913">
      <w:pPr>
        <w:pStyle w:val="6"/>
        <w:shd w:val="clear" w:color="auto" w:fill="auto"/>
        <w:tabs>
          <w:tab w:val="left" w:pos="900"/>
        </w:tabs>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36D6287E">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6、包装</w:t>
      </w:r>
    </w:p>
    <w:p w14:paraId="300B54DD">
      <w:pPr>
        <w:pStyle w:val="6"/>
        <w:shd w:val="clear" w:color="auto" w:fill="auto"/>
        <w:tabs>
          <w:tab w:val="left" w:pos="900"/>
        </w:tabs>
        <w:spacing w:line="440" w:lineRule="exact"/>
        <w:ind w:firstLine="478" w:firstLineChars="225"/>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B3E73E9">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7、伴随服务</w:t>
      </w:r>
    </w:p>
    <w:p w14:paraId="396EBC34">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(1)卖方除应履行按期按量交付合格标的物的义务之外，还应提供下列服务：</w:t>
      </w:r>
    </w:p>
    <w:p w14:paraId="0C2125F7">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&lt;1&gt;标的物的现场安装或指导安装、启动、调试、监督（如果必须安装、调试的话）；</w:t>
      </w:r>
    </w:p>
    <w:p w14:paraId="30E3466E">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&lt;2&gt;提供标的物组装和一般维修所必须的工具；</w:t>
      </w:r>
    </w:p>
    <w:p w14:paraId="74E020EF">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&lt;3&gt;在合同规定的期限内对所提供标的物实行运行监督、维修服务的前提条件是该服务并不能免除卖方在质量保证期内所承担的义务；</w:t>
      </w:r>
    </w:p>
    <w:p w14:paraId="5C7284FE">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&lt;4&gt;对买方技术人员的技术指导或培训。</w:t>
      </w:r>
    </w:p>
    <w:p w14:paraId="03D269BC">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(2)除合同另有规定之外，伴随服务的费用均已含在合同价款中，买方不再另行进行支付。</w:t>
      </w:r>
    </w:p>
    <w:p w14:paraId="5B58C903">
      <w:pPr>
        <w:spacing w:line="560" w:lineRule="exact"/>
        <w:ind w:firstLine="426" w:firstLineChars="200"/>
        <w:outlineLvl w:val="9"/>
        <w:rPr>
          <w:rFonts w:hint="eastAsia" w:ascii="宋体" w:hAnsi="宋体" w:eastAsia="宋体" w:cs="宋体"/>
          <w:b/>
          <w:sz w:val="24"/>
          <w:highlight w:val="none"/>
        </w:rPr>
      </w:pPr>
      <w:r>
        <w:rPr>
          <w:rFonts w:hint="eastAsia" w:ascii="宋体" w:cs="宋体"/>
          <w:b/>
          <w:color w:val="000000" w:themeColor="text1"/>
          <w:szCs w:val="21"/>
          <w:highlight w:val="none"/>
          <w14:textFill>
            <w14:solidFill>
              <w14:schemeClr w14:val="tx1"/>
            </w14:solidFill>
          </w14:textFill>
        </w:rPr>
        <w:t xml:space="preserve">三. </w:t>
      </w:r>
      <w:r>
        <w:rPr>
          <w:rFonts w:hint="eastAsia" w:ascii="宋体" w:hAnsi="宋体" w:eastAsia="宋体" w:cs="宋体"/>
          <w:b/>
          <w:sz w:val="24"/>
          <w:highlight w:val="none"/>
        </w:rPr>
        <w:t xml:space="preserve"> 检验和验收</w:t>
      </w:r>
    </w:p>
    <w:p w14:paraId="30F7FCE0">
      <w:pPr>
        <w:tabs>
          <w:tab w:val="left" w:pos="360"/>
          <w:tab w:val="left" w:pos="540"/>
          <w:tab w:val="left" w:pos="1080"/>
        </w:tabs>
        <w:spacing w:line="560" w:lineRule="exact"/>
        <w:ind w:firstLine="426" w:firstLineChars="200"/>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1服务交付前，乙方应对服务的质量、数量等方面进行详细、全面的检验，并向甲方出具证明服务符合合同约定的文件；服务交付时，乙方在合同专用条款约定时间内组织验收，并可依法邀请相关方参加，验收应出具验收书。</w:t>
      </w:r>
    </w:p>
    <w:p w14:paraId="7C387943">
      <w:pPr>
        <w:tabs>
          <w:tab w:val="left" w:pos="360"/>
          <w:tab w:val="left" w:pos="540"/>
          <w:tab w:val="left" w:pos="1080"/>
        </w:tabs>
        <w:spacing w:line="560" w:lineRule="exact"/>
        <w:ind w:firstLine="426" w:firstLineChars="200"/>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5BDB11">
      <w:pPr>
        <w:tabs>
          <w:tab w:val="left" w:pos="360"/>
          <w:tab w:val="left" w:pos="540"/>
          <w:tab w:val="left" w:pos="1080"/>
        </w:tabs>
        <w:spacing w:line="560" w:lineRule="exact"/>
        <w:ind w:firstLine="426" w:firstLineChars="200"/>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 3 检验和验收标准、程序等具体内容以及前述验收书的效力详见合同专用条款。</w:t>
      </w:r>
    </w:p>
    <w:p w14:paraId="35EE05E1">
      <w:pPr>
        <w:shd w:val="clear" w:color="auto" w:fill="auto"/>
        <w:spacing w:line="440" w:lineRule="exact"/>
        <w:outlineLvl w:val="9"/>
        <w:rPr>
          <w:rFonts w:hint="eastAsia"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四. 对标的物提出异议的时间和办法</w:t>
      </w:r>
    </w:p>
    <w:p w14:paraId="68B612A9">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 xml:space="preserve">、对标的物提出异议的时间和办法 </w:t>
      </w:r>
    </w:p>
    <w:p w14:paraId="2696808A">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(1)买方在验收过程中，应当于双方约定的检验期间内将标的物的数量或质量不符合约定的情形及处理方式以书面形式通知卖方。</w:t>
      </w:r>
    </w:p>
    <w:p w14:paraId="2BAFE491">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(2)如买方在验收期满后既不出具验收合格证明又未提出书面异议的视为卖方所交标的物符合合同规定。</w:t>
      </w:r>
    </w:p>
    <w:p w14:paraId="42E6A1B5">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(3)卖方应在收到买方书面异议后</w:t>
      </w:r>
      <w:r>
        <w:rPr>
          <w:rFonts w:hint="eastAsia" w:ascii="宋体" w:cs="宋体"/>
          <w:color w:val="auto"/>
          <w:sz w:val="21"/>
          <w:szCs w:val="21"/>
          <w:highlight w:val="none"/>
          <w:u w:val="none" w:color="000000"/>
          <w:lang w:val="en-US" w:eastAsia="zh-CN"/>
        </w:rPr>
        <w:t>3</w:t>
      </w:r>
      <w:r>
        <w:rPr>
          <w:rFonts w:hint="eastAsia" w:ascii="宋体" w:cs="宋体"/>
          <w:color w:val="auto"/>
          <w:sz w:val="21"/>
          <w:szCs w:val="21"/>
          <w:highlight w:val="none"/>
          <w:u w:val="none" w:color="000000"/>
        </w:rPr>
        <w:t>天内负责处理问题，否则将视为默认买方提出的异议和处理意见。</w:t>
      </w:r>
    </w:p>
    <w:p w14:paraId="14DC0D02">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五. 合同价款和支付</w:t>
      </w:r>
    </w:p>
    <w:p w14:paraId="44EFD7EA">
      <w:pPr>
        <w:shd w:val="clear" w:color="auto" w:fill="auto"/>
        <w:spacing w:line="440" w:lineRule="exact"/>
        <w:ind w:firstLine="213" w:firstLineChars="100"/>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合同价款和支付</w:t>
      </w:r>
    </w:p>
    <w:p w14:paraId="1A285286">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(1)本合同的结算货币为人民币，单位元。</w:t>
      </w:r>
    </w:p>
    <w:p w14:paraId="58FF9183">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(2)卖方应按照双方签订的合同规定交货并在合同主要条款规定的期限内持下列单据结算货款：</w:t>
      </w:r>
    </w:p>
    <w:p w14:paraId="28491D9F">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&lt;1&gt;合格的销售发票；</w:t>
      </w:r>
    </w:p>
    <w:p w14:paraId="79243AAF">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&lt;2&gt;买方盖章签收后的送货回单和验收合格证明。</w:t>
      </w:r>
    </w:p>
    <w:p w14:paraId="69CD1B24">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(3)买方应按合同主要条款规定的期限和方式付款。</w:t>
      </w:r>
    </w:p>
    <w:p w14:paraId="1A007FEF">
      <w:pPr>
        <w:pStyle w:val="6"/>
        <w:shd w:val="clear" w:color="auto" w:fill="auto"/>
        <w:tabs>
          <w:tab w:val="left" w:pos="540"/>
        </w:tabs>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(4)根据现行税法对买方征收的与本合同有关的一切税费均由买方承担；根据现行税法对卖方征收的与本合同有关的一切税费均由卖方承担。</w:t>
      </w:r>
    </w:p>
    <w:p w14:paraId="3A8A9145">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六. 违约责任</w:t>
      </w:r>
    </w:p>
    <w:p w14:paraId="6D6CECBA">
      <w:pPr>
        <w:keepNext w:val="0"/>
        <w:keepLines w:val="0"/>
        <w:pageBreakBefore w:val="0"/>
        <w:kinsoku/>
        <w:wordWrap/>
        <w:overflowPunct/>
        <w:topLinePunct w:val="0"/>
        <w:bidi w:val="0"/>
        <w:spacing w:line="400" w:lineRule="exact"/>
        <w:ind w:firstLine="486" w:firstLineChars="200"/>
        <w:textAlignment w:val="auto"/>
        <w:outlineLvl w:val="9"/>
        <w:rPr>
          <w:rFonts w:hint="eastAsia" w:ascii="宋体" w:hAnsi="宋体" w:eastAsia="宋体" w:cs="宋体"/>
          <w:b/>
          <w:bCs/>
          <w:color w:val="000000"/>
          <w:kern w:val="0"/>
          <w:sz w:val="24"/>
          <w:szCs w:val="24"/>
          <w:highlight w:val="none"/>
          <w:lang w:val="en-US" w:eastAsia="zh-CN" w:bidi="ar"/>
        </w:rPr>
      </w:pPr>
      <w:r>
        <w:rPr>
          <w:rFonts w:hint="eastAsia" w:ascii="宋体" w:hAnsi="宋体" w:cs="宋体"/>
          <w:b/>
          <w:bCs/>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val="en-US" w:eastAsia="zh-CN" w:bidi="ar"/>
        </w:rPr>
        <w:t>、违约责任：</w:t>
      </w:r>
    </w:p>
    <w:p w14:paraId="36DEA850">
      <w:pPr>
        <w:keepNext w:val="0"/>
        <w:keepLines w:val="0"/>
        <w:pageBreakBefore w:val="0"/>
        <w:kinsoku/>
        <w:wordWrap/>
        <w:overflowPunct/>
        <w:topLinePunct w:val="0"/>
        <w:bidi w:val="0"/>
        <w:spacing w:line="400" w:lineRule="exact"/>
        <w:ind w:firstLine="426" w:firstLineChars="20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cs="宋体"/>
          <w:color w:val="auto"/>
          <w:kern w:val="0"/>
          <w:sz w:val="21"/>
          <w:szCs w:val="21"/>
          <w:highlight w:val="none"/>
          <w:u w:val="none" w:color="000000"/>
          <w:lang w:val="en-US" w:eastAsia="zh-CN" w:bidi="ar-SA"/>
        </w:rPr>
        <w:t>供应商</w:t>
      </w:r>
      <w:r>
        <w:rPr>
          <w:rFonts w:hint="eastAsia" w:ascii="宋体" w:hAnsi="Times New Roman" w:eastAsia="宋体" w:cs="宋体"/>
          <w:color w:val="auto"/>
          <w:kern w:val="0"/>
          <w:sz w:val="21"/>
          <w:szCs w:val="21"/>
          <w:highlight w:val="none"/>
          <w:u w:val="none" w:color="000000"/>
          <w:lang w:val="en-US" w:eastAsia="zh-CN" w:bidi="ar-SA"/>
        </w:rPr>
        <w:t>在工作时有下列行为，采购人将采取终止合同、列入黑名单及拒绝支付审计费用等处理处罚措施，涉嫌犯罪的，移送</w:t>
      </w:r>
      <w:r>
        <w:rPr>
          <w:rFonts w:hint="eastAsia" w:ascii="宋体" w:cs="宋体"/>
          <w:color w:val="auto"/>
          <w:kern w:val="0"/>
          <w:sz w:val="21"/>
          <w:szCs w:val="21"/>
          <w:highlight w:val="none"/>
          <w:u w:val="none" w:color="000000"/>
          <w:lang w:val="en-US" w:eastAsia="zh-CN" w:bidi="ar-SA"/>
        </w:rPr>
        <w:t>相关</w:t>
      </w:r>
      <w:r>
        <w:rPr>
          <w:rFonts w:hint="eastAsia" w:ascii="宋体" w:hAnsi="Times New Roman" w:eastAsia="宋体" w:cs="宋体"/>
          <w:color w:val="auto"/>
          <w:kern w:val="0"/>
          <w:sz w:val="21"/>
          <w:szCs w:val="21"/>
          <w:highlight w:val="none"/>
          <w:u w:val="none" w:color="000000"/>
          <w:lang w:val="en-US" w:eastAsia="zh-CN" w:bidi="ar-SA"/>
        </w:rPr>
        <w:t>机关依法追究责任：</w:t>
      </w:r>
    </w:p>
    <w:p w14:paraId="4F567E1E">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(1)将受托业务转包或分包给其他中介机构或个人； </w:t>
      </w:r>
    </w:p>
    <w:p w14:paraId="02DAEBBC">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(2)未按委托要求实施程序导致应发现问题而未发现，或故意隐瞒存在问题； </w:t>
      </w:r>
    </w:p>
    <w:p w14:paraId="4FBED2A5">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(3)全过程服务工作存在严重质量问题； </w:t>
      </w:r>
    </w:p>
    <w:p w14:paraId="77C298E3">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(4)拒绝接受委托方监督、检查、指导； </w:t>
      </w:r>
    </w:p>
    <w:p w14:paraId="3E5B8CAA">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(5)索取、收受委托合同约定以外的酬金或者其他财物，或者利用执行业务之便，谋取其他不正当的利益；</w:t>
      </w:r>
    </w:p>
    <w:p w14:paraId="0630371E">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 xml:space="preserve">(6)泄露国家秘密、公安工作秘密和相关单位商业秘密； </w:t>
      </w:r>
    </w:p>
    <w:p w14:paraId="1C23D15D">
      <w:pPr>
        <w:keepNext w:val="0"/>
        <w:keepLines w:val="0"/>
        <w:pageBreakBefore w:val="0"/>
        <w:numPr>
          <w:ilvl w:val="0"/>
          <w:numId w:val="0"/>
        </w:numPr>
        <w:kinsoku/>
        <w:wordWrap/>
        <w:overflowPunct/>
        <w:topLinePunct w:val="0"/>
        <w:bidi w:val="0"/>
        <w:spacing w:line="400" w:lineRule="exact"/>
        <w:ind w:left="700" w:leftChars="0"/>
        <w:textAlignment w:val="auto"/>
        <w:outlineLvl w:val="9"/>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(7)其他违反执业规范和执业道德及违法违纪行为。</w:t>
      </w:r>
    </w:p>
    <w:p w14:paraId="3607E0DD">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七. 索赔</w:t>
      </w:r>
    </w:p>
    <w:p w14:paraId="483E6D50">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、索赔</w:t>
      </w:r>
    </w:p>
    <w:p w14:paraId="414F3C22">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(1)买方有权根据当地产品质量检验机构或其它有权威部门出具的检验证书向卖方提出索赔。</w:t>
      </w:r>
    </w:p>
    <w:p w14:paraId="4C96D7C7">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(2)在本合同规定的检验期和质量保证期内，如果卖方对买方提出的索赔或差异有责任，则卖方应按买方同意的下列一种或多种方式解决索赔事宜：</w:t>
      </w:r>
    </w:p>
    <w:p w14:paraId="693C7C0A">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32AA2729">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&lt;2&gt;根据标的物的低劣程度、损坏程度以及甲方遭受损失的数额，经双方协商确定降低标的物的价格；</w:t>
      </w:r>
    </w:p>
    <w:p w14:paraId="472EDFB9">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01C2A1A">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552B741">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(4)买方提出索赔的书面材料应报当地政府采购管理部门备案。卖方同意的索赔方案应报当地政府采购管理部门审核。</w:t>
      </w:r>
    </w:p>
    <w:p w14:paraId="343C42F5">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八. 履约保证金</w:t>
      </w:r>
    </w:p>
    <w:p w14:paraId="1F283CE1">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、履约保证金</w:t>
      </w:r>
    </w:p>
    <w:p w14:paraId="006E355F">
      <w:pPr>
        <w:spacing w:line="560" w:lineRule="exact"/>
        <w:ind w:firstLine="426" w:firstLineChars="200"/>
        <w:outlineLvl w:val="9"/>
        <w:rPr>
          <w:rFonts w:hint="eastAsia" w:ascii="宋体" w:hAnsi="Times New Roman" w:eastAsia="宋体" w:cs="宋体"/>
          <w:color w:val="auto"/>
          <w:kern w:val="0"/>
          <w:sz w:val="21"/>
          <w:szCs w:val="21"/>
          <w:highlight w:val="none"/>
          <w:u w:val="none" w:color="000000"/>
          <w:lang w:val="en-US" w:eastAsia="zh-CN" w:bidi="ar-SA"/>
        </w:rPr>
      </w:pPr>
      <w:r>
        <w:rPr>
          <w:rFonts w:hint="eastAsia" w:ascii="宋体" w:hAnsi="Times New Roman" w:eastAsia="宋体" w:cs="宋体"/>
          <w:color w:val="auto"/>
          <w:kern w:val="0"/>
          <w:sz w:val="21"/>
          <w:szCs w:val="21"/>
          <w:highlight w:val="none"/>
          <w:u w:val="none" w:color="000000"/>
          <w:lang w:val="en-US" w:eastAsia="zh-CN" w:bidi="ar-SA"/>
        </w:rPr>
        <w:t>（1）采购文件要求乙方提交履约保证金的，乙方应按合同专用条款约定的方式，以电汇、转账、网银汇款</w:t>
      </w:r>
      <w:r>
        <w:rPr>
          <w:rFonts w:hint="eastAsia" w:ascii="宋体" w:cs="宋体"/>
          <w:color w:val="auto"/>
          <w:kern w:val="0"/>
          <w:sz w:val="21"/>
          <w:szCs w:val="21"/>
          <w:highlight w:val="none"/>
          <w:u w:val="none" w:color="000000"/>
          <w:lang w:val="en-US" w:eastAsia="zh-CN" w:bidi="ar-SA"/>
        </w:rPr>
        <w:t>、保函</w:t>
      </w:r>
      <w:r>
        <w:rPr>
          <w:rFonts w:hint="eastAsia" w:ascii="宋体" w:hAnsi="Times New Roman" w:eastAsia="宋体" w:cs="宋体"/>
          <w:color w:val="auto"/>
          <w:kern w:val="0"/>
          <w:sz w:val="21"/>
          <w:szCs w:val="21"/>
          <w:highlight w:val="none"/>
          <w:u w:val="none" w:color="000000"/>
          <w:lang w:val="en-US" w:eastAsia="zh-CN" w:bidi="ar-SA"/>
        </w:rPr>
        <w:t>等非现金形式，提交合同价</w:t>
      </w:r>
      <w:r>
        <w:rPr>
          <w:rFonts w:hint="eastAsia" w:ascii="宋体" w:cs="宋体"/>
          <w:color w:val="auto"/>
          <w:kern w:val="0"/>
          <w:sz w:val="21"/>
          <w:szCs w:val="21"/>
          <w:highlight w:val="none"/>
          <w:u w:val="none" w:color="000000"/>
          <w:lang w:val="en-US" w:eastAsia="zh-CN" w:bidi="ar-SA"/>
        </w:rPr>
        <w:t>10%</w:t>
      </w:r>
      <w:r>
        <w:rPr>
          <w:rFonts w:hint="eastAsia" w:ascii="宋体" w:hAnsi="Times New Roman" w:eastAsia="宋体" w:cs="宋体"/>
          <w:color w:val="auto"/>
          <w:kern w:val="0"/>
          <w:sz w:val="21"/>
          <w:szCs w:val="21"/>
          <w:highlight w:val="none"/>
          <w:u w:val="none" w:color="000000"/>
          <w:lang w:val="en-US" w:eastAsia="zh-CN" w:bidi="ar-SA"/>
        </w:rPr>
        <w:t>的履约保证金；</w:t>
      </w:r>
    </w:p>
    <w:p w14:paraId="0EF561BF">
      <w:pPr>
        <w:spacing w:line="560" w:lineRule="exact"/>
        <w:ind w:firstLine="426" w:firstLineChars="200"/>
        <w:outlineLvl w:val="9"/>
        <w:rPr>
          <w:rFonts w:hint="eastAsia" w:ascii="宋体" w:cs="宋体"/>
          <w:b/>
          <w:color w:val="auto"/>
          <w:szCs w:val="21"/>
          <w:highlight w:val="none"/>
        </w:rPr>
      </w:pPr>
      <w:r>
        <w:rPr>
          <w:rFonts w:hint="eastAsia" w:ascii="宋体" w:hAnsi="Times New Roman" w:eastAsia="宋体" w:cs="宋体"/>
          <w:color w:val="auto"/>
          <w:kern w:val="0"/>
          <w:sz w:val="21"/>
          <w:szCs w:val="21"/>
          <w:highlight w:val="none"/>
          <w:u w:val="none" w:color="000000"/>
          <w:lang w:val="en-US" w:eastAsia="zh-CN" w:bidi="ar-SA"/>
        </w:rPr>
        <w:t xml:space="preserve"> （2）履约保证金在合同专用条款约定期间内或者服务质量保证期内不予退还或者应完全有效，前述约定期间届满或者服务质量保证期届满之日起 5 个工作日内，甲方应将履约保证金退还乙方；</w:t>
      </w:r>
    </w:p>
    <w:p w14:paraId="110CC11F">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九.  合同的解除和转让</w:t>
      </w:r>
    </w:p>
    <w:p w14:paraId="3B2CE42F">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、合同的解除</w:t>
      </w:r>
    </w:p>
    <w:p w14:paraId="3582EEA2">
      <w:pPr>
        <w:pStyle w:val="6"/>
        <w:shd w:val="clear" w:color="auto" w:fill="auto"/>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(1)买方和卖方协商一致，可以解除合同。</w:t>
      </w:r>
    </w:p>
    <w:p w14:paraId="3C3F9331">
      <w:pPr>
        <w:pStyle w:val="6"/>
        <w:shd w:val="clear" w:color="auto" w:fill="auto"/>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(2)有下列情形之一，合同一方可以解除合同：</w:t>
      </w:r>
    </w:p>
    <w:p w14:paraId="60ADC279">
      <w:pPr>
        <w:pStyle w:val="6"/>
        <w:shd w:val="clear" w:color="auto" w:fill="auto"/>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&lt;1&gt;因不可抗力致使不能实现合同目的，未受不可抗力影响的一方有权解除合同；</w:t>
      </w:r>
    </w:p>
    <w:p w14:paraId="3E52D73E">
      <w:pPr>
        <w:pStyle w:val="6"/>
        <w:shd w:val="clear" w:color="auto" w:fill="auto"/>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&lt;2&gt;因合同一方违约导致合同不能履行，另一方有权解除合同。</w:t>
      </w:r>
    </w:p>
    <w:p w14:paraId="055D8216">
      <w:pPr>
        <w:pStyle w:val="6"/>
        <w:shd w:val="clear" w:color="auto" w:fill="auto"/>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(3)有权解除合同的一方，应当在违约事实或不可抗力发生之后三十天内书面通知对方以主张解除合同，合同在书面通知到达对方时解除。</w:t>
      </w:r>
    </w:p>
    <w:p w14:paraId="1C064C7F">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、合同的转让</w:t>
      </w:r>
    </w:p>
    <w:p w14:paraId="6B171157">
      <w:pPr>
        <w:shd w:val="clear" w:color="auto" w:fill="auto"/>
        <w:spacing w:line="440" w:lineRule="exact"/>
        <w:outlineLvl w:val="9"/>
        <w:rPr>
          <w:rFonts w:hint="eastAsia" w:ascii="宋体" w:cs="宋体"/>
          <w:b/>
          <w:color w:val="auto"/>
          <w:szCs w:val="21"/>
          <w:highlight w:val="none"/>
        </w:rPr>
      </w:pPr>
      <w:r>
        <w:rPr>
          <w:rFonts w:hint="eastAsia" w:ascii="宋体" w:cs="宋体"/>
          <w:color w:val="auto"/>
          <w:szCs w:val="21"/>
          <w:highlight w:val="none"/>
        </w:rPr>
        <w:t xml:space="preserve">    合同的部分和全部都不得转让。</w:t>
      </w:r>
    </w:p>
    <w:p w14:paraId="6F3FAFD2">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十. 合同的生效</w:t>
      </w:r>
    </w:p>
    <w:p w14:paraId="3D792F52">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、合同的生效</w:t>
      </w:r>
    </w:p>
    <w:p w14:paraId="475DB7EC">
      <w:pPr>
        <w:shd w:val="clear" w:color="auto" w:fill="auto"/>
        <w:spacing w:line="440" w:lineRule="exact"/>
        <w:ind w:firstLine="589" w:firstLineChars="277"/>
        <w:outlineLvl w:val="9"/>
        <w:rPr>
          <w:rFonts w:hint="eastAsia" w:ascii="宋体" w:cs="宋体"/>
          <w:color w:val="auto"/>
          <w:szCs w:val="21"/>
          <w:highlight w:val="none"/>
        </w:rPr>
      </w:pPr>
      <w:r>
        <w:rPr>
          <w:rFonts w:hint="eastAsia" w:ascii="宋体" w:cs="宋体"/>
          <w:color w:val="auto"/>
          <w:szCs w:val="21"/>
          <w:highlight w:val="none"/>
        </w:rPr>
        <w:t>本合同在双方签字盖章并在招标人收到中标人提交的履约保证金后，经招标采购管理部门备案后生效。</w:t>
      </w:r>
    </w:p>
    <w:p w14:paraId="5D92FDE8">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十一. 争议解决</w:t>
      </w:r>
    </w:p>
    <w:p w14:paraId="79687FBF">
      <w:pPr>
        <w:shd w:val="clear" w:color="auto" w:fill="auto"/>
        <w:spacing w:line="440" w:lineRule="exact"/>
        <w:ind w:firstLine="213" w:firstLineChars="100"/>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、争议解决</w:t>
      </w:r>
    </w:p>
    <w:p w14:paraId="438D10DF">
      <w:pPr>
        <w:pStyle w:val="6"/>
        <w:shd w:val="clear" w:color="auto" w:fill="auto"/>
        <w:overflowPunct w:val="0"/>
        <w:spacing w:line="440" w:lineRule="exact"/>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 xml:space="preserve"> 买卖双方因合同发生争议，进行调解，协商不成，可选择：</w:t>
      </w:r>
    </w:p>
    <w:p w14:paraId="2A8E822F">
      <w:pPr>
        <w:pStyle w:val="6"/>
        <w:shd w:val="clear" w:color="auto" w:fill="auto"/>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(1)双方同时申请仲裁；</w:t>
      </w:r>
    </w:p>
    <w:p w14:paraId="6DA73680">
      <w:pPr>
        <w:pStyle w:val="6"/>
        <w:shd w:val="clear" w:color="auto" w:fill="auto"/>
        <w:tabs>
          <w:tab w:val="left" w:pos="900"/>
        </w:tabs>
        <w:overflowPunct w:val="0"/>
        <w:spacing w:line="440" w:lineRule="exact"/>
        <w:ind w:firstLine="532" w:firstLineChars="250"/>
        <w:outlineLvl w:val="9"/>
        <w:rPr>
          <w:rFonts w:hint="eastAsia" w:ascii="宋体" w:cs="宋体"/>
          <w:color w:val="auto"/>
          <w:sz w:val="21"/>
          <w:szCs w:val="21"/>
          <w:highlight w:val="none"/>
          <w:u w:val="none" w:color="000000"/>
        </w:rPr>
      </w:pPr>
      <w:r>
        <w:rPr>
          <w:rFonts w:hint="eastAsia" w:ascii="宋体" w:cs="宋体"/>
          <w:color w:val="auto"/>
          <w:sz w:val="21"/>
          <w:szCs w:val="21"/>
          <w:highlight w:val="none"/>
          <w:u w:val="none" w:color="000000"/>
        </w:rPr>
        <w:t>(2)向买方所在地人民法院提起诉讼。</w:t>
      </w:r>
    </w:p>
    <w:p w14:paraId="561925FF">
      <w:pPr>
        <w:shd w:val="clear" w:color="auto" w:fill="auto"/>
        <w:spacing w:line="440" w:lineRule="exact"/>
        <w:outlineLvl w:val="9"/>
        <w:rPr>
          <w:rFonts w:hint="eastAsia" w:ascii="宋体" w:cs="宋体"/>
          <w:b/>
          <w:color w:val="auto"/>
          <w:szCs w:val="21"/>
          <w:highlight w:val="none"/>
        </w:rPr>
      </w:pPr>
      <w:r>
        <w:rPr>
          <w:rFonts w:hint="eastAsia" w:ascii="宋体" w:cs="宋体"/>
          <w:b/>
          <w:color w:val="auto"/>
          <w:szCs w:val="21"/>
          <w:highlight w:val="none"/>
        </w:rPr>
        <w:t>十二 .附则</w:t>
      </w:r>
    </w:p>
    <w:p w14:paraId="10627AA1">
      <w:pPr>
        <w:shd w:val="clear" w:color="auto" w:fill="auto"/>
        <w:spacing w:line="440" w:lineRule="exact"/>
        <w:ind w:firstLine="213" w:firstLineChars="100"/>
        <w:outlineLvl w:val="9"/>
        <w:rPr>
          <w:rFonts w:hint="eastAsia" w:ascii="宋体" w:cs="宋体"/>
          <w:color w:val="auto"/>
          <w:szCs w:val="21"/>
          <w:highlight w:val="none"/>
        </w:rPr>
      </w:pPr>
      <w:r>
        <w:rPr>
          <w:rFonts w:hint="eastAsia" w:ascii="宋体" w:cs="宋体"/>
          <w:color w:val="auto"/>
          <w:szCs w:val="21"/>
          <w:highlight w:val="none"/>
          <w:lang w:val="en-US" w:eastAsia="zh-CN"/>
        </w:rPr>
        <w:t>1</w:t>
      </w:r>
      <w:r>
        <w:rPr>
          <w:rFonts w:hint="eastAsia" w:ascii="宋体" w:cs="宋体"/>
          <w:color w:val="auto"/>
          <w:szCs w:val="21"/>
          <w:highlight w:val="none"/>
        </w:rPr>
        <w:t>、合同份数。</w:t>
      </w:r>
    </w:p>
    <w:p w14:paraId="7CDBD518">
      <w:pPr>
        <w:shd w:val="clear" w:color="auto" w:fill="auto"/>
        <w:spacing w:line="440" w:lineRule="exact"/>
        <w:outlineLvl w:val="9"/>
        <w:rPr>
          <w:rFonts w:hint="eastAsia" w:ascii="宋体" w:cs="宋体"/>
          <w:color w:val="auto"/>
          <w:szCs w:val="21"/>
          <w:highlight w:val="none"/>
        </w:rPr>
      </w:pPr>
      <w:r>
        <w:rPr>
          <w:rFonts w:hint="eastAsia" w:ascii="宋体" w:cs="宋体"/>
          <w:color w:val="auto"/>
          <w:szCs w:val="21"/>
          <w:highlight w:val="none"/>
        </w:rPr>
        <w:t xml:space="preserve"> </w:t>
      </w:r>
      <w:r>
        <w:rPr>
          <w:rFonts w:hint="eastAsia" w:ascii="宋体" w:cs="宋体"/>
          <w:color w:val="auto"/>
          <w:szCs w:val="21"/>
          <w:highlight w:val="none"/>
        </w:rPr>
        <w:tab/>
      </w:r>
      <w:r>
        <w:rPr>
          <w:rFonts w:hint="eastAsia" w:ascii="宋体" w:cs="宋体"/>
          <w:color w:val="auto"/>
          <w:szCs w:val="21"/>
          <w:highlight w:val="none"/>
        </w:rPr>
        <w:t xml:space="preserve">  本合同一式陆份，买卖双方各执二份，招标代理机构一份，招标采购管理部门一份。</w:t>
      </w:r>
    </w:p>
    <w:p w14:paraId="1792738D">
      <w:pPr>
        <w:shd w:val="clear" w:color="auto" w:fill="auto"/>
        <w:spacing w:line="440" w:lineRule="exact"/>
        <w:ind w:firstLine="213" w:firstLineChars="100"/>
        <w:outlineLvl w:val="9"/>
        <w:rPr>
          <w:rFonts w:hint="eastAsia" w:ascii="宋体" w:cs="宋体"/>
          <w:color w:val="auto"/>
          <w:szCs w:val="21"/>
          <w:highlight w:val="none"/>
        </w:rPr>
      </w:pPr>
      <w:r>
        <w:rPr>
          <w:rFonts w:hint="eastAsia" w:ascii="宋体" w:cs="宋体"/>
          <w:color w:val="auto"/>
          <w:szCs w:val="21"/>
          <w:highlight w:val="none"/>
          <w:lang w:val="en-US" w:eastAsia="zh-CN"/>
        </w:rPr>
        <w:t>2</w:t>
      </w:r>
      <w:r>
        <w:rPr>
          <w:rFonts w:hint="eastAsia" w:ascii="宋体" w:cs="宋体"/>
          <w:color w:val="auto"/>
          <w:szCs w:val="21"/>
          <w:highlight w:val="none"/>
        </w:rPr>
        <w:t>、未尽事宜</w:t>
      </w:r>
    </w:p>
    <w:p w14:paraId="779619E3">
      <w:pPr>
        <w:shd w:val="clear" w:color="auto" w:fill="auto"/>
        <w:spacing w:line="440" w:lineRule="exact"/>
        <w:ind w:firstLine="532" w:firstLineChars="250"/>
        <w:outlineLvl w:val="9"/>
        <w:rPr>
          <w:rFonts w:hint="eastAsia" w:ascii="宋体" w:cs="宋体"/>
          <w:color w:val="auto"/>
          <w:szCs w:val="21"/>
          <w:highlight w:val="none"/>
        </w:rPr>
      </w:pPr>
      <w:r>
        <w:rPr>
          <w:rFonts w:hint="eastAsia" w:ascii="宋体" w:cs="宋体"/>
          <w:color w:val="auto"/>
          <w:szCs w:val="21"/>
          <w:highlight w:val="none"/>
        </w:rPr>
        <w:t>本合同未尽事宜应按《中华人民共和国政府采购法》、《中华人民共和国</w:t>
      </w:r>
      <w:r>
        <w:rPr>
          <w:rFonts w:hint="eastAsia" w:ascii="宋体" w:cs="宋体"/>
          <w:color w:val="auto"/>
          <w:szCs w:val="21"/>
          <w:highlight w:val="none"/>
          <w:lang w:val="en-US" w:eastAsia="zh-CN"/>
        </w:rPr>
        <w:t>民法典</w:t>
      </w:r>
      <w:r>
        <w:rPr>
          <w:rFonts w:hint="eastAsia" w:ascii="宋体" w:cs="宋体"/>
          <w:color w:val="auto"/>
          <w:szCs w:val="21"/>
          <w:highlight w:val="none"/>
        </w:rPr>
        <w:t>》、《中华人民共和国产品质量法》之规定解释。</w:t>
      </w:r>
    </w:p>
    <w:p w14:paraId="0E6B4749">
      <w:pPr>
        <w:pStyle w:val="12"/>
        <w:shd w:val="clear" w:color="auto" w:fill="auto"/>
        <w:spacing w:after="0" w:line="400" w:lineRule="exact"/>
        <w:ind w:left="0" w:leftChars="0" w:firstLine="486" w:firstLineChars="200"/>
        <w:outlineLvl w:val="9"/>
        <w:rPr>
          <w:rFonts w:hint="eastAsia"/>
          <w:color w:val="auto"/>
          <w:kern w:val="0"/>
          <w:sz w:val="24"/>
          <w:szCs w:val="20"/>
          <w:highlight w:val="none"/>
          <w:u w:val="none" w:color="000000"/>
        </w:rPr>
      </w:pPr>
    </w:p>
    <w:p w14:paraId="189DE9CD">
      <w:pPr>
        <w:pageBreakBefore/>
        <w:shd w:val="clear" w:color="auto" w:fill="auto"/>
        <w:jc w:val="center"/>
        <w:outlineLvl w:val="0"/>
        <w:rPr>
          <w:rFonts w:hint="eastAsia" w:ascii="宋体"/>
          <w:b/>
          <w:color w:val="auto"/>
          <w:sz w:val="30"/>
          <w:szCs w:val="30"/>
          <w:highlight w:val="none"/>
        </w:rPr>
      </w:pPr>
      <w:bookmarkStart w:id="73" w:name="_Toc469495743"/>
      <w:r>
        <w:rPr>
          <w:rFonts w:hint="eastAsia" w:ascii="宋体"/>
          <w:b/>
          <w:color w:val="auto"/>
          <w:sz w:val="30"/>
          <w:szCs w:val="30"/>
          <w:highlight w:val="none"/>
        </w:rPr>
        <w:t>第六章  投标文件格式</w:t>
      </w:r>
      <w:bookmarkEnd w:id="73"/>
    </w:p>
    <w:p w14:paraId="43E26BC1">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14:paraId="3674DE0C">
      <w:pPr>
        <w:pStyle w:val="3"/>
        <w:numPr>
          <w:ilvl w:val="0"/>
          <w:numId w:val="0"/>
        </w:numPr>
        <w:shd w:val="clear" w:color="auto" w:fill="auto"/>
        <w:spacing w:before="0" w:line="240" w:lineRule="atLeast"/>
        <w:rPr>
          <w:rFonts w:hint="eastAsia" w:ascii="宋体" w:hAnsi="宋体" w:eastAsia="宋体" w:cs="宋体"/>
          <w:color w:val="auto"/>
          <w:sz w:val="24"/>
          <w:highlight w:val="none"/>
        </w:rPr>
      </w:pPr>
      <w:bookmarkStart w:id="74" w:name="_Toc8919"/>
      <w:bookmarkStart w:id="75" w:name="_Toc515647803"/>
      <w:bookmarkStart w:id="76" w:name="_Toc18974"/>
      <w:bookmarkStart w:id="77" w:name="_Toc18694"/>
      <w:r>
        <w:rPr>
          <w:rFonts w:hint="eastAsia" w:ascii="宋体" w:hAnsi="宋体" w:eastAsia="宋体" w:cs="宋体"/>
          <w:b/>
          <w:bCs/>
          <w:color w:val="auto"/>
          <w:sz w:val="24"/>
          <w:highlight w:val="none"/>
        </w:rPr>
        <w:t>第一部分 资格证明文件</w:t>
      </w:r>
      <w:bookmarkEnd w:id="74"/>
      <w:bookmarkEnd w:id="75"/>
      <w:bookmarkEnd w:id="76"/>
      <w:bookmarkEnd w:id="77"/>
    </w:p>
    <w:p w14:paraId="01677527">
      <w:pPr>
        <w:shd w:val="clear" w:color="auto" w:fill="auto"/>
        <w:spacing w:line="240" w:lineRule="atLeast"/>
        <w:ind w:left="708" w:hanging="716" w:hangingChars="295"/>
        <w:jc w:val="center"/>
        <w:rPr>
          <w:rFonts w:hint="eastAsia" w:ascii="宋体" w:hAnsi="宋体" w:eastAsia="宋体" w:cs="宋体"/>
          <w:color w:val="auto"/>
          <w:sz w:val="24"/>
          <w:highlight w:val="none"/>
        </w:rPr>
      </w:pPr>
    </w:p>
    <w:p w14:paraId="4D3398A4">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1、法人或者非法人组织的营业执照等证明文件复印件（须加盖本单位章）或自然人的身份证明复印件;</w:t>
      </w:r>
    </w:p>
    <w:p w14:paraId="53FDFC77">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2、法定代表人资格证明书</w:t>
      </w:r>
      <w:r>
        <w:rPr>
          <w:rFonts w:hint="eastAsia" w:ascii="宋体" w:hAnsi="宋体" w:cs="Times New Roman"/>
          <w:color w:val="auto"/>
          <w:szCs w:val="21"/>
          <w:highlight w:val="none"/>
          <w:lang w:val="en-US" w:eastAsia="zh-CN"/>
        </w:rPr>
        <w:t>；</w:t>
      </w:r>
    </w:p>
    <w:p w14:paraId="41F855BD">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3、法定代表人授权书</w:t>
      </w:r>
      <w:r>
        <w:rPr>
          <w:rFonts w:hint="eastAsia" w:ascii="宋体" w:hAnsi="宋体" w:cs="Times New Roman"/>
          <w:color w:val="auto"/>
          <w:szCs w:val="21"/>
          <w:highlight w:val="none"/>
          <w:lang w:val="en-US" w:eastAsia="zh-CN"/>
        </w:rPr>
        <w:t>；</w:t>
      </w:r>
    </w:p>
    <w:p w14:paraId="03EF2EB7">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w:t>
      </w:r>
      <w:r>
        <w:rPr>
          <w:rFonts w:hint="eastAsia" w:ascii="宋体" w:hAnsi="宋体" w:cs="Times New Roman"/>
          <w:color w:val="auto"/>
          <w:szCs w:val="21"/>
          <w:highlight w:val="none"/>
          <w:lang w:val="en-US" w:eastAsia="zh-CN"/>
        </w:rPr>
        <w:t>投标保证金汇款凭证或投标担保函</w:t>
      </w:r>
      <w:r>
        <w:rPr>
          <w:rFonts w:hint="eastAsia" w:ascii="宋体" w:hAnsi="宋体" w:eastAsia="宋体" w:cs="Times New Roman"/>
          <w:color w:val="auto"/>
          <w:szCs w:val="21"/>
          <w:highlight w:val="none"/>
          <w:lang w:val="en-US" w:eastAsia="zh-CN"/>
        </w:rPr>
        <w:t>；</w:t>
      </w:r>
    </w:p>
    <w:p w14:paraId="20D8BB3E">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r>
        <w:rPr>
          <w:rFonts w:hint="eastAsia" w:ascii="宋体" w:hAnsi="宋体" w:cs="Times New Roman"/>
          <w:color w:val="auto"/>
          <w:szCs w:val="21"/>
          <w:highlight w:val="none"/>
          <w:lang w:val="en-US" w:eastAsia="zh-CN"/>
        </w:rPr>
        <w:t>投标企业须提供投标人（被授权人）近6个月任意一个月的社保证明</w:t>
      </w:r>
      <w:r>
        <w:rPr>
          <w:rFonts w:hint="eastAsia" w:ascii="宋体" w:hAnsi="宋体" w:eastAsia="宋体" w:cs="Times New Roman"/>
          <w:color w:val="auto"/>
          <w:szCs w:val="21"/>
          <w:highlight w:val="none"/>
          <w:lang w:val="en-US" w:eastAsia="zh-CN"/>
        </w:rPr>
        <w:t>；</w:t>
      </w:r>
    </w:p>
    <w:p w14:paraId="0953F770">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6、参加政府采购活动前3年内在经营活动中没有重大违法记录的书面声明;</w:t>
      </w:r>
    </w:p>
    <w:p w14:paraId="1686692C">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7、投标企业需提供未被“信用中国”（www.creditchina.gov.cn）、中国政府采购网（www.ccgp.gov.cn）列入失信被执行人、重大税收违法案件当事人名单、政府采购严重违法失信行为记录名单；</w:t>
      </w:r>
    </w:p>
    <w:p w14:paraId="20DCA024">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w:t>
      </w:r>
      <w:r>
        <w:rPr>
          <w:rFonts w:hint="eastAsia" w:ascii="宋体" w:hAnsi="宋体" w:cs="Times New Roman"/>
          <w:color w:val="auto"/>
          <w:szCs w:val="21"/>
          <w:highlight w:val="none"/>
          <w:lang w:val="en-US" w:eastAsia="zh-CN"/>
        </w:rPr>
        <w:t>投标人经国家保险监督管理机构批准在中华人民共和国境内设立和营业，并依法被核定许可责任保险业务【依据有效期内的保险许可证（分公司或中心支公司的保险机构投标的，须提供《经营保险业务许可证》或《保险许可证》；总公司投标的，须提供《保险公司法人许可证》或《保险许可证》）】</w:t>
      </w:r>
    </w:p>
    <w:p w14:paraId="19CDB82C">
      <w:pPr>
        <w:shd w:val="clear" w:color="auto" w:fill="auto"/>
        <w:spacing w:line="440" w:lineRule="exact"/>
        <w:ind w:firstLine="287" w:firstLineChars="135"/>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、投标人须知资料表要求的其他资格证明文件</w:t>
      </w:r>
      <w:r>
        <w:rPr>
          <w:rFonts w:hint="eastAsia" w:ascii="宋体" w:hAnsi="宋体" w:cs="Times New Roman"/>
          <w:color w:val="auto"/>
          <w:szCs w:val="21"/>
          <w:highlight w:val="none"/>
          <w:lang w:val="en-US" w:eastAsia="zh-CN"/>
        </w:rPr>
        <w:t>。</w:t>
      </w:r>
    </w:p>
    <w:p w14:paraId="33690716">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7DF6D666">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5B8DC3F6">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4D8D35BA">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3FB5B303">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536FC3C2">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69DF4BA1">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5808AEDE">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13B50E63">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0079C9F1">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5D8656AF">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2B9045CE">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2577C7B8">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3FB6756D">
      <w:pPr>
        <w:outlineLvl w:val="9"/>
        <w:rPr>
          <w:rFonts w:hint="eastAsia" w:ascii="宋体" w:hAnsi="宋体" w:eastAsia="宋体" w:cs="宋体"/>
          <w:color w:val="auto"/>
          <w:sz w:val="24"/>
          <w:highlight w:val="none"/>
        </w:rPr>
      </w:pPr>
    </w:p>
    <w:p w14:paraId="5B931D1A">
      <w:pPr>
        <w:rPr>
          <w:rFonts w:hint="eastAsia"/>
          <w:highlight w:val="none"/>
        </w:rPr>
      </w:pPr>
    </w:p>
    <w:p w14:paraId="5D36DE15">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5BDB53B4">
      <w:pPr>
        <w:shd w:val="clear" w:color="auto" w:fill="auto"/>
        <w:tabs>
          <w:tab w:val="left" w:pos="5580"/>
        </w:tabs>
        <w:spacing w:line="240" w:lineRule="atLeast"/>
        <w:ind w:left="1" w:firstLine="571" w:firstLineChars="235"/>
        <w:rPr>
          <w:rFonts w:hint="eastAsia" w:ascii="宋体" w:hAnsi="宋体" w:eastAsia="宋体" w:cs="宋体"/>
          <w:color w:val="auto"/>
          <w:sz w:val="24"/>
          <w:highlight w:val="none"/>
        </w:rPr>
      </w:pPr>
    </w:p>
    <w:p w14:paraId="6D0421DB">
      <w:pPr>
        <w:pStyle w:val="4"/>
        <w:pageBreakBefore w:val="0"/>
        <w:widowControl w:val="0"/>
        <w:numPr>
          <w:ilvl w:val="0"/>
          <w:numId w:val="0"/>
        </w:numPr>
        <w:shd w:val="clear" w:color="auto" w:fill="auto"/>
        <w:kinsoku/>
        <w:wordWrap/>
        <w:overflowPunct/>
        <w:topLinePunct w:val="0"/>
        <w:autoSpaceDE/>
        <w:autoSpaceDN/>
        <w:bidi w:val="0"/>
        <w:snapToGrid/>
        <w:spacing w:before="0" w:line="400" w:lineRule="exact"/>
        <w:jc w:val="center"/>
        <w:rPr>
          <w:rFonts w:hint="eastAsia" w:ascii="宋体" w:hAnsi="宋体" w:eastAsia="宋体" w:cs="宋体"/>
          <w:b/>
          <w:bCs/>
          <w:color w:val="auto"/>
          <w:sz w:val="24"/>
          <w:highlight w:val="none"/>
        </w:rPr>
      </w:pPr>
      <w:bookmarkStart w:id="78" w:name="_Toc515647805"/>
      <w:bookmarkStart w:id="79" w:name="_Toc29899"/>
      <w:bookmarkStart w:id="80" w:name="_Toc4844"/>
      <w:bookmarkStart w:id="81" w:name="_Toc17577"/>
      <w:bookmarkStart w:id="82" w:name="_Toc480942349"/>
      <w:bookmarkStart w:id="83" w:name="_Toc216582813"/>
      <w:bookmarkStart w:id="84" w:name="_Toc520356217"/>
      <w:bookmarkStart w:id="85" w:name="_Ref467988698"/>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xml:space="preserve"> 法人或者非法人组织的营业执照等证明文件</w:t>
      </w:r>
      <w:bookmarkEnd w:id="78"/>
      <w:bookmarkStart w:id="86" w:name="_Toc515647806"/>
      <w:r>
        <w:rPr>
          <w:rFonts w:hint="eastAsia" w:ascii="宋体" w:hAnsi="宋体" w:eastAsia="宋体" w:cs="宋体"/>
          <w:b/>
          <w:bCs/>
          <w:color w:val="auto"/>
          <w:sz w:val="24"/>
          <w:highlight w:val="none"/>
        </w:rPr>
        <w:t>或自然人的身份证明</w:t>
      </w:r>
      <w:bookmarkEnd w:id="79"/>
      <w:bookmarkEnd w:id="80"/>
      <w:bookmarkEnd w:id="81"/>
      <w:bookmarkEnd w:id="86"/>
    </w:p>
    <w:p w14:paraId="0F29E0A6">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both"/>
        <w:rPr>
          <w:rFonts w:hint="eastAsia" w:ascii="宋体" w:hAnsi="宋体" w:eastAsia="宋体" w:cs="宋体"/>
          <w:b/>
          <w:color w:val="auto"/>
          <w:sz w:val="24"/>
          <w:highlight w:val="none"/>
        </w:rPr>
      </w:pPr>
    </w:p>
    <w:p w14:paraId="0D31C485">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14:paraId="4E35F988">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b/>
          <w:color w:val="auto"/>
          <w:sz w:val="24"/>
          <w:highlight w:val="none"/>
        </w:rPr>
      </w:pPr>
    </w:p>
    <w:p w14:paraId="09633211">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说明：1.提供有效的营业执照等证明文件复印件，复印件上应加盖本单位章。</w:t>
      </w:r>
    </w:p>
    <w:p w14:paraId="14C572D0">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投标人为自然人的，应提供身份证明的复印件。</w:t>
      </w:r>
    </w:p>
    <w:p w14:paraId="12CC14FF">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41F4DBD">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宋体" w:hAnsi="宋体" w:eastAsia="宋体" w:cs="宋体"/>
          <w:color w:val="auto"/>
          <w:sz w:val="24"/>
          <w:highlight w:val="none"/>
        </w:rPr>
      </w:pPr>
    </w:p>
    <w:p w14:paraId="4F10B7D8">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13247EE0">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宋体" w:hAnsi="宋体" w:eastAsia="宋体" w:cs="宋体"/>
          <w:color w:val="auto"/>
          <w:sz w:val="24"/>
          <w:highlight w:val="none"/>
        </w:rPr>
      </w:pPr>
    </w:p>
    <w:p w14:paraId="112BE752">
      <w:pPr>
        <w:pStyle w:val="14"/>
        <w:shd w:val="clear" w:color="auto" w:fill="auto"/>
        <w:tabs>
          <w:tab w:val="left" w:pos="5580"/>
        </w:tabs>
        <w:spacing w:line="240" w:lineRule="atLeast"/>
        <w:rPr>
          <w:rFonts w:hint="eastAsia" w:ascii="宋体" w:hAnsi="宋体" w:eastAsia="宋体" w:cs="宋体"/>
          <w:color w:val="auto"/>
          <w:sz w:val="24"/>
          <w:highlight w:val="none"/>
        </w:rPr>
      </w:pPr>
    </w:p>
    <w:p w14:paraId="3D35F66C">
      <w:pPr>
        <w:pStyle w:val="14"/>
        <w:shd w:val="clear" w:color="auto" w:fill="auto"/>
        <w:tabs>
          <w:tab w:val="left" w:pos="5580"/>
        </w:tabs>
        <w:spacing w:line="240" w:lineRule="atLeast"/>
        <w:rPr>
          <w:rFonts w:hint="eastAsia" w:ascii="宋体" w:hAnsi="宋体" w:eastAsia="宋体" w:cs="宋体"/>
          <w:color w:val="auto"/>
          <w:sz w:val="24"/>
          <w:highlight w:val="none"/>
        </w:rPr>
      </w:pPr>
    </w:p>
    <w:p w14:paraId="50B88B43">
      <w:pPr>
        <w:pStyle w:val="14"/>
        <w:shd w:val="clear" w:color="auto" w:fill="auto"/>
        <w:tabs>
          <w:tab w:val="left" w:pos="5580"/>
        </w:tabs>
        <w:spacing w:line="240" w:lineRule="atLeast"/>
        <w:rPr>
          <w:rFonts w:hint="eastAsia" w:ascii="宋体" w:hAnsi="宋体" w:eastAsia="宋体" w:cs="宋体"/>
          <w:color w:val="auto"/>
          <w:sz w:val="24"/>
          <w:highlight w:val="none"/>
        </w:rPr>
      </w:pPr>
    </w:p>
    <w:p w14:paraId="02E67781">
      <w:pPr>
        <w:pStyle w:val="14"/>
        <w:shd w:val="clear" w:color="auto" w:fill="auto"/>
        <w:tabs>
          <w:tab w:val="left" w:pos="5580"/>
        </w:tabs>
        <w:spacing w:line="240" w:lineRule="atLeast"/>
        <w:rPr>
          <w:rFonts w:hint="eastAsia" w:ascii="宋体" w:hAnsi="宋体" w:eastAsia="宋体" w:cs="宋体"/>
          <w:color w:val="auto"/>
          <w:sz w:val="24"/>
          <w:highlight w:val="none"/>
        </w:rPr>
      </w:pPr>
    </w:p>
    <w:p w14:paraId="06833E18">
      <w:pPr>
        <w:pStyle w:val="14"/>
        <w:shd w:val="clear" w:color="auto" w:fill="auto"/>
        <w:tabs>
          <w:tab w:val="left" w:pos="5580"/>
        </w:tabs>
        <w:spacing w:line="240" w:lineRule="atLeast"/>
        <w:rPr>
          <w:rFonts w:hint="eastAsia" w:ascii="宋体" w:hAnsi="宋体" w:eastAsia="宋体" w:cs="宋体"/>
          <w:color w:val="auto"/>
          <w:sz w:val="24"/>
          <w:highlight w:val="none"/>
        </w:rPr>
      </w:pPr>
    </w:p>
    <w:p w14:paraId="775E166A">
      <w:pPr>
        <w:pStyle w:val="14"/>
        <w:shd w:val="clear" w:color="auto" w:fill="auto"/>
        <w:tabs>
          <w:tab w:val="left" w:pos="5580"/>
        </w:tabs>
        <w:spacing w:line="240" w:lineRule="atLeast"/>
        <w:rPr>
          <w:rFonts w:hint="eastAsia" w:ascii="宋体" w:hAnsi="宋体" w:eastAsia="宋体" w:cs="宋体"/>
          <w:color w:val="auto"/>
          <w:sz w:val="24"/>
          <w:highlight w:val="none"/>
        </w:rPr>
      </w:pPr>
    </w:p>
    <w:p w14:paraId="5A61E74B">
      <w:pPr>
        <w:pStyle w:val="14"/>
        <w:shd w:val="clear" w:color="auto" w:fill="auto"/>
        <w:tabs>
          <w:tab w:val="left" w:pos="5580"/>
        </w:tabs>
        <w:spacing w:line="240" w:lineRule="atLeast"/>
        <w:ind w:left="1087" w:leftChars="257" w:hanging="540"/>
        <w:jc w:val="center"/>
        <w:rPr>
          <w:rFonts w:hint="eastAsia" w:ascii="宋体" w:hAnsi="宋体" w:eastAsia="宋体" w:cs="宋体"/>
          <w:color w:val="auto"/>
          <w:sz w:val="24"/>
          <w:highlight w:val="none"/>
        </w:rPr>
      </w:pPr>
      <w:bookmarkStart w:id="87" w:name="_Toc7039"/>
      <w:bookmarkStart w:id="88" w:name="_Toc32520"/>
      <w:bookmarkStart w:id="89" w:name="_Toc515647808"/>
    </w:p>
    <w:p w14:paraId="7AF5E762">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90" w:name="_Toc1083"/>
      <w:bookmarkStart w:id="91" w:name="_Toc22472"/>
      <w:bookmarkStart w:id="92" w:name="_Toc23503"/>
      <w:bookmarkStart w:id="93" w:name="_Toc515647807"/>
    </w:p>
    <w:p w14:paraId="4361FE36">
      <w:pPr>
        <w:shd w:val="clear" w:color="auto" w:fill="auto"/>
        <w:outlineLvl w:val="9"/>
        <w:rPr>
          <w:rFonts w:hint="eastAsia" w:ascii="宋体" w:hAnsi="宋体" w:eastAsia="宋体" w:cs="宋体"/>
          <w:color w:val="auto"/>
          <w:sz w:val="24"/>
          <w:highlight w:val="none"/>
        </w:rPr>
      </w:pPr>
    </w:p>
    <w:p w14:paraId="61DFFB4F">
      <w:pPr>
        <w:pStyle w:val="49"/>
        <w:shd w:val="clear" w:color="auto" w:fill="auto"/>
        <w:outlineLvl w:val="9"/>
        <w:rPr>
          <w:rFonts w:hint="eastAsia" w:ascii="宋体" w:hAnsi="宋体" w:eastAsia="宋体" w:cs="宋体"/>
          <w:color w:val="auto"/>
          <w:sz w:val="24"/>
          <w:highlight w:val="none"/>
        </w:rPr>
      </w:pPr>
    </w:p>
    <w:p w14:paraId="3EA8AD4C">
      <w:pPr>
        <w:pStyle w:val="49"/>
        <w:shd w:val="clear" w:color="auto" w:fill="auto"/>
        <w:outlineLvl w:val="9"/>
        <w:rPr>
          <w:rFonts w:hint="eastAsia" w:ascii="宋体" w:hAnsi="宋体" w:eastAsia="宋体" w:cs="宋体"/>
          <w:color w:val="auto"/>
          <w:sz w:val="24"/>
          <w:highlight w:val="none"/>
        </w:rPr>
      </w:pPr>
    </w:p>
    <w:p w14:paraId="2E6975C4">
      <w:pPr>
        <w:pStyle w:val="49"/>
        <w:shd w:val="clear" w:color="auto" w:fill="auto"/>
        <w:rPr>
          <w:rFonts w:hint="eastAsia" w:ascii="宋体" w:hAnsi="宋体" w:eastAsia="宋体" w:cs="宋体"/>
          <w:color w:val="auto"/>
          <w:sz w:val="24"/>
          <w:highlight w:val="none"/>
        </w:rPr>
      </w:pPr>
    </w:p>
    <w:p w14:paraId="5A5A09D3">
      <w:pPr>
        <w:pStyle w:val="49"/>
        <w:shd w:val="clear" w:color="auto" w:fill="auto"/>
        <w:rPr>
          <w:rFonts w:hint="eastAsia" w:ascii="宋体" w:hAnsi="宋体" w:eastAsia="宋体" w:cs="宋体"/>
          <w:color w:val="auto"/>
          <w:sz w:val="24"/>
          <w:highlight w:val="none"/>
        </w:rPr>
      </w:pPr>
    </w:p>
    <w:p w14:paraId="2A842CF4">
      <w:pPr>
        <w:pStyle w:val="49"/>
        <w:shd w:val="clear" w:color="auto" w:fill="auto"/>
        <w:rPr>
          <w:rFonts w:hint="eastAsia" w:ascii="宋体" w:hAnsi="宋体" w:eastAsia="宋体" w:cs="宋体"/>
          <w:color w:val="auto"/>
          <w:sz w:val="24"/>
          <w:highlight w:val="none"/>
        </w:rPr>
      </w:pPr>
    </w:p>
    <w:p w14:paraId="71801F1E">
      <w:pPr>
        <w:pStyle w:val="49"/>
        <w:shd w:val="clear" w:color="auto" w:fill="auto"/>
        <w:rPr>
          <w:rFonts w:hint="eastAsia" w:ascii="宋体" w:hAnsi="宋体" w:eastAsia="宋体" w:cs="宋体"/>
          <w:color w:val="auto"/>
          <w:sz w:val="24"/>
          <w:highlight w:val="none"/>
        </w:rPr>
      </w:pPr>
    </w:p>
    <w:p w14:paraId="6B9C6FB0">
      <w:pPr>
        <w:pStyle w:val="49"/>
        <w:shd w:val="clear" w:color="auto" w:fill="auto"/>
        <w:rPr>
          <w:rFonts w:hint="eastAsia" w:ascii="宋体" w:hAnsi="宋体" w:eastAsia="宋体" w:cs="宋体"/>
          <w:color w:val="auto"/>
          <w:sz w:val="24"/>
          <w:highlight w:val="none"/>
        </w:rPr>
      </w:pPr>
    </w:p>
    <w:p w14:paraId="64F7C60B">
      <w:pPr>
        <w:pStyle w:val="49"/>
        <w:shd w:val="clear" w:color="auto" w:fill="auto"/>
        <w:rPr>
          <w:rFonts w:hint="eastAsia" w:ascii="宋体" w:hAnsi="宋体" w:eastAsia="宋体" w:cs="宋体"/>
          <w:color w:val="auto"/>
          <w:sz w:val="24"/>
          <w:highlight w:val="none"/>
        </w:rPr>
      </w:pPr>
    </w:p>
    <w:p w14:paraId="15EDE2C4">
      <w:pPr>
        <w:pStyle w:val="49"/>
        <w:shd w:val="clear" w:color="auto" w:fill="auto"/>
        <w:rPr>
          <w:rFonts w:hint="eastAsia" w:ascii="宋体" w:hAnsi="宋体" w:eastAsia="宋体" w:cs="宋体"/>
          <w:color w:val="auto"/>
          <w:sz w:val="24"/>
          <w:highlight w:val="none"/>
        </w:rPr>
      </w:pPr>
    </w:p>
    <w:p w14:paraId="47B8E939">
      <w:pPr>
        <w:pStyle w:val="49"/>
        <w:shd w:val="clear" w:color="auto" w:fill="auto"/>
        <w:rPr>
          <w:rFonts w:hint="eastAsia" w:ascii="宋体" w:hAnsi="宋体" w:eastAsia="宋体" w:cs="宋体"/>
          <w:color w:val="auto"/>
          <w:sz w:val="24"/>
          <w:highlight w:val="none"/>
        </w:rPr>
      </w:pPr>
    </w:p>
    <w:p w14:paraId="4AB86839">
      <w:pPr>
        <w:pStyle w:val="49"/>
        <w:shd w:val="clear" w:color="auto" w:fill="auto"/>
        <w:rPr>
          <w:rFonts w:hint="eastAsia" w:ascii="宋体" w:hAnsi="宋体" w:eastAsia="宋体" w:cs="宋体"/>
          <w:color w:val="auto"/>
          <w:sz w:val="24"/>
          <w:highlight w:val="none"/>
        </w:rPr>
      </w:pPr>
    </w:p>
    <w:p w14:paraId="62B1B1B0">
      <w:pPr>
        <w:pStyle w:val="49"/>
        <w:shd w:val="clear" w:color="auto" w:fill="auto"/>
        <w:rPr>
          <w:rFonts w:hint="eastAsia" w:ascii="宋体" w:hAnsi="宋体" w:eastAsia="宋体" w:cs="宋体"/>
          <w:color w:val="auto"/>
          <w:sz w:val="24"/>
          <w:highlight w:val="none"/>
        </w:rPr>
      </w:pPr>
    </w:p>
    <w:p w14:paraId="2CEA4240">
      <w:pPr>
        <w:pStyle w:val="49"/>
        <w:shd w:val="clear" w:color="auto" w:fill="auto"/>
        <w:rPr>
          <w:rFonts w:hint="eastAsia" w:ascii="宋体" w:hAnsi="宋体" w:eastAsia="宋体" w:cs="宋体"/>
          <w:color w:val="auto"/>
          <w:sz w:val="24"/>
          <w:highlight w:val="none"/>
        </w:rPr>
      </w:pPr>
    </w:p>
    <w:p w14:paraId="6BAD6F88">
      <w:pPr>
        <w:pStyle w:val="49"/>
        <w:shd w:val="clear" w:color="auto" w:fill="auto"/>
        <w:rPr>
          <w:rFonts w:hint="eastAsia" w:ascii="宋体" w:hAnsi="宋体" w:eastAsia="宋体" w:cs="宋体"/>
          <w:color w:val="auto"/>
          <w:sz w:val="24"/>
          <w:highlight w:val="none"/>
        </w:rPr>
      </w:pPr>
    </w:p>
    <w:p w14:paraId="2ABA5CED">
      <w:pPr>
        <w:pStyle w:val="49"/>
        <w:shd w:val="clear" w:color="auto" w:fill="auto"/>
        <w:rPr>
          <w:rFonts w:hint="eastAsia" w:ascii="宋体" w:hAnsi="宋体" w:eastAsia="宋体" w:cs="宋体"/>
          <w:color w:val="auto"/>
          <w:sz w:val="24"/>
          <w:highlight w:val="none"/>
        </w:rPr>
      </w:pPr>
    </w:p>
    <w:p w14:paraId="201E9712">
      <w:pPr>
        <w:pStyle w:val="49"/>
        <w:shd w:val="clear" w:color="auto" w:fill="auto"/>
        <w:rPr>
          <w:rFonts w:hint="eastAsia" w:ascii="宋体" w:hAnsi="宋体" w:eastAsia="宋体" w:cs="宋体"/>
          <w:color w:val="auto"/>
          <w:sz w:val="24"/>
          <w:highlight w:val="none"/>
        </w:rPr>
      </w:pPr>
    </w:p>
    <w:p w14:paraId="539BEB75">
      <w:pPr>
        <w:pStyle w:val="4"/>
        <w:numPr>
          <w:ilvl w:val="0"/>
          <w:numId w:val="0"/>
        </w:numPr>
        <w:shd w:val="clear" w:color="auto" w:fill="auto"/>
        <w:spacing w:before="0" w:line="240" w:lineRule="atLeast"/>
        <w:jc w:val="center"/>
        <w:rPr>
          <w:rFonts w:hint="eastAsia" w:ascii="宋体" w:hAnsi="宋体" w:eastAsia="宋体" w:cs="宋体"/>
          <w:b w:val="0"/>
          <w:color w:val="auto"/>
          <w:sz w:val="24"/>
          <w:highlight w:val="none"/>
          <w:u w:val="single"/>
        </w:rPr>
      </w:pPr>
      <w:bookmarkStart w:id="94" w:name="_Toc30244"/>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法定代表人资格证明书</w:t>
      </w:r>
    </w:p>
    <w:p w14:paraId="43FFA039">
      <w:pPr>
        <w:adjustRightInd w:val="0"/>
        <w:snapToGrid w:val="0"/>
        <w:spacing w:before="240" w:beforeLines="100" w:after="240" w:afterLines="100"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p>
    <w:p w14:paraId="2B898637">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同志，现任我单位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职务，为法定代表人，特此证明。</w:t>
      </w:r>
    </w:p>
    <w:p w14:paraId="39BE3C3B">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                  单位：           （盖章）</w:t>
      </w:r>
    </w:p>
    <w:p w14:paraId="17BBC102">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附：代表人性别：            年龄：           身份证号码：</w:t>
      </w:r>
    </w:p>
    <w:p w14:paraId="182815ED">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F463072">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营业执照号码：              经济性质：</w:t>
      </w:r>
    </w:p>
    <w:p w14:paraId="5D471AC6">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0617EC92">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1、法定代表人为企业事业单位、国家机关、社会团体的主要行政负责人。</w:t>
      </w:r>
    </w:p>
    <w:p w14:paraId="7433156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2、内容必须填写真实、清楚、涂改无效，不得转让。</w:t>
      </w:r>
    </w:p>
    <w:p w14:paraId="143C4177">
      <w:pPr>
        <w:spacing w:line="500" w:lineRule="exact"/>
        <w:ind w:firstLine="213"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3、将此证明书原件提交采购代理机构作为投标文件附件。</w:t>
      </w:r>
    </w:p>
    <w:p w14:paraId="3EED12DE">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(为避免废标，请投标人务必提供本附件)</w:t>
      </w:r>
    </w:p>
    <w:p w14:paraId="24215281">
      <w:pPr>
        <w:spacing w:line="500" w:lineRule="exact"/>
        <w:rPr>
          <w:rFonts w:hint="eastAsia" w:ascii="宋体" w:hAnsi="宋体" w:eastAsia="宋体" w:cs="宋体"/>
          <w:color w:val="auto"/>
          <w:sz w:val="24"/>
          <w:szCs w:val="24"/>
          <w:highlight w:val="none"/>
        </w:rPr>
      </w:pPr>
    </w:p>
    <w:p w14:paraId="3313F94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F96954F">
                            <w:pPr>
                              <w:jc w:val="center"/>
                              <w:rPr>
                                <w:rFonts w:hint="eastAsia" w:hAnsi="宋体"/>
                                <w:szCs w:val="21"/>
                              </w:rPr>
                            </w:pPr>
                          </w:p>
                          <w:p w14:paraId="2F0DE9FD">
                            <w:pPr>
                              <w:jc w:val="center"/>
                              <w:rPr>
                                <w:rFonts w:hint="eastAsia" w:hAnsi="宋体"/>
                                <w:szCs w:val="21"/>
                              </w:rPr>
                            </w:pPr>
                          </w:p>
                          <w:p w14:paraId="424841E0">
                            <w:pPr>
                              <w:jc w:val="center"/>
                              <w:rPr>
                                <w:rFonts w:hint="eastAsia" w:hAnsi="宋体"/>
                                <w:szCs w:val="21"/>
                              </w:rPr>
                            </w:pPr>
                          </w:p>
                          <w:p w14:paraId="4925B347">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upright="1"/>
                    </wps:wsp>
                  </a:graphicData>
                </a:graphic>
              </wp:anchor>
            </w:drawing>
          </mc:Choice>
          <mc:Fallback>
            <w:pict>
              <v:shape id="_x0000_s1026"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FwXx41gAAAAgBAAAPAAAAAAAAAAEAIAAAACIAAABkcnMvZG93bnJldi54bWxQSwECFAAUAAAA&#10;CACHTuJAcS+LcykCAABSBAAADgAAAAAAAAABACAAAAAlAQAAZHJzL2Uyb0RvYy54bWxQSwUGAAAA&#10;AAYABgBZAQAAwAUAAAAA&#10;">
                <v:fill on="t" focussize="0,0"/>
                <v:stroke color="#000000" joinstyle="miter"/>
                <v:imagedata o:title=""/>
                <o:lock v:ext="edit" aspectratio="f"/>
                <v:textbox>
                  <w:txbxContent>
                    <w:p w14:paraId="5F96954F">
                      <w:pPr>
                        <w:jc w:val="center"/>
                        <w:rPr>
                          <w:rFonts w:hint="eastAsia" w:hAnsi="宋体"/>
                          <w:szCs w:val="21"/>
                        </w:rPr>
                      </w:pPr>
                    </w:p>
                    <w:p w14:paraId="2F0DE9FD">
                      <w:pPr>
                        <w:jc w:val="center"/>
                        <w:rPr>
                          <w:rFonts w:hint="eastAsia" w:hAnsi="宋体"/>
                          <w:szCs w:val="21"/>
                        </w:rPr>
                      </w:pPr>
                    </w:p>
                    <w:p w14:paraId="424841E0">
                      <w:pPr>
                        <w:jc w:val="center"/>
                        <w:rPr>
                          <w:rFonts w:hint="eastAsia" w:hAnsi="宋体"/>
                          <w:szCs w:val="21"/>
                        </w:rPr>
                      </w:pPr>
                    </w:p>
                    <w:p w14:paraId="4925B347">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11" name="流程图: 可选过程 1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C29423F">
                            <w:pPr>
                              <w:jc w:val="center"/>
                              <w:rPr>
                                <w:rFonts w:hint="eastAsia" w:hAnsi="宋体"/>
                                <w:szCs w:val="21"/>
                              </w:rPr>
                            </w:pPr>
                          </w:p>
                          <w:p w14:paraId="28C1FC15">
                            <w:pPr>
                              <w:jc w:val="center"/>
                              <w:rPr>
                                <w:rFonts w:hint="eastAsia" w:hAnsi="宋体"/>
                                <w:szCs w:val="21"/>
                              </w:rPr>
                            </w:pPr>
                          </w:p>
                          <w:p w14:paraId="22D7C319">
                            <w:pPr>
                              <w:jc w:val="center"/>
                              <w:rPr>
                                <w:rFonts w:hint="eastAsia" w:hAnsi="宋体"/>
                                <w:szCs w:val="21"/>
                              </w:rPr>
                            </w:pPr>
                          </w:p>
                          <w:p w14:paraId="57AD5FD8">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upright="1"/>
                    </wps:wsp>
                  </a:graphicData>
                </a:graphic>
              </wp:anchor>
            </w:drawing>
          </mc:Choice>
          <mc:Fallback>
            <w:pict>
              <v:shape id="_x0000_s1026"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oTxGHYAAAACQEAAA8AAAAAAAAAAQAgAAAAIgAAAGRycy9kb3ducmV2LnhtbFBLAQIUABQA&#10;AAAIAIdO4kAB7+mmKQIAAFIEAAAOAAAAAAAAAAEAIAAAACcBAABkcnMvZTJvRG9jLnhtbFBLBQYA&#10;AAAABgAGAFkBAADCBQAAAAA=&#10;">
                <v:fill on="t" focussize="0,0"/>
                <v:stroke color="#000000" joinstyle="miter"/>
                <v:imagedata o:title=""/>
                <o:lock v:ext="edit" aspectratio="f"/>
                <v:textbox>
                  <w:txbxContent>
                    <w:p w14:paraId="7C29423F">
                      <w:pPr>
                        <w:jc w:val="center"/>
                        <w:rPr>
                          <w:rFonts w:hint="eastAsia" w:hAnsi="宋体"/>
                          <w:szCs w:val="21"/>
                        </w:rPr>
                      </w:pPr>
                    </w:p>
                    <w:p w14:paraId="28C1FC15">
                      <w:pPr>
                        <w:jc w:val="center"/>
                        <w:rPr>
                          <w:rFonts w:hint="eastAsia" w:hAnsi="宋体"/>
                          <w:szCs w:val="21"/>
                        </w:rPr>
                      </w:pPr>
                    </w:p>
                    <w:p w14:paraId="22D7C319">
                      <w:pPr>
                        <w:jc w:val="center"/>
                        <w:rPr>
                          <w:rFonts w:hint="eastAsia" w:hAnsi="宋体"/>
                          <w:szCs w:val="21"/>
                        </w:rPr>
                      </w:pPr>
                    </w:p>
                    <w:p w14:paraId="57AD5FD8">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14:paraId="1B15E0D4">
      <w:pPr>
        <w:spacing w:line="500" w:lineRule="exact"/>
        <w:rPr>
          <w:rFonts w:hint="eastAsia" w:ascii="宋体" w:hAnsi="宋体" w:eastAsia="宋体" w:cs="宋体"/>
          <w:color w:val="auto"/>
          <w:sz w:val="24"/>
          <w:szCs w:val="24"/>
          <w:highlight w:val="none"/>
        </w:rPr>
      </w:pPr>
    </w:p>
    <w:p w14:paraId="07BDA795">
      <w:pPr>
        <w:spacing w:line="500" w:lineRule="exact"/>
        <w:rPr>
          <w:rFonts w:hint="eastAsia" w:ascii="宋体" w:hAnsi="宋体" w:eastAsia="宋体" w:cs="宋体"/>
          <w:color w:val="auto"/>
          <w:sz w:val="24"/>
          <w:szCs w:val="24"/>
          <w:highlight w:val="none"/>
        </w:rPr>
      </w:pPr>
    </w:p>
    <w:p w14:paraId="6B0784DC">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宋体" w:hAnsi="宋体" w:eastAsia="宋体" w:cs="宋体"/>
          <w:color w:val="auto"/>
          <w:sz w:val="24"/>
          <w:szCs w:val="24"/>
          <w:highlight w:val="none"/>
        </w:rPr>
      </w:pPr>
    </w:p>
    <w:p w14:paraId="4555C2FA">
      <w:pPr>
        <w:spacing w:line="500" w:lineRule="exact"/>
        <w:jc w:val="center"/>
        <w:rPr>
          <w:rFonts w:hint="eastAsia" w:ascii="宋体" w:hAnsi="宋体" w:eastAsia="宋体" w:cs="宋体"/>
          <w:color w:val="auto"/>
          <w:sz w:val="24"/>
          <w:szCs w:val="24"/>
          <w:highlight w:val="none"/>
        </w:rPr>
      </w:pPr>
    </w:p>
    <w:p w14:paraId="189EDA14">
      <w:pPr>
        <w:autoSpaceDE w:val="0"/>
        <w:autoSpaceDN w:val="0"/>
        <w:adjustRightInd w:val="0"/>
        <w:spacing w:line="500" w:lineRule="exact"/>
        <w:ind w:right="246" w:firstLine="793" w:firstLineChars="327"/>
        <w:rPr>
          <w:rFonts w:hint="eastAsia" w:ascii="宋体" w:hAnsi="宋体" w:eastAsia="宋体" w:cs="宋体"/>
          <w:color w:val="auto"/>
          <w:kern w:val="0"/>
          <w:sz w:val="24"/>
          <w:szCs w:val="24"/>
          <w:highlight w:val="none"/>
        </w:rPr>
      </w:pPr>
    </w:p>
    <w:p w14:paraId="7D994D20">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14:paraId="5E837635">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14:paraId="4E93DF5F">
      <w:pPr>
        <w:shd w:val="clear" w:color="auto" w:fill="auto"/>
        <w:spacing w:line="360" w:lineRule="auto"/>
        <w:ind w:firstLine="486"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14:paraId="0F0E0913">
      <w:pPr>
        <w:spacing w:line="500" w:lineRule="exact"/>
        <w:jc w:val="center"/>
        <w:rPr>
          <w:rFonts w:hint="eastAsia" w:ascii="宋体" w:hAnsi="宋体" w:eastAsia="宋体" w:cs="宋体"/>
          <w:b/>
          <w:color w:val="auto"/>
          <w:sz w:val="28"/>
          <w:szCs w:val="28"/>
          <w:highlight w:val="none"/>
        </w:rPr>
      </w:pPr>
    </w:p>
    <w:p w14:paraId="06EF79E7">
      <w:pPr>
        <w:pStyle w:val="49"/>
        <w:rPr>
          <w:rFonts w:hint="eastAsia" w:ascii="宋体" w:hAnsi="宋体" w:eastAsia="宋体" w:cs="宋体"/>
          <w:b/>
          <w:color w:val="auto"/>
          <w:sz w:val="28"/>
          <w:szCs w:val="28"/>
          <w:highlight w:val="none"/>
        </w:rPr>
      </w:pPr>
    </w:p>
    <w:p w14:paraId="54E31F89">
      <w:pPr>
        <w:pStyle w:val="49"/>
        <w:rPr>
          <w:rFonts w:hint="eastAsia" w:ascii="宋体" w:hAnsi="宋体" w:eastAsia="宋体" w:cs="宋体"/>
          <w:b/>
          <w:color w:val="auto"/>
          <w:sz w:val="28"/>
          <w:szCs w:val="28"/>
          <w:highlight w:val="none"/>
        </w:rPr>
      </w:pPr>
    </w:p>
    <w:p w14:paraId="7D420F42">
      <w:pPr>
        <w:pStyle w:val="49"/>
        <w:rPr>
          <w:rFonts w:hint="eastAsia" w:ascii="宋体" w:hAnsi="宋体" w:eastAsia="宋体" w:cs="宋体"/>
          <w:b/>
          <w:color w:val="auto"/>
          <w:sz w:val="28"/>
          <w:szCs w:val="28"/>
          <w:highlight w:val="none"/>
        </w:rPr>
      </w:pPr>
    </w:p>
    <w:p w14:paraId="4C2DD0D2">
      <w:pPr>
        <w:spacing w:line="500" w:lineRule="exact"/>
        <w:jc w:val="center"/>
        <w:rPr>
          <w:rFonts w:hint="eastAsia" w:ascii="宋体" w:hAnsi="宋体" w:eastAsia="宋体" w:cs="宋体"/>
          <w:b/>
          <w:color w:val="auto"/>
          <w:sz w:val="28"/>
          <w:szCs w:val="28"/>
          <w:highlight w:val="none"/>
        </w:rPr>
      </w:pPr>
    </w:p>
    <w:p w14:paraId="79F5E83C">
      <w:pPr>
        <w:spacing w:line="500" w:lineRule="exact"/>
        <w:jc w:val="center"/>
        <w:rPr>
          <w:rFonts w:hint="eastAsia" w:ascii="宋体" w:hAnsi="宋体" w:eastAsia="宋体" w:cs="宋体"/>
          <w:b/>
          <w:color w:val="auto"/>
          <w:sz w:val="28"/>
          <w:szCs w:val="28"/>
          <w:highlight w:val="none"/>
        </w:rPr>
      </w:pPr>
    </w:p>
    <w:p w14:paraId="575A3760">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法定代表人授权委托书</w:t>
      </w:r>
      <w:bookmarkEnd w:id="90"/>
      <w:bookmarkEnd w:id="91"/>
      <w:bookmarkEnd w:id="92"/>
      <w:bookmarkEnd w:id="93"/>
      <w:bookmarkEnd w:id="94"/>
    </w:p>
    <w:p w14:paraId="5000AEF6">
      <w:pPr>
        <w:pStyle w:val="14"/>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cr/>
      </w:r>
    </w:p>
    <w:p w14:paraId="1BB95FCC">
      <w:pPr>
        <w:pStyle w:val="14"/>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0"/>
          <w:highlight w:val="none"/>
        </w:rPr>
        <w:t xml:space="preserve">   </w:t>
      </w:r>
      <w:r>
        <w:rPr>
          <w:rFonts w:hint="eastAsia" w:ascii="宋体" w:hAnsi="宋体" w:eastAsia="宋体" w:cs="宋体"/>
          <w:color w:val="auto"/>
          <w:sz w:val="22"/>
          <w:szCs w:val="18"/>
          <w:highlight w:val="none"/>
        </w:rPr>
        <w:t>本授权书声明</w:t>
      </w:r>
      <w:r>
        <w:rPr>
          <w:rFonts w:hint="eastAsia" w:ascii="宋体" w:hAnsi="宋体" w:eastAsia="宋体" w:cs="宋体"/>
          <w:i w:val="0"/>
          <w:iCs w:val="0"/>
          <w:color w:val="auto"/>
          <w:sz w:val="22"/>
          <w:szCs w:val="18"/>
          <w:highlight w:val="none"/>
        </w:rPr>
        <w:t>：注册于</w:t>
      </w:r>
      <w:r>
        <w:rPr>
          <w:rFonts w:hint="eastAsia" w:ascii="宋体" w:hAnsi="宋体" w:eastAsia="宋体" w:cs="宋体"/>
          <w:i w:val="0"/>
          <w:iCs w:val="0"/>
          <w:color w:val="auto"/>
          <w:sz w:val="22"/>
          <w:szCs w:val="18"/>
          <w:highlight w:val="none"/>
          <w:u w:val="single"/>
        </w:rPr>
        <w:t>（国家或地区的名称）</w:t>
      </w:r>
      <w:r>
        <w:rPr>
          <w:rFonts w:hint="eastAsia" w:ascii="宋体" w:hAnsi="宋体" w:eastAsia="宋体" w:cs="宋体"/>
          <w:i w:val="0"/>
          <w:iCs w:val="0"/>
          <w:color w:val="auto"/>
          <w:sz w:val="22"/>
          <w:szCs w:val="18"/>
          <w:highlight w:val="none"/>
        </w:rPr>
        <w:t>的（</w:t>
      </w:r>
      <w:r>
        <w:rPr>
          <w:rFonts w:hint="eastAsia" w:ascii="宋体" w:hAnsi="宋体" w:eastAsia="宋体" w:cs="宋体"/>
          <w:i w:val="0"/>
          <w:iCs w:val="0"/>
          <w:color w:val="auto"/>
          <w:sz w:val="22"/>
          <w:szCs w:val="18"/>
          <w:highlight w:val="none"/>
          <w:u w:val="single"/>
        </w:rPr>
        <w:t>投标人</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法人代表姓名、职务</w:t>
      </w:r>
      <w:r>
        <w:rPr>
          <w:rFonts w:hint="eastAsia" w:ascii="宋体" w:hAnsi="宋体" w:eastAsia="宋体" w:cs="宋体"/>
          <w:i w:val="0"/>
          <w:iCs w:val="0"/>
          <w:color w:val="auto"/>
          <w:sz w:val="22"/>
          <w:szCs w:val="18"/>
          <w:highlight w:val="none"/>
        </w:rPr>
        <w:t>）代表我单位授权（</w:t>
      </w:r>
      <w:r>
        <w:rPr>
          <w:rFonts w:hint="eastAsia" w:ascii="宋体" w:hAnsi="宋体" w:eastAsia="宋体" w:cs="宋体"/>
          <w:i w:val="0"/>
          <w:iCs w:val="0"/>
          <w:color w:val="auto"/>
          <w:sz w:val="22"/>
          <w:szCs w:val="18"/>
          <w:highlight w:val="none"/>
          <w:u w:val="single"/>
        </w:rPr>
        <w:t>单位名称</w:t>
      </w:r>
      <w:r>
        <w:rPr>
          <w:rFonts w:hint="eastAsia" w:ascii="宋体" w:hAnsi="宋体" w:eastAsia="宋体" w:cs="宋体"/>
          <w:i w:val="0"/>
          <w:iCs w:val="0"/>
          <w:color w:val="auto"/>
          <w:sz w:val="22"/>
          <w:szCs w:val="18"/>
          <w:highlight w:val="none"/>
        </w:rPr>
        <w:t>）的在下面签字的（</w:t>
      </w:r>
      <w:r>
        <w:rPr>
          <w:rFonts w:hint="eastAsia" w:ascii="宋体" w:hAnsi="宋体" w:eastAsia="宋体" w:cs="宋体"/>
          <w:i w:val="0"/>
          <w:iCs w:val="0"/>
          <w:color w:val="auto"/>
          <w:sz w:val="22"/>
          <w:szCs w:val="18"/>
          <w:highlight w:val="none"/>
          <w:u w:val="single"/>
        </w:rPr>
        <w:t>被授权人的姓名、职务</w:t>
      </w:r>
      <w:r>
        <w:rPr>
          <w:rFonts w:hint="eastAsia" w:ascii="宋体" w:hAnsi="宋体" w:eastAsia="宋体" w:cs="宋体"/>
          <w:i w:val="0"/>
          <w:iCs w:val="0"/>
          <w:color w:val="auto"/>
          <w:sz w:val="22"/>
          <w:szCs w:val="18"/>
          <w:highlight w:val="none"/>
        </w:rPr>
        <w:t>）</w:t>
      </w:r>
      <w:r>
        <w:rPr>
          <w:rFonts w:hint="eastAsia" w:ascii="宋体" w:hAnsi="宋体" w:eastAsia="宋体" w:cs="宋体"/>
          <w:color w:val="auto"/>
          <w:sz w:val="22"/>
          <w:szCs w:val="18"/>
          <w:highlight w:val="none"/>
        </w:rPr>
        <w:t>为我单位的合法代理人，</w:t>
      </w:r>
      <w:r>
        <w:rPr>
          <w:rFonts w:hint="eastAsia" w:ascii="宋体" w:hAnsi="宋体" w:eastAsia="宋体" w:cs="宋体"/>
          <w:i w:val="0"/>
          <w:iCs w:val="0"/>
          <w:color w:val="auto"/>
          <w:sz w:val="22"/>
          <w:szCs w:val="18"/>
          <w:highlight w:val="none"/>
        </w:rPr>
        <w:t>就（</w:t>
      </w:r>
      <w:r>
        <w:rPr>
          <w:rFonts w:hint="eastAsia" w:ascii="宋体" w:hAnsi="宋体" w:eastAsia="宋体" w:cs="宋体"/>
          <w:i w:val="0"/>
          <w:iCs w:val="0"/>
          <w:color w:val="auto"/>
          <w:sz w:val="22"/>
          <w:szCs w:val="18"/>
          <w:highlight w:val="none"/>
          <w:u w:val="single"/>
        </w:rPr>
        <w:t>项目名称</w:t>
      </w:r>
      <w:r>
        <w:rPr>
          <w:rFonts w:hint="eastAsia" w:ascii="宋体" w:hAnsi="宋体" w:eastAsia="宋体" w:cs="宋体"/>
          <w:color w:val="auto"/>
          <w:sz w:val="22"/>
          <w:szCs w:val="18"/>
          <w:highlight w:val="none"/>
        </w:rPr>
        <w:t>）投标，以我单位名义处理一切与之有关的事务。</w:t>
      </w:r>
      <w:r>
        <w:rPr>
          <w:rFonts w:hint="eastAsia" w:ascii="宋体" w:hAnsi="宋体" w:eastAsia="宋体" w:cs="宋体"/>
          <w:color w:val="auto"/>
          <w:sz w:val="22"/>
          <w:szCs w:val="18"/>
          <w:highlight w:val="none"/>
        </w:rPr>
        <w:cr/>
      </w:r>
      <w:r>
        <w:rPr>
          <w:rFonts w:hint="eastAsia" w:ascii="宋体" w:hAnsi="宋体" w:eastAsia="宋体" w:cs="宋体"/>
          <w:color w:val="auto"/>
          <w:sz w:val="22"/>
          <w:szCs w:val="18"/>
          <w:highlight w:val="none"/>
        </w:rPr>
        <w:t>　　本授权书于</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日签字</w:t>
      </w:r>
      <w:r>
        <w:rPr>
          <w:rFonts w:hint="eastAsia" w:hAnsi="宋体" w:cs="宋体"/>
          <w:color w:val="auto"/>
          <w:sz w:val="22"/>
          <w:szCs w:val="18"/>
          <w:highlight w:val="none"/>
          <w:lang w:val="en-US" w:eastAsia="zh-CN"/>
        </w:rPr>
        <w:t>至</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年</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月</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rPr>
        <w:t>日生效,特此声明。</w:t>
      </w:r>
      <w:r>
        <w:rPr>
          <w:rFonts w:hint="eastAsia" w:ascii="宋体" w:hAnsi="宋体" w:eastAsia="宋体" w:cs="宋体"/>
          <w:color w:val="auto"/>
          <w:sz w:val="24"/>
          <w:highlight w:val="none"/>
        </w:rPr>
        <w:cr/>
      </w:r>
    </w:p>
    <w:p w14:paraId="24A29091">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4E96C9EA">
                            <w:pPr>
                              <w:rPr>
                                <w:rFonts w:hint="eastAsia" w:hAnsi="宋体"/>
                              </w:rPr>
                            </w:pPr>
                          </w:p>
                          <w:p w14:paraId="5864813D">
                            <w:pPr>
                              <w:rPr>
                                <w:rFonts w:hint="eastAsia" w:hAnsi="宋体"/>
                              </w:rPr>
                            </w:pPr>
                          </w:p>
                          <w:p w14:paraId="2FB82D21">
                            <w:pPr>
                              <w:jc w:val="center"/>
                              <w:rPr>
                                <w:rFonts w:hint="eastAsia" w:hAnsi="宋体"/>
                              </w:rPr>
                            </w:pPr>
                            <w:r>
                              <w:rPr>
                                <w:rFonts w:hint="eastAsia" w:hAnsi="宋体"/>
                              </w:rPr>
                              <w:t>法人身份证复印件反面</w:t>
                            </w:r>
                          </w:p>
                          <w:p w14:paraId="06E883F2"/>
                        </w:txbxContent>
                      </wps:txbx>
                      <wps:bodyPr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4E96C9EA">
                      <w:pPr>
                        <w:rPr>
                          <w:rFonts w:hint="eastAsia" w:hAnsi="宋体"/>
                        </w:rPr>
                      </w:pPr>
                    </w:p>
                    <w:p w14:paraId="5864813D">
                      <w:pPr>
                        <w:rPr>
                          <w:rFonts w:hint="eastAsia" w:hAnsi="宋体"/>
                        </w:rPr>
                      </w:pPr>
                    </w:p>
                    <w:p w14:paraId="2FB82D21">
                      <w:pPr>
                        <w:jc w:val="center"/>
                        <w:rPr>
                          <w:rFonts w:hint="eastAsia" w:hAnsi="宋体"/>
                        </w:rPr>
                      </w:pPr>
                      <w:r>
                        <w:rPr>
                          <w:rFonts w:hint="eastAsia" w:hAnsi="宋体"/>
                        </w:rPr>
                        <w:t>法人身份证复印件反面</w:t>
                      </w:r>
                    </w:p>
                    <w:p w14:paraId="06E883F2"/>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D28B114">
                            <w:pPr>
                              <w:jc w:val="center"/>
                              <w:rPr>
                                <w:rFonts w:hint="eastAsia" w:hAnsi="宋体"/>
                              </w:rPr>
                            </w:pPr>
                          </w:p>
                          <w:p w14:paraId="5D74509E">
                            <w:pPr>
                              <w:jc w:val="center"/>
                              <w:rPr>
                                <w:rFonts w:hint="eastAsia" w:hAnsi="宋体"/>
                              </w:rPr>
                            </w:pPr>
                          </w:p>
                          <w:p w14:paraId="31F76272">
                            <w:pPr>
                              <w:jc w:val="center"/>
                            </w:pPr>
                            <w:r>
                              <w:rPr>
                                <w:rFonts w:hint="eastAsia" w:hAnsi="宋体"/>
                              </w:rPr>
                              <w:t>法人身份证复印件正面</w:t>
                            </w:r>
                          </w:p>
                          <w:p w14:paraId="7BB3A2BE">
                            <w:pPr>
                              <w:jc w:val="center"/>
                              <w:rPr>
                                <w:rFonts w:hint="eastAsia" w:hAnsi="宋体"/>
                              </w:rPr>
                            </w:pPr>
                          </w:p>
                        </w:txbxContent>
                      </wps:txbx>
                      <wps:bodyPr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6D28B114">
                      <w:pPr>
                        <w:jc w:val="center"/>
                        <w:rPr>
                          <w:rFonts w:hint="eastAsia" w:hAnsi="宋体"/>
                        </w:rPr>
                      </w:pPr>
                    </w:p>
                    <w:p w14:paraId="5D74509E">
                      <w:pPr>
                        <w:jc w:val="center"/>
                        <w:rPr>
                          <w:rFonts w:hint="eastAsia" w:hAnsi="宋体"/>
                        </w:rPr>
                      </w:pPr>
                    </w:p>
                    <w:p w14:paraId="31F76272">
                      <w:pPr>
                        <w:jc w:val="center"/>
                      </w:pPr>
                      <w:r>
                        <w:rPr>
                          <w:rFonts w:hint="eastAsia" w:hAnsi="宋体"/>
                        </w:rPr>
                        <w:t>法人身份证复印件正面</w:t>
                      </w:r>
                    </w:p>
                    <w:p w14:paraId="7BB3A2BE">
                      <w:pPr>
                        <w:jc w:val="center"/>
                        <w:rPr>
                          <w:rFonts w:hint="eastAsia" w:hAnsi="宋体"/>
                        </w:rPr>
                      </w:pPr>
                    </w:p>
                  </w:txbxContent>
                </v:textbox>
              </v:shape>
            </w:pict>
          </mc:Fallback>
        </mc:AlternateContent>
      </w:r>
    </w:p>
    <w:p w14:paraId="3019583E">
      <w:pPr>
        <w:shd w:val="clear" w:color="auto" w:fill="auto"/>
        <w:spacing w:line="360" w:lineRule="auto"/>
        <w:ind w:firstLine="243" w:firstLineChars="100"/>
        <w:rPr>
          <w:rFonts w:hint="eastAsia" w:ascii="宋体" w:hAnsi="宋体" w:eastAsia="宋体" w:cs="宋体"/>
          <w:color w:val="auto"/>
          <w:sz w:val="24"/>
          <w:highlight w:val="none"/>
        </w:rPr>
      </w:pPr>
    </w:p>
    <w:p w14:paraId="61930AC7">
      <w:pPr>
        <w:shd w:val="clear" w:color="auto" w:fill="auto"/>
        <w:spacing w:line="360" w:lineRule="auto"/>
        <w:ind w:firstLine="243" w:firstLineChars="100"/>
        <w:rPr>
          <w:rFonts w:hint="eastAsia" w:ascii="宋体" w:hAnsi="宋体" w:eastAsia="宋体" w:cs="宋体"/>
          <w:color w:val="auto"/>
          <w:sz w:val="24"/>
          <w:highlight w:val="none"/>
        </w:rPr>
      </w:pPr>
    </w:p>
    <w:p w14:paraId="65A081CE">
      <w:pPr>
        <w:shd w:val="clear" w:color="auto" w:fill="auto"/>
        <w:spacing w:line="360" w:lineRule="auto"/>
        <w:ind w:firstLine="243" w:firstLineChars="100"/>
        <w:rPr>
          <w:rFonts w:hint="eastAsia" w:ascii="宋体" w:hAnsi="宋体" w:eastAsia="宋体" w:cs="宋体"/>
          <w:color w:val="auto"/>
          <w:sz w:val="24"/>
          <w:highlight w:val="none"/>
        </w:rPr>
      </w:pPr>
    </w:p>
    <w:p w14:paraId="2C5388D5">
      <w:pPr>
        <w:shd w:val="clear" w:color="auto" w:fill="auto"/>
        <w:spacing w:line="360" w:lineRule="auto"/>
        <w:ind w:firstLine="243" w:firstLineChars="100"/>
        <w:rPr>
          <w:rFonts w:hint="eastAsia" w:ascii="宋体" w:hAnsi="宋体" w:eastAsia="宋体" w:cs="宋体"/>
          <w:color w:val="auto"/>
          <w:sz w:val="24"/>
          <w:highlight w:val="none"/>
        </w:rPr>
      </w:pPr>
    </w:p>
    <w:p w14:paraId="143F778F">
      <w:pPr>
        <w:shd w:val="clear" w:color="auto" w:fill="auto"/>
        <w:spacing w:line="360" w:lineRule="auto"/>
        <w:ind w:firstLine="243"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3BD18B9">
                            <w:pPr>
                              <w:jc w:val="center"/>
                              <w:rPr>
                                <w:rFonts w:hint="eastAsia" w:hAnsi="宋体"/>
                              </w:rPr>
                            </w:pPr>
                            <w:r>
                              <w:rPr>
                                <w:rFonts w:hint="eastAsia" w:hAnsi="宋体"/>
                              </w:rPr>
                              <w:t xml:space="preserve">  </w:t>
                            </w:r>
                          </w:p>
                          <w:p w14:paraId="2BF111A9">
                            <w:pPr>
                              <w:jc w:val="both"/>
                              <w:rPr>
                                <w:rFonts w:hint="eastAsia" w:hAnsi="宋体"/>
                              </w:rPr>
                            </w:pPr>
                          </w:p>
                          <w:p w14:paraId="4DCB24FF">
                            <w:pPr>
                              <w:jc w:val="center"/>
                            </w:pPr>
                            <w:r>
                              <w:rPr>
                                <w:rFonts w:hint="eastAsia" w:hAnsi="宋体"/>
                              </w:rPr>
                              <w:t>授权委托人身份证复印件反面</w:t>
                            </w:r>
                          </w:p>
                          <w:p w14:paraId="5A2CA595">
                            <w:pPr>
                              <w:jc w:val="center"/>
                            </w:pPr>
                          </w:p>
                          <w:p w14:paraId="0090CCAF"/>
                        </w:txbxContent>
                      </wps:txbx>
                      <wps:bodyPr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13BD18B9">
                      <w:pPr>
                        <w:jc w:val="center"/>
                        <w:rPr>
                          <w:rFonts w:hint="eastAsia" w:hAnsi="宋体"/>
                        </w:rPr>
                      </w:pPr>
                      <w:r>
                        <w:rPr>
                          <w:rFonts w:hint="eastAsia" w:hAnsi="宋体"/>
                        </w:rPr>
                        <w:t xml:space="preserve">  </w:t>
                      </w:r>
                    </w:p>
                    <w:p w14:paraId="2BF111A9">
                      <w:pPr>
                        <w:jc w:val="both"/>
                        <w:rPr>
                          <w:rFonts w:hint="eastAsia" w:hAnsi="宋体"/>
                        </w:rPr>
                      </w:pPr>
                    </w:p>
                    <w:p w14:paraId="4DCB24FF">
                      <w:pPr>
                        <w:jc w:val="center"/>
                      </w:pPr>
                      <w:r>
                        <w:rPr>
                          <w:rFonts w:hint="eastAsia" w:hAnsi="宋体"/>
                        </w:rPr>
                        <w:t>授权委托人身份证复印件反面</w:t>
                      </w:r>
                    </w:p>
                    <w:p w14:paraId="5A2CA595">
                      <w:pPr>
                        <w:jc w:val="center"/>
                      </w:pPr>
                    </w:p>
                    <w:p w14:paraId="0090CCAF"/>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BD86B4F">
                            <w:pPr>
                              <w:jc w:val="center"/>
                              <w:rPr>
                                <w:rFonts w:hint="eastAsia" w:hAnsi="宋体"/>
                              </w:rPr>
                            </w:pPr>
                          </w:p>
                          <w:p w14:paraId="16410DB1">
                            <w:pPr>
                              <w:jc w:val="center"/>
                              <w:rPr>
                                <w:rFonts w:hint="eastAsia" w:hAnsi="宋体"/>
                              </w:rPr>
                            </w:pPr>
                          </w:p>
                          <w:p w14:paraId="1F95A031">
                            <w:pPr>
                              <w:jc w:val="center"/>
                            </w:pPr>
                            <w:r>
                              <w:rPr>
                                <w:rFonts w:hint="eastAsia" w:hAnsi="宋体"/>
                              </w:rPr>
                              <w:t>授权委托人身份证复印件正面</w:t>
                            </w:r>
                          </w:p>
                          <w:p w14:paraId="5286D941">
                            <w:pPr>
                              <w:jc w:val="center"/>
                              <w:rPr>
                                <w:rFonts w:hint="eastAsia" w:hAnsi="宋体"/>
                              </w:rPr>
                            </w:pPr>
                          </w:p>
                          <w:p w14:paraId="0733CAF9"/>
                        </w:txbxContent>
                      </wps:txbx>
                      <wps:bodyPr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1BD86B4F">
                      <w:pPr>
                        <w:jc w:val="center"/>
                        <w:rPr>
                          <w:rFonts w:hint="eastAsia" w:hAnsi="宋体"/>
                        </w:rPr>
                      </w:pPr>
                    </w:p>
                    <w:p w14:paraId="16410DB1">
                      <w:pPr>
                        <w:jc w:val="center"/>
                        <w:rPr>
                          <w:rFonts w:hint="eastAsia" w:hAnsi="宋体"/>
                        </w:rPr>
                      </w:pPr>
                    </w:p>
                    <w:p w14:paraId="1F95A031">
                      <w:pPr>
                        <w:jc w:val="center"/>
                      </w:pPr>
                      <w:r>
                        <w:rPr>
                          <w:rFonts w:hint="eastAsia" w:hAnsi="宋体"/>
                        </w:rPr>
                        <w:t>授权委托人身份证复印件正面</w:t>
                      </w:r>
                    </w:p>
                    <w:p w14:paraId="5286D941">
                      <w:pPr>
                        <w:jc w:val="center"/>
                        <w:rPr>
                          <w:rFonts w:hint="eastAsia" w:hAnsi="宋体"/>
                        </w:rPr>
                      </w:pPr>
                    </w:p>
                    <w:p w14:paraId="0733CAF9"/>
                  </w:txbxContent>
                </v:textbox>
              </v:roundrect>
            </w:pict>
          </mc:Fallback>
        </mc:AlternateContent>
      </w:r>
    </w:p>
    <w:p w14:paraId="725067BA">
      <w:pPr>
        <w:shd w:val="clear" w:color="auto" w:fill="auto"/>
        <w:spacing w:line="360" w:lineRule="auto"/>
        <w:ind w:firstLine="243" w:firstLineChars="100"/>
        <w:rPr>
          <w:rFonts w:hint="eastAsia" w:ascii="宋体" w:hAnsi="宋体" w:eastAsia="宋体" w:cs="宋体"/>
          <w:color w:val="auto"/>
          <w:sz w:val="24"/>
          <w:highlight w:val="none"/>
        </w:rPr>
      </w:pPr>
    </w:p>
    <w:p w14:paraId="5E5D868A">
      <w:pPr>
        <w:shd w:val="clear" w:color="auto" w:fill="auto"/>
        <w:spacing w:line="360" w:lineRule="auto"/>
        <w:ind w:firstLine="243" w:firstLineChars="100"/>
        <w:rPr>
          <w:rFonts w:hint="eastAsia" w:ascii="宋体" w:hAnsi="宋体" w:eastAsia="宋体" w:cs="宋体"/>
          <w:color w:val="auto"/>
          <w:sz w:val="24"/>
          <w:highlight w:val="none"/>
        </w:rPr>
      </w:pPr>
    </w:p>
    <w:p w14:paraId="71B3234A">
      <w:pPr>
        <w:shd w:val="clear" w:color="auto" w:fill="auto"/>
        <w:spacing w:line="360" w:lineRule="auto"/>
        <w:ind w:firstLine="243" w:firstLineChars="100"/>
        <w:rPr>
          <w:rFonts w:hint="eastAsia" w:ascii="宋体" w:hAnsi="宋体" w:eastAsia="宋体" w:cs="宋体"/>
          <w:color w:val="auto"/>
          <w:sz w:val="24"/>
          <w:highlight w:val="none"/>
        </w:rPr>
      </w:pPr>
    </w:p>
    <w:p w14:paraId="068E0A2B">
      <w:pPr>
        <w:shd w:val="clear" w:color="auto" w:fill="auto"/>
        <w:spacing w:line="360" w:lineRule="auto"/>
        <w:ind w:firstLine="243" w:firstLineChars="100"/>
        <w:rPr>
          <w:rFonts w:hint="eastAsia" w:ascii="宋体" w:hAnsi="宋体" w:eastAsia="宋体" w:cs="宋体"/>
          <w:color w:val="auto"/>
          <w:sz w:val="24"/>
          <w:highlight w:val="none"/>
        </w:rPr>
      </w:pPr>
    </w:p>
    <w:p w14:paraId="7DF95C54">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14:paraId="1C6C4982">
      <w:pPr>
        <w:pStyle w:val="14"/>
        <w:shd w:val="clear" w:color="auto" w:fill="auto"/>
        <w:tabs>
          <w:tab w:val="left" w:pos="5580"/>
        </w:tabs>
        <w:spacing w:line="240" w:lineRule="atLeast"/>
        <w:ind w:left="-547" w:leftChars="-257" w:firstLine="911" w:firstLineChars="375"/>
        <w:rPr>
          <w:rFonts w:hint="eastAsia" w:ascii="宋体" w:hAnsi="宋体" w:eastAsia="宋体" w:cs="宋体"/>
          <w:color w:val="auto"/>
          <w:sz w:val="24"/>
          <w:highlight w:val="none"/>
        </w:rPr>
      </w:pPr>
    </w:p>
    <w:p w14:paraId="7CDEC918">
      <w:pPr>
        <w:pStyle w:val="14"/>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 xml:space="preserve">                           </w:t>
      </w:r>
    </w:p>
    <w:p w14:paraId="5DCC7DA9">
      <w:pPr>
        <w:pStyle w:val="14"/>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法定代表人（签字或签章）：</w:t>
      </w:r>
      <w:r>
        <w:rPr>
          <w:rFonts w:hint="eastAsia" w:ascii="宋体" w:hAnsi="宋体" w:eastAsia="宋体" w:cs="宋体"/>
          <w:color w:val="auto"/>
          <w:sz w:val="22"/>
          <w:szCs w:val="18"/>
          <w:highlight w:val="none"/>
          <w:u w:val="single"/>
        </w:rPr>
        <w:t xml:space="preserve">                     </w:t>
      </w:r>
    </w:p>
    <w:p w14:paraId="6F698AC0">
      <w:pPr>
        <w:pStyle w:val="14"/>
        <w:shd w:val="clear" w:color="auto" w:fill="auto"/>
        <w:tabs>
          <w:tab w:val="left" w:pos="5580"/>
        </w:tabs>
        <w:spacing w:line="240" w:lineRule="atLeast"/>
        <w:ind w:firstLine="446" w:firstLineChars="20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委托代理人</w:t>
      </w:r>
      <w:r>
        <w:rPr>
          <w:rFonts w:hint="eastAsia" w:hAnsi="宋体" w:cs="宋体"/>
          <w:color w:val="auto"/>
          <w:sz w:val="22"/>
          <w:szCs w:val="18"/>
          <w:highlight w:val="none"/>
          <w:lang w:eastAsia="zh-CN"/>
        </w:rPr>
        <w:t>：</w:t>
      </w:r>
      <w:r>
        <w:rPr>
          <w:rFonts w:hint="eastAsia" w:ascii="宋体" w:hAnsi="宋体" w:eastAsia="宋体" w:cs="宋体"/>
          <w:color w:val="auto"/>
          <w:sz w:val="22"/>
          <w:szCs w:val="18"/>
          <w:highlight w:val="none"/>
        </w:rPr>
        <w:t>（签字）</w:t>
      </w:r>
      <w:r>
        <w:rPr>
          <w:rFonts w:hint="eastAsia" w:ascii="宋体" w:hAnsi="宋体" w:eastAsia="宋体" w:cs="宋体"/>
          <w:color w:val="auto"/>
          <w:sz w:val="22"/>
          <w:szCs w:val="18"/>
          <w:highlight w:val="none"/>
          <w:u w:val="single"/>
        </w:rPr>
        <w:t xml:space="preserve">                                   </w:t>
      </w:r>
    </w:p>
    <w:p w14:paraId="1F6414B1">
      <w:pPr>
        <w:shd w:val="clear" w:color="auto" w:fill="auto"/>
        <w:spacing w:line="360" w:lineRule="auto"/>
        <w:ind w:firstLine="446" w:firstLineChars="200"/>
        <w:jc w:val="left"/>
        <w:rPr>
          <w:rFonts w:hint="eastAsia" w:ascii="宋体" w:hAnsi="宋体" w:eastAsia="宋体" w:cs="宋体"/>
          <w:color w:val="auto"/>
          <w:kern w:val="2"/>
          <w:sz w:val="22"/>
          <w:szCs w:val="18"/>
          <w:highlight w:val="none"/>
          <w:u w:val="none" w:color="000000"/>
          <w:lang w:val="en-US" w:eastAsia="zh-CN" w:bidi="ar-SA"/>
        </w:rPr>
      </w:pPr>
      <w:r>
        <w:rPr>
          <w:rFonts w:hint="eastAsia" w:ascii="宋体" w:hAnsi="宋体" w:eastAsia="宋体" w:cs="宋体"/>
          <w:color w:val="auto"/>
          <w:kern w:val="2"/>
          <w:sz w:val="22"/>
          <w:szCs w:val="18"/>
          <w:highlight w:val="none"/>
          <w:u w:val="none" w:color="000000"/>
          <w:lang w:val="en-US" w:eastAsia="zh-CN" w:bidi="ar-SA"/>
        </w:rPr>
        <w:t xml:space="preserve">年   月   日 </w:t>
      </w:r>
    </w:p>
    <w:p w14:paraId="1953A1F5">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95" w:name="_Toc26357"/>
    </w:p>
    <w:p w14:paraId="11A28876">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bookmarkEnd w:id="87"/>
      <w:bookmarkEnd w:id="88"/>
      <w:bookmarkEnd w:id="89"/>
      <w:bookmarkEnd w:id="95"/>
      <w:bookmarkStart w:id="96" w:name="_Toc515647809"/>
      <w:bookmarkStart w:id="97" w:name="_Toc11047"/>
      <w:bookmarkStart w:id="98" w:name="_Toc4866"/>
      <w:bookmarkStart w:id="99" w:name="_Toc28445"/>
      <w:r>
        <w:rPr>
          <w:rFonts w:hint="eastAsia" w:ascii="宋体" w:hAnsi="宋体" w:eastAsia="宋体" w:cs="宋体"/>
          <w:b/>
          <w:bCs/>
          <w:color w:val="auto"/>
          <w:sz w:val="24"/>
          <w:highlight w:val="none"/>
        </w:rPr>
        <w:t>投标保证金缴纳凭证或投标担保函</w:t>
      </w:r>
      <w:bookmarkEnd w:id="96"/>
      <w:bookmarkEnd w:id="97"/>
      <w:bookmarkEnd w:id="98"/>
      <w:bookmarkEnd w:id="99"/>
    </w:p>
    <w:p w14:paraId="59D40345">
      <w:pPr>
        <w:shd w:val="clear" w:color="auto" w:fill="auto"/>
        <w:ind w:firstLine="426" w:firstLineChars="200"/>
        <w:rPr>
          <w:rFonts w:hint="eastAsia" w:ascii="宋体" w:hAnsi="宋体" w:eastAsia="宋体" w:cs="宋体"/>
          <w:color w:val="auto"/>
          <w:sz w:val="21"/>
          <w:szCs w:val="21"/>
          <w:highlight w:val="none"/>
        </w:rPr>
      </w:pPr>
      <w:bookmarkStart w:id="100" w:name="_Toc494296991"/>
      <w:bookmarkStart w:id="101" w:name="_Toc494296665"/>
    </w:p>
    <w:p w14:paraId="2E7C4C7C">
      <w:pPr>
        <w:shd w:val="clear" w:color="auto" w:fill="auto"/>
        <w:spacing w:line="360" w:lineRule="auto"/>
        <w:ind w:firstLine="426"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将本项目投标保证金支付的汇款凭证、支票、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w:t>
      </w:r>
      <w:r>
        <w:rPr>
          <w:rFonts w:hint="eastAsia" w:ascii="宋体" w:hAnsi="宋体" w:eastAsia="宋体" w:cs="宋体"/>
          <w:color w:val="auto"/>
          <w:sz w:val="21"/>
          <w:szCs w:val="21"/>
          <w:highlight w:val="none"/>
          <w:lang w:val="en-US" w:eastAsia="zh-CN"/>
        </w:rPr>
        <w:t>下述</w:t>
      </w:r>
      <w:r>
        <w:rPr>
          <w:rFonts w:hint="eastAsia" w:ascii="宋体" w:hAnsi="宋体" w:eastAsia="宋体" w:cs="宋体"/>
          <w:color w:val="auto"/>
          <w:sz w:val="21"/>
          <w:szCs w:val="21"/>
          <w:highlight w:val="none"/>
        </w:rPr>
        <w:t>投标担保函</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rPr>
        <w:t xml:space="preserve"> ）,将原件装订在本部分正本中。</w:t>
      </w:r>
      <w:bookmarkEnd w:id="100"/>
      <w:bookmarkEnd w:id="101"/>
    </w:p>
    <w:p w14:paraId="4CF86325">
      <w:pPr>
        <w:pStyle w:val="6"/>
        <w:shd w:val="clear" w:color="auto" w:fill="auto"/>
        <w:spacing w:line="360" w:lineRule="auto"/>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0C25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14:paraId="6FE1736E">
            <w:pPr>
              <w:shd w:val="clear" w:color="auto" w:fill="auto"/>
              <w:jc w:val="both"/>
              <w:rPr>
                <w:rFonts w:hint="eastAsia" w:ascii="宋体" w:hAnsi="宋体" w:eastAsia="宋体" w:cs="宋体"/>
                <w:b/>
                <w:bCs/>
                <w:color w:val="auto"/>
                <w:sz w:val="30"/>
                <w:szCs w:val="30"/>
                <w:highlight w:val="none"/>
              </w:rPr>
            </w:pPr>
          </w:p>
          <w:p w14:paraId="48C3C15C">
            <w:pPr>
              <w:shd w:val="clear" w:color="auto" w:fill="auto"/>
              <w:jc w:val="center"/>
              <w:rPr>
                <w:rFonts w:hint="eastAsia" w:ascii="宋体" w:hAnsi="宋体" w:eastAsia="宋体" w:cs="宋体"/>
                <w:b/>
                <w:bCs/>
                <w:color w:val="auto"/>
                <w:sz w:val="30"/>
                <w:szCs w:val="30"/>
                <w:highlight w:val="none"/>
              </w:rPr>
            </w:pPr>
          </w:p>
          <w:p w14:paraId="176202AE">
            <w:pPr>
              <w:shd w:val="clear" w:color="auto" w:fill="auto"/>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投标保证金</w:t>
            </w:r>
            <w:r>
              <w:rPr>
                <w:rFonts w:hint="eastAsia" w:ascii="宋体" w:hAnsi="宋体" w:cs="宋体"/>
                <w:b/>
                <w:bCs/>
                <w:color w:val="auto"/>
                <w:sz w:val="30"/>
                <w:szCs w:val="30"/>
                <w:highlight w:val="none"/>
                <w:lang w:val="en-US" w:eastAsia="zh-CN"/>
              </w:rPr>
              <w:t>汇款凭证</w:t>
            </w:r>
          </w:p>
        </w:tc>
      </w:tr>
    </w:tbl>
    <w:p w14:paraId="54CAE023">
      <w:pPr>
        <w:pStyle w:val="6"/>
        <w:shd w:val="clear" w:color="auto" w:fill="auto"/>
        <w:rPr>
          <w:rFonts w:hint="eastAsia" w:ascii="宋体" w:hAnsi="宋体" w:eastAsia="宋体" w:cs="宋体"/>
          <w:color w:val="auto"/>
          <w:highlight w:val="none"/>
        </w:rPr>
      </w:pPr>
    </w:p>
    <w:p w14:paraId="04A83EC8">
      <w:pPr>
        <w:shd w:val="clear" w:color="auto" w:fill="auto"/>
        <w:spacing w:line="240" w:lineRule="atLeast"/>
        <w:ind w:left="1087" w:leftChars="257" w:hanging="540"/>
        <w:jc w:val="center"/>
        <w:rPr>
          <w:rFonts w:hint="eastAsia" w:ascii="宋体" w:hAnsi="宋体" w:eastAsia="宋体" w:cs="宋体"/>
          <w:color w:val="auto"/>
          <w:sz w:val="24"/>
          <w:highlight w:val="none"/>
        </w:rPr>
      </w:pPr>
    </w:p>
    <w:p w14:paraId="649EE4AC">
      <w:pPr>
        <w:shd w:val="clear" w:color="auto" w:fill="auto"/>
        <w:rPr>
          <w:rFonts w:hint="eastAsia" w:ascii="宋体" w:hAnsi="宋体" w:eastAsia="宋体" w:cs="宋体"/>
          <w:color w:val="auto"/>
          <w:sz w:val="28"/>
          <w:szCs w:val="28"/>
          <w:highlight w:val="none"/>
        </w:rPr>
      </w:pPr>
    </w:p>
    <w:p w14:paraId="0934B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C84ED83">
      <w:pPr>
        <w:shd w:val="clear" w:color="auto" w:fill="auto"/>
        <w:jc w:val="both"/>
        <w:rPr>
          <w:rFonts w:hint="eastAsia" w:ascii="宋体" w:hAnsi="宋体" w:eastAsia="宋体" w:cs="宋体"/>
          <w:color w:val="auto"/>
          <w:sz w:val="28"/>
          <w:szCs w:val="28"/>
          <w:highlight w:val="none"/>
        </w:rPr>
      </w:pPr>
    </w:p>
    <w:p w14:paraId="0B7740DE">
      <w:pPr>
        <w:shd w:val="clear" w:color="auto" w:fill="auto"/>
        <w:jc w:val="center"/>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政府采购投标担保函 （项目用）</w:t>
      </w:r>
    </w:p>
    <w:p w14:paraId="7AD3EE94">
      <w:pPr>
        <w:keepNext w:val="0"/>
        <w:keepLines w:val="0"/>
        <w:pageBreakBefore w:val="0"/>
        <w:widowControl w:val="0"/>
        <w:shd w:val="clear" w:color="auto" w:fill="auto"/>
        <w:kinsoku/>
        <w:wordWrap/>
        <w:overflowPunct/>
        <w:topLinePunct w:val="0"/>
        <w:autoSpaceDE/>
        <w:autoSpaceDN/>
        <w:bidi w:val="0"/>
        <w:snapToGrid/>
        <w:spacing w:line="400" w:lineRule="exact"/>
        <w:ind w:firstLine="6816" w:firstLineChars="3200"/>
        <w:rPr>
          <w:rFonts w:hint="eastAsia" w:ascii="宋体" w:hAnsi="宋体" w:eastAsia="宋体" w:cs="宋体"/>
          <w:color w:val="auto"/>
          <w:highlight w:val="none"/>
        </w:rPr>
      </w:pPr>
      <w:r>
        <w:rPr>
          <w:rFonts w:hint="eastAsia" w:ascii="宋体" w:hAnsi="宋体" w:eastAsia="宋体" w:cs="宋体"/>
          <w:color w:val="auto"/>
          <w:highlight w:val="none"/>
        </w:rPr>
        <w:t>编号：</w:t>
      </w:r>
    </w:p>
    <w:p w14:paraId="1A85E2A2">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（采购人或采购代理机构）：</w:t>
      </w:r>
    </w:p>
    <w:p w14:paraId="02C309B6">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（以下简称“投标人”）拟参加编号为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058687A">
      <w:pPr>
        <w:keepNext w:val="0"/>
        <w:keepLines w:val="0"/>
        <w:pageBreakBefore w:val="0"/>
        <w:widowControl w:val="0"/>
        <w:shd w:val="clear" w:color="auto" w:fill="auto"/>
        <w:kinsoku/>
        <w:wordWrap/>
        <w:overflowPunct/>
        <w:topLinePunct w:val="0"/>
        <w:autoSpaceDE/>
        <w:autoSpaceDN/>
        <w:bidi w:val="0"/>
        <w:snapToGrid/>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项目（以下简称“本项目”）投标，根据本项目</w:t>
      </w:r>
      <w:r>
        <w:rPr>
          <w:rFonts w:hint="eastAsia" w:ascii="宋体" w:hAnsi="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，供应商参加投标时应向你方交纳投标保证金，且可以投标担保函的形式交纳投标保证金。应供应商的申请，我方以保证的方式向你方提供如下投标保证金担保：</w:t>
      </w:r>
    </w:p>
    <w:p w14:paraId="447946B2">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一、保证责任的情形及保证金额</w:t>
      </w:r>
    </w:p>
    <w:p w14:paraId="3ED05A79">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（一）在投标人出现下列情形之一时，我方承担保证责任：</w:t>
      </w:r>
    </w:p>
    <w:p w14:paraId="122A01A6">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后投标人无正当理由不与采购人或者采购代理机构签订《政府采购合同》；</w:t>
      </w:r>
    </w:p>
    <w:p w14:paraId="5730AD94">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规定的投标人应当缴纳保证金的其他情形。</w:t>
      </w:r>
    </w:p>
    <w:p w14:paraId="2164DE82">
      <w:pPr>
        <w:keepNext w:val="0"/>
        <w:keepLines w:val="0"/>
        <w:pageBreakBefore w:val="0"/>
        <w:widowControl w:val="0"/>
        <w:shd w:val="clear" w:color="auto" w:fill="auto"/>
        <w:kinsoku/>
        <w:wordWrap/>
        <w:overflowPunct/>
        <w:topLinePunct w:val="0"/>
        <w:autoSpaceDE/>
        <w:autoSpaceDN/>
        <w:bidi w:val="0"/>
        <w:snapToGrid/>
        <w:spacing w:line="400" w:lineRule="exact"/>
        <w:ind w:firstLine="213" w:firstLineChars="100"/>
        <w:rPr>
          <w:rFonts w:hint="eastAsia" w:ascii="宋体" w:hAnsi="宋体" w:eastAsia="宋体" w:cs="宋体"/>
          <w:color w:val="auto"/>
          <w:highlight w:val="none"/>
        </w:rPr>
      </w:pPr>
      <w:r>
        <w:rPr>
          <w:rFonts w:hint="eastAsia" w:ascii="宋体" w:hAnsi="宋体" w:eastAsia="宋体" w:cs="宋体"/>
          <w:color w:val="auto"/>
          <w:highlight w:val="none"/>
        </w:rPr>
        <w:t>（二）我方承担保证责任的最高金额为人民币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），即本项目的投标保证金金额。</w:t>
      </w:r>
    </w:p>
    <w:p w14:paraId="1657C0BC">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二、保证的方式及保证期间</w:t>
      </w:r>
    </w:p>
    <w:p w14:paraId="3B12C3D2">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我方保证的方式为：连带责任保证。</w:t>
      </w:r>
    </w:p>
    <w:p w14:paraId="1C755734">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我方的保证期间为：自本保函生效之日起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个月止。</w:t>
      </w:r>
    </w:p>
    <w:p w14:paraId="50015B07">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三、承担保证责任的程序</w:t>
      </w:r>
    </w:p>
    <w:p w14:paraId="1FC9F2ED">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3C37502A">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2．我方在收到索赔通知及相关证明材料后，在</w:t>
      </w:r>
      <w:r>
        <w:rPr>
          <w:rFonts w:hint="eastAsia" w:ascii="宋体" w:hAnsi="宋体" w:eastAsia="宋体" w:cs="宋体"/>
          <w:color w:val="auto"/>
          <w:highlight w:val="none"/>
          <w:u w:val="single"/>
        </w:rPr>
        <w:t>　　　</w:t>
      </w:r>
      <w:r>
        <w:rPr>
          <w:rFonts w:hint="eastAsia" w:ascii="宋体" w:hAnsi="宋体" w:eastAsia="宋体" w:cs="宋体"/>
          <w:color w:val="auto"/>
          <w:highlight w:val="none"/>
        </w:rPr>
        <w:t>个工作日内进行审查，符合应承担保证责任情形的，我方应按照你方的要求代投标人向你方支付投标保证金。</w:t>
      </w:r>
    </w:p>
    <w:p w14:paraId="59F6B2C7">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四、保证责任的终止</w:t>
      </w:r>
    </w:p>
    <w:p w14:paraId="3358869C">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1．保证期间届满你方未向我方书面主张保证责任的，自保证期间届满次日起，我方保证责任自动终止。</w:t>
      </w:r>
    </w:p>
    <w:p w14:paraId="294FA402">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2．我方按照本保函向你贵方履行了保证责任后，自我方向你贵方支付款项（支付款项从我方账户划出）之日起，保证责任终止。</w:t>
      </w:r>
    </w:p>
    <w:p w14:paraId="44CB4F66">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3．按照法律法规的规定或出现我方保证责任终止的其它情形的，我方在本保函项下的保证责任亦终止。</w:t>
      </w:r>
    </w:p>
    <w:p w14:paraId="3F1AC4ED">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五、免责条款</w:t>
      </w:r>
    </w:p>
    <w:p w14:paraId="588B3D41">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1．依照法律规定或你方与投标人的另行约定，全部或者部分免除投标人投标保证金义务时，我方亦免除相应的保证责任。</w:t>
      </w:r>
    </w:p>
    <w:p w14:paraId="5C5287E5">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2．因你方原因致使投标人发生本保函第一条第（一）款约定情形的，我方不承担保证责任。</w:t>
      </w:r>
    </w:p>
    <w:p w14:paraId="2F3FBA2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3．因不可抗力造成投标人发生本保函第一条约定情形的，我方不承担保证责任。</w:t>
      </w:r>
    </w:p>
    <w:p w14:paraId="775B43B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26"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4．你方或其他有权机关对</w:t>
      </w:r>
      <w:r>
        <w:rPr>
          <w:rFonts w:hint="eastAsia" w:ascii="宋体" w:hAnsi="宋体" w:cs="宋体"/>
          <w:color w:val="auto"/>
          <w:highlight w:val="none"/>
          <w:lang w:val="en-US" w:eastAsia="zh-CN"/>
        </w:rPr>
        <w:t>招标</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进行任何澄清或修改，加重我方保证责任的，我方对加重部分不承担保证责任，但该澄清或修改经我方事先书面同意的除外。</w:t>
      </w:r>
    </w:p>
    <w:p w14:paraId="14775334">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六、争议的解决</w:t>
      </w:r>
    </w:p>
    <w:p w14:paraId="6110ABA5">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因本保函发生的纠纷，由你我双方协商解决，协商不成的，通过诉讼程序解决，诉讼管辖地法院为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法院。</w:t>
      </w:r>
    </w:p>
    <w:p w14:paraId="176FC4BE">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七、保函的生效</w:t>
      </w:r>
    </w:p>
    <w:p w14:paraId="3F0D0878">
      <w:pPr>
        <w:keepNext w:val="0"/>
        <w:keepLines w:val="0"/>
        <w:pageBreakBefore w:val="0"/>
        <w:widowControl w:val="0"/>
        <w:shd w:val="clear" w:color="auto" w:fill="auto"/>
        <w:kinsoku/>
        <w:wordWrap/>
        <w:overflowPunct/>
        <w:topLinePunct w:val="0"/>
        <w:autoSpaceDE/>
        <w:autoSpaceDN/>
        <w:bidi w:val="0"/>
        <w:snapToGrid/>
        <w:spacing w:line="400" w:lineRule="exact"/>
        <w:ind w:firstLine="426" w:firstLineChars="200"/>
        <w:rPr>
          <w:rFonts w:hint="eastAsia" w:ascii="宋体" w:hAnsi="宋体" w:eastAsia="宋体" w:cs="宋体"/>
          <w:color w:val="auto"/>
          <w:highlight w:val="none"/>
        </w:rPr>
      </w:pPr>
      <w:r>
        <w:rPr>
          <w:rFonts w:hint="eastAsia" w:ascii="宋体" w:hAnsi="宋体" w:eastAsia="宋体" w:cs="宋体"/>
          <w:color w:val="auto"/>
          <w:highlight w:val="none"/>
        </w:rPr>
        <w:t>本保函自我方加盖公章之日起生效。</w:t>
      </w:r>
    </w:p>
    <w:p w14:paraId="3B56DE63">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保证人：（公章）</w:t>
      </w:r>
    </w:p>
    <w:p w14:paraId="2A327F1E">
      <w:pPr>
        <w:keepNext w:val="0"/>
        <w:keepLines w:val="0"/>
        <w:pageBreakBefore w:val="0"/>
        <w:widowControl w:val="0"/>
        <w:shd w:val="clear" w:color="auto" w:fill="auto"/>
        <w:kinsoku/>
        <w:wordWrap/>
        <w:overflowPunct/>
        <w:topLinePunct w:val="0"/>
        <w:autoSpaceDE/>
        <w:autoSpaceDN/>
        <w:bidi w:val="0"/>
        <w:snapToGrid/>
        <w:spacing w:line="40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年     月      日</w:t>
      </w:r>
    </w:p>
    <w:p w14:paraId="5D62B53F">
      <w:pPr>
        <w:pStyle w:val="6"/>
        <w:keepNext w:val="0"/>
        <w:keepLines w:val="0"/>
        <w:pageBreakBefore w:val="0"/>
        <w:widowControl w:val="0"/>
        <w:kinsoku/>
        <w:wordWrap/>
        <w:overflowPunct/>
        <w:topLinePunct w:val="0"/>
        <w:autoSpaceDE/>
        <w:autoSpaceDN/>
        <w:bidi w:val="0"/>
        <w:snapToGrid/>
        <w:spacing w:line="400" w:lineRule="exact"/>
        <w:rPr>
          <w:rFonts w:hint="eastAsia"/>
          <w:highlight w:val="none"/>
        </w:rPr>
        <w:sectPr>
          <w:footerReference r:id="rId3" w:type="default"/>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pPr>
    </w:p>
    <w:p w14:paraId="7B3D2CBA">
      <w:pPr>
        <w:shd w:val="clear" w:color="auto" w:fill="auto"/>
        <w:jc w:val="both"/>
        <w:rPr>
          <w:rFonts w:hint="eastAsia" w:ascii="宋体" w:hAnsi="宋体" w:eastAsia="宋体" w:cs="宋体"/>
          <w:b/>
          <w:bCs/>
          <w:color w:val="auto"/>
          <w:kern w:val="0"/>
          <w:sz w:val="24"/>
          <w:szCs w:val="20"/>
          <w:highlight w:val="none"/>
          <w:lang w:val="en-US" w:eastAsia="zh-CN" w:bidi="ar-SA"/>
        </w:rPr>
      </w:pPr>
    </w:p>
    <w:p w14:paraId="5A50A645">
      <w:pPr>
        <w:shd w:val="clear" w:color="auto" w:fill="auto"/>
        <w:jc w:val="both"/>
        <w:rPr>
          <w:rFonts w:hint="eastAsia" w:ascii="宋体" w:hAnsi="宋体" w:eastAsia="宋体" w:cs="宋体"/>
          <w:b/>
          <w:bCs/>
          <w:color w:val="auto"/>
          <w:kern w:val="0"/>
          <w:sz w:val="24"/>
          <w:szCs w:val="20"/>
          <w:highlight w:val="none"/>
          <w:lang w:val="en-US" w:eastAsia="zh-CN" w:bidi="ar-SA"/>
        </w:rPr>
      </w:pPr>
    </w:p>
    <w:p w14:paraId="0F02D69F">
      <w:pPr>
        <w:pStyle w:val="24"/>
        <w:keepNext w:val="0"/>
        <w:keepLines w:val="0"/>
        <w:pageBreakBefore w:val="0"/>
        <w:widowControl/>
        <w:suppressLineNumbers w:val="0"/>
        <w:kinsoku/>
        <w:wordWrap/>
        <w:overflowPunct/>
        <w:topLinePunct w:val="0"/>
        <w:autoSpaceDE/>
        <w:autoSpaceDN/>
        <w:bidi w:val="0"/>
        <w:adjustRightInd/>
        <w:snapToGrid/>
        <w:spacing w:before="256" w:beforeAutospacing="0" w:after="256" w:afterAutospacing="0" w:line="360" w:lineRule="auto"/>
        <w:ind w:left="0" w:right="0"/>
        <w:jc w:val="both"/>
        <w:textAlignment w:val="auto"/>
        <w:outlineLvl w:val="2"/>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5、</w:t>
      </w:r>
      <w:r>
        <w:rPr>
          <w:rFonts w:hint="eastAsia" w:cs="宋体"/>
          <w:b/>
          <w:bCs/>
          <w:color w:val="auto"/>
          <w:kern w:val="0"/>
          <w:sz w:val="24"/>
          <w:szCs w:val="20"/>
          <w:highlight w:val="none"/>
          <w:lang w:val="en-US" w:eastAsia="zh-CN" w:bidi="ar-SA"/>
        </w:rPr>
        <w:t>投标企业须提供投标人（被授权人）近6个月任意一个月的社保证明</w:t>
      </w:r>
      <w:r>
        <w:rPr>
          <w:rFonts w:hint="eastAsia" w:ascii="宋体" w:hAnsi="宋体" w:eastAsia="宋体" w:cs="宋体"/>
          <w:b/>
          <w:bCs/>
          <w:color w:val="auto"/>
          <w:kern w:val="0"/>
          <w:sz w:val="24"/>
          <w:szCs w:val="20"/>
          <w:highlight w:val="none"/>
          <w:lang w:val="en-US" w:eastAsia="zh-CN" w:bidi="ar-SA"/>
        </w:rPr>
        <w:t>；</w:t>
      </w:r>
    </w:p>
    <w:p w14:paraId="7824819D">
      <w:pPr>
        <w:shd w:val="clear" w:color="auto" w:fill="auto"/>
        <w:spacing w:line="360" w:lineRule="auto"/>
        <w:jc w:val="both"/>
        <w:rPr>
          <w:rFonts w:hint="eastAsia" w:ascii="宋体" w:hAnsi="宋体" w:eastAsia="宋体" w:cs="宋体"/>
          <w:b/>
          <w:bCs/>
          <w:color w:val="auto"/>
          <w:kern w:val="0"/>
          <w:sz w:val="24"/>
          <w:szCs w:val="20"/>
          <w:highlight w:val="none"/>
          <w:lang w:val="en-US" w:eastAsia="zh-CN" w:bidi="ar-SA"/>
        </w:rPr>
      </w:pPr>
    </w:p>
    <w:p w14:paraId="5EE8AAF4">
      <w:pPr>
        <w:numPr>
          <w:ilvl w:val="0"/>
          <w:numId w:val="0"/>
        </w:numPr>
        <w:shd w:val="clear" w:color="auto" w:fill="auto"/>
        <w:spacing w:before="0" w:line="360" w:lineRule="auto"/>
        <w:jc w:val="both"/>
        <w:outlineLvl w:val="9"/>
        <w:rPr>
          <w:rFonts w:hint="eastAsia" w:ascii="宋体" w:hAnsi="宋体" w:eastAsia="宋体" w:cs="宋体"/>
          <w:b/>
          <w:bCs/>
          <w:color w:val="auto"/>
          <w:kern w:val="0"/>
          <w:sz w:val="24"/>
          <w:szCs w:val="20"/>
          <w:highlight w:val="none"/>
          <w:lang w:val="en-US" w:eastAsia="zh-CN" w:bidi="ar-SA"/>
        </w:rPr>
      </w:pPr>
      <w:bookmarkStart w:id="102" w:name="_Toc515647810"/>
      <w:bookmarkStart w:id="103" w:name="_Toc18754"/>
      <w:bookmarkStart w:id="104" w:name="_Toc5710"/>
      <w:bookmarkStart w:id="105" w:name="_Toc27021"/>
    </w:p>
    <w:p w14:paraId="3C7FA1E2">
      <w:pPr>
        <w:pStyle w:val="4"/>
        <w:numPr>
          <w:ilvl w:val="0"/>
          <w:numId w:val="0"/>
        </w:numPr>
        <w:shd w:val="clear" w:color="auto" w:fill="auto"/>
        <w:spacing w:before="0" w:line="360" w:lineRule="auto"/>
        <w:jc w:val="both"/>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6、</w:t>
      </w:r>
      <w:bookmarkEnd w:id="102"/>
      <w:bookmarkEnd w:id="103"/>
      <w:bookmarkEnd w:id="104"/>
      <w:bookmarkEnd w:id="105"/>
      <w:r>
        <w:rPr>
          <w:rFonts w:hint="eastAsia" w:ascii="宋体" w:hAnsi="宋体" w:eastAsia="宋体" w:cs="宋体"/>
          <w:b/>
          <w:bCs/>
          <w:color w:val="auto"/>
          <w:kern w:val="0"/>
          <w:sz w:val="24"/>
          <w:szCs w:val="20"/>
          <w:highlight w:val="none"/>
          <w:lang w:val="en-US" w:eastAsia="zh-CN" w:bidi="ar-SA"/>
        </w:rPr>
        <w:t>参加政府采购活动前3年内在经营活动中没有重大违法记录的书面声明</w:t>
      </w:r>
    </w:p>
    <w:p w14:paraId="7CCDB460">
      <w:pPr>
        <w:pStyle w:val="14"/>
        <w:shd w:val="clear" w:color="auto" w:fill="auto"/>
        <w:tabs>
          <w:tab w:val="left" w:pos="5580"/>
        </w:tabs>
        <w:spacing w:line="360" w:lineRule="auto"/>
        <w:ind w:left="1087" w:leftChars="257" w:hanging="540"/>
        <w:jc w:val="center"/>
        <w:rPr>
          <w:rFonts w:hint="eastAsia" w:ascii="宋体" w:hAnsi="宋体" w:eastAsia="宋体" w:cs="宋体"/>
          <w:b/>
          <w:color w:val="auto"/>
          <w:sz w:val="24"/>
          <w:highlight w:val="none"/>
        </w:rPr>
      </w:pPr>
    </w:p>
    <w:p w14:paraId="391EB7FA">
      <w:pPr>
        <w:pStyle w:val="14"/>
        <w:shd w:val="clear" w:color="auto" w:fill="auto"/>
        <w:tabs>
          <w:tab w:val="left" w:pos="5580"/>
        </w:tabs>
        <w:spacing w:line="360" w:lineRule="auto"/>
        <w:ind w:left="1087" w:leftChars="257" w:hanging="540"/>
        <w:rPr>
          <w:rFonts w:hint="eastAsia" w:ascii="宋体" w:hAnsi="宋体" w:eastAsia="宋体" w:cs="宋体"/>
          <w:color w:val="auto"/>
          <w:sz w:val="24"/>
          <w:highlight w:val="none"/>
        </w:rPr>
      </w:pPr>
    </w:p>
    <w:p w14:paraId="665232D5">
      <w:pPr>
        <w:shd w:val="clear" w:color="auto" w:fill="auto"/>
        <w:spacing w:line="360" w:lineRule="auto"/>
        <w:rPr>
          <w:rFonts w:hint="eastAsia" w:ascii="宋体" w:hAnsi="宋体" w:eastAsia="宋体" w:cs="宋体"/>
          <w:b/>
          <w:bCs/>
          <w:color w:val="auto"/>
          <w:highlight w:val="none"/>
          <w:lang w:val="en-US" w:eastAsia="zh-CN"/>
        </w:rPr>
      </w:pPr>
    </w:p>
    <w:p w14:paraId="767420F0">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7、投标企业需提供未被“信用中国”（www.creditchina.gov.cn）、中国政府采购网（www.ccgp.gov.cn）列入失信被执行人、重大税收违法案件当事人名单、政府采购严重违法失信行为记录名单；</w:t>
      </w:r>
    </w:p>
    <w:p w14:paraId="3EA0EF41">
      <w:pPr>
        <w:shd w:val="clear" w:color="auto" w:fill="auto"/>
        <w:spacing w:line="360" w:lineRule="auto"/>
        <w:rPr>
          <w:rFonts w:hint="eastAsia" w:ascii="宋体" w:hAnsi="宋体" w:eastAsia="宋体" w:cs="宋体"/>
          <w:b/>
          <w:bCs/>
          <w:color w:val="auto"/>
          <w:highlight w:val="none"/>
          <w:lang w:val="en-US" w:eastAsia="zh-CN"/>
        </w:rPr>
      </w:pPr>
    </w:p>
    <w:p w14:paraId="2D5E5BAB">
      <w:pPr>
        <w:shd w:val="clear" w:color="auto" w:fill="auto"/>
        <w:spacing w:line="360" w:lineRule="auto"/>
        <w:rPr>
          <w:rFonts w:hint="eastAsia" w:ascii="宋体" w:hAnsi="宋体" w:eastAsia="宋体" w:cs="宋体"/>
          <w:b/>
          <w:bCs/>
          <w:color w:val="auto"/>
          <w:highlight w:val="none"/>
          <w:lang w:val="en-US" w:eastAsia="zh-CN"/>
        </w:rPr>
      </w:pPr>
    </w:p>
    <w:p w14:paraId="3BC2D239">
      <w:pPr>
        <w:shd w:val="clear" w:color="auto" w:fill="auto"/>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w:t>
      </w:r>
      <w:r>
        <w:rPr>
          <w:rFonts w:hint="eastAsia" w:ascii="宋体" w:hAnsi="宋体" w:cs="宋体"/>
          <w:b/>
          <w:bCs/>
          <w:color w:val="auto"/>
          <w:highlight w:val="none"/>
          <w:lang w:val="en-US" w:eastAsia="zh-CN"/>
        </w:rPr>
        <w:t>投标人经国家保险监督管理机构批准在中华人民共和国境内设立和营业，并依法被核定许可责任保险业务【依据有效期内的保险许可证（分公司或中心支公司的保险机构投标的，须提供《经营保险业务许可证》或《保险许可证》；总公司投标的，须提供《保险公司法人许可证》或《保险许可证》）】</w:t>
      </w:r>
    </w:p>
    <w:p w14:paraId="754273EF">
      <w:pPr>
        <w:numPr>
          <w:ilvl w:val="0"/>
          <w:numId w:val="0"/>
        </w:numPr>
        <w:shd w:val="clear" w:color="auto" w:fill="auto"/>
        <w:spacing w:before="0" w:line="240" w:lineRule="atLeast"/>
        <w:outlineLvl w:val="9"/>
        <w:rPr>
          <w:rFonts w:hint="eastAsia" w:ascii="宋体" w:hAnsi="宋体" w:eastAsia="宋体" w:cs="宋体"/>
          <w:color w:val="auto"/>
          <w:sz w:val="24"/>
          <w:highlight w:val="none"/>
        </w:rPr>
      </w:pPr>
    </w:p>
    <w:p w14:paraId="537C55CF">
      <w:pPr>
        <w:numPr>
          <w:ilvl w:val="0"/>
          <w:numId w:val="0"/>
        </w:numPr>
        <w:shd w:val="clear" w:color="auto" w:fill="auto"/>
        <w:spacing w:before="0" w:line="240" w:lineRule="atLeast"/>
        <w:outlineLvl w:val="9"/>
        <w:rPr>
          <w:rFonts w:hint="eastAsia" w:ascii="宋体" w:hAnsi="宋体" w:eastAsia="宋体" w:cs="宋体"/>
          <w:b/>
          <w:bCs/>
          <w:color w:val="auto"/>
          <w:kern w:val="2"/>
          <w:sz w:val="21"/>
          <w:szCs w:val="24"/>
          <w:highlight w:val="none"/>
          <w:lang w:val="en-US" w:eastAsia="zh-CN" w:bidi="ar-SA"/>
        </w:rPr>
      </w:pPr>
    </w:p>
    <w:p w14:paraId="0684459F">
      <w:pPr>
        <w:numPr>
          <w:ilvl w:val="0"/>
          <w:numId w:val="0"/>
        </w:numPr>
        <w:shd w:val="clear" w:color="auto" w:fill="auto"/>
        <w:spacing w:before="0" w:line="240" w:lineRule="atLeast"/>
        <w:outlineLvl w:val="9"/>
        <w:rPr>
          <w:rFonts w:hint="eastAsia" w:ascii="宋体" w:hAnsi="宋体" w:eastAsia="宋体" w:cs="宋体"/>
          <w:color w:val="auto"/>
          <w:sz w:val="24"/>
          <w:highlight w:val="none"/>
        </w:rPr>
      </w:pPr>
    </w:p>
    <w:p w14:paraId="37FFC168">
      <w:pPr>
        <w:numPr>
          <w:ilvl w:val="0"/>
          <w:numId w:val="0"/>
        </w:numPr>
        <w:shd w:val="clear" w:color="auto" w:fill="auto"/>
        <w:spacing w:before="0" w:line="240" w:lineRule="atLeast"/>
        <w:outlineLvl w:val="9"/>
        <w:rPr>
          <w:rFonts w:hint="eastAsia" w:ascii="宋体" w:hAnsi="宋体" w:eastAsia="宋体" w:cs="宋体"/>
          <w:color w:val="auto"/>
          <w:sz w:val="24"/>
          <w:highlight w:val="none"/>
        </w:rPr>
      </w:pPr>
    </w:p>
    <w:p w14:paraId="366D7D66">
      <w:pPr>
        <w:shd w:val="clear" w:color="auto" w:fill="auto"/>
        <w:spacing w:line="440" w:lineRule="exact"/>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9</w:t>
      </w:r>
      <w:r>
        <w:rPr>
          <w:rFonts w:hint="eastAsia" w:ascii="宋体" w:hAnsi="宋体" w:eastAsia="宋体" w:cs="宋体"/>
          <w:b/>
          <w:bCs/>
          <w:color w:val="auto"/>
          <w:kern w:val="2"/>
          <w:sz w:val="21"/>
          <w:szCs w:val="24"/>
          <w:highlight w:val="none"/>
          <w:lang w:val="en-US" w:eastAsia="zh-CN" w:bidi="ar-SA"/>
        </w:rPr>
        <w:t>、投标人须知资料表要求的其他资格证明文件</w:t>
      </w:r>
      <w:r>
        <w:rPr>
          <w:rFonts w:hint="eastAsia" w:ascii="宋体" w:hAnsi="宋体" w:cs="宋体"/>
          <w:b/>
          <w:bCs/>
          <w:color w:val="auto"/>
          <w:kern w:val="2"/>
          <w:sz w:val="21"/>
          <w:szCs w:val="24"/>
          <w:highlight w:val="none"/>
          <w:lang w:val="en-US" w:eastAsia="zh-CN" w:bidi="ar-SA"/>
        </w:rPr>
        <w:t>。</w:t>
      </w:r>
    </w:p>
    <w:p w14:paraId="25197805">
      <w:pPr>
        <w:numPr>
          <w:ilvl w:val="0"/>
          <w:numId w:val="0"/>
        </w:numPr>
        <w:shd w:val="clear" w:color="auto" w:fill="auto"/>
        <w:spacing w:before="0" w:line="240" w:lineRule="atLeast"/>
        <w:outlineLvl w:val="9"/>
        <w:rPr>
          <w:rFonts w:hint="eastAsia" w:ascii="宋体" w:hAnsi="宋体" w:eastAsia="宋体" w:cs="宋体"/>
          <w:color w:val="auto"/>
          <w:sz w:val="24"/>
          <w:highlight w:val="none"/>
          <w:lang w:val="en-US" w:eastAsia="zh-CN"/>
        </w:rPr>
      </w:pPr>
      <w:bookmarkStart w:id="106" w:name="_Toc32670"/>
      <w:bookmarkStart w:id="107" w:name="_Toc24428"/>
      <w:bookmarkStart w:id="108" w:name="_Toc4937"/>
      <w:bookmarkStart w:id="109" w:name="_Toc515647811"/>
    </w:p>
    <w:p w14:paraId="40A0F5C2">
      <w:pPr>
        <w:outlineLvl w:val="9"/>
        <w:rPr>
          <w:rFonts w:hint="eastAsia" w:ascii="宋体" w:hAnsi="宋体" w:eastAsia="宋体" w:cs="宋体"/>
          <w:color w:val="auto"/>
          <w:sz w:val="24"/>
          <w:highlight w:val="none"/>
          <w:lang w:val="en-US" w:eastAsia="zh-CN"/>
        </w:rPr>
      </w:pPr>
    </w:p>
    <w:p w14:paraId="77495405">
      <w:pPr>
        <w:pStyle w:val="10"/>
        <w:outlineLvl w:val="9"/>
        <w:rPr>
          <w:rFonts w:hint="eastAsia" w:ascii="宋体" w:hAnsi="宋体" w:eastAsia="宋体" w:cs="宋体"/>
          <w:color w:val="auto"/>
          <w:sz w:val="24"/>
          <w:highlight w:val="none"/>
          <w:lang w:val="en-US" w:eastAsia="zh-CN"/>
        </w:rPr>
      </w:pPr>
    </w:p>
    <w:p w14:paraId="273DFF88">
      <w:pPr>
        <w:outlineLvl w:val="9"/>
        <w:rPr>
          <w:rFonts w:hint="eastAsia" w:ascii="宋体" w:hAnsi="宋体" w:eastAsia="宋体" w:cs="宋体"/>
          <w:color w:val="auto"/>
          <w:sz w:val="24"/>
          <w:highlight w:val="none"/>
          <w:lang w:val="en-US" w:eastAsia="zh-CN"/>
        </w:rPr>
      </w:pPr>
    </w:p>
    <w:p w14:paraId="64CC1C41">
      <w:pPr>
        <w:pStyle w:val="10"/>
        <w:outlineLvl w:val="9"/>
        <w:rPr>
          <w:rFonts w:hint="eastAsia"/>
          <w:highlight w:val="none"/>
          <w:lang w:val="en-US" w:eastAsia="zh-CN"/>
        </w:rPr>
      </w:pPr>
    </w:p>
    <w:p w14:paraId="3DE7086B">
      <w:pPr>
        <w:pStyle w:val="12"/>
        <w:rPr>
          <w:rFonts w:hint="eastAsia"/>
          <w:highlight w:val="none"/>
          <w:lang w:val="en-US" w:eastAsia="zh-CN"/>
        </w:rPr>
      </w:pPr>
    </w:p>
    <w:p w14:paraId="759DC119">
      <w:pPr>
        <w:rPr>
          <w:rFonts w:hint="eastAsia"/>
          <w:highlight w:val="none"/>
          <w:lang w:val="en-US" w:eastAsia="zh-CN"/>
        </w:rPr>
      </w:pPr>
    </w:p>
    <w:bookmarkEnd w:id="106"/>
    <w:bookmarkEnd w:id="107"/>
    <w:bookmarkEnd w:id="108"/>
    <w:bookmarkEnd w:id="109"/>
    <w:p w14:paraId="333FE207">
      <w:pPr>
        <w:pStyle w:val="14"/>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14:paraId="168FD354">
      <w:pPr>
        <w:pStyle w:val="3"/>
        <w:keepNext/>
        <w:keepLines/>
        <w:pageBreakBefore w:val="0"/>
        <w:widowControl w:val="0"/>
        <w:numPr>
          <w:ilvl w:val="1"/>
          <w:numId w:val="0"/>
        </w:numPr>
        <w:shd w:val="clear" w:color="auto" w:fill="auto"/>
        <w:kinsoku/>
        <w:wordWrap/>
        <w:overflowPunct/>
        <w:topLinePunct w:val="0"/>
        <w:autoSpaceDE/>
        <w:autoSpaceDN/>
        <w:bidi w:val="0"/>
        <w:adjustRightInd/>
        <w:snapToGrid/>
        <w:spacing w:before="40" w:after="40" w:line="579" w:lineRule="auto"/>
        <w:ind w:left="431" w:leftChars="0"/>
        <w:jc w:val="center"/>
        <w:textAlignment w:val="auto"/>
        <w:outlineLvl w:val="1"/>
        <w:rPr>
          <w:rFonts w:hint="eastAsia"/>
          <w:color w:val="auto"/>
          <w:sz w:val="32"/>
          <w:szCs w:val="32"/>
          <w:highlight w:val="none"/>
        </w:rPr>
      </w:pPr>
      <w:bookmarkStart w:id="110" w:name="_Toc515647816"/>
      <w:bookmarkStart w:id="111" w:name="_Toc5695"/>
      <w:bookmarkStart w:id="112" w:name="_Toc22967"/>
      <w:bookmarkStart w:id="113" w:name="_Toc11180"/>
      <w:r>
        <w:rPr>
          <w:rFonts w:hint="eastAsia"/>
          <w:color w:val="auto"/>
          <w:sz w:val="32"/>
          <w:szCs w:val="32"/>
          <w:highlight w:val="none"/>
        </w:rPr>
        <w:t>第二部分  商务及技术文件</w:t>
      </w:r>
      <w:bookmarkEnd w:id="110"/>
      <w:bookmarkEnd w:id="111"/>
      <w:bookmarkEnd w:id="112"/>
      <w:bookmarkEnd w:id="113"/>
    </w:p>
    <w:p w14:paraId="4E1A1058">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1、投标函</w:t>
      </w:r>
    </w:p>
    <w:p w14:paraId="75D23451">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2、开标一览表</w:t>
      </w:r>
    </w:p>
    <w:p w14:paraId="3D90C268">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3、投标分项报价表</w:t>
      </w:r>
    </w:p>
    <w:p w14:paraId="1D11EF07">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4、技术规格偏离表</w:t>
      </w:r>
    </w:p>
    <w:p w14:paraId="6DA8A616">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5、商务条款偏离表</w:t>
      </w:r>
    </w:p>
    <w:p w14:paraId="0C088297">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6、投标人基本情况表</w:t>
      </w:r>
    </w:p>
    <w:p w14:paraId="38CB6B2B">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w:t>
      </w:r>
      <w:r>
        <w:rPr>
          <w:rFonts w:hint="eastAsia" w:ascii="宋体" w:hAnsi="宋体" w:cs="Times New Roman"/>
          <w:color w:val="000000"/>
          <w:szCs w:val="21"/>
          <w:highlight w:val="none"/>
          <w:lang w:val="en-US" w:eastAsia="zh-CN"/>
        </w:rPr>
        <w:t>近三年（2023年至今）类似项目业绩表</w:t>
      </w:r>
    </w:p>
    <w:p w14:paraId="123B31B6">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8、中小企业声明函(</w:t>
      </w:r>
      <w:r>
        <w:rPr>
          <w:rFonts w:hint="eastAsia" w:ascii="宋体" w:hAnsi="宋体" w:cs="Times New Roman"/>
          <w:color w:val="000000"/>
          <w:szCs w:val="21"/>
          <w:highlight w:val="none"/>
          <w:lang w:val="en-US" w:eastAsia="zh-CN"/>
        </w:rPr>
        <w:t>服务</w:t>
      </w:r>
      <w:r>
        <w:rPr>
          <w:rFonts w:hint="eastAsia" w:ascii="宋体" w:hAnsi="宋体" w:eastAsia="宋体" w:cs="Times New Roman"/>
          <w:color w:val="000000"/>
          <w:szCs w:val="21"/>
          <w:highlight w:val="none"/>
          <w:lang w:val="en-US" w:eastAsia="zh-CN"/>
        </w:rPr>
        <w:t>)</w:t>
      </w:r>
    </w:p>
    <w:p w14:paraId="416FC685">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9、《残疾人福利性单位声明函》</w:t>
      </w:r>
    </w:p>
    <w:p w14:paraId="1FE7B8BE">
      <w:pPr>
        <w:shd w:val="clear" w:color="auto" w:fill="auto"/>
        <w:spacing w:line="360" w:lineRule="auto"/>
        <w:ind w:firstLine="287" w:firstLineChars="135"/>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10、</w:t>
      </w:r>
      <w:r>
        <w:rPr>
          <w:rFonts w:hint="eastAsia" w:ascii="宋体" w:hAnsi="宋体" w:cs="Times New Roman"/>
          <w:color w:val="000000"/>
          <w:szCs w:val="21"/>
          <w:highlight w:val="none"/>
          <w:lang w:val="en-US" w:eastAsia="zh-CN"/>
        </w:rPr>
        <w:t>投标人关联单位的说明</w:t>
      </w:r>
    </w:p>
    <w:p w14:paraId="35603C12">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11、评分标准和细则中技术部分证明材料</w:t>
      </w:r>
    </w:p>
    <w:p w14:paraId="231E1B81">
      <w:pPr>
        <w:shd w:val="clear" w:color="auto" w:fill="auto"/>
        <w:spacing w:line="360" w:lineRule="auto"/>
        <w:ind w:firstLine="287" w:firstLineChars="135"/>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12、评分标准和细则中</w:t>
      </w:r>
      <w:r>
        <w:rPr>
          <w:rFonts w:hint="eastAsia" w:ascii="宋体" w:hAnsi="宋体" w:cs="Times New Roman"/>
          <w:color w:val="000000"/>
          <w:szCs w:val="21"/>
          <w:highlight w:val="none"/>
          <w:lang w:val="en-US" w:eastAsia="zh-CN"/>
        </w:rPr>
        <w:t>商务</w:t>
      </w:r>
      <w:r>
        <w:rPr>
          <w:rFonts w:hint="eastAsia" w:ascii="宋体" w:hAnsi="宋体" w:eastAsia="宋体" w:cs="Times New Roman"/>
          <w:color w:val="000000"/>
          <w:szCs w:val="21"/>
          <w:highlight w:val="none"/>
          <w:lang w:val="en-US" w:eastAsia="zh-CN"/>
        </w:rPr>
        <w:t>部分证明材料（格式自拟）</w:t>
      </w:r>
    </w:p>
    <w:p w14:paraId="7F4A587B">
      <w:pPr>
        <w:shd w:val="clear" w:color="auto" w:fill="auto"/>
        <w:spacing w:line="360" w:lineRule="auto"/>
        <w:ind w:firstLine="287" w:firstLineChars="135"/>
        <w:rPr>
          <w:rFonts w:hint="eastAsia" w:ascii="宋体" w:hAnsi="宋体" w:eastAsia="宋体" w:cs="宋体"/>
          <w:color w:val="auto"/>
          <w:sz w:val="24"/>
          <w:highlight w:val="none"/>
        </w:rPr>
      </w:pPr>
      <w:r>
        <w:rPr>
          <w:rFonts w:hint="eastAsia" w:ascii="宋体" w:hAnsi="宋体" w:eastAsia="宋体" w:cs="Times New Roman"/>
          <w:color w:val="000000"/>
          <w:szCs w:val="21"/>
          <w:highlight w:val="none"/>
          <w:lang w:val="en-US" w:eastAsia="zh-CN"/>
        </w:rPr>
        <w:t>13、投标人认为有必要提供的其他证明材料（格式自拟）</w:t>
      </w:r>
    </w:p>
    <w:bookmarkEnd w:id="82"/>
    <w:bookmarkEnd w:id="83"/>
    <w:bookmarkEnd w:id="84"/>
    <w:bookmarkEnd w:id="85"/>
    <w:p w14:paraId="1EC7BE26">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bookmarkStart w:id="114" w:name="_Toc10107"/>
      <w:bookmarkStart w:id="115" w:name="_Toc23473"/>
      <w:bookmarkStart w:id="116" w:name="_Toc1266"/>
    </w:p>
    <w:p w14:paraId="2005EC3A">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484FBD17">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01008BDB">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58ED1A54">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69FBC90C">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5F542E4C">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36"/>
          <w:szCs w:val="36"/>
          <w:highlight w:val="none"/>
          <w:lang w:val="en-US" w:eastAsia="zh-CN"/>
        </w:rPr>
      </w:pPr>
    </w:p>
    <w:p w14:paraId="7C6EF909">
      <w:pPr>
        <w:pStyle w:val="10"/>
        <w:numPr>
          <w:ilvl w:val="0"/>
          <w:numId w:val="0"/>
        </w:numPr>
        <w:kinsoku w:val="0"/>
        <w:overflowPunct w:val="0"/>
        <w:spacing w:before="130" w:line="355" w:lineRule="auto"/>
        <w:ind w:left="480" w:leftChars="0" w:right="7" w:rightChars="0"/>
        <w:jc w:val="center"/>
        <w:rPr>
          <w:rFonts w:hint="eastAsia" w:ascii="仿宋" w:hAnsi="仿宋" w:eastAsia="仿宋" w:cs="仿宋"/>
          <w:b/>
          <w:bCs/>
          <w:color w:val="auto"/>
          <w:sz w:val="28"/>
          <w:szCs w:val="28"/>
          <w:highlight w:val="none"/>
          <w:lang w:val="en-US" w:eastAsia="zh-CN"/>
        </w:rPr>
      </w:pPr>
    </w:p>
    <w:p w14:paraId="72C59953">
      <w:pPr>
        <w:pStyle w:val="10"/>
        <w:numPr>
          <w:ilvl w:val="0"/>
          <w:numId w:val="0"/>
        </w:numPr>
        <w:kinsoku w:val="0"/>
        <w:overflowPunct w:val="0"/>
        <w:spacing w:before="130" w:line="355" w:lineRule="auto"/>
        <w:ind w:left="480" w:leftChars="0" w:right="7" w:rightChars="0"/>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、投标函</w:t>
      </w:r>
    </w:p>
    <w:p w14:paraId="47C84520">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p>
    <w:p w14:paraId="53A880FB">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为响应你方组织的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项目的招标项目编号为：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，我方愿参与投标。</w:t>
      </w:r>
    </w:p>
    <w:p w14:paraId="5D49C797">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我方确认收到贵方提供的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rPr>
        <w:t>招标</w:t>
      </w:r>
      <w:r>
        <w:rPr>
          <w:rFonts w:hint="eastAsia" w:ascii="宋体" w:hAnsi="宋体" w:eastAsia="宋体" w:cs="宋体"/>
          <w:color w:val="auto"/>
          <w:kern w:val="0"/>
          <w:sz w:val="21"/>
          <w:szCs w:val="21"/>
          <w:highlight w:val="none"/>
        </w:rPr>
        <w:t>文件的全部内容。</w:t>
      </w:r>
    </w:p>
    <w:p w14:paraId="55A13106">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0222A1D4">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(投标人名称)      </w:t>
      </w:r>
      <w:r>
        <w:rPr>
          <w:rFonts w:hint="eastAsia" w:ascii="宋体" w:hAnsi="宋体" w:eastAsia="宋体" w:cs="宋体"/>
          <w:color w:val="auto"/>
          <w:kern w:val="0"/>
          <w:sz w:val="21"/>
          <w:szCs w:val="21"/>
          <w:highlight w:val="none"/>
        </w:rPr>
        <w:t>作为投标人正式授权</w:t>
      </w:r>
      <w:r>
        <w:rPr>
          <w:rFonts w:hint="eastAsia" w:ascii="宋体" w:hAnsi="宋体" w:eastAsia="宋体" w:cs="宋体"/>
          <w:color w:val="auto"/>
          <w:kern w:val="0"/>
          <w:sz w:val="21"/>
          <w:szCs w:val="21"/>
          <w:highlight w:val="none"/>
          <w:u w:val="single"/>
        </w:rPr>
        <w:t xml:space="preserve">  (授权代表全名, 职务)  </w:t>
      </w:r>
      <w:r>
        <w:rPr>
          <w:rFonts w:hint="eastAsia" w:ascii="宋体" w:hAnsi="宋体" w:eastAsia="宋体" w:cs="宋体"/>
          <w:color w:val="auto"/>
          <w:kern w:val="0"/>
          <w:sz w:val="21"/>
          <w:szCs w:val="21"/>
          <w:highlight w:val="none"/>
        </w:rPr>
        <w:t>代表我方全权处理有关本报价的一切事宜。</w:t>
      </w:r>
    </w:p>
    <w:p w14:paraId="50A8E3A0">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我方已完全明白招标文件的所有条款要求，并申明如下：</w:t>
      </w:r>
    </w:p>
    <w:p w14:paraId="378CB05A">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（一）按招标文件提供的全部货物与相关服务的投标总价详见《报价一览表》。</w:t>
      </w:r>
    </w:p>
    <w:p w14:paraId="55BC9CA2">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（二）本投标文件的有效期为投标截止时间起</w:t>
      </w:r>
      <w:r>
        <w:rPr>
          <w:rFonts w:hint="eastAsia" w:ascii="宋体" w:hAnsi="宋体" w:eastAsia="宋体" w:cs="宋体"/>
          <w:color w:val="auto"/>
          <w:kern w:val="0"/>
          <w:sz w:val="21"/>
          <w:szCs w:val="21"/>
          <w:highlight w:val="none"/>
          <w:u w:val="single"/>
          <w:lang w:val="en-US" w:eastAsia="zh-CN"/>
        </w:rPr>
        <w:t>60</w:t>
      </w:r>
      <w:r>
        <w:rPr>
          <w:rFonts w:hint="eastAsia" w:ascii="宋体" w:hAnsi="宋体" w:eastAsia="宋体" w:cs="宋体"/>
          <w:color w:val="auto"/>
          <w:kern w:val="0"/>
          <w:sz w:val="21"/>
          <w:szCs w:val="21"/>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42931772">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（三）我方同意按照贵方可能提出的要求而提供与投标有关的任何其它数据、信息或资料。</w:t>
      </w:r>
    </w:p>
    <w:p w14:paraId="0F927604">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四</w:t>
      </w:r>
      <w:r>
        <w:rPr>
          <w:rFonts w:hint="eastAsia" w:ascii="宋体" w:hAnsi="宋体" w:eastAsia="宋体" w:cs="宋体"/>
          <w:color w:val="auto"/>
          <w:kern w:val="0"/>
          <w:sz w:val="21"/>
          <w:szCs w:val="21"/>
          <w:highlight w:val="none"/>
        </w:rPr>
        <w:t>）我方理解贵方不一定接受最低投标价或任何贵方可能收到的投标。</w:t>
      </w:r>
    </w:p>
    <w:p w14:paraId="51C79646">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五</w:t>
      </w:r>
      <w:r>
        <w:rPr>
          <w:rFonts w:hint="eastAsia" w:ascii="宋体" w:hAnsi="宋体" w:eastAsia="宋体" w:cs="宋体"/>
          <w:color w:val="auto"/>
          <w:kern w:val="0"/>
          <w:sz w:val="21"/>
          <w:szCs w:val="21"/>
          <w:highlight w:val="none"/>
        </w:rPr>
        <w:t>）我方如果中标，将保证履行招标文件及其澄清、修改文件（如果有）中的全部责任和义务，按质、按量、按期完成《招标内容》及《合同书》中的全部任务。</w:t>
      </w:r>
    </w:p>
    <w:p w14:paraId="675DB549">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六</w:t>
      </w:r>
      <w:r>
        <w:rPr>
          <w:rFonts w:hint="eastAsia" w:ascii="宋体" w:hAnsi="宋体" w:eastAsia="宋体" w:cs="宋体"/>
          <w:color w:val="auto"/>
          <w:kern w:val="0"/>
          <w:sz w:val="21"/>
          <w:szCs w:val="21"/>
          <w:highlight w:val="none"/>
        </w:rPr>
        <w:t>）如我方被授予合同，我方承诺支付就本次招标应支付或将支付的中标服务费（</w:t>
      </w:r>
      <w:r>
        <w:rPr>
          <w:rFonts w:hint="eastAsia" w:ascii="宋体" w:hAnsi="宋体" w:cs="宋体"/>
          <w:color w:val="auto"/>
          <w:kern w:val="0"/>
          <w:sz w:val="21"/>
          <w:szCs w:val="21"/>
          <w:highlight w:val="none"/>
          <w:lang w:val="en-US" w:eastAsia="zh-CN"/>
        </w:rPr>
        <w:t>自拟</w:t>
      </w:r>
      <w:r>
        <w:rPr>
          <w:rFonts w:hint="eastAsia" w:ascii="宋体" w:hAnsi="宋体" w:eastAsia="宋体" w:cs="宋体"/>
          <w:color w:val="auto"/>
          <w:kern w:val="0"/>
          <w:sz w:val="21"/>
          <w:szCs w:val="21"/>
          <w:highlight w:val="none"/>
        </w:rPr>
        <w:t>）。</w:t>
      </w:r>
    </w:p>
    <w:p w14:paraId="5A727273">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七</w:t>
      </w:r>
      <w:r>
        <w:rPr>
          <w:rFonts w:hint="eastAsia" w:ascii="宋体" w:hAnsi="宋体" w:eastAsia="宋体" w:cs="宋体"/>
          <w:color w:val="auto"/>
          <w:kern w:val="0"/>
          <w:sz w:val="21"/>
          <w:szCs w:val="21"/>
          <w:highlight w:val="none"/>
        </w:rPr>
        <w:t>）我方作为在法律、财务和运作上独立于采购人、招标代理机构的投标人，在此保证所提交的所有文件和全部说明是真实的和正确的。</w:t>
      </w:r>
    </w:p>
    <w:p w14:paraId="7BDF4BD4">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八</w:t>
      </w:r>
      <w:r>
        <w:rPr>
          <w:rFonts w:hint="eastAsia" w:ascii="宋体" w:hAnsi="宋体" w:eastAsia="宋体" w:cs="宋体"/>
          <w:color w:val="auto"/>
          <w:kern w:val="0"/>
          <w:sz w:val="21"/>
          <w:szCs w:val="21"/>
          <w:highlight w:val="none"/>
        </w:rPr>
        <w:t>）我方投标报价已包含应向知识产权所有权人支付的所有相关税费，并保证采购人在中国使用我方提供的货物时，如有第三方提出侵犯其知识产权主张的，责任由我方承担。</w:t>
      </w:r>
    </w:p>
    <w:p w14:paraId="47048680">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九</w:t>
      </w:r>
      <w:r>
        <w:rPr>
          <w:rFonts w:hint="eastAsia" w:ascii="宋体" w:hAnsi="宋体" w:eastAsia="宋体" w:cs="宋体"/>
          <w:color w:val="auto"/>
          <w:kern w:val="0"/>
          <w:sz w:val="21"/>
          <w:szCs w:val="21"/>
          <w:highlight w:val="none"/>
        </w:rPr>
        <w:t>）我方与其他投标人不存在单位负责人为同一人或者存在直接控股、管理关系。</w:t>
      </w:r>
    </w:p>
    <w:p w14:paraId="1591EAAE">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（十）我方承诺未为本项目提供整体设计、规范编制或者项目管理、监理、检测等服务。</w:t>
      </w:r>
    </w:p>
    <w:p w14:paraId="187C0C30">
      <w:pPr>
        <w:spacing w:line="480" w:lineRule="exact"/>
        <w:ind w:firstLine="426"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w:t>
      </w:r>
      <w:r>
        <w:rPr>
          <w:rFonts w:hint="eastAsia" w:ascii="宋体" w:hAnsi="宋体" w:eastAsia="宋体" w:cs="宋体"/>
          <w:color w:val="auto"/>
          <w:kern w:val="0"/>
          <w:sz w:val="21"/>
          <w:szCs w:val="21"/>
          <w:highlight w:val="none"/>
          <w:lang w:eastAsia="zh-CN"/>
        </w:rPr>
        <w:t>一</w:t>
      </w:r>
      <w:r>
        <w:rPr>
          <w:rFonts w:hint="eastAsia" w:ascii="宋体" w:hAnsi="宋体" w:eastAsia="宋体" w:cs="宋体"/>
          <w:color w:val="auto"/>
          <w:kern w:val="0"/>
          <w:sz w:val="21"/>
          <w:szCs w:val="21"/>
          <w:highlight w:val="none"/>
        </w:rPr>
        <w:t>）我方具备《政府采购法》第二十二条规定的条件，承诺如下：</w:t>
      </w:r>
    </w:p>
    <w:p w14:paraId="4D71C857">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（1）我方已依法缴纳了各项税费及社会保险费用，如有需要，可随时向采购人提供近三个月内的相关缴费证明，以便核查。</w:t>
      </w:r>
    </w:p>
    <w:p w14:paraId="261EC31C">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（2）我方已依法建立健全的财务会计制度，如有需要，可随时向采购人提供相关的证明材料，以便核查。</w:t>
      </w:r>
    </w:p>
    <w:p w14:paraId="5932361A">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（3）我方参加本项目政府采购活动前3年内在经营活动中没有重大违法记录。</w:t>
      </w:r>
    </w:p>
    <w:p w14:paraId="2A5CC86F">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（4）我方具备履行合同所必需的设备和专业技术能力。</w:t>
      </w:r>
    </w:p>
    <w:p w14:paraId="50EA848A">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（5）我方符合法律、行政法规规定的其他条件。</w:t>
      </w:r>
    </w:p>
    <w:p w14:paraId="0AFE35BF">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以上内容如有虚假或与事实不符的，评审委员会可将我方做无效投标处理，我方愿意承担相应的法律责任。</w:t>
      </w:r>
    </w:p>
    <w:p w14:paraId="1A6EFF41">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（十三）我方对在本函及投标文件中所作的所有承诺承担法律责任。</w:t>
      </w:r>
    </w:p>
    <w:p w14:paraId="1B5FC710">
      <w:pPr>
        <w:keepNext w:val="0"/>
        <w:keepLines w:val="0"/>
        <w:pageBreakBefore w:val="0"/>
        <w:widowControl w:val="0"/>
        <w:topLinePunct w:val="0"/>
        <w:autoSpaceDE/>
        <w:autoSpaceDN/>
        <w:bidi w:val="0"/>
        <w:adjustRightInd/>
        <w:snapToGrid/>
        <w:spacing w:line="440" w:lineRule="exact"/>
        <w:ind w:firstLine="426"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（十四）所有与本招标有关的函件请发往下列地址：</w:t>
      </w:r>
    </w:p>
    <w:p w14:paraId="2DCC94F2">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    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.邮政编码：</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2DD3327">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    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3337216">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    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BFC38DE">
      <w:pPr>
        <w:keepNext w:val="0"/>
        <w:keepLines w:val="0"/>
        <w:pageBreakBefore w:val="0"/>
        <w:widowControl w:val="0"/>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代表姓名：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02150D5">
      <w:pPr>
        <w:keepNext w:val="0"/>
        <w:keepLines w:val="0"/>
        <w:pageBreakBefore w:val="0"/>
        <w:widowControl w:val="0"/>
        <w:topLinePunct w:val="0"/>
        <w:autoSpaceDE/>
        <w:autoSpaceDN/>
        <w:bidi w:val="0"/>
        <w:adjustRightInd/>
        <w:snapToGrid/>
        <w:spacing w:line="440" w:lineRule="exact"/>
        <w:ind w:right="48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（公章） </w:t>
      </w:r>
    </w:p>
    <w:p w14:paraId="4BBE94C0">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法定代表人或委托人：</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签字或盖章</w:t>
      </w:r>
      <w:r>
        <w:rPr>
          <w:rFonts w:hint="eastAsia" w:ascii="宋体" w:hAnsi="宋体" w:eastAsia="宋体" w:cs="宋体"/>
          <w:color w:val="auto"/>
          <w:kern w:val="0"/>
          <w:sz w:val="21"/>
          <w:szCs w:val="21"/>
          <w:highlight w:val="none"/>
        </w:rPr>
        <w:t xml:space="preserve">）  </w:t>
      </w:r>
    </w:p>
    <w:p w14:paraId="4DBC4C8D">
      <w:pPr>
        <w:keepNext w:val="0"/>
        <w:keepLines w:val="0"/>
        <w:pageBreakBefore w:val="0"/>
        <w:widowControl w:val="0"/>
        <w:wordWrap w:val="0"/>
        <w:topLinePunct w:val="0"/>
        <w:autoSpaceDE/>
        <w:autoSpaceDN/>
        <w:bidi w:val="0"/>
        <w:adjustRightInd/>
        <w:snapToGrid/>
        <w:spacing w:line="440" w:lineRule="exact"/>
        <w:ind w:firstLine="426" w:firstLineChars="200"/>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14:paraId="62F34EF2">
      <w:pPr>
        <w:numPr>
          <w:ilvl w:val="0"/>
          <w:numId w:val="0"/>
        </w:numPr>
        <w:shd w:val="clear" w:color="auto" w:fill="auto"/>
        <w:spacing w:before="0" w:line="240" w:lineRule="atLeast"/>
        <w:ind w:left="431" w:leftChars="0"/>
        <w:outlineLvl w:val="9"/>
        <w:rPr>
          <w:rFonts w:hint="eastAsia" w:ascii="宋体" w:hAnsi="宋体" w:eastAsia="宋体" w:cs="宋体"/>
          <w:color w:val="auto"/>
          <w:sz w:val="24"/>
          <w:highlight w:val="none"/>
        </w:rPr>
      </w:pPr>
    </w:p>
    <w:p w14:paraId="21D65AF3">
      <w:pPr>
        <w:outlineLvl w:val="9"/>
        <w:rPr>
          <w:rFonts w:hint="eastAsia"/>
          <w:highlight w:val="none"/>
        </w:rPr>
      </w:pPr>
    </w:p>
    <w:p w14:paraId="18439C4F">
      <w:pPr>
        <w:pStyle w:val="6"/>
        <w:shd w:val="clear" w:color="auto" w:fill="auto"/>
        <w:tabs>
          <w:tab w:val="left" w:pos="5580"/>
        </w:tabs>
        <w:spacing w:line="240" w:lineRule="atLeast"/>
        <w:ind w:firstLine="3364" w:firstLineChars="927"/>
        <w:jc w:val="both"/>
        <w:outlineLvl w:val="9"/>
        <w:rPr>
          <w:rFonts w:hint="eastAsia" w:ascii="宋体" w:hAnsi="宋体" w:eastAsia="宋体" w:cs="宋体"/>
          <w:b/>
          <w:color w:val="auto"/>
          <w:sz w:val="36"/>
          <w:szCs w:val="24"/>
          <w:highlight w:val="none"/>
        </w:rPr>
      </w:pPr>
      <w:bookmarkStart w:id="117" w:name="_Toc494296984"/>
    </w:p>
    <w:p w14:paraId="5F85CFAD">
      <w:pPr>
        <w:rPr>
          <w:rFonts w:hint="eastAsia" w:ascii="宋体" w:hAnsi="宋体" w:eastAsia="宋体" w:cs="宋体"/>
          <w:b/>
          <w:color w:val="auto"/>
          <w:sz w:val="36"/>
          <w:szCs w:val="24"/>
          <w:highlight w:val="none"/>
        </w:rPr>
      </w:pPr>
    </w:p>
    <w:p w14:paraId="24F2AA6A">
      <w:pPr>
        <w:rPr>
          <w:rFonts w:hint="eastAsia" w:ascii="宋体" w:hAnsi="宋体" w:eastAsia="宋体" w:cs="宋体"/>
          <w:b/>
          <w:color w:val="auto"/>
          <w:sz w:val="36"/>
          <w:szCs w:val="24"/>
          <w:highlight w:val="none"/>
        </w:rPr>
      </w:pPr>
      <w:bookmarkStart w:id="154" w:name="_GoBack"/>
      <w:bookmarkEnd w:id="154"/>
    </w:p>
    <w:p w14:paraId="3A5445C7">
      <w:pPr>
        <w:outlineLvl w:val="9"/>
        <w:rPr>
          <w:rFonts w:hint="eastAsia"/>
          <w:highlight w:val="none"/>
        </w:rPr>
      </w:pPr>
    </w:p>
    <w:p w14:paraId="4F62110D">
      <w:pPr>
        <w:pStyle w:val="6"/>
        <w:shd w:val="clear" w:color="auto" w:fill="auto"/>
        <w:tabs>
          <w:tab w:val="left" w:pos="5580"/>
        </w:tabs>
        <w:spacing w:line="240" w:lineRule="atLeast"/>
        <w:ind w:left="0" w:leftChars="0" w:firstLine="0" w:firstLineChars="0"/>
        <w:jc w:val="both"/>
        <w:rPr>
          <w:rFonts w:hint="eastAsia" w:ascii="宋体" w:hAnsi="宋体" w:eastAsia="宋体" w:cs="宋体"/>
          <w:b/>
          <w:color w:val="auto"/>
          <w:sz w:val="36"/>
          <w:szCs w:val="24"/>
          <w:highlight w:val="none"/>
        </w:rPr>
      </w:pPr>
    </w:p>
    <w:p w14:paraId="337E8F5C">
      <w:pPr>
        <w:pStyle w:val="6"/>
        <w:numPr>
          <w:ilvl w:val="0"/>
          <w:numId w:val="0"/>
        </w:numPr>
        <w:shd w:val="clear" w:color="auto" w:fill="auto"/>
        <w:tabs>
          <w:tab w:val="left" w:pos="5580"/>
        </w:tabs>
        <w:spacing w:line="240" w:lineRule="atLeast"/>
        <w:ind w:leftChars="0"/>
        <w:jc w:val="center"/>
        <w:outlineLvl w:val="2"/>
        <w:rPr>
          <w:rFonts w:hint="eastAsia" w:ascii="宋体" w:hAnsi="宋体" w:eastAsia="宋体" w:cs="宋体"/>
          <w:b/>
          <w:color w:val="auto"/>
          <w:sz w:val="28"/>
          <w:szCs w:val="21"/>
          <w:highlight w:val="none"/>
        </w:rPr>
      </w:pPr>
      <w:r>
        <w:rPr>
          <w:rFonts w:hint="eastAsia" w:ascii="宋体" w:hAnsi="宋体" w:cs="宋体"/>
          <w:b/>
          <w:color w:val="auto"/>
          <w:sz w:val="28"/>
          <w:szCs w:val="21"/>
          <w:highlight w:val="none"/>
          <w:lang w:val="en-US" w:eastAsia="zh-CN"/>
        </w:rPr>
        <w:t>2、</w:t>
      </w:r>
      <w:r>
        <w:rPr>
          <w:rFonts w:hint="eastAsia" w:ascii="宋体" w:hAnsi="宋体" w:eastAsia="宋体" w:cs="宋体"/>
          <w:b/>
          <w:color w:val="auto"/>
          <w:sz w:val="28"/>
          <w:szCs w:val="21"/>
          <w:highlight w:val="none"/>
        </w:rPr>
        <w:t>开标一览表</w:t>
      </w:r>
      <w:bookmarkEnd w:id="117"/>
    </w:p>
    <w:p w14:paraId="28DD710D">
      <w:pPr>
        <w:pStyle w:val="6"/>
        <w:numPr>
          <w:ilvl w:val="0"/>
          <w:numId w:val="0"/>
        </w:numPr>
        <w:shd w:val="clear" w:color="auto" w:fill="auto"/>
        <w:tabs>
          <w:tab w:val="left" w:pos="5580"/>
        </w:tabs>
        <w:spacing w:line="240" w:lineRule="atLeast"/>
        <w:ind w:leftChars="0"/>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招标项目名称</w:t>
      </w:r>
      <w:r>
        <w:rPr>
          <w:rFonts w:hint="eastAsia" w:ascii="宋体" w:hAnsi="宋体" w:eastAsia="宋体" w:cs="宋体"/>
          <w:color w:val="auto"/>
          <w:szCs w:val="21"/>
          <w:highlight w:val="none"/>
        </w:rPr>
        <w:t>：</w:t>
      </w:r>
    </w:p>
    <w:p w14:paraId="09454295">
      <w:pPr>
        <w:shd w:val="clear" w:color="auto" w:fill="auto"/>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招标项目编号：                                                </w:t>
      </w:r>
    </w:p>
    <w:p w14:paraId="06104340">
      <w:pPr>
        <w:shd w:val="clear" w:color="auto" w:fill="auto"/>
        <w:spacing w:line="50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单位：元（人民币）</w:t>
      </w:r>
    </w:p>
    <w:tbl>
      <w:tblPr>
        <w:tblStyle w:val="28"/>
        <w:tblW w:w="86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965"/>
        <w:gridCol w:w="6129"/>
      </w:tblGrid>
      <w:tr w14:paraId="637A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570" w:type="dxa"/>
            <w:gridSpan w:val="2"/>
            <w:noWrap w:val="0"/>
            <w:vAlign w:val="center"/>
          </w:tcPr>
          <w:p w14:paraId="75B66DA4">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投标项目名称</w:t>
            </w:r>
          </w:p>
        </w:tc>
        <w:tc>
          <w:tcPr>
            <w:tcW w:w="6129" w:type="dxa"/>
            <w:noWrap w:val="0"/>
            <w:vAlign w:val="center"/>
          </w:tcPr>
          <w:p w14:paraId="3844A43C">
            <w:pPr>
              <w:shd w:val="clear" w:color="auto" w:fill="auto"/>
              <w:rPr>
                <w:rFonts w:hint="eastAsia" w:ascii="宋体" w:hAnsi="宋体" w:eastAsia="宋体" w:cs="宋体"/>
                <w:color w:val="auto"/>
                <w:sz w:val="20"/>
                <w:szCs w:val="20"/>
                <w:highlight w:val="none"/>
              </w:rPr>
            </w:pPr>
          </w:p>
        </w:tc>
      </w:tr>
      <w:tr w14:paraId="2735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570" w:type="dxa"/>
            <w:gridSpan w:val="2"/>
            <w:noWrap w:val="0"/>
            <w:vAlign w:val="center"/>
          </w:tcPr>
          <w:p w14:paraId="6E3CC5E5">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履约期限</w:t>
            </w:r>
          </w:p>
        </w:tc>
        <w:tc>
          <w:tcPr>
            <w:tcW w:w="6129" w:type="dxa"/>
            <w:noWrap w:val="0"/>
            <w:vAlign w:val="center"/>
          </w:tcPr>
          <w:p w14:paraId="6739EC0A">
            <w:pPr>
              <w:shd w:val="clear" w:color="auto" w:fill="auto"/>
              <w:jc w:val="center"/>
              <w:rPr>
                <w:rFonts w:hint="eastAsia" w:ascii="宋体" w:hAnsi="宋体" w:eastAsia="宋体" w:cs="宋体"/>
                <w:color w:val="auto"/>
                <w:sz w:val="20"/>
                <w:szCs w:val="20"/>
                <w:highlight w:val="none"/>
              </w:rPr>
            </w:pPr>
          </w:p>
        </w:tc>
      </w:tr>
      <w:tr w14:paraId="56E8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570" w:type="dxa"/>
            <w:gridSpan w:val="2"/>
            <w:noWrap w:val="0"/>
            <w:vAlign w:val="center"/>
          </w:tcPr>
          <w:p w14:paraId="628E6F3E">
            <w:pPr>
              <w:shd w:val="clear" w:color="auto" w:fill="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履约</w:t>
            </w:r>
            <w:r>
              <w:rPr>
                <w:rFonts w:hint="eastAsia" w:ascii="宋体" w:hAnsi="宋体" w:eastAsia="宋体" w:cs="宋体"/>
                <w:color w:val="auto"/>
                <w:sz w:val="20"/>
                <w:szCs w:val="20"/>
                <w:highlight w:val="none"/>
                <w:lang w:val="en-US" w:eastAsia="zh-CN"/>
              </w:rPr>
              <w:t>地点</w:t>
            </w:r>
          </w:p>
        </w:tc>
        <w:tc>
          <w:tcPr>
            <w:tcW w:w="6129" w:type="dxa"/>
            <w:noWrap w:val="0"/>
            <w:vAlign w:val="center"/>
          </w:tcPr>
          <w:p w14:paraId="049B092C">
            <w:pPr>
              <w:shd w:val="clear" w:color="auto" w:fill="auto"/>
              <w:jc w:val="center"/>
              <w:rPr>
                <w:rFonts w:hint="eastAsia" w:ascii="宋体" w:hAnsi="宋体" w:eastAsia="宋体" w:cs="宋体"/>
                <w:color w:val="auto"/>
                <w:sz w:val="20"/>
                <w:szCs w:val="20"/>
                <w:highlight w:val="none"/>
              </w:rPr>
            </w:pPr>
          </w:p>
        </w:tc>
      </w:tr>
      <w:tr w14:paraId="46DD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570" w:type="dxa"/>
            <w:gridSpan w:val="2"/>
            <w:noWrap w:val="0"/>
            <w:vAlign w:val="center"/>
          </w:tcPr>
          <w:p w14:paraId="52CFB354">
            <w:pPr>
              <w:shd w:val="clear" w:color="auto" w:fill="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承保</w:t>
            </w:r>
            <w:r>
              <w:rPr>
                <w:rFonts w:hint="eastAsia" w:ascii="宋体" w:hAnsi="宋体" w:eastAsia="宋体" w:cs="宋体"/>
                <w:color w:val="auto"/>
                <w:sz w:val="20"/>
                <w:szCs w:val="20"/>
                <w:highlight w:val="none"/>
                <w:lang w:val="en-US" w:eastAsia="zh-CN"/>
              </w:rPr>
              <w:t>期</w:t>
            </w:r>
          </w:p>
        </w:tc>
        <w:tc>
          <w:tcPr>
            <w:tcW w:w="6129" w:type="dxa"/>
            <w:noWrap w:val="0"/>
            <w:vAlign w:val="center"/>
          </w:tcPr>
          <w:p w14:paraId="704F6D85">
            <w:pPr>
              <w:shd w:val="clear" w:color="auto" w:fill="auto"/>
              <w:jc w:val="center"/>
              <w:rPr>
                <w:rFonts w:hint="eastAsia" w:ascii="宋体" w:hAnsi="宋体" w:eastAsia="宋体" w:cs="宋体"/>
                <w:color w:val="auto"/>
                <w:sz w:val="20"/>
                <w:szCs w:val="20"/>
                <w:highlight w:val="none"/>
              </w:rPr>
            </w:pPr>
          </w:p>
        </w:tc>
      </w:tr>
      <w:tr w14:paraId="7116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2570" w:type="dxa"/>
            <w:gridSpan w:val="2"/>
            <w:tcBorders>
              <w:top w:val="single" w:color="auto" w:sz="4" w:space="0"/>
            </w:tcBorders>
            <w:noWrap w:val="0"/>
            <w:vAlign w:val="center"/>
          </w:tcPr>
          <w:p w14:paraId="693DACDF">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投标有效期</w:t>
            </w:r>
          </w:p>
        </w:tc>
        <w:tc>
          <w:tcPr>
            <w:tcW w:w="6129" w:type="dxa"/>
            <w:noWrap w:val="0"/>
            <w:vAlign w:val="center"/>
          </w:tcPr>
          <w:p w14:paraId="42EE229A">
            <w:pPr>
              <w:shd w:val="clear" w:color="auto" w:fill="auto"/>
              <w:jc w:val="center"/>
              <w:rPr>
                <w:rFonts w:hint="eastAsia" w:ascii="宋体" w:hAnsi="宋体" w:eastAsia="宋体" w:cs="宋体"/>
                <w:color w:val="auto"/>
                <w:sz w:val="20"/>
                <w:szCs w:val="20"/>
                <w:highlight w:val="none"/>
              </w:rPr>
            </w:pPr>
          </w:p>
        </w:tc>
      </w:tr>
      <w:tr w14:paraId="4388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605" w:type="dxa"/>
            <w:vMerge w:val="restart"/>
            <w:noWrap w:val="0"/>
            <w:vAlign w:val="center"/>
          </w:tcPr>
          <w:p w14:paraId="28AEDD1E">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w:t>
            </w:r>
          </w:p>
          <w:p w14:paraId="542460BE">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（人民币）</w:t>
            </w:r>
          </w:p>
        </w:tc>
        <w:tc>
          <w:tcPr>
            <w:tcW w:w="965" w:type="dxa"/>
            <w:tcBorders>
              <w:top w:val="single" w:color="auto" w:sz="4" w:space="0"/>
              <w:bottom w:val="single" w:color="auto" w:sz="4" w:space="0"/>
            </w:tcBorders>
            <w:noWrap w:val="0"/>
            <w:vAlign w:val="center"/>
          </w:tcPr>
          <w:p w14:paraId="0DE18579">
            <w:pPr>
              <w:widowControl/>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小写</w:t>
            </w:r>
          </w:p>
        </w:tc>
        <w:tc>
          <w:tcPr>
            <w:tcW w:w="6129" w:type="dxa"/>
            <w:noWrap w:val="0"/>
            <w:vAlign w:val="center"/>
          </w:tcPr>
          <w:p w14:paraId="0EF82BE2">
            <w:pPr>
              <w:shd w:val="clear" w:color="auto" w:fill="auto"/>
              <w:jc w:val="center"/>
              <w:rPr>
                <w:rFonts w:hint="eastAsia" w:ascii="宋体" w:hAnsi="宋体" w:eastAsia="宋体" w:cs="宋体"/>
                <w:color w:val="auto"/>
                <w:sz w:val="20"/>
                <w:szCs w:val="20"/>
                <w:highlight w:val="none"/>
              </w:rPr>
            </w:pPr>
          </w:p>
        </w:tc>
      </w:tr>
      <w:tr w14:paraId="3AF8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05" w:type="dxa"/>
            <w:vMerge w:val="continue"/>
            <w:noWrap w:val="0"/>
            <w:vAlign w:val="center"/>
          </w:tcPr>
          <w:p w14:paraId="70504482">
            <w:pPr>
              <w:shd w:val="clear" w:color="auto" w:fill="auto"/>
              <w:jc w:val="center"/>
              <w:rPr>
                <w:rFonts w:hint="eastAsia" w:ascii="宋体" w:hAnsi="宋体" w:eastAsia="宋体" w:cs="宋体"/>
                <w:color w:val="auto"/>
                <w:sz w:val="20"/>
                <w:szCs w:val="20"/>
                <w:highlight w:val="none"/>
              </w:rPr>
            </w:pPr>
          </w:p>
        </w:tc>
        <w:tc>
          <w:tcPr>
            <w:tcW w:w="965" w:type="dxa"/>
            <w:tcBorders>
              <w:top w:val="single" w:color="auto" w:sz="4" w:space="0"/>
              <w:bottom w:val="single" w:color="auto" w:sz="4" w:space="0"/>
            </w:tcBorders>
            <w:noWrap w:val="0"/>
            <w:vAlign w:val="center"/>
          </w:tcPr>
          <w:p w14:paraId="41BE5DCF">
            <w:pPr>
              <w:widowControl/>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大写</w:t>
            </w:r>
          </w:p>
        </w:tc>
        <w:tc>
          <w:tcPr>
            <w:tcW w:w="6129" w:type="dxa"/>
            <w:noWrap w:val="0"/>
            <w:vAlign w:val="center"/>
          </w:tcPr>
          <w:p w14:paraId="5EBF64F5">
            <w:pPr>
              <w:shd w:val="clear" w:color="auto" w:fill="auto"/>
              <w:jc w:val="center"/>
              <w:rPr>
                <w:rFonts w:hint="eastAsia" w:ascii="宋体" w:hAnsi="宋体" w:eastAsia="宋体" w:cs="宋体"/>
                <w:color w:val="auto"/>
                <w:sz w:val="20"/>
                <w:szCs w:val="20"/>
                <w:highlight w:val="none"/>
              </w:rPr>
            </w:pPr>
          </w:p>
        </w:tc>
      </w:tr>
    </w:tbl>
    <w:p w14:paraId="599B0F9B">
      <w:pPr>
        <w:shd w:val="clear" w:color="auto" w:fill="auto"/>
        <w:spacing w:line="500" w:lineRule="exact"/>
        <w:ind w:firstLine="416"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填写说明：</w:t>
      </w:r>
    </w:p>
    <w:p w14:paraId="45D7CFFC">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4874D560">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.投标总价为招标范围所列全部招标项目的报价总和，并应与投标报价明细表及分项价格表保持一致。</w:t>
      </w:r>
    </w:p>
    <w:p w14:paraId="41F3EFD2">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.投标报价不得填报选择性报价。</w:t>
      </w:r>
    </w:p>
    <w:p w14:paraId="19D0266B">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（加盖公章）     </w:t>
      </w:r>
      <w:r>
        <w:rPr>
          <w:rFonts w:hint="eastAsia" w:ascii="宋体" w:hAnsi="宋体" w:eastAsia="宋体" w:cs="宋体"/>
          <w:color w:val="auto"/>
          <w:szCs w:val="21"/>
          <w:highlight w:val="none"/>
        </w:rPr>
        <w:t xml:space="preserve">       </w:t>
      </w:r>
    </w:p>
    <w:p w14:paraId="3CDEEF76">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3BA5619">
      <w:pPr>
        <w:shd w:val="clear" w:color="auto" w:fill="auto"/>
        <w:spacing w:line="500" w:lineRule="exact"/>
        <w:ind w:firstLine="426"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授权代表签字或盖章：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5162941">
      <w:pPr>
        <w:shd w:val="clear" w:color="auto" w:fill="auto"/>
        <w:spacing w:line="500" w:lineRule="exact"/>
        <w:ind w:firstLine="426" w:firstLineChars="200"/>
        <w:rPr>
          <w:rFonts w:hint="eastAsia"/>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02A6755">
      <w:pPr>
        <w:numPr>
          <w:ilvl w:val="0"/>
          <w:numId w:val="0"/>
        </w:numPr>
        <w:shd w:val="clear" w:color="auto" w:fill="auto"/>
        <w:spacing w:before="0" w:line="240" w:lineRule="atLeast"/>
        <w:jc w:val="center"/>
        <w:outlineLvl w:val="9"/>
        <w:rPr>
          <w:rFonts w:hint="eastAsia" w:ascii="宋体" w:hAnsi="宋体" w:eastAsia="宋体" w:cs="宋体"/>
          <w:b/>
          <w:bCs/>
          <w:color w:val="auto"/>
          <w:sz w:val="24"/>
          <w:highlight w:val="none"/>
        </w:rPr>
      </w:pPr>
    </w:p>
    <w:p w14:paraId="0651B18E">
      <w:pPr>
        <w:outlineLvl w:val="9"/>
        <w:rPr>
          <w:rFonts w:hint="eastAsia" w:ascii="宋体" w:hAnsi="宋体" w:eastAsia="宋体" w:cs="宋体"/>
          <w:b/>
          <w:bCs/>
          <w:color w:val="auto"/>
          <w:sz w:val="24"/>
          <w:highlight w:val="none"/>
        </w:rPr>
      </w:pPr>
    </w:p>
    <w:p w14:paraId="3C0E84A6">
      <w:pPr>
        <w:pStyle w:val="7"/>
        <w:outlineLvl w:val="9"/>
        <w:rPr>
          <w:rFonts w:hint="eastAsia" w:ascii="宋体" w:hAnsi="宋体" w:eastAsia="宋体" w:cs="宋体"/>
          <w:b/>
          <w:bCs/>
          <w:color w:val="auto"/>
          <w:sz w:val="24"/>
          <w:highlight w:val="none"/>
        </w:rPr>
      </w:pPr>
    </w:p>
    <w:p w14:paraId="4F8CD9C7">
      <w:pPr>
        <w:outlineLvl w:val="9"/>
        <w:rPr>
          <w:rFonts w:hint="eastAsia" w:ascii="宋体" w:hAnsi="宋体" w:eastAsia="宋体" w:cs="宋体"/>
          <w:b/>
          <w:bCs/>
          <w:color w:val="auto"/>
          <w:sz w:val="24"/>
          <w:highlight w:val="none"/>
        </w:rPr>
      </w:pPr>
    </w:p>
    <w:p w14:paraId="215B630F">
      <w:pPr>
        <w:pStyle w:val="7"/>
        <w:outlineLvl w:val="9"/>
        <w:rPr>
          <w:rFonts w:hint="eastAsia"/>
          <w:highlight w:val="none"/>
        </w:rPr>
      </w:pPr>
    </w:p>
    <w:p w14:paraId="439C308E">
      <w:pPr>
        <w:pStyle w:val="10"/>
        <w:outlineLvl w:val="9"/>
        <w:rPr>
          <w:rFonts w:hint="eastAsia"/>
          <w:highlight w:val="none"/>
        </w:rPr>
      </w:pPr>
    </w:p>
    <w:p w14:paraId="515A7860">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w:t>
      </w:r>
      <w:bookmarkEnd w:id="114"/>
      <w:bookmarkEnd w:id="115"/>
      <w:bookmarkEnd w:id="116"/>
      <w:bookmarkStart w:id="118" w:name="_Toc1881"/>
      <w:bookmarkStart w:id="119" w:name="_Toc10313"/>
      <w:bookmarkStart w:id="120" w:name="_Toc216582815"/>
      <w:bookmarkStart w:id="121" w:name="_Toc515647818"/>
      <w:bookmarkStart w:id="122" w:name="_Toc20897"/>
      <w:bookmarkStart w:id="123" w:name="_Toc515647820"/>
      <w:bookmarkStart w:id="124" w:name="_Toc28959"/>
      <w:bookmarkStart w:id="125" w:name="_Toc22563"/>
      <w:bookmarkStart w:id="126" w:name="_Toc216582817"/>
      <w:r>
        <w:rPr>
          <w:rFonts w:hint="eastAsia" w:ascii="宋体" w:hAnsi="宋体" w:eastAsia="宋体" w:cs="宋体"/>
          <w:b/>
          <w:bCs/>
          <w:color w:val="auto"/>
          <w:sz w:val="24"/>
          <w:highlight w:val="none"/>
        </w:rPr>
        <w:t>投标分项报价表</w:t>
      </w:r>
      <w:bookmarkEnd w:id="118"/>
      <w:bookmarkEnd w:id="119"/>
      <w:bookmarkEnd w:id="120"/>
      <w:bookmarkEnd w:id="121"/>
      <w:bookmarkEnd w:id="122"/>
    </w:p>
    <w:p w14:paraId="27D0A50C">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2DAF0EAB">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14:paraId="13D43437">
      <w:pPr>
        <w:pStyle w:val="14"/>
        <w:shd w:val="clear" w:color="auto" w:fill="auto"/>
        <w:spacing w:line="240" w:lineRule="atLeast"/>
        <w:ind w:left="1087" w:leftChars="257" w:hanging="5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招标编号</w:t>
      </w:r>
      <w:r>
        <w:rPr>
          <w:rFonts w:hint="eastAsia" w:hAnsi="宋体" w:cs="宋体"/>
          <w:color w:val="auto"/>
          <w:sz w:val="21"/>
          <w:szCs w:val="21"/>
          <w:highlight w:val="none"/>
          <w:lang w:eastAsia="zh-CN"/>
        </w:rPr>
        <w:t>：</w:t>
      </w:r>
    </w:p>
    <w:p w14:paraId="704EB0C1">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p>
    <w:p w14:paraId="54B48111">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宋体" w:hAnsi="宋体" w:eastAsia="宋体" w:cs="宋体"/>
          <w:color w:val="auto"/>
          <w:sz w:val="21"/>
          <w:szCs w:val="21"/>
          <w:highlight w:val="none"/>
        </w:rPr>
        <w:t>单位：元（人民币）</w:t>
      </w:r>
    </w:p>
    <w:tbl>
      <w:tblPr>
        <w:tblStyle w:val="28"/>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12"/>
        <w:gridCol w:w="1171"/>
        <w:gridCol w:w="1171"/>
        <w:gridCol w:w="840"/>
        <w:gridCol w:w="1178"/>
        <w:gridCol w:w="960"/>
        <w:gridCol w:w="720"/>
      </w:tblGrid>
      <w:tr w14:paraId="7E11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78" w:type="dxa"/>
            <w:noWrap w:val="0"/>
            <w:vAlign w:val="center"/>
          </w:tcPr>
          <w:p w14:paraId="4E35A03B">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12" w:type="dxa"/>
            <w:noWrap w:val="0"/>
            <w:vAlign w:val="center"/>
          </w:tcPr>
          <w:p w14:paraId="5A6C8A08">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险种</w:t>
            </w:r>
            <w:r>
              <w:rPr>
                <w:rFonts w:hint="eastAsia" w:hAnsi="宋体" w:eastAsia="宋体" w:cs="宋体"/>
                <w:color w:val="auto"/>
                <w:sz w:val="21"/>
                <w:szCs w:val="21"/>
                <w:highlight w:val="none"/>
                <w:lang w:val="en-US" w:eastAsia="zh-CN"/>
              </w:rPr>
              <w:t>名称</w:t>
            </w:r>
          </w:p>
        </w:tc>
        <w:tc>
          <w:tcPr>
            <w:tcW w:w="1171" w:type="dxa"/>
            <w:noWrap w:val="0"/>
            <w:vAlign w:val="center"/>
          </w:tcPr>
          <w:p w14:paraId="18089D9E">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保险责任</w:t>
            </w:r>
          </w:p>
        </w:tc>
        <w:tc>
          <w:tcPr>
            <w:tcW w:w="1171" w:type="dxa"/>
            <w:noWrap w:val="0"/>
            <w:vAlign w:val="center"/>
          </w:tcPr>
          <w:p w14:paraId="362CCEDD">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保险责任</w:t>
            </w:r>
          </w:p>
        </w:tc>
        <w:tc>
          <w:tcPr>
            <w:tcW w:w="840" w:type="dxa"/>
            <w:noWrap w:val="0"/>
            <w:vAlign w:val="center"/>
          </w:tcPr>
          <w:p w14:paraId="01621FC0">
            <w:pPr>
              <w:pStyle w:val="14"/>
              <w:shd w:val="clear" w:color="auto" w:fill="auto"/>
              <w:spacing w:line="240" w:lineRule="atLeast"/>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保额</w:t>
            </w:r>
          </w:p>
        </w:tc>
        <w:tc>
          <w:tcPr>
            <w:tcW w:w="1178" w:type="dxa"/>
            <w:noWrap w:val="0"/>
            <w:vAlign w:val="center"/>
          </w:tcPr>
          <w:p w14:paraId="2A3C0B27">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保险费</w:t>
            </w:r>
            <w:r>
              <w:rPr>
                <w:rFonts w:hint="eastAsia" w:hAnsi="宋体" w:cs="宋体"/>
                <w:color w:val="auto"/>
                <w:sz w:val="21"/>
                <w:szCs w:val="21"/>
                <w:highlight w:val="none"/>
                <w:lang w:val="en-US" w:eastAsia="zh-CN"/>
              </w:rPr>
              <w:t>（元）</w:t>
            </w:r>
          </w:p>
        </w:tc>
        <w:tc>
          <w:tcPr>
            <w:tcW w:w="960" w:type="dxa"/>
            <w:noWrap w:val="0"/>
            <w:vAlign w:val="center"/>
          </w:tcPr>
          <w:p w14:paraId="55409B62">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保险期</w:t>
            </w:r>
          </w:p>
        </w:tc>
        <w:tc>
          <w:tcPr>
            <w:tcW w:w="720" w:type="dxa"/>
            <w:noWrap w:val="0"/>
            <w:vAlign w:val="center"/>
          </w:tcPr>
          <w:p w14:paraId="6DA4EA1F">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562A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8" w:type="dxa"/>
            <w:noWrap w:val="0"/>
            <w:vAlign w:val="center"/>
          </w:tcPr>
          <w:p w14:paraId="110F9DAC">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812" w:type="dxa"/>
            <w:noWrap w:val="0"/>
            <w:vAlign w:val="center"/>
          </w:tcPr>
          <w:p w14:paraId="1FF569D4">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p>
        </w:tc>
        <w:tc>
          <w:tcPr>
            <w:tcW w:w="1171" w:type="dxa"/>
            <w:noWrap w:val="0"/>
            <w:vAlign w:val="center"/>
          </w:tcPr>
          <w:p w14:paraId="4AEA790A">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1171" w:type="dxa"/>
            <w:noWrap w:val="0"/>
            <w:vAlign w:val="center"/>
          </w:tcPr>
          <w:p w14:paraId="4A808F72">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840" w:type="dxa"/>
            <w:noWrap w:val="0"/>
            <w:vAlign w:val="center"/>
          </w:tcPr>
          <w:p w14:paraId="133BE9A5">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1178" w:type="dxa"/>
            <w:noWrap w:val="0"/>
            <w:vAlign w:val="center"/>
          </w:tcPr>
          <w:p w14:paraId="14BF5A9F">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960" w:type="dxa"/>
            <w:noWrap w:val="0"/>
            <w:vAlign w:val="center"/>
          </w:tcPr>
          <w:p w14:paraId="6783C52E">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c>
          <w:tcPr>
            <w:tcW w:w="720" w:type="dxa"/>
            <w:noWrap w:val="0"/>
            <w:vAlign w:val="center"/>
          </w:tcPr>
          <w:p w14:paraId="7EC0E5F6">
            <w:pPr>
              <w:pStyle w:val="14"/>
              <w:shd w:val="clear" w:color="auto" w:fill="auto"/>
              <w:spacing w:line="240" w:lineRule="atLeast"/>
              <w:ind w:left="1087" w:leftChars="257" w:hanging="540"/>
              <w:jc w:val="center"/>
              <w:rPr>
                <w:rFonts w:hint="eastAsia" w:ascii="宋体" w:hAnsi="宋体" w:eastAsia="宋体" w:cs="宋体"/>
                <w:color w:val="auto"/>
                <w:sz w:val="21"/>
                <w:szCs w:val="21"/>
                <w:highlight w:val="none"/>
                <w:lang w:val="en-US" w:eastAsia="zh-CN"/>
              </w:rPr>
            </w:pPr>
          </w:p>
        </w:tc>
      </w:tr>
      <w:tr w14:paraId="194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14:paraId="6C43C31B">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812" w:type="dxa"/>
            <w:noWrap w:val="0"/>
            <w:vAlign w:val="center"/>
          </w:tcPr>
          <w:p w14:paraId="6A93463D">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15151271">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4C626DC1">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0" w:type="dxa"/>
            <w:noWrap w:val="0"/>
            <w:vAlign w:val="center"/>
          </w:tcPr>
          <w:p w14:paraId="10311FB8">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8" w:type="dxa"/>
            <w:noWrap w:val="0"/>
            <w:vAlign w:val="center"/>
          </w:tcPr>
          <w:p w14:paraId="30576F22">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14:paraId="7CE01572">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14:paraId="724962E7">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14:paraId="0164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14:paraId="26235430">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12" w:type="dxa"/>
            <w:noWrap w:val="0"/>
            <w:vAlign w:val="center"/>
          </w:tcPr>
          <w:p w14:paraId="2190F25A">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4ADAFACB">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4BA5AD71">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0" w:type="dxa"/>
            <w:noWrap w:val="0"/>
            <w:vAlign w:val="center"/>
          </w:tcPr>
          <w:p w14:paraId="74289EFD">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8" w:type="dxa"/>
            <w:noWrap w:val="0"/>
            <w:vAlign w:val="center"/>
          </w:tcPr>
          <w:p w14:paraId="1B7A54A3">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14:paraId="1F6CFDDE">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14:paraId="085034C2">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14:paraId="0D95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8" w:type="dxa"/>
            <w:noWrap w:val="0"/>
            <w:vAlign w:val="center"/>
          </w:tcPr>
          <w:p w14:paraId="13D0D7BE">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12" w:type="dxa"/>
            <w:noWrap w:val="0"/>
            <w:vAlign w:val="center"/>
          </w:tcPr>
          <w:p w14:paraId="38AC3966">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1CDBCEC0">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1579C137">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0" w:type="dxa"/>
            <w:noWrap w:val="0"/>
            <w:vAlign w:val="center"/>
          </w:tcPr>
          <w:p w14:paraId="5E52940C">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8" w:type="dxa"/>
            <w:noWrap w:val="0"/>
            <w:vAlign w:val="center"/>
          </w:tcPr>
          <w:p w14:paraId="45EC5A12">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14:paraId="20F9901C">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14:paraId="2D8155E5">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14:paraId="3218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8" w:type="dxa"/>
            <w:noWrap w:val="0"/>
            <w:vAlign w:val="center"/>
          </w:tcPr>
          <w:p w14:paraId="2B06DBAB">
            <w:pPr>
              <w:pStyle w:val="14"/>
              <w:shd w:val="clear" w:color="auto" w:fill="auto"/>
              <w:spacing w:line="24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812" w:type="dxa"/>
            <w:noWrap w:val="0"/>
            <w:vAlign w:val="center"/>
          </w:tcPr>
          <w:p w14:paraId="317A7BED">
            <w:pPr>
              <w:pStyle w:val="14"/>
              <w:shd w:val="clear" w:color="auto" w:fill="auto"/>
              <w:spacing w:line="240" w:lineRule="atLeast"/>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2A5BE19D">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1" w:type="dxa"/>
            <w:noWrap w:val="0"/>
            <w:vAlign w:val="center"/>
          </w:tcPr>
          <w:p w14:paraId="2E951D15">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840" w:type="dxa"/>
            <w:noWrap w:val="0"/>
            <w:vAlign w:val="center"/>
          </w:tcPr>
          <w:p w14:paraId="567E9AD1">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1178" w:type="dxa"/>
            <w:noWrap w:val="0"/>
            <w:vAlign w:val="center"/>
          </w:tcPr>
          <w:p w14:paraId="4AFC28E8">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960" w:type="dxa"/>
            <w:noWrap w:val="0"/>
            <w:vAlign w:val="center"/>
          </w:tcPr>
          <w:p w14:paraId="392D4E36">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c>
          <w:tcPr>
            <w:tcW w:w="720" w:type="dxa"/>
            <w:noWrap w:val="0"/>
            <w:vAlign w:val="center"/>
          </w:tcPr>
          <w:p w14:paraId="6CB33251">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p>
        </w:tc>
      </w:tr>
      <w:tr w14:paraId="2B9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630" w:type="dxa"/>
            <w:gridSpan w:val="8"/>
            <w:noWrap w:val="0"/>
            <w:vAlign w:val="center"/>
          </w:tcPr>
          <w:p w14:paraId="2782A766">
            <w:pPr>
              <w:pStyle w:val="14"/>
              <w:shd w:val="clear" w:color="auto" w:fill="auto"/>
              <w:spacing w:line="240" w:lineRule="atLeast"/>
              <w:ind w:left="1087" w:leftChars="257" w:hanging="540"/>
              <w:jc w:val="both"/>
              <w:rPr>
                <w:rFonts w:hint="eastAsia"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总计（元）：</w:t>
            </w:r>
          </w:p>
        </w:tc>
      </w:tr>
    </w:tbl>
    <w:p w14:paraId="5B1A3E62">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p>
    <w:p w14:paraId="7CB51A65">
      <w:pPr>
        <w:pStyle w:val="15"/>
        <w:rPr>
          <w:rFonts w:hint="eastAsia"/>
          <w:highlight w:val="none"/>
        </w:rPr>
      </w:pPr>
    </w:p>
    <w:p w14:paraId="61D39305">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44882C9C">
      <w:pPr>
        <w:pStyle w:val="14"/>
        <w:shd w:val="clear" w:color="auto" w:fill="auto"/>
        <w:tabs>
          <w:tab w:val="left" w:pos="5370"/>
        </w:tabs>
        <w:spacing w:line="240" w:lineRule="atLeast"/>
        <w:ind w:left="1087" w:leftChars="257" w:hanging="54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投标人(盖单位章):</w:t>
      </w:r>
      <w:r>
        <w:rPr>
          <w:rFonts w:hint="eastAsia" w:ascii="宋体" w:hAnsi="宋体" w:eastAsia="宋体" w:cs="宋体"/>
          <w:color w:val="auto"/>
          <w:sz w:val="21"/>
          <w:szCs w:val="21"/>
          <w:highlight w:val="none"/>
          <w:u w:val="single"/>
        </w:rPr>
        <w:tab/>
      </w:r>
    </w:p>
    <w:p w14:paraId="07995405">
      <w:pPr>
        <w:shd w:val="clear" w:color="auto" w:fill="auto"/>
        <w:spacing w:line="500" w:lineRule="exact"/>
        <w:ind w:firstLine="639" w:firstLineChars="300"/>
        <w:rPr>
          <w:rFonts w:hint="eastAsia"/>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220494C">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p>
    <w:p w14:paraId="0A55F3D9">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.如果按单价计算的结果与总价不一致,以单价为准修正总价。</w:t>
      </w:r>
    </w:p>
    <w:p w14:paraId="7D3C20A9">
      <w:pPr>
        <w:pStyle w:val="14"/>
        <w:shd w:val="clear" w:color="auto" w:fill="auto"/>
        <w:spacing w:line="240" w:lineRule="atLeast"/>
        <w:ind w:left="1087" w:leftChars="257" w:hanging="5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.如果不提供详细分项报价将视为没有实质性响应</w:t>
      </w:r>
      <w:r>
        <w:rPr>
          <w:rFonts w:hint="eastAsia" w:hAnsi="宋体" w:cs="宋体"/>
          <w:color w:val="auto"/>
          <w:sz w:val="21"/>
          <w:szCs w:val="21"/>
          <w:highlight w:val="none"/>
          <w:lang w:val="en-US" w:eastAsia="zh-CN"/>
        </w:rPr>
        <w:t>招标</w:t>
      </w:r>
      <w:r>
        <w:rPr>
          <w:rFonts w:hint="eastAsia"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p>
    <w:p w14:paraId="41FE05B4">
      <w:pPr>
        <w:pStyle w:val="14"/>
        <w:shd w:val="clear" w:color="auto" w:fill="auto"/>
        <w:spacing w:line="240" w:lineRule="atLeast"/>
        <w:ind w:left="1087" w:leftChars="257" w:hanging="54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.如果开标一览表（报价表）内容与投标文件中明细表内容不一致的，以开标一览表（报价表）内容为准。</w:t>
      </w:r>
    </w:p>
    <w:p w14:paraId="4D9B6C45">
      <w:pPr>
        <w:pStyle w:val="14"/>
        <w:shd w:val="clear" w:color="auto" w:fill="auto"/>
        <w:spacing w:line="240" w:lineRule="atLeast"/>
        <w:ind w:firstLine="852"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投标人必须按此表格式中的对应栏目内容填写，若需增加栏目，请在栏目</w:t>
      </w:r>
      <w:r>
        <w:rPr>
          <w:rFonts w:hint="eastAsia" w:ascii="宋体" w:hAnsi="宋体" w:eastAsia="宋体" w:cs="宋体"/>
          <w:color w:val="auto"/>
          <w:sz w:val="21"/>
          <w:szCs w:val="21"/>
          <w:highlight w:val="none"/>
          <w:lang w:val="zh-CN" w:eastAsia="zh-CN"/>
        </w:rPr>
        <w:t>“其</w:t>
      </w:r>
      <w:r>
        <w:rPr>
          <w:rFonts w:hint="eastAsia" w:ascii="宋体" w:hAnsi="宋体" w:eastAsia="宋体" w:cs="宋体"/>
          <w:color w:val="auto"/>
          <w:sz w:val="21"/>
          <w:szCs w:val="21"/>
          <w:highlight w:val="none"/>
        </w:rPr>
        <w:t>它”中填写，并作详细说明。</w:t>
      </w:r>
    </w:p>
    <w:p w14:paraId="0A97977B">
      <w:pPr>
        <w:pStyle w:val="14"/>
        <w:shd w:val="clear" w:color="auto" w:fill="auto"/>
        <w:spacing w:line="240" w:lineRule="atLeast"/>
        <w:ind w:left="1087" w:leftChars="257" w:hanging="54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rPr>
        <w:br w:type="page"/>
      </w:r>
      <w:bookmarkStart w:id="127" w:name="_Toc12170"/>
    </w:p>
    <w:p w14:paraId="5C7838D5">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技术规格偏离表</w:t>
      </w:r>
      <w:bookmarkEnd w:id="123"/>
      <w:bookmarkEnd w:id="124"/>
      <w:bookmarkEnd w:id="125"/>
      <w:bookmarkEnd w:id="126"/>
      <w:bookmarkEnd w:id="127"/>
    </w:p>
    <w:p w14:paraId="116D8CA5">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33F2DB6D">
      <w:pPr>
        <w:pStyle w:val="14"/>
        <w:shd w:val="clear" w:color="auto" w:fill="auto"/>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招标编号:                 </w:t>
      </w:r>
    </w:p>
    <w:p w14:paraId="670BDA33">
      <w:pPr>
        <w:pStyle w:val="14"/>
        <w:shd w:val="clear" w:color="auto" w:fill="auto"/>
        <w:spacing w:line="240" w:lineRule="atLeast"/>
        <w:ind w:left="1087" w:leftChars="257" w:hanging="540"/>
        <w:rPr>
          <w:rFonts w:hint="eastAsia" w:ascii="宋体" w:hAnsi="宋体" w:eastAsia="宋体" w:cs="宋体"/>
          <w:color w:val="auto"/>
          <w:sz w:val="24"/>
          <w:highlight w:val="none"/>
        </w:rPr>
      </w:pPr>
    </w:p>
    <w:tbl>
      <w:tblPr>
        <w:tblStyle w:val="28"/>
        <w:tblW w:w="7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57"/>
        <w:gridCol w:w="1297"/>
        <w:gridCol w:w="1194"/>
        <w:gridCol w:w="2184"/>
        <w:gridCol w:w="669"/>
      </w:tblGrid>
      <w:tr w14:paraId="75BB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noWrap w:val="0"/>
            <w:vAlign w:val="center"/>
          </w:tcPr>
          <w:p w14:paraId="0164A33E">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357" w:type="dxa"/>
            <w:noWrap w:val="0"/>
            <w:vAlign w:val="center"/>
          </w:tcPr>
          <w:p w14:paraId="0E01F4E0">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名称</w:t>
            </w:r>
          </w:p>
        </w:tc>
        <w:tc>
          <w:tcPr>
            <w:tcW w:w="1297" w:type="dxa"/>
            <w:noWrap w:val="0"/>
            <w:vAlign w:val="center"/>
          </w:tcPr>
          <w:p w14:paraId="409FEAA8">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招标规格</w:t>
            </w:r>
          </w:p>
        </w:tc>
        <w:tc>
          <w:tcPr>
            <w:tcW w:w="1194" w:type="dxa"/>
            <w:noWrap w:val="0"/>
            <w:vAlign w:val="center"/>
          </w:tcPr>
          <w:p w14:paraId="690BC9FD">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投标规格</w:t>
            </w:r>
          </w:p>
        </w:tc>
        <w:tc>
          <w:tcPr>
            <w:tcW w:w="2184" w:type="dxa"/>
            <w:noWrap w:val="0"/>
            <w:vAlign w:val="center"/>
          </w:tcPr>
          <w:p w14:paraId="7EF7429B">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w:t>
            </w:r>
          </w:p>
        </w:tc>
        <w:tc>
          <w:tcPr>
            <w:tcW w:w="669" w:type="dxa"/>
            <w:noWrap w:val="0"/>
            <w:vAlign w:val="center"/>
          </w:tcPr>
          <w:p w14:paraId="12702155">
            <w:pPr>
              <w:pStyle w:val="14"/>
              <w:shd w:val="clear" w:color="auto" w:fill="auto"/>
              <w:spacing w:line="24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tc>
      </w:tr>
      <w:tr w14:paraId="2270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91" w:type="dxa"/>
            <w:noWrap w:val="0"/>
            <w:vAlign w:val="top"/>
          </w:tcPr>
          <w:p w14:paraId="4CAFFC1D">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446E6777">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283EA928">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1E0434B0">
            <w:pPr>
              <w:pStyle w:val="14"/>
              <w:shd w:val="clear" w:color="auto" w:fill="auto"/>
              <w:spacing w:line="240" w:lineRule="atLeast"/>
              <w:ind w:left="1087" w:leftChars="257" w:hanging="540"/>
              <w:rPr>
                <w:rFonts w:hint="eastAsia" w:ascii="宋体" w:hAnsi="宋体" w:eastAsia="宋体" w:cs="宋体"/>
                <w:color w:val="auto"/>
                <w:sz w:val="21"/>
                <w:szCs w:val="16"/>
                <w:highlight w:val="none"/>
                <w:lang w:val="en-US" w:eastAsia="zh-CN"/>
              </w:rPr>
            </w:pPr>
          </w:p>
        </w:tc>
        <w:tc>
          <w:tcPr>
            <w:tcW w:w="2184" w:type="dxa"/>
            <w:noWrap w:val="0"/>
            <w:vAlign w:val="center"/>
          </w:tcPr>
          <w:p w14:paraId="3A3C3E8F">
            <w:pPr>
              <w:pStyle w:val="14"/>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rPr>
                <w:rFonts w:hint="default" w:ascii="宋体" w:hAnsi="宋体" w:eastAsia="宋体" w:cs="宋体"/>
                <w:color w:val="auto"/>
                <w:sz w:val="21"/>
                <w:szCs w:val="16"/>
                <w:highlight w:val="none"/>
                <w:lang w:val="en-US" w:eastAsia="zh-CN"/>
              </w:rPr>
            </w:pPr>
            <w:r>
              <w:rPr>
                <w:rFonts w:hint="eastAsia" w:hAnsi="宋体" w:eastAsia="宋体" w:cs="宋体"/>
                <w:b/>
                <w:bCs/>
                <w:color w:val="auto"/>
                <w:sz w:val="21"/>
                <w:szCs w:val="16"/>
                <w:highlight w:val="none"/>
                <w:u w:val="single" w:color="auto"/>
                <w:lang w:val="en-US" w:eastAsia="zh-CN"/>
              </w:rPr>
              <w:t>如有正偏离需提供证明材料，证明材料附后(并注明页码)</w:t>
            </w:r>
          </w:p>
        </w:tc>
        <w:tc>
          <w:tcPr>
            <w:tcW w:w="669" w:type="dxa"/>
            <w:noWrap w:val="0"/>
            <w:vAlign w:val="top"/>
          </w:tcPr>
          <w:p w14:paraId="4C4C5999">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4E30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74CF0A1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7BA09DB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18F9690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21965BA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722A129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440A894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6DF6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19EEAFE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63EB3A6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1D2148D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78EF7EA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090440E7">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303E2AF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5E17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35E646E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6D5D523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07B7F8F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6CA7AC2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2A28259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52251CA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1AA8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37FC544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05140D0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1BF8A11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3E0B49C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749D7E1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19D8B79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6888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5E9E75F9">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5C0C9EC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0E91C6F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28C89DA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6C8D470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0001ABA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2794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420D4BF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24674A0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18722C4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51CC59C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0607081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68BCBD1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5442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60DAB01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51CB0E17">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40587ED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53C7645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17091BBE">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0D92B16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0B7E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noWrap w:val="0"/>
            <w:vAlign w:val="top"/>
          </w:tcPr>
          <w:p w14:paraId="4F815CA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1B19E2F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61228DFD">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7439346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4304BDC8">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390D094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178E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45774858">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76E1773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75A85C5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3BE7248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17622EA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65C0D9A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658B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noWrap w:val="0"/>
            <w:vAlign w:val="top"/>
          </w:tcPr>
          <w:p w14:paraId="2477769D">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46DFE0E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039776F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5E50B16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6CD61397">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1014D75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4C42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1" w:type="dxa"/>
            <w:noWrap w:val="0"/>
            <w:vAlign w:val="top"/>
          </w:tcPr>
          <w:p w14:paraId="61F7B2FE">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718E506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7AAE7499">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7030F79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77E9581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5824BCD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52B9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91" w:type="dxa"/>
            <w:noWrap w:val="0"/>
            <w:vAlign w:val="top"/>
          </w:tcPr>
          <w:p w14:paraId="3CF40F6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357" w:type="dxa"/>
            <w:noWrap w:val="0"/>
            <w:vAlign w:val="top"/>
          </w:tcPr>
          <w:p w14:paraId="1C16309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297" w:type="dxa"/>
            <w:noWrap w:val="0"/>
            <w:vAlign w:val="top"/>
          </w:tcPr>
          <w:p w14:paraId="3DEE61E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194" w:type="dxa"/>
            <w:noWrap w:val="0"/>
            <w:vAlign w:val="top"/>
          </w:tcPr>
          <w:p w14:paraId="060EE2F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184" w:type="dxa"/>
            <w:noWrap w:val="0"/>
            <w:vAlign w:val="top"/>
          </w:tcPr>
          <w:p w14:paraId="609ECDE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669" w:type="dxa"/>
            <w:noWrap w:val="0"/>
            <w:vAlign w:val="top"/>
          </w:tcPr>
          <w:p w14:paraId="7F30352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bl>
    <w:p w14:paraId="019BE4E3">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0A80663F">
      <w:pPr>
        <w:pStyle w:val="14"/>
        <w:shd w:val="clear" w:color="auto" w:fill="auto"/>
        <w:spacing w:line="240" w:lineRule="atLeast"/>
        <w:ind w:left="1087" w:leftChars="257" w:hanging="540"/>
        <w:rPr>
          <w:rFonts w:hint="eastAsia" w:ascii="宋体" w:hAnsi="宋体" w:eastAsia="宋体" w:cs="宋体"/>
          <w:color w:val="auto"/>
          <w:sz w:val="24"/>
          <w:highlight w:val="none"/>
          <w:lang w:eastAsia="zh-CN"/>
        </w:rPr>
      </w:pPr>
    </w:p>
    <w:p w14:paraId="4F8C90C1">
      <w:pPr>
        <w:pStyle w:val="14"/>
        <w:shd w:val="clear" w:color="auto" w:fill="auto"/>
        <w:spacing w:line="240" w:lineRule="atLeast"/>
        <w:ind w:left="1087"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39B889E5">
      <w:pPr>
        <w:pStyle w:val="14"/>
        <w:shd w:val="clear" w:color="auto" w:fill="auto"/>
        <w:tabs>
          <w:tab w:val="left" w:pos="5370"/>
        </w:tabs>
        <w:spacing w:line="240" w:lineRule="atLeast"/>
        <w:ind w:left="1087"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ab/>
      </w:r>
    </w:p>
    <w:p w14:paraId="6D5EB37B">
      <w:pPr>
        <w:pStyle w:val="14"/>
        <w:shd w:val="clear" w:color="auto" w:fill="auto"/>
        <w:tabs>
          <w:tab w:val="left" w:pos="5580"/>
        </w:tabs>
        <w:spacing w:line="240" w:lineRule="atLeast"/>
        <w:ind w:left="1087" w:leftChars="257" w:hanging="540"/>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日期：          年    月      日</w:t>
      </w:r>
      <w:r>
        <w:rPr>
          <w:rFonts w:hint="eastAsia" w:ascii="宋体" w:hAnsi="宋体" w:eastAsia="宋体" w:cs="宋体"/>
          <w:color w:val="auto"/>
          <w:sz w:val="24"/>
          <w:highlight w:val="none"/>
          <w:u w:val="single"/>
        </w:rPr>
        <w:br w:type="page"/>
      </w:r>
      <w:bookmarkStart w:id="128" w:name="_Toc216582818"/>
      <w:bookmarkStart w:id="129" w:name="_Toc515647821"/>
      <w:bookmarkStart w:id="130" w:name="_Toc23"/>
      <w:bookmarkStart w:id="131" w:name="_Toc21391"/>
      <w:bookmarkStart w:id="132" w:name="_Toc1980"/>
    </w:p>
    <w:p w14:paraId="5D09755E">
      <w:pPr>
        <w:pStyle w:val="4"/>
        <w:numPr>
          <w:ilvl w:val="0"/>
          <w:numId w:val="0"/>
        </w:numPr>
        <w:shd w:val="clear" w:color="auto" w:fill="auto"/>
        <w:spacing w:before="0" w:line="240" w:lineRule="atLeast"/>
        <w:jc w:val="center"/>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商务条款偏离表</w:t>
      </w:r>
      <w:bookmarkEnd w:id="128"/>
      <w:r>
        <w:rPr>
          <w:rFonts w:hint="eastAsia" w:ascii="宋体" w:hAnsi="宋体" w:eastAsia="宋体" w:cs="宋体"/>
          <w:b/>
          <w:bCs/>
          <w:color w:val="auto"/>
          <w:sz w:val="24"/>
          <w:highlight w:val="none"/>
        </w:rPr>
        <w:t>（投标文件格式</w:t>
      </w:r>
      <w:r>
        <w:rPr>
          <w:rFonts w:hint="eastAsia" w:ascii="宋体" w:hAnsi="宋体" w:eastAsia="宋体" w:cs="宋体"/>
          <w:b/>
          <w:bCs/>
          <w:color w:val="auto"/>
          <w:sz w:val="24"/>
          <w:highlight w:val="none"/>
          <w:lang w:eastAsia="zh-CN"/>
        </w:rPr>
        <w:t>九</w:t>
      </w:r>
      <w:r>
        <w:rPr>
          <w:rFonts w:hint="eastAsia" w:ascii="宋体" w:hAnsi="宋体" w:eastAsia="宋体" w:cs="宋体"/>
          <w:b/>
          <w:bCs/>
          <w:color w:val="auto"/>
          <w:sz w:val="24"/>
          <w:highlight w:val="none"/>
        </w:rPr>
        <w:t>）</w:t>
      </w:r>
      <w:bookmarkEnd w:id="129"/>
      <w:bookmarkEnd w:id="130"/>
      <w:bookmarkEnd w:id="131"/>
      <w:bookmarkEnd w:id="132"/>
    </w:p>
    <w:p w14:paraId="40AB0414">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771B3149">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4B3390CA">
      <w:pPr>
        <w:pStyle w:val="14"/>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 xml:space="preserve">项目名称:                      招标编号:    </w:t>
      </w:r>
      <w:r>
        <w:rPr>
          <w:rFonts w:hint="eastAsia" w:hAnsi="宋体" w:eastAsia="宋体" w:cs="宋体"/>
          <w:color w:val="auto"/>
          <w:sz w:val="22"/>
          <w:szCs w:val="18"/>
          <w:highlight w:val="none"/>
          <w:lang w:val="en-US" w:eastAsia="zh-CN"/>
        </w:rPr>
        <w:t xml:space="preserve">       </w:t>
      </w:r>
      <w:r>
        <w:rPr>
          <w:rFonts w:hint="eastAsia" w:ascii="宋体" w:hAnsi="宋体" w:eastAsia="宋体" w:cs="宋体"/>
          <w:color w:val="auto"/>
          <w:sz w:val="22"/>
          <w:szCs w:val="18"/>
          <w:highlight w:val="none"/>
        </w:rPr>
        <w:t xml:space="preserve">      包号:</w:t>
      </w:r>
    </w:p>
    <w:p w14:paraId="51C557AE">
      <w:pPr>
        <w:pStyle w:val="14"/>
        <w:shd w:val="clear" w:color="auto" w:fill="auto"/>
        <w:spacing w:line="240" w:lineRule="atLeast"/>
        <w:ind w:left="1087" w:leftChars="257" w:hanging="540"/>
        <w:rPr>
          <w:rFonts w:hint="eastAsia" w:ascii="宋体" w:hAnsi="宋体" w:eastAsia="宋体" w:cs="宋体"/>
          <w:color w:val="auto"/>
          <w:sz w:val="22"/>
          <w:szCs w:val="18"/>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882"/>
        <w:gridCol w:w="2882"/>
        <w:gridCol w:w="1029"/>
      </w:tblGrid>
      <w:tr w14:paraId="6A49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0ABD5852">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序号</w:t>
            </w:r>
          </w:p>
        </w:tc>
        <w:tc>
          <w:tcPr>
            <w:tcW w:w="2882" w:type="dxa"/>
            <w:noWrap w:val="0"/>
            <w:vAlign w:val="top"/>
          </w:tcPr>
          <w:p w14:paraId="7F396ADF">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hAnsi="宋体" w:cs="宋体"/>
                <w:color w:val="auto"/>
                <w:sz w:val="22"/>
                <w:szCs w:val="18"/>
                <w:highlight w:val="none"/>
                <w:lang w:val="en-US" w:eastAsia="zh-CN"/>
              </w:rPr>
              <w:t>招标</w:t>
            </w:r>
            <w:r>
              <w:rPr>
                <w:rFonts w:hint="eastAsia" w:hAnsi="宋体" w:eastAsia="宋体" w:cs="宋体"/>
                <w:color w:val="auto"/>
                <w:sz w:val="22"/>
                <w:szCs w:val="18"/>
                <w:highlight w:val="none"/>
                <w:lang w:val="en-US" w:eastAsia="zh-CN"/>
              </w:rPr>
              <w:t>文件</w:t>
            </w:r>
            <w:r>
              <w:rPr>
                <w:rFonts w:hint="eastAsia" w:ascii="宋体" w:hAnsi="宋体" w:eastAsia="宋体" w:cs="宋体"/>
                <w:color w:val="auto"/>
                <w:sz w:val="22"/>
                <w:szCs w:val="18"/>
                <w:highlight w:val="none"/>
                <w:lang w:val="en-US" w:eastAsia="zh-CN"/>
              </w:rPr>
              <w:t>的商务条款</w:t>
            </w:r>
          </w:p>
        </w:tc>
        <w:tc>
          <w:tcPr>
            <w:tcW w:w="2882" w:type="dxa"/>
            <w:noWrap w:val="0"/>
            <w:vAlign w:val="top"/>
          </w:tcPr>
          <w:p w14:paraId="6835EFD3">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投标文件的商务条款</w:t>
            </w:r>
          </w:p>
        </w:tc>
        <w:tc>
          <w:tcPr>
            <w:tcW w:w="1029" w:type="dxa"/>
            <w:noWrap w:val="0"/>
            <w:vAlign w:val="top"/>
          </w:tcPr>
          <w:p w14:paraId="173A4319">
            <w:pPr>
              <w:pStyle w:val="14"/>
              <w:shd w:val="clear" w:color="auto" w:fill="auto"/>
              <w:spacing w:line="240" w:lineRule="atLeast"/>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说明</w:t>
            </w:r>
          </w:p>
        </w:tc>
      </w:tr>
      <w:tr w14:paraId="304C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0E531755">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1565E02E">
            <w:pPr>
              <w:pStyle w:val="14"/>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2882" w:type="dxa"/>
            <w:noWrap w:val="0"/>
            <w:vAlign w:val="top"/>
          </w:tcPr>
          <w:p w14:paraId="2379ABFB">
            <w:pPr>
              <w:pStyle w:val="14"/>
              <w:shd w:val="clear" w:color="auto" w:fill="auto"/>
              <w:spacing w:line="240" w:lineRule="atLeast"/>
              <w:ind w:left="1087" w:leftChars="257" w:hanging="540"/>
              <w:jc w:val="center"/>
              <w:rPr>
                <w:rFonts w:hint="eastAsia" w:ascii="宋体" w:hAnsi="宋体" w:eastAsia="宋体" w:cs="宋体"/>
                <w:color w:val="auto"/>
                <w:sz w:val="22"/>
                <w:szCs w:val="18"/>
                <w:highlight w:val="none"/>
                <w:lang w:val="en-US" w:eastAsia="zh-CN"/>
              </w:rPr>
            </w:pPr>
          </w:p>
        </w:tc>
        <w:tc>
          <w:tcPr>
            <w:tcW w:w="1029" w:type="dxa"/>
            <w:noWrap w:val="0"/>
            <w:vAlign w:val="top"/>
          </w:tcPr>
          <w:p w14:paraId="729F18D5">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14:paraId="658B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7830BC5A">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11585140">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214BF5BC">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14:paraId="5F1A3D27">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14:paraId="193D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3F74D647">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534D2C1E">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6A3ED85D">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14:paraId="0DF3191D">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14:paraId="6CD6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76B43355">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085B1D21">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2882" w:type="dxa"/>
            <w:noWrap w:val="0"/>
            <w:vAlign w:val="top"/>
          </w:tcPr>
          <w:p w14:paraId="34607318">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c>
          <w:tcPr>
            <w:tcW w:w="1029" w:type="dxa"/>
            <w:noWrap w:val="0"/>
            <w:vAlign w:val="top"/>
          </w:tcPr>
          <w:p w14:paraId="7A185983">
            <w:pPr>
              <w:pStyle w:val="14"/>
              <w:shd w:val="clear" w:color="auto" w:fill="auto"/>
              <w:spacing w:line="240" w:lineRule="atLeast"/>
              <w:ind w:left="1087" w:leftChars="257" w:hanging="540"/>
              <w:rPr>
                <w:rFonts w:hint="eastAsia" w:ascii="宋体" w:hAnsi="宋体" w:eastAsia="宋体" w:cs="宋体"/>
                <w:color w:val="auto"/>
                <w:sz w:val="22"/>
                <w:szCs w:val="18"/>
                <w:highlight w:val="none"/>
                <w:lang w:val="en-US" w:eastAsia="zh-CN"/>
              </w:rPr>
            </w:pPr>
          </w:p>
        </w:tc>
      </w:tr>
      <w:tr w14:paraId="1DA2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6CAE6A2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508AEE0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47265FE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2B3BAF1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4DC4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05D501A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43C0640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7704E30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270B56A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4FC9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7A82397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758182B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192C756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1DC7A1E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7B55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4106D929">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60F80C4D">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03C84211">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604BCD6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1CE9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1A98F05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63244BED">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30AC5C0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5C07884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58B7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797D29EA">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76A2888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3C969668">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0A6F31D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6F3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31528B4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387AB91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042B480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59698F20">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5748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582B274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0910830E">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3AE8A55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6D86314D">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576C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613F3105">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0C991E2F">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2B57C3A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3B85926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7FB0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075D4024">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7AC44D36">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0C2C046B">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0236FB67">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r w14:paraId="04B5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84" w:type="dxa"/>
            <w:noWrap w:val="0"/>
            <w:vAlign w:val="top"/>
          </w:tcPr>
          <w:p w14:paraId="4D1B0A4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6922AFD2">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2882" w:type="dxa"/>
            <w:noWrap w:val="0"/>
            <w:vAlign w:val="top"/>
          </w:tcPr>
          <w:p w14:paraId="12F087B3">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c>
          <w:tcPr>
            <w:tcW w:w="1029" w:type="dxa"/>
            <w:noWrap w:val="0"/>
            <w:vAlign w:val="top"/>
          </w:tcPr>
          <w:p w14:paraId="3B3D19DC">
            <w:pPr>
              <w:pStyle w:val="14"/>
              <w:shd w:val="clear" w:color="auto" w:fill="auto"/>
              <w:spacing w:line="240" w:lineRule="atLeast"/>
              <w:ind w:left="1087" w:leftChars="257" w:hanging="540"/>
              <w:rPr>
                <w:rFonts w:hint="eastAsia" w:ascii="宋体" w:hAnsi="宋体" w:eastAsia="宋体" w:cs="宋体"/>
                <w:color w:val="auto"/>
                <w:sz w:val="24"/>
                <w:highlight w:val="none"/>
                <w:lang w:val="en-US" w:eastAsia="zh-CN"/>
              </w:rPr>
            </w:pPr>
          </w:p>
        </w:tc>
      </w:tr>
    </w:tbl>
    <w:p w14:paraId="70C6C9C1">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06C7F2F2">
      <w:pPr>
        <w:pStyle w:val="14"/>
        <w:shd w:val="clear" w:color="auto" w:fill="auto"/>
        <w:spacing w:line="240" w:lineRule="atLeast"/>
        <w:ind w:left="1087" w:leftChars="257" w:hanging="540"/>
        <w:rPr>
          <w:rFonts w:hint="eastAsia" w:ascii="宋体" w:hAnsi="宋体" w:eastAsia="宋体" w:cs="宋体"/>
          <w:color w:val="auto"/>
          <w:sz w:val="24"/>
          <w:highlight w:val="none"/>
        </w:rPr>
      </w:pPr>
    </w:p>
    <w:p w14:paraId="708EF107">
      <w:pPr>
        <w:pStyle w:val="14"/>
        <w:shd w:val="clear" w:color="auto" w:fill="auto"/>
        <w:spacing w:line="240" w:lineRule="atLeast"/>
        <w:ind w:left="1087" w:leftChars="257" w:hanging="54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法定代表人或其委托代理人签字:</w:t>
      </w:r>
      <w:r>
        <w:rPr>
          <w:rFonts w:hint="eastAsia" w:ascii="宋体" w:hAnsi="宋体" w:eastAsia="宋体" w:cs="宋体"/>
          <w:color w:val="auto"/>
          <w:sz w:val="22"/>
          <w:szCs w:val="18"/>
          <w:highlight w:val="none"/>
          <w:u w:val="single"/>
        </w:rPr>
        <w:t xml:space="preserve"> </w:t>
      </w:r>
      <w:r>
        <w:rPr>
          <w:rFonts w:hint="eastAsia" w:ascii="宋体" w:hAnsi="宋体" w:eastAsia="宋体" w:cs="宋体"/>
          <w:color w:val="auto"/>
          <w:sz w:val="22"/>
          <w:szCs w:val="18"/>
          <w:highlight w:val="none"/>
          <w:u w:val="single"/>
        </w:rPr>
        <w:tab/>
      </w:r>
      <w:r>
        <w:rPr>
          <w:rFonts w:hint="eastAsia" w:ascii="宋体" w:hAnsi="宋体" w:eastAsia="宋体" w:cs="宋体"/>
          <w:color w:val="auto"/>
          <w:sz w:val="22"/>
          <w:szCs w:val="18"/>
          <w:highlight w:val="none"/>
          <w:u w:val="single"/>
        </w:rPr>
        <w:t xml:space="preserve">                 </w:t>
      </w:r>
    </w:p>
    <w:p w14:paraId="63F73364">
      <w:pPr>
        <w:pStyle w:val="14"/>
        <w:shd w:val="clear" w:color="auto" w:fill="auto"/>
        <w:tabs>
          <w:tab w:val="left" w:pos="5370"/>
        </w:tabs>
        <w:spacing w:line="240" w:lineRule="atLeast"/>
        <w:ind w:left="1087" w:leftChars="257" w:hanging="540"/>
        <w:rPr>
          <w:rFonts w:hint="eastAsia" w:ascii="宋体" w:hAnsi="宋体" w:eastAsia="宋体" w:cs="宋体"/>
          <w:color w:val="auto"/>
          <w:sz w:val="22"/>
          <w:szCs w:val="18"/>
          <w:highlight w:val="none"/>
          <w:u w:val="single"/>
        </w:rPr>
      </w:pPr>
      <w:r>
        <w:rPr>
          <w:rFonts w:hint="eastAsia" w:ascii="宋体" w:hAnsi="宋体" w:eastAsia="宋体" w:cs="宋体"/>
          <w:color w:val="auto"/>
          <w:sz w:val="22"/>
          <w:szCs w:val="18"/>
          <w:highlight w:val="none"/>
        </w:rPr>
        <w:t>投标人(盖单位章):</w:t>
      </w:r>
      <w:r>
        <w:rPr>
          <w:rFonts w:hint="eastAsia" w:ascii="宋体" w:hAnsi="宋体" w:eastAsia="宋体" w:cs="宋体"/>
          <w:color w:val="auto"/>
          <w:sz w:val="22"/>
          <w:szCs w:val="18"/>
          <w:highlight w:val="none"/>
          <w:u w:val="single"/>
        </w:rPr>
        <w:tab/>
      </w:r>
    </w:p>
    <w:p w14:paraId="40DE71CA">
      <w:pPr>
        <w:shd w:val="clear" w:color="auto" w:fill="auto"/>
        <w:spacing w:line="500" w:lineRule="exact"/>
        <w:ind w:firstLine="426" w:firstLineChars="200"/>
        <w:rPr>
          <w:rFonts w:hint="eastAsia"/>
          <w:highlight w:val="none"/>
        </w:rPr>
      </w:pPr>
      <w:r>
        <w:rPr>
          <w:rFonts w:hint="eastAsia" w:ascii="宋体" w:hAnsi="宋体" w:eastAsia="宋体" w:cs="宋体"/>
          <w:color w:val="auto"/>
          <w:szCs w:val="21"/>
          <w:highlight w:val="none"/>
        </w:rPr>
        <w:t>签署日期：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C482738">
      <w:pPr>
        <w:pStyle w:val="79"/>
        <w:keepNext w:val="0"/>
        <w:keepLines w:val="0"/>
        <w:widowControl w:val="0"/>
        <w:shd w:val="clear" w:color="auto" w:fill="auto"/>
        <w:bidi w:val="0"/>
        <w:spacing w:before="0" w:after="0" w:line="240" w:lineRule="auto"/>
        <w:ind w:left="0" w:right="0" w:firstLine="42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33" w:name="_Toc21312"/>
      <w:bookmarkStart w:id="134" w:name="_Toc10725"/>
      <w:bookmarkStart w:id="135" w:name="_Toc2963"/>
      <w:bookmarkStart w:id="136" w:name="_Toc515647823"/>
      <w:bookmarkStart w:id="137" w:name="_Toc515647827"/>
      <w:bookmarkStart w:id="138" w:name="_Toc28099"/>
      <w:bookmarkStart w:id="139" w:name="_Toc30795"/>
    </w:p>
    <w:p w14:paraId="1C5CEED9">
      <w:pPr>
        <w:pStyle w:val="79"/>
        <w:keepNext w:val="0"/>
        <w:keepLines w:val="0"/>
        <w:widowControl w:val="0"/>
        <w:shd w:val="clear" w:color="auto" w:fill="auto"/>
        <w:bidi w:val="0"/>
        <w:spacing w:before="0" w:after="0" w:line="240" w:lineRule="auto"/>
        <w:ind w:left="0" w:right="0" w:firstLine="420"/>
        <w:jc w:val="center"/>
        <w:outlineLvl w:val="2"/>
        <w:rPr>
          <w:rFonts w:hint="eastAsia" w:ascii="仿宋" w:hAnsi="仿宋" w:eastAsia="仿宋" w:cs="仿宋"/>
          <w:b/>
          <w:bCs/>
          <w:color w:val="auto"/>
          <w:spacing w:val="0"/>
          <w:w w:val="100"/>
          <w:position w:val="0"/>
          <w:sz w:val="36"/>
          <w:szCs w:val="36"/>
          <w:highlight w:val="none"/>
          <w:lang w:val="en-US" w:eastAsia="zh-CN"/>
        </w:rPr>
      </w:pPr>
      <w:r>
        <w:rPr>
          <w:rFonts w:hint="eastAsia" w:ascii="宋体" w:hAnsi="宋体" w:eastAsia="宋体" w:cs="宋体"/>
          <w:b/>
          <w:bCs/>
          <w:color w:val="auto"/>
          <w:spacing w:val="0"/>
          <w:w w:val="100"/>
          <w:position w:val="0"/>
          <w:sz w:val="24"/>
          <w:szCs w:val="24"/>
          <w:highlight w:val="none"/>
          <w:lang w:val="en-US" w:eastAsia="zh-CN"/>
        </w:rPr>
        <w:t>6、投标人基本情况表</w:t>
      </w:r>
    </w:p>
    <w:p w14:paraId="552E273F">
      <w:pPr>
        <w:pStyle w:val="10"/>
        <w:numPr>
          <w:ilvl w:val="0"/>
          <w:numId w:val="0"/>
        </w:numPr>
        <w:kinsoku w:val="0"/>
        <w:overflowPunct w:val="0"/>
        <w:spacing w:before="5"/>
        <w:ind w:leftChars="0" w:right="0" w:rightChars="0"/>
        <w:rPr>
          <w:rFonts w:hint="eastAsia" w:ascii="仿宋" w:hAnsi="仿宋" w:eastAsia="仿宋" w:cs="仿宋"/>
          <w:b/>
          <w:bCs/>
          <w:color w:val="auto"/>
          <w:sz w:val="6"/>
          <w:szCs w:val="6"/>
          <w:highlight w:val="none"/>
        </w:rPr>
      </w:pPr>
    </w:p>
    <w:tbl>
      <w:tblPr>
        <w:tblStyle w:val="28"/>
        <w:tblW w:w="8639" w:type="dxa"/>
        <w:jc w:val="center"/>
        <w:tblLayout w:type="fixed"/>
        <w:tblCellMar>
          <w:top w:w="0" w:type="dxa"/>
          <w:left w:w="0" w:type="dxa"/>
          <w:bottom w:w="0" w:type="dxa"/>
          <w:right w:w="0" w:type="dxa"/>
        </w:tblCellMar>
      </w:tblPr>
      <w:tblGrid>
        <w:gridCol w:w="1231"/>
        <w:gridCol w:w="1432"/>
        <w:gridCol w:w="842"/>
        <w:gridCol w:w="488"/>
        <w:gridCol w:w="1331"/>
        <w:gridCol w:w="455"/>
        <w:gridCol w:w="910"/>
        <w:gridCol w:w="1950"/>
      </w:tblGrid>
      <w:tr w14:paraId="4774EBA0">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1F6D68D8">
            <w:pPr>
              <w:pStyle w:val="54"/>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17F2F33D">
            <w:pPr>
              <w:rPr>
                <w:rFonts w:hint="eastAsia" w:ascii="宋体" w:hAnsi="宋体" w:eastAsia="宋体" w:cs="宋体"/>
                <w:color w:val="auto"/>
                <w:sz w:val="21"/>
                <w:szCs w:val="21"/>
                <w:highlight w:val="none"/>
              </w:rPr>
            </w:pPr>
          </w:p>
        </w:tc>
      </w:tr>
      <w:tr w14:paraId="54B16094">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115D1F8F">
            <w:pPr>
              <w:pStyle w:val="54"/>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4FF6EC53">
            <w:pPr>
              <w:rPr>
                <w:rFonts w:hint="eastAsia" w:ascii="宋体" w:hAnsi="宋体" w:eastAsia="宋体" w:cs="宋体"/>
                <w:color w:val="auto"/>
                <w:sz w:val="21"/>
                <w:szCs w:val="21"/>
                <w:highlight w:val="none"/>
              </w:rPr>
            </w:pPr>
          </w:p>
        </w:tc>
      </w:tr>
      <w:tr w14:paraId="36DDC230">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24D3C9A7">
            <w:pPr>
              <w:pStyle w:val="54"/>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主管部门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31ED3989">
            <w:pPr>
              <w:rPr>
                <w:rFonts w:hint="eastAsia" w:ascii="宋体" w:hAnsi="宋体" w:eastAsia="宋体" w:cs="宋体"/>
                <w:color w:val="auto"/>
                <w:sz w:val="21"/>
                <w:szCs w:val="21"/>
                <w:highlight w:val="none"/>
              </w:rPr>
            </w:pPr>
          </w:p>
        </w:tc>
      </w:tr>
      <w:tr w14:paraId="02DD7550">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557012C5">
            <w:pPr>
              <w:pStyle w:val="54"/>
              <w:kinsoku w:val="0"/>
              <w:overflowPunct w:val="0"/>
              <w:spacing w:before="145"/>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274" w:type="dxa"/>
            <w:gridSpan w:val="2"/>
            <w:tcBorders>
              <w:top w:val="single" w:color="000000" w:sz="4" w:space="0"/>
              <w:left w:val="single" w:color="000000" w:sz="4" w:space="0"/>
              <w:bottom w:val="single" w:color="000000" w:sz="4" w:space="0"/>
              <w:right w:val="single" w:color="000000" w:sz="4" w:space="0"/>
            </w:tcBorders>
            <w:noWrap w:val="0"/>
            <w:vAlign w:val="top"/>
          </w:tcPr>
          <w:p w14:paraId="6C4A91A3">
            <w:pPr>
              <w:rPr>
                <w:rFonts w:hint="eastAsia" w:ascii="宋体" w:hAnsi="宋体" w:eastAsia="宋体" w:cs="宋体"/>
                <w:color w:val="auto"/>
                <w:sz w:val="21"/>
                <w:szCs w:val="21"/>
                <w:highlight w:val="none"/>
              </w:rPr>
            </w:pPr>
          </w:p>
        </w:tc>
        <w:tc>
          <w:tcPr>
            <w:tcW w:w="2274" w:type="dxa"/>
            <w:gridSpan w:val="3"/>
            <w:tcBorders>
              <w:top w:val="single" w:color="000000" w:sz="4" w:space="0"/>
              <w:left w:val="single" w:color="000000" w:sz="4" w:space="0"/>
              <w:bottom w:val="single" w:color="000000" w:sz="4" w:space="0"/>
              <w:right w:val="single" w:color="000000" w:sz="4" w:space="0"/>
            </w:tcBorders>
            <w:noWrap w:val="0"/>
            <w:vAlign w:val="top"/>
          </w:tcPr>
          <w:p w14:paraId="484ADF02">
            <w:pPr>
              <w:pStyle w:val="54"/>
              <w:kinsoku w:val="0"/>
              <w:overflowPunct w:val="0"/>
              <w:spacing w:before="145"/>
              <w:ind w:left="18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注册资金（万元）</w:t>
            </w:r>
          </w:p>
        </w:tc>
        <w:tc>
          <w:tcPr>
            <w:tcW w:w="2860" w:type="dxa"/>
            <w:gridSpan w:val="2"/>
            <w:tcBorders>
              <w:top w:val="single" w:color="000000" w:sz="4" w:space="0"/>
              <w:left w:val="single" w:color="000000" w:sz="4" w:space="0"/>
              <w:bottom w:val="single" w:color="000000" w:sz="4" w:space="0"/>
              <w:right w:val="single" w:color="000000" w:sz="4" w:space="0"/>
            </w:tcBorders>
            <w:noWrap w:val="0"/>
            <w:vAlign w:val="top"/>
          </w:tcPr>
          <w:p w14:paraId="16A2FB1A">
            <w:pPr>
              <w:rPr>
                <w:rFonts w:hint="eastAsia" w:ascii="宋体" w:hAnsi="宋体" w:eastAsia="宋体" w:cs="宋体"/>
                <w:color w:val="auto"/>
                <w:sz w:val="21"/>
                <w:szCs w:val="21"/>
                <w:highlight w:val="none"/>
              </w:rPr>
            </w:pPr>
          </w:p>
        </w:tc>
      </w:tr>
      <w:tr w14:paraId="4DDD8E32">
        <w:tblPrEx>
          <w:tblCellMar>
            <w:top w:w="0" w:type="dxa"/>
            <w:left w:w="0" w:type="dxa"/>
            <w:bottom w:w="0" w:type="dxa"/>
            <w:right w:w="0" w:type="dxa"/>
          </w:tblCellMar>
        </w:tblPrEx>
        <w:trPr>
          <w:trHeight w:val="852"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19FD3A98">
            <w:pPr>
              <w:pStyle w:val="54"/>
              <w:kinsoku w:val="0"/>
              <w:overflowPunct w:val="0"/>
              <w:spacing w:before="146"/>
              <w:ind w:left="1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单位性质</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2075F8F8">
            <w:pPr>
              <w:rPr>
                <w:rFonts w:hint="eastAsia" w:ascii="宋体" w:hAnsi="宋体" w:eastAsia="宋体" w:cs="宋体"/>
                <w:color w:val="auto"/>
                <w:sz w:val="21"/>
                <w:szCs w:val="21"/>
                <w:highlight w:val="none"/>
              </w:rPr>
            </w:pPr>
          </w:p>
        </w:tc>
      </w:tr>
      <w:tr w14:paraId="46B057D3">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6DEC101C">
            <w:pPr>
              <w:pStyle w:val="54"/>
              <w:kinsoku w:val="0"/>
              <w:overflowPunct w:val="0"/>
              <w:spacing w:before="141" w:line="312" w:lineRule="exact"/>
              <w:ind w:left="257" w:right="133" w:hanging="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投标期间 联系人</w:t>
            </w:r>
          </w:p>
        </w:tc>
        <w:tc>
          <w:tcPr>
            <w:tcW w:w="1432" w:type="dxa"/>
            <w:tcBorders>
              <w:top w:val="single" w:color="000000" w:sz="4" w:space="0"/>
              <w:left w:val="single" w:color="000000" w:sz="4" w:space="0"/>
              <w:bottom w:val="single" w:color="000000" w:sz="4" w:space="0"/>
              <w:right w:val="single" w:color="000000" w:sz="4" w:space="0"/>
            </w:tcBorders>
            <w:noWrap w:val="0"/>
            <w:vAlign w:val="top"/>
          </w:tcPr>
          <w:p w14:paraId="43A46323">
            <w:pPr>
              <w:rPr>
                <w:rFonts w:hint="eastAsia" w:ascii="宋体" w:hAnsi="宋体" w:eastAsia="宋体" w:cs="宋体"/>
                <w:color w:val="auto"/>
                <w:sz w:val="21"/>
                <w:szCs w:val="21"/>
                <w:highlight w:val="none"/>
              </w:rPr>
            </w:pPr>
          </w:p>
        </w:tc>
        <w:tc>
          <w:tcPr>
            <w:tcW w:w="1330" w:type="dxa"/>
            <w:gridSpan w:val="2"/>
            <w:tcBorders>
              <w:top w:val="single" w:color="000000" w:sz="4" w:space="0"/>
              <w:left w:val="single" w:color="000000" w:sz="4" w:space="0"/>
              <w:bottom w:val="single" w:color="000000" w:sz="4" w:space="0"/>
              <w:right w:val="single" w:color="000000" w:sz="4" w:space="0"/>
            </w:tcBorders>
            <w:noWrap w:val="0"/>
            <w:vAlign w:val="top"/>
          </w:tcPr>
          <w:p w14:paraId="594A45E8">
            <w:pPr>
              <w:pStyle w:val="54"/>
              <w:kinsoku w:val="0"/>
              <w:overflowPunct w:val="0"/>
              <w:spacing w:before="4"/>
              <w:rPr>
                <w:rFonts w:hint="eastAsia" w:ascii="宋体" w:hAnsi="宋体" w:eastAsia="宋体" w:cs="宋体"/>
                <w:b/>
                <w:bCs/>
                <w:color w:val="auto"/>
                <w:sz w:val="21"/>
                <w:szCs w:val="21"/>
                <w:highlight w:val="none"/>
              </w:rPr>
            </w:pPr>
          </w:p>
          <w:p w14:paraId="359071F9">
            <w:pPr>
              <w:pStyle w:val="54"/>
              <w:kinsoku w:val="0"/>
              <w:overflowPunct w:val="0"/>
              <w:ind w:left="36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tc>
        <w:tc>
          <w:tcPr>
            <w:tcW w:w="1331" w:type="dxa"/>
            <w:tcBorders>
              <w:top w:val="single" w:color="000000" w:sz="4" w:space="0"/>
              <w:left w:val="single" w:color="000000" w:sz="4" w:space="0"/>
              <w:bottom w:val="single" w:color="000000" w:sz="4" w:space="0"/>
              <w:right w:val="single" w:color="000000" w:sz="4" w:space="0"/>
            </w:tcBorders>
            <w:noWrap w:val="0"/>
            <w:vAlign w:val="top"/>
          </w:tcPr>
          <w:p w14:paraId="2A149496">
            <w:pPr>
              <w:rPr>
                <w:rFonts w:hint="eastAsia" w:ascii="宋体" w:hAnsi="宋体" w:eastAsia="宋体" w:cs="宋体"/>
                <w:color w:val="auto"/>
                <w:sz w:val="21"/>
                <w:szCs w:val="21"/>
                <w:highlight w:val="none"/>
              </w:rPr>
            </w:pPr>
          </w:p>
        </w:tc>
        <w:tc>
          <w:tcPr>
            <w:tcW w:w="1365" w:type="dxa"/>
            <w:gridSpan w:val="2"/>
            <w:tcBorders>
              <w:top w:val="single" w:color="000000" w:sz="4" w:space="0"/>
              <w:left w:val="single" w:color="000000" w:sz="4" w:space="0"/>
              <w:bottom w:val="single" w:color="000000" w:sz="4" w:space="0"/>
              <w:right w:val="single" w:color="000000" w:sz="4" w:space="0"/>
            </w:tcBorders>
            <w:noWrap w:val="0"/>
            <w:vAlign w:val="top"/>
          </w:tcPr>
          <w:p w14:paraId="365499B5">
            <w:pPr>
              <w:pStyle w:val="54"/>
              <w:kinsoku w:val="0"/>
              <w:overflowPunct w:val="0"/>
              <w:spacing w:before="4"/>
              <w:rPr>
                <w:rFonts w:hint="eastAsia" w:ascii="宋体" w:hAnsi="宋体" w:eastAsia="宋体" w:cs="宋体"/>
                <w:b/>
                <w:bCs/>
                <w:color w:val="auto"/>
                <w:sz w:val="21"/>
                <w:szCs w:val="21"/>
                <w:highlight w:val="none"/>
              </w:rPr>
            </w:pPr>
          </w:p>
          <w:p w14:paraId="0517F0B1">
            <w:pPr>
              <w:pStyle w:val="54"/>
              <w:kinsoku w:val="0"/>
              <w:overflowPunct w:val="0"/>
              <w:ind w:left="38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74F28718">
            <w:pPr>
              <w:rPr>
                <w:rFonts w:hint="eastAsia" w:ascii="宋体" w:hAnsi="宋体" w:eastAsia="宋体" w:cs="宋体"/>
                <w:color w:val="auto"/>
                <w:sz w:val="21"/>
                <w:szCs w:val="21"/>
                <w:highlight w:val="none"/>
              </w:rPr>
            </w:pPr>
          </w:p>
        </w:tc>
      </w:tr>
      <w:tr w14:paraId="784C8C23">
        <w:tblPrEx>
          <w:tblCellMar>
            <w:top w:w="0" w:type="dxa"/>
            <w:left w:w="0" w:type="dxa"/>
            <w:bottom w:w="0" w:type="dxa"/>
            <w:right w:w="0" w:type="dxa"/>
          </w:tblCellMar>
        </w:tblPrEx>
        <w:trPr>
          <w:trHeight w:val="1150"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1C699595">
            <w:pPr>
              <w:pStyle w:val="54"/>
              <w:kinsoku w:val="0"/>
              <w:overflowPunct w:val="0"/>
              <w:spacing w:before="141" w:line="312" w:lineRule="exact"/>
              <w:ind w:left="257" w:right="133" w:hanging="1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职工总数</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35EC5DB7">
            <w:pPr>
              <w:pStyle w:val="54"/>
              <w:kinsoku w:val="0"/>
              <w:overflowPunct w:val="0"/>
              <w:spacing w:before="144"/>
              <w:rPr>
                <w:rFonts w:hint="eastAsia" w:ascii="宋体" w:hAnsi="宋体" w:eastAsia="宋体" w:cs="宋体"/>
                <w:color w:val="auto"/>
                <w:sz w:val="21"/>
                <w:szCs w:val="21"/>
                <w:highlight w:val="none"/>
              </w:rPr>
            </w:pPr>
          </w:p>
        </w:tc>
      </w:tr>
      <w:tr w14:paraId="7BA5DD2F">
        <w:tblPrEx>
          <w:tblCellMar>
            <w:top w:w="0" w:type="dxa"/>
            <w:left w:w="0" w:type="dxa"/>
            <w:bottom w:w="0" w:type="dxa"/>
            <w:right w:w="0" w:type="dxa"/>
          </w:tblCellMar>
        </w:tblPrEx>
        <w:trPr>
          <w:trHeight w:val="2009" w:hRule="exact"/>
          <w:jc w:val="center"/>
        </w:trPr>
        <w:tc>
          <w:tcPr>
            <w:tcW w:w="1231" w:type="dxa"/>
            <w:tcBorders>
              <w:top w:val="single" w:color="000000" w:sz="4" w:space="0"/>
              <w:left w:val="single" w:color="000000" w:sz="4" w:space="0"/>
              <w:bottom w:val="single" w:color="000000" w:sz="4" w:space="0"/>
              <w:right w:val="single" w:color="000000" w:sz="4" w:space="0"/>
            </w:tcBorders>
            <w:noWrap w:val="0"/>
            <w:vAlign w:val="top"/>
          </w:tcPr>
          <w:p w14:paraId="0EB9911D">
            <w:pPr>
              <w:pStyle w:val="54"/>
              <w:kinsoku w:val="0"/>
              <w:overflowPunct w:val="0"/>
              <w:spacing w:line="237" w:lineRule="auto"/>
              <w:ind w:left="497" w:right="49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位 概 况</w:t>
            </w:r>
          </w:p>
        </w:tc>
        <w:tc>
          <w:tcPr>
            <w:tcW w:w="7408" w:type="dxa"/>
            <w:gridSpan w:val="7"/>
            <w:tcBorders>
              <w:top w:val="single" w:color="000000" w:sz="4" w:space="0"/>
              <w:left w:val="single" w:color="000000" w:sz="4" w:space="0"/>
              <w:bottom w:val="single" w:color="000000" w:sz="4" w:space="0"/>
              <w:right w:val="single" w:color="000000" w:sz="4" w:space="0"/>
            </w:tcBorders>
            <w:noWrap w:val="0"/>
            <w:vAlign w:val="top"/>
          </w:tcPr>
          <w:p w14:paraId="5AE1F32D">
            <w:pPr>
              <w:rPr>
                <w:rFonts w:hint="eastAsia" w:ascii="宋体" w:hAnsi="宋体" w:eastAsia="宋体" w:cs="宋体"/>
                <w:color w:val="auto"/>
                <w:sz w:val="21"/>
                <w:szCs w:val="21"/>
                <w:highlight w:val="none"/>
              </w:rPr>
            </w:pPr>
          </w:p>
        </w:tc>
      </w:tr>
    </w:tbl>
    <w:p w14:paraId="1CDCBE3C">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1FB53058">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5DA3B372">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16B95C49">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6E5349E3">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6E77D3B9">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4AAC81A4">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color w:val="auto"/>
          <w:sz w:val="24"/>
          <w:szCs w:val="24"/>
          <w:highlight w:val="none"/>
          <w:lang w:val="en-US" w:eastAsia="zh-CN"/>
        </w:rPr>
      </w:pPr>
    </w:p>
    <w:p w14:paraId="4726617F">
      <w:pPr>
        <w:pStyle w:val="80"/>
        <w:keepNext w:val="0"/>
        <w:keepLines w:val="0"/>
        <w:pageBreakBefore w:val="0"/>
        <w:widowControl w:val="0"/>
        <w:numPr>
          <w:ilvl w:val="0"/>
          <w:numId w:val="0"/>
        </w:numPr>
        <w:shd w:val="clear" w:color="auto" w:fill="auto"/>
        <w:wordWrap/>
        <w:topLinePunct w:val="0"/>
        <w:autoSpaceDE/>
        <w:autoSpaceDN/>
        <w:bidi w:val="0"/>
        <w:adjustRightInd/>
        <w:snapToGrid/>
        <w:spacing w:before="0" w:after="0" w:line="440" w:lineRule="exact"/>
        <w:ind w:leftChars="0" w:right="0" w:rightChars="0"/>
        <w:jc w:val="both"/>
        <w:textAlignment w:val="auto"/>
        <w:rPr>
          <w:rFonts w:hint="eastAsia" w:ascii="仿宋" w:hAnsi="仿宋" w:eastAsia="仿宋" w:cs="仿宋"/>
          <w:b/>
          <w:color w:val="auto"/>
          <w:sz w:val="30"/>
          <w:szCs w:val="30"/>
          <w:highlight w:val="none"/>
        </w:rPr>
      </w:pPr>
    </w:p>
    <w:p w14:paraId="06BFB944">
      <w:pPr>
        <w:pStyle w:val="10"/>
        <w:numPr>
          <w:ilvl w:val="0"/>
          <w:numId w:val="0"/>
        </w:numPr>
        <w:kinsoku w:val="0"/>
        <w:overflowPunct w:val="0"/>
        <w:spacing w:before="34" w:line="357" w:lineRule="auto"/>
        <w:ind w:left="480" w:leftChars="0" w:right="126" w:rightChars="0"/>
        <w:jc w:val="center"/>
        <w:rPr>
          <w:rFonts w:hint="eastAsia" w:ascii="宋体" w:hAnsi="宋体" w:eastAsia="宋体" w:cs="宋体"/>
          <w:b w:val="0"/>
          <w:bCs/>
          <w:color w:val="auto"/>
          <w:kern w:val="0"/>
          <w:sz w:val="24"/>
          <w:szCs w:val="24"/>
          <w:highlight w:val="none"/>
          <w:lang w:val="en-US" w:eastAsia="zh-CN"/>
        </w:rPr>
      </w:pPr>
    </w:p>
    <w:p w14:paraId="4EE6C2EB">
      <w:pPr>
        <w:pStyle w:val="10"/>
        <w:numPr>
          <w:ilvl w:val="0"/>
          <w:numId w:val="0"/>
        </w:numPr>
        <w:kinsoku w:val="0"/>
        <w:overflowPunct w:val="0"/>
        <w:spacing w:before="34" w:line="357" w:lineRule="auto"/>
        <w:ind w:left="480" w:leftChars="0" w:right="126" w:rightChars="0"/>
        <w:jc w:val="center"/>
        <w:outlineLvl w:val="2"/>
        <w:rPr>
          <w:rFonts w:hint="eastAsia" w:ascii="宋体" w:hAnsi="宋体" w:eastAsia="宋体" w:cs="宋体"/>
          <w:b/>
          <w:bCs/>
          <w:color w:val="auto"/>
          <w:w w:val="90"/>
          <w:sz w:val="24"/>
          <w:szCs w:val="24"/>
          <w:highlight w:val="none"/>
          <w:lang w:eastAsia="zh-CN"/>
        </w:rPr>
      </w:pPr>
      <w:r>
        <w:rPr>
          <w:rFonts w:hint="eastAsia" w:ascii="宋体" w:hAnsi="宋体" w:eastAsia="宋体" w:cs="宋体"/>
          <w:b w:val="0"/>
          <w:bCs/>
          <w:color w:val="auto"/>
          <w:kern w:val="0"/>
          <w:sz w:val="24"/>
          <w:szCs w:val="24"/>
          <w:highlight w:val="none"/>
          <w:lang w:val="en-US" w:eastAsia="zh-CN"/>
        </w:rPr>
        <w:t>7、</w:t>
      </w:r>
      <w:r>
        <w:rPr>
          <w:rFonts w:hint="eastAsia" w:ascii="宋体" w:hAnsi="宋体" w:cs="宋体"/>
          <w:b/>
          <w:bCs/>
          <w:color w:val="auto"/>
          <w:w w:val="90"/>
          <w:sz w:val="24"/>
          <w:szCs w:val="24"/>
          <w:highlight w:val="none"/>
          <w:lang w:eastAsia="zh-CN"/>
        </w:rPr>
        <w:t>近三年（2023年至今）类似项目业绩表</w:t>
      </w:r>
    </w:p>
    <w:p w14:paraId="0C1174DD">
      <w:pPr>
        <w:pStyle w:val="10"/>
        <w:numPr>
          <w:ilvl w:val="0"/>
          <w:numId w:val="0"/>
        </w:numPr>
        <w:kinsoku w:val="0"/>
        <w:overflowPunct w:val="0"/>
        <w:ind w:leftChars="0" w:right="0" w:rightChars="0"/>
        <w:rPr>
          <w:rFonts w:hint="eastAsia" w:ascii="仿宋" w:hAnsi="仿宋" w:eastAsia="仿宋" w:cs="仿宋"/>
          <w:b/>
          <w:bCs/>
          <w:color w:val="auto"/>
          <w:sz w:val="20"/>
          <w:szCs w:val="20"/>
          <w:highlight w:val="none"/>
        </w:rPr>
      </w:pPr>
    </w:p>
    <w:tbl>
      <w:tblPr>
        <w:tblStyle w:val="28"/>
        <w:tblW w:w="9115" w:type="dxa"/>
        <w:jc w:val="center"/>
        <w:tblLayout w:type="fixed"/>
        <w:tblCellMar>
          <w:top w:w="0" w:type="dxa"/>
          <w:left w:w="10" w:type="dxa"/>
          <w:bottom w:w="0" w:type="dxa"/>
          <w:right w:w="10" w:type="dxa"/>
        </w:tblCellMar>
      </w:tblPr>
      <w:tblGrid>
        <w:gridCol w:w="1919"/>
        <w:gridCol w:w="7196"/>
      </w:tblGrid>
      <w:tr w14:paraId="6ED7A031">
        <w:tblPrEx>
          <w:tblCellMar>
            <w:top w:w="0" w:type="dxa"/>
            <w:left w:w="10" w:type="dxa"/>
            <w:bottom w:w="0" w:type="dxa"/>
            <w:right w:w="10" w:type="dxa"/>
          </w:tblCellMar>
        </w:tblPrEx>
        <w:trPr>
          <w:trHeight w:val="511" w:hRule="exact"/>
          <w:jc w:val="center"/>
        </w:trPr>
        <w:tc>
          <w:tcPr>
            <w:tcW w:w="1919" w:type="dxa"/>
            <w:tcBorders>
              <w:top w:val="single" w:color="auto" w:sz="4" w:space="0"/>
              <w:left w:val="single" w:color="auto" w:sz="4" w:space="0"/>
            </w:tcBorders>
            <w:noWrap w:val="0"/>
            <w:vAlign w:val="center"/>
          </w:tcPr>
          <w:p w14:paraId="33BCD06F">
            <w:pPr>
              <w:pStyle w:val="8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项目名称</w:t>
            </w:r>
          </w:p>
        </w:tc>
        <w:tc>
          <w:tcPr>
            <w:tcW w:w="7196" w:type="dxa"/>
            <w:tcBorders>
              <w:top w:val="single" w:color="auto" w:sz="4" w:space="0"/>
              <w:left w:val="single" w:color="auto" w:sz="4" w:space="0"/>
              <w:right w:val="single" w:color="auto" w:sz="4" w:space="0"/>
            </w:tcBorders>
            <w:noWrap w:val="0"/>
            <w:vAlign w:val="top"/>
          </w:tcPr>
          <w:p w14:paraId="3905CD7D">
            <w:pPr>
              <w:widowControl w:val="0"/>
              <w:rPr>
                <w:rFonts w:hint="eastAsia" w:ascii="宋体" w:hAnsi="宋体" w:eastAsia="宋体" w:cs="宋体"/>
                <w:color w:val="auto"/>
                <w:sz w:val="21"/>
                <w:szCs w:val="21"/>
                <w:highlight w:val="none"/>
              </w:rPr>
            </w:pPr>
          </w:p>
        </w:tc>
      </w:tr>
      <w:tr w14:paraId="6519C905">
        <w:tblPrEx>
          <w:tblCellMar>
            <w:top w:w="0" w:type="dxa"/>
            <w:left w:w="10" w:type="dxa"/>
            <w:bottom w:w="0" w:type="dxa"/>
            <w:right w:w="10" w:type="dxa"/>
          </w:tblCellMar>
        </w:tblPrEx>
        <w:trPr>
          <w:trHeight w:val="518" w:hRule="exact"/>
          <w:jc w:val="center"/>
        </w:trPr>
        <w:tc>
          <w:tcPr>
            <w:tcW w:w="1919" w:type="dxa"/>
            <w:tcBorders>
              <w:top w:val="single" w:color="auto" w:sz="4" w:space="0"/>
              <w:left w:val="single" w:color="auto" w:sz="4" w:space="0"/>
            </w:tcBorders>
            <w:noWrap w:val="0"/>
            <w:vAlign w:val="center"/>
          </w:tcPr>
          <w:p w14:paraId="05B98806">
            <w:pPr>
              <w:pStyle w:val="81"/>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项目单位名称</w:t>
            </w:r>
          </w:p>
        </w:tc>
        <w:tc>
          <w:tcPr>
            <w:tcW w:w="7196" w:type="dxa"/>
            <w:tcBorders>
              <w:top w:val="single" w:color="auto" w:sz="4" w:space="0"/>
              <w:left w:val="single" w:color="auto" w:sz="4" w:space="0"/>
              <w:right w:val="single" w:color="auto" w:sz="4" w:space="0"/>
            </w:tcBorders>
            <w:noWrap w:val="0"/>
            <w:vAlign w:val="top"/>
          </w:tcPr>
          <w:p w14:paraId="001855DC">
            <w:pPr>
              <w:widowControl w:val="0"/>
              <w:rPr>
                <w:rFonts w:hint="eastAsia" w:ascii="宋体" w:hAnsi="宋体" w:eastAsia="宋体" w:cs="宋体"/>
                <w:color w:val="auto"/>
                <w:sz w:val="21"/>
                <w:szCs w:val="21"/>
                <w:highlight w:val="none"/>
              </w:rPr>
            </w:pPr>
          </w:p>
        </w:tc>
      </w:tr>
      <w:tr w14:paraId="758EA95D">
        <w:tblPrEx>
          <w:tblCellMar>
            <w:top w:w="0" w:type="dxa"/>
            <w:left w:w="10" w:type="dxa"/>
            <w:bottom w:w="0" w:type="dxa"/>
            <w:right w:w="10" w:type="dxa"/>
          </w:tblCellMar>
        </w:tblPrEx>
        <w:trPr>
          <w:trHeight w:val="724" w:hRule="exact"/>
          <w:jc w:val="center"/>
        </w:trPr>
        <w:tc>
          <w:tcPr>
            <w:tcW w:w="1919" w:type="dxa"/>
            <w:tcBorders>
              <w:top w:val="single" w:color="auto" w:sz="4" w:space="0"/>
              <w:left w:val="single" w:color="auto" w:sz="4" w:space="0"/>
            </w:tcBorders>
            <w:noWrap w:val="0"/>
            <w:vAlign w:val="center"/>
          </w:tcPr>
          <w:p w14:paraId="68CFAD8A">
            <w:pPr>
              <w:pStyle w:val="81"/>
              <w:keepNext w:val="0"/>
              <w:keepLines w:val="0"/>
              <w:widowControl w:val="0"/>
              <w:shd w:val="clear" w:color="auto" w:fill="auto"/>
              <w:bidi w:val="0"/>
              <w:spacing w:before="0" w:after="0" w:line="320"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项目单位联系姓名及联系方式</w:t>
            </w:r>
          </w:p>
        </w:tc>
        <w:tc>
          <w:tcPr>
            <w:tcW w:w="7196" w:type="dxa"/>
            <w:tcBorders>
              <w:top w:val="single" w:color="auto" w:sz="4" w:space="0"/>
              <w:left w:val="single" w:color="auto" w:sz="4" w:space="0"/>
              <w:right w:val="single" w:color="auto" w:sz="4" w:space="0"/>
            </w:tcBorders>
            <w:noWrap w:val="0"/>
            <w:vAlign w:val="top"/>
          </w:tcPr>
          <w:p w14:paraId="4CF479DB">
            <w:pPr>
              <w:widowControl w:val="0"/>
              <w:rPr>
                <w:rFonts w:hint="eastAsia" w:ascii="宋体" w:hAnsi="宋体" w:eastAsia="宋体" w:cs="宋体"/>
                <w:color w:val="auto"/>
                <w:sz w:val="21"/>
                <w:szCs w:val="21"/>
                <w:highlight w:val="none"/>
              </w:rPr>
            </w:pPr>
          </w:p>
        </w:tc>
      </w:tr>
      <w:tr w14:paraId="2C31FD8D">
        <w:tblPrEx>
          <w:tblCellMar>
            <w:top w:w="0" w:type="dxa"/>
            <w:left w:w="10" w:type="dxa"/>
            <w:bottom w:w="0" w:type="dxa"/>
            <w:right w:w="10" w:type="dxa"/>
          </w:tblCellMar>
        </w:tblPrEx>
        <w:trPr>
          <w:trHeight w:val="634" w:hRule="exact"/>
          <w:jc w:val="center"/>
        </w:trPr>
        <w:tc>
          <w:tcPr>
            <w:tcW w:w="1919" w:type="dxa"/>
            <w:tcBorders>
              <w:top w:val="single" w:color="auto" w:sz="4" w:space="0"/>
              <w:left w:val="single" w:color="auto" w:sz="4" w:space="0"/>
            </w:tcBorders>
            <w:noWrap w:val="0"/>
            <w:vAlign w:val="center"/>
          </w:tcPr>
          <w:p w14:paraId="1B240A6A">
            <w:pPr>
              <w:pStyle w:val="81"/>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合同金额</w:t>
            </w:r>
          </w:p>
        </w:tc>
        <w:tc>
          <w:tcPr>
            <w:tcW w:w="7196" w:type="dxa"/>
            <w:tcBorders>
              <w:top w:val="single" w:color="auto" w:sz="4" w:space="0"/>
              <w:left w:val="single" w:color="auto" w:sz="4" w:space="0"/>
              <w:right w:val="single" w:color="auto" w:sz="4" w:space="0"/>
            </w:tcBorders>
            <w:noWrap w:val="0"/>
            <w:vAlign w:val="top"/>
          </w:tcPr>
          <w:p w14:paraId="0D2D0302">
            <w:pPr>
              <w:widowControl w:val="0"/>
              <w:rPr>
                <w:rFonts w:hint="eastAsia" w:ascii="宋体" w:hAnsi="宋体" w:eastAsia="宋体" w:cs="宋体"/>
                <w:color w:val="auto"/>
                <w:sz w:val="21"/>
                <w:szCs w:val="21"/>
                <w:highlight w:val="none"/>
              </w:rPr>
            </w:pPr>
          </w:p>
        </w:tc>
      </w:tr>
      <w:tr w14:paraId="4C595069">
        <w:tblPrEx>
          <w:tblCellMar>
            <w:top w:w="0" w:type="dxa"/>
            <w:left w:w="10" w:type="dxa"/>
            <w:bottom w:w="0" w:type="dxa"/>
            <w:right w:w="10" w:type="dxa"/>
          </w:tblCellMar>
        </w:tblPrEx>
        <w:trPr>
          <w:trHeight w:val="637" w:hRule="exact"/>
          <w:jc w:val="center"/>
        </w:trPr>
        <w:tc>
          <w:tcPr>
            <w:tcW w:w="1919" w:type="dxa"/>
            <w:tcBorders>
              <w:top w:val="single" w:color="auto" w:sz="4" w:space="0"/>
              <w:left w:val="single" w:color="auto" w:sz="4" w:space="0"/>
            </w:tcBorders>
            <w:noWrap w:val="0"/>
            <w:vAlign w:val="center"/>
          </w:tcPr>
          <w:p w14:paraId="120FF2C0">
            <w:pPr>
              <w:pStyle w:val="81"/>
              <w:keepNext w:val="0"/>
              <w:keepLines w:val="0"/>
              <w:widowControl w:val="0"/>
              <w:shd w:val="clear" w:color="auto" w:fill="auto"/>
              <w:bidi w:val="0"/>
              <w:spacing w:before="0" w:after="0" w:line="306" w:lineRule="exact"/>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项目负责人姓名</w:t>
            </w:r>
          </w:p>
        </w:tc>
        <w:tc>
          <w:tcPr>
            <w:tcW w:w="7196" w:type="dxa"/>
            <w:tcBorders>
              <w:top w:val="single" w:color="auto" w:sz="4" w:space="0"/>
              <w:left w:val="single" w:color="auto" w:sz="4" w:space="0"/>
              <w:right w:val="single" w:color="auto" w:sz="4" w:space="0"/>
            </w:tcBorders>
            <w:noWrap w:val="0"/>
            <w:vAlign w:val="top"/>
          </w:tcPr>
          <w:p w14:paraId="2333B80A">
            <w:pPr>
              <w:widowControl w:val="0"/>
              <w:rPr>
                <w:rFonts w:hint="eastAsia" w:ascii="宋体" w:hAnsi="宋体" w:eastAsia="宋体" w:cs="宋体"/>
                <w:color w:val="auto"/>
                <w:sz w:val="21"/>
                <w:szCs w:val="21"/>
                <w:highlight w:val="none"/>
              </w:rPr>
            </w:pPr>
          </w:p>
        </w:tc>
      </w:tr>
      <w:tr w14:paraId="7D980F36">
        <w:tblPrEx>
          <w:tblCellMar>
            <w:top w:w="0" w:type="dxa"/>
            <w:left w:w="10" w:type="dxa"/>
            <w:bottom w:w="0" w:type="dxa"/>
            <w:right w:w="10" w:type="dxa"/>
          </w:tblCellMar>
        </w:tblPrEx>
        <w:trPr>
          <w:trHeight w:val="482" w:hRule="exact"/>
          <w:jc w:val="center"/>
        </w:trPr>
        <w:tc>
          <w:tcPr>
            <w:tcW w:w="1919" w:type="dxa"/>
            <w:tcBorders>
              <w:top w:val="single" w:color="auto" w:sz="4" w:space="0"/>
              <w:left w:val="single" w:color="auto" w:sz="4" w:space="0"/>
            </w:tcBorders>
            <w:noWrap w:val="0"/>
            <w:vAlign w:val="center"/>
          </w:tcPr>
          <w:p w14:paraId="6D4BD29C">
            <w:pPr>
              <w:pStyle w:val="81"/>
              <w:keepNext w:val="0"/>
              <w:keepLines w:val="0"/>
              <w:widowControl w:val="0"/>
              <w:shd w:val="clear" w:color="auto" w:fill="auto"/>
              <w:bidi w:val="0"/>
              <w:spacing w:before="12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项目实施时间</w:t>
            </w:r>
          </w:p>
        </w:tc>
        <w:tc>
          <w:tcPr>
            <w:tcW w:w="7196" w:type="dxa"/>
            <w:tcBorders>
              <w:top w:val="single" w:color="auto" w:sz="4" w:space="0"/>
              <w:left w:val="single" w:color="auto" w:sz="4" w:space="0"/>
              <w:right w:val="single" w:color="auto" w:sz="4" w:space="0"/>
            </w:tcBorders>
            <w:noWrap w:val="0"/>
            <w:vAlign w:val="top"/>
          </w:tcPr>
          <w:p w14:paraId="1C0B18DD">
            <w:pPr>
              <w:widowControl w:val="0"/>
              <w:rPr>
                <w:rFonts w:hint="eastAsia" w:ascii="宋体" w:hAnsi="宋体" w:eastAsia="宋体" w:cs="宋体"/>
                <w:color w:val="auto"/>
                <w:sz w:val="21"/>
                <w:szCs w:val="21"/>
                <w:highlight w:val="none"/>
              </w:rPr>
            </w:pPr>
          </w:p>
        </w:tc>
      </w:tr>
      <w:tr w14:paraId="37AADABE">
        <w:tblPrEx>
          <w:tblCellMar>
            <w:top w:w="0" w:type="dxa"/>
            <w:left w:w="10" w:type="dxa"/>
            <w:bottom w:w="0" w:type="dxa"/>
            <w:right w:w="10" w:type="dxa"/>
          </w:tblCellMar>
        </w:tblPrEx>
        <w:trPr>
          <w:trHeight w:val="1699" w:hRule="exact"/>
          <w:jc w:val="center"/>
        </w:trPr>
        <w:tc>
          <w:tcPr>
            <w:tcW w:w="1919" w:type="dxa"/>
            <w:tcBorders>
              <w:top w:val="single" w:color="auto" w:sz="4" w:space="0"/>
              <w:left w:val="single" w:color="auto" w:sz="4" w:space="0"/>
              <w:bottom w:val="single" w:color="auto" w:sz="4" w:space="0"/>
            </w:tcBorders>
            <w:noWrap w:val="0"/>
            <w:vAlign w:val="center"/>
          </w:tcPr>
          <w:p w14:paraId="7B87CB53">
            <w:pPr>
              <w:pStyle w:val="81"/>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rPr>
              <w:t>项目内容说明</w:t>
            </w:r>
          </w:p>
        </w:tc>
        <w:tc>
          <w:tcPr>
            <w:tcW w:w="7196" w:type="dxa"/>
            <w:tcBorders>
              <w:top w:val="single" w:color="auto" w:sz="4" w:space="0"/>
              <w:left w:val="single" w:color="auto" w:sz="4" w:space="0"/>
              <w:bottom w:val="single" w:color="auto" w:sz="4" w:space="0"/>
              <w:right w:val="single" w:color="auto" w:sz="4" w:space="0"/>
            </w:tcBorders>
            <w:noWrap w:val="0"/>
            <w:vAlign w:val="top"/>
          </w:tcPr>
          <w:p w14:paraId="04B62064">
            <w:pPr>
              <w:widowControl w:val="0"/>
              <w:rPr>
                <w:rFonts w:hint="eastAsia" w:ascii="宋体" w:hAnsi="宋体" w:eastAsia="宋体" w:cs="宋体"/>
                <w:color w:val="auto"/>
                <w:sz w:val="21"/>
                <w:szCs w:val="21"/>
                <w:highlight w:val="none"/>
              </w:rPr>
            </w:pPr>
          </w:p>
        </w:tc>
      </w:tr>
    </w:tbl>
    <w:p w14:paraId="6E34B27F">
      <w:pPr>
        <w:rPr>
          <w:rFonts w:hint="eastAsia" w:ascii="仿宋" w:hAnsi="仿宋" w:eastAsia="仿宋" w:cs="仿宋"/>
          <w:color w:val="auto"/>
          <w:spacing w:val="-1"/>
          <w:kern w:val="0"/>
          <w:sz w:val="24"/>
          <w:highlight w:val="none"/>
        </w:rPr>
      </w:pPr>
    </w:p>
    <w:p w14:paraId="10FA78A3">
      <w:pPr>
        <w:rPr>
          <w:rFonts w:hint="eastAsia" w:ascii="宋体" w:hAnsi="宋体" w:eastAsia="宋体" w:cs="宋体"/>
          <w:color w:val="auto"/>
          <w:spacing w:val="-1"/>
          <w:kern w:val="0"/>
          <w:sz w:val="21"/>
          <w:szCs w:val="21"/>
          <w:highlight w:val="none"/>
        </w:rPr>
      </w:pPr>
      <w:r>
        <w:rPr>
          <w:rFonts w:hint="eastAsia" w:ascii="宋体" w:hAnsi="宋体" w:eastAsia="宋体" w:cs="宋体"/>
          <w:color w:val="auto"/>
          <w:spacing w:val="-1"/>
          <w:kern w:val="0"/>
          <w:sz w:val="21"/>
          <w:szCs w:val="21"/>
          <w:highlight w:val="none"/>
        </w:rPr>
        <w:t>注：每个</w:t>
      </w:r>
      <w:r>
        <w:rPr>
          <w:rFonts w:hint="eastAsia" w:ascii="宋体" w:hAnsi="宋体" w:eastAsia="宋体" w:cs="宋体"/>
          <w:color w:val="auto"/>
          <w:spacing w:val="-1"/>
          <w:kern w:val="0"/>
          <w:sz w:val="21"/>
          <w:szCs w:val="21"/>
          <w:highlight w:val="none"/>
          <w:lang w:eastAsia="zh-CN"/>
        </w:rPr>
        <w:t>业绩</w:t>
      </w:r>
      <w:r>
        <w:rPr>
          <w:rFonts w:hint="eastAsia" w:ascii="宋体" w:hAnsi="宋体" w:eastAsia="宋体" w:cs="宋体"/>
          <w:color w:val="auto"/>
          <w:spacing w:val="-1"/>
          <w:kern w:val="0"/>
          <w:sz w:val="21"/>
          <w:szCs w:val="21"/>
          <w:highlight w:val="none"/>
        </w:rPr>
        <w:t>须单独附表，并附上</w:t>
      </w:r>
      <w:r>
        <w:rPr>
          <w:rFonts w:hint="eastAsia" w:ascii="宋体" w:hAnsi="宋体" w:eastAsia="宋体" w:cs="宋体"/>
          <w:color w:val="auto"/>
          <w:spacing w:val="-1"/>
          <w:kern w:val="0"/>
          <w:sz w:val="21"/>
          <w:szCs w:val="21"/>
          <w:highlight w:val="none"/>
          <w:lang w:eastAsia="zh-CN"/>
        </w:rPr>
        <w:t>合同</w:t>
      </w:r>
      <w:r>
        <w:rPr>
          <w:rFonts w:hint="eastAsia" w:ascii="宋体" w:hAnsi="宋体" w:eastAsia="宋体" w:cs="宋体"/>
          <w:color w:val="auto"/>
          <w:spacing w:val="-1"/>
          <w:kern w:val="0"/>
          <w:sz w:val="21"/>
          <w:szCs w:val="21"/>
          <w:highlight w:val="none"/>
          <w:lang w:val="en-US" w:eastAsia="zh-CN"/>
        </w:rPr>
        <w:t>或</w:t>
      </w:r>
      <w:r>
        <w:rPr>
          <w:rFonts w:hint="eastAsia" w:ascii="宋体" w:hAnsi="宋体" w:eastAsia="宋体" w:cs="宋体"/>
          <w:color w:val="auto"/>
          <w:spacing w:val="-1"/>
          <w:kern w:val="0"/>
          <w:sz w:val="21"/>
          <w:szCs w:val="21"/>
          <w:highlight w:val="none"/>
          <w:lang w:eastAsia="zh-CN"/>
        </w:rPr>
        <w:t>中标通知书</w:t>
      </w:r>
      <w:r>
        <w:rPr>
          <w:rFonts w:hint="eastAsia" w:ascii="宋体" w:hAnsi="宋体" w:eastAsia="宋体" w:cs="宋体"/>
          <w:color w:val="auto"/>
          <w:spacing w:val="-1"/>
          <w:kern w:val="0"/>
          <w:sz w:val="21"/>
          <w:szCs w:val="21"/>
          <w:highlight w:val="none"/>
        </w:rPr>
        <w:t>相关证明材料，否则专家在评审时将不予采信。</w:t>
      </w:r>
    </w:p>
    <w:p w14:paraId="2D4652F8">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14:paraId="36798604">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14:paraId="7263D67D">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sz w:val="21"/>
          <w:szCs w:val="21"/>
          <w:highlight w:val="none"/>
        </w:rPr>
      </w:pPr>
    </w:p>
    <w:p w14:paraId="20D4C5CB">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（盖章）</w:t>
      </w:r>
    </w:p>
    <w:p w14:paraId="636355BE">
      <w:pPr>
        <w:pStyle w:val="10"/>
        <w:numPr>
          <w:ilvl w:val="0"/>
          <w:numId w:val="0"/>
        </w:numPr>
        <w:tabs>
          <w:tab w:val="left" w:pos="8227"/>
        </w:tabs>
        <w:kinsoku w:val="0"/>
        <w:overflowPunct w:val="0"/>
        <w:spacing w:line="381" w:lineRule="auto"/>
        <w:ind w:left="1680" w:leftChars="0" w:right="118" w:rightChars="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(签字或盖章）</w:t>
      </w:r>
    </w:p>
    <w:p w14:paraId="28EF6381">
      <w:pPr>
        <w:pStyle w:val="10"/>
        <w:numPr>
          <w:ilvl w:val="0"/>
          <w:numId w:val="0"/>
        </w:numPr>
        <w:tabs>
          <w:tab w:val="left" w:pos="5551"/>
          <w:tab w:val="left" w:pos="6511"/>
          <w:tab w:val="left" w:pos="7111"/>
          <w:tab w:val="left" w:pos="7711"/>
        </w:tabs>
        <w:kinsoku w:val="0"/>
        <w:overflowPunct w:val="0"/>
        <w:spacing w:before="46"/>
        <w:ind w:right="0" w:rightChars="0" w:firstLine="3834" w:firstLineChars="1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7301EFB5">
      <w:pPr>
        <w:jc w:val="both"/>
        <w:outlineLvl w:val="9"/>
        <w:rPr>
          <w:rFonts w:hint="eastAsia" w:ascii="宋体" w:hAnsi="宋体" w:eastAsia="宋体" w:cs="宋体"/>
          <w:b/>
          <w:bCs/>
          <w:color w:val="auto"/>
          <w:kern w:val="0"/>
          <w:sz w:val="24"/>
          <w:szCs w:val="20"/>
          <w:highlight w:val="none"/>
          <w:u w:val="none"/>
          <w:lang w:val="en-US" w:eastAsia="zh-CN" w:bidi="ar-SA"/>
        </w:rPr>
      </w:pPr>
    </w:p>
    <w:p w14:paraId="6F8A99CB">
      <w:pPr>
        <w:rPr>
          <w:rFonts w:hint="eastAsia" w:ascii="宋体" w:hAnsi="宋体" w:eastAsia="宋体" w:cs="宋体"/>
          <w:b/>
          <w:bCs/>
          <w:color w:val="auto"/>
          <w:kern w:val="0"/>
          <w:sz w:val="24"/>
          <w:szCs w:val="20"/>
          <w:highlight w:val="none"/>
          <w:u w:val="none"/>
          <w:lang w:val="en-US" w:eastAsia="zh-CN" w:bidi="ar-SA"/>
        </w:rPr>
      </w:pPr>
      <w:r>
        <w:rPr>
          <w:rFonts w:hint="eastAsia" w:ascii="宋体" w:hAnsi="宋体" w:eastAsia="宋体" w:cs="宋体"/>
          <w:b/>
          <w:bCs/>
          <w:color w:val="auto"/>
          <w:kern w:val="0"/>
          <w:sz w:val="24"/>
          <w:szCs w:val="20"/>
          <w:highlight w:val="none"/>
          <w:u w:val="none"/>
          <w:lang w:val="en-US" w:eastAsia="zh-CN" w:bidi="ar-SA"/>
        </w:rPr>
        <w:br w:type="page"/>
      </w:r>
    </w:p>
    <w:p w14:paraId="6EB69EC2">
      <w:pPr>
        <w:pStyle w:val="10"/>
        <w:outlineLvl w:val="9"/>
        <w:rPr>
          <w:rFonts w:hint="eastAsia"/>
          <w:highlight w:val="none"/>
          <w:lang w:val="en-US" w:eastAsia="zh-CN"/>
        </w:rPr>
      </w:pPr>
    </w:p>
    <w:p w14:paraId="0B2D0607">
      <w:pPr>
        <w:pStyle w:val="4"/>
        <w:numPr>
          <w:ilvl w:val="0"/>
          <w:numId w:val="0"/>
        </w:numPr>
        <w:ind w:left="431" w:leftChars="0"/>
        <w:jc w:val="center"/>
        <w:outlineLvl w:val="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kern w:val="0"/>
          <w:sz w:val="24"/>
          <w:szCs w:val="20"/>
          <w:highlight w:val="none"/>
          <w:u w:val="none"/>
          <w:lang w:val="en-US" w:eastAsia="zh-CN" w:bidi="ar-SA"/>
        </w:rPr>
        <w:t>8、中小企业声明函</w:t>
      </w:r>
      <w:r>
        <w:rPr>
          <w:rFonts w:hint="eastAsia" w:ascii="宋体" w:hAnsi="宋体" w:cs="宋体"/>
          <w:b/>
          <w:bCs/>
          <w:color w:val="auto"/>
          <w:kern w:val="0"/>
          <w:sz w:val="24"/>
          <w:szCs w:val="20"/>
          <w:highlight w:val="none"/>
          <w:u w:val="none"/>
          <w:lang w:val="en-US" w:eastAsia="zh-CN" w:bidi="ar-SA"/>
        </w:rPr>
        <w:t>（服务）</w:t>
      </w:r>
    </w:p>
    <w:bookmarkEnd w:id="133"/>
    <w:bookmarkEnd w:id="134"/>
    <w:bookmarkEnd w:id="135"/>
    <w:bookmarkEnd w:id="136"/>
    <w:p w14:paraId="767B0DC9">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本公司郑重声明，根据《政府采购促进中小企业发展管理办法》（财库﹝2020﹞46 号）的规定，本公司参加</w:t>
      </w:r>
      <w:r>
        <w:rPr>
          <w:rFonts w:hint="eastAsia" w:ascii="宋体" w:hAnsi="宋体" w:eastAsia="宋体" w:cs="宋体"/>
          <w:color w:val="auto"/>
          <w:kern w:val="2"/>
          <w:sz w:val="21"/>
          <w:szCs w:val="21"/>
          <w:highlight w:val="none"/>
          <w:u w:val="single" w:color="auto"/>
          <w:lang w:val="en-US" w:eastAsia="zh-CN" w:bidi="ar-SA"/>
        </w:rPr>
        <w:t>（单位名称）</w:t>
      </w:r>
      <w:r>
        <w:rPr>
          <w:rFonts w:hint="eastAsia" w:ascii="宋体" w:hAnsi="宋体" w:eastAsia="宋体" w:cs="宋体"/>
          <w:color w:val="auto"/>
          <w:kern w:val="2"/>
          <w:sz w:val="21"/>
          <w:szCs w:val="21"/>
          <w:highlight w:val="none"/>
          <w:u w:val="none" w:color="000000"/>
          <w:lang w:val="en-US" w:eastAsia="zh-CN" w:bidi="ar-SA"/>
        </w:rPr>
        <w:t>的</w:t>
      </w:r>
      <w:r>
        <w:rPr>
          <w:rFonts w:hint="eastAsia" w:ascii="宋体" w:hAnsi="宋体" w:eastAsia="宋体" w:cs="宋体"/>
          <w:color w:val="auto"/>
          <w:kern w:val="2"/>
          <w:sz w:val="21"/>
          <w:szCs w:val="21"/>
          <w:highlight w:val="none"/>
          <w:u w:val="single" w:color="auto"/>
          <w:lang w:val="en-US" w:eastAsia="zh-CN" w:bidi="ar-SA"/>
        </w:rPr>
        <w:t>（项目名称）</w:t>
      </w:r>
      <w:r>
        <w:rPr>
          <w:rFonts w:hint="eastAsia" w:ascii="宋体" w:hAnsi="宋体" w:eastAsia="宋体" w:cs="宋体"/>
          <w:color w:val="auto"/>
          <w:kern w:val="2"/>
          <w:sz w:val="21"/>
          <w:szCs w:val="21"/>
          <w:highlight w:val="none"/>
          <w:u w:val="none" w:color="000000"/>
          <w:lang w:val="en-US" w:eastAsia="zh-CN" w:bidi="ar-SA"/>
        </w:rPr>
        <w:t>采购活动，</w:t>
      </w:r>
      <w:r>
        <w:rPr>
          <w:rFonts w:hint="eastAsia" w:ascii="宋体" w:hAnsi="宋体" w:cs="宋体"/>
          <w:color w:val="auto"/>
          <w:kern w:val="2"/>
          <w:sz w:val="21"/>
          <w:szCs w:val="21"/>
          <w:highlight w:val="none"/>
          <w:u w:val="none" w:color="000000"/>
          <w:lang w:val="en-US" w:eastAsia="zh-CN" w:bidi="ar-SA"/>
        </w:rPr>
        <w:t>服务</w:t>
      </w:r>
      <w:r>
        <w:rPr>
          <w:rFonts w:hint="eastAsia" w:ascii="宋体" w:hAnsi="宋体" w:eastAsia="宋体" w:cs="宋体"/>
          <w:color w:val="auto"/>
          <w:kern w:val="2"/>
          <w:sz w:val="21"/>
          <w:szCs w:val="21"/>
          <w:highlight w:val="none"/>
          <w:u w:val="none" w:color="000000"/>
          <w:lang w:val="en-US" w:eastAsia="zh-CN" w:bidi="ar-SA"/>
        </w:rPr>
        <w:t>全部由符合政策要求的中小企业</w:t>
      </w:r>
      <w:r>
        <w:rPr>
          <w:rFonts w:hint="eastAsia" w:ascii="宋体" w:hAnsi="宋体" w:cs="宋体"/>
          <w:color w:val="auto"/>
          <w:kern w:val="2"/>
          <w:sz w:val="21"/>
          <w:szCs w:val="21"/>
          <w:highlight w:val="none"/>
          <w:u w:val="none" w:color="000000"/>
          <w:lang w:val="en-US" w:eastAsia="zh-CN" w:bidi="ar-SA"/>
        </w:rPr>
        <w:t>承接</w:t>
      </w:r>
      <w:r>
        <w:rPr>
          <w:rFonts w:hint="eastAsia" w:ascii="宋体" w:hAnsi="宋体" w:eastAsia="宋体" w:cs="宋体"/>
          <w:color w:val="auto"/>
          <w:kern w:val="2"/>
          <w:sz w:val="21"/>
          <w:szCs w:val="21"/>
          <w:highlight w:val="none"/>
          <w:u w:val="none" w:color="000000"/>
          <w:lang w:val="en-US" w:eastAsia="zh-CN" w:bidi="ar-SA"/>
        </w:rPr>
        <w:t xml:space="preserve">。相关企业 （含联合体中的中小企业、签订分包意向协议的中小企业） 的具体情况如下： </w:t>
      </w:r>
    </w:p>
    <w:p w14:paraId="4B05DF9E">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1. </w:t>
      </w:r>
      <w:r>
        <w:rPr>
          <w:rFonts w:hint="eastAsia" w:ascii="宋体" w:hAnsi="宋体" w:eastAsia="宋体" w:cs="宋体"/>
          <w:color w:val="auto"/>
          <w:kern w:val="2"/>
          <w:sz w:val="21"/>
          <w:szCs w:val="21"/>
          <w:highlight w:val="none"/>
          <w:u w:val="single" w:color="auto"/>
          <w:lang w:val="en-US" w:eastAsia="zh-CN" w:bidi="ar-SA"/>
        </w:rPr>
        <w:t>（标的名称）</w:t>
      </w:r>
      <w:r>
        <w:rPr>
          <w:rFonts w:hint="eastAsia" w:ascii="宋体" w:hAnsi="宋体" w:eastAsia="宋体" w:cs="宋体"/>
          <w:color w:val="auto"/>
          <w:kern w:val="2"/>
          <w:sz w:val="21"/>
          <w:szCs w:val="21"/>
          <w:highlight w:val="none"/>
          <w:u w:val="none" w:color="000000"/>
          <w:lang w:val="en-US" w:eastAsia="zh-CN" w:bidi="ar-SA"/>
        </w:rPr>
        <w:t xml:space="preserve"> ，属于（采购文件中明确的所属行业） 行业；</w:t>
      </w:r>
      <w:r>
        <w:rPr>
          <w:rFonts w:hint="eastAsia" w:ascii="宋体" w:hAnsi="宋体" w:cs="宋体"/>
          <w:color w:val="auto"/>
          <w:kern w:val="2"/>
          <w:sz w:val="21"/>
          <w:szCs w:val="21"/>
          <w:highlight w:val="none"/>
          <w:u w:val="none" w:color="000000"/>
          <w:lang w:val="en-US" w:eastAsia="zh-CN" w:bidi="ar-SA"/>
        </w:rPr>
        <w:t>承建（承接）企业为</w:t>
      </w:r>
      <w:r>
        <w:rPr>
          <w:rFonts w:hint="eastAsia" w:ascii="宋体" w:hAnsi="宋体" w:eastAsia="宋体" w:cs="宋体"/>
          <w:color w:val="auto"/>
          <w:kern w:val="2"/>
          <w:sz w:val="21"/>
          <w:szCs w:val="21"/>
          <w:highlight w:val="none"/>
          <w:u w:val="single" w:color="auto"/>
          <w:lang w:val="en-US" w:eastAsia="zh-CN" w:bidi="ar-SA"/>
        </w:rPr>
        <w:t>（企业名称）</w:t>
      </w:r>
      <w:r>
        <w:rPr>
          <w:rFonts w:hint="eastAsia" w:ascii="宋体" w:hAnsi="宋体" w:eastAsia="宋体" w:cs="宋体"/>
          <w:color w:val="auto"/>
          <w:kern w:val="2"/>
          <w:sz w:val="21"/>
          <w:szCs w:val="21"/>
          <w:highlight w:val="none"/>
          <w:u w:val="none" w:color="000000"/>
          <w:lang w:val="en-US" w:eastAsia="zh-CN" w:bidi="ar-SA"/>
        </w:rPr>
        <w:t>，从业人员</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人，营业收 入为 </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万元，资产总额为 </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万元，属于</w:t>
      </w:r>
      <w:r>
        <w:rPr>
          <w:rFonts w:hint="eastAsia" w:ascii="宋体" w:hAnsi="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single" w:color="auto"/>
          <w:lang w:val="en-US" w:eastAsia="zh-CN" w:bidi="ar-SA"/>
        </w:rPr>
        <w:t>（中型企业、小 型企业、微型企业）</w:t>
      </w:r>
      <w:r>
        <w:rPr>
          <w:rFonts w:hint="eastAsia" w:ascii="宋体" w:hAnsi="宋体" w:eastAsia="宋体" w:cs="宋体"/>
          <w:color w:val="auto"/>
          <w:kern w:val="2"/>
          <w:sz w:val="21"/>
          <w:szCs w:val="21"/>
          <w:highlight w:val="none"/>
          <w:u w:val="none" w:color="000000"/>
          <w:lang w:val="en-US" w:eastAsia="zh-CN" w:bidi="ar-SA"/>
        </w:rPr>
        <w:t xml:space="preserve">； </w:t>
      </w:r>
    </w:p>
    <w:p w14:paraId="49830504">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2. </w:t>
      </w:r>
      <w:r>
        <w:rPr>
          <w:rFonts w:hint="eastAsia" w:ascii="宋体" w:hAnsi="宋体" w:eastAsia="宋体" w:cs="宋体"/>
          <w:color w:val="auto"/>
          <w:kern w:val="2"/>
          <w:sz w:val="21"/>
          <w:szCs w:val="21"/>
          <w:highlight w:val="none"/>
          <w:u w:val="single" w:color="auto"/>
          <w:lang w:val="en-US" w:eastAsia="zh-CN" w:bidi="ar-SA"/>
        </w:rPr>
        <w:t>（标的名称）</w:t>
      </w:r>
      <w:r>
        <w:rPr>
          <w:rFonts w:hint="eastAsia" w:ascii="宋体" w:hAnsi="宋体" w:eastAsia="宋体" w:cs="宋体"/>
          <w:color w:val="auto"/>
          <w:kern w:val="2"/>
          <w:sz w:val="21"/>
          <w:szCs w:val="21"/>
          <w:highlight w:val="none"/>
          <w:u w:val="none" w:color="000000"/>
          <w:lang w:val="en-US" w:eastAsia="zh-CN" w:bidi="ar-SA"/>
        </w:rPr>
        <w:t xml:space="preserve"> ，属于（采购文件中明确的所属行业）行业；</w:t>
      </w:r>
      <w:r>
        <w:rPr>
          <w:rFonts w:hint="eastAsia" w:ascii="宋体" w:hAnsi="宋体" w:cs="宋体"/>
          <w:color w:val="auto"/>
          <w:kern w:val="2"/>
          <w:sz w:val="21"/>
          <w:szCs w:val="21"/>
          <w:highlight w:val="none"/>
          <w:u w:val="none" w:color="000000"/>
          <w:lang w:val="en-US" w:eastAsia="zh-CN" w:bidi="ar-SA"/>
        </w:rPr>
        <w:t>承建（承接）企业</w:t>
      </w:r>
      <w:r>
        <w:rPr>
          <w:rFonts w:hint="eastAsia" w:ascii="宋体" w:hAnsi="宋体" w:eastAsia="宋体" w:cs="宋体"/>
          <w:color w:val="auto"/>
          <w:kern w:val="2"/>
          <w:sz w:val="21"/>
          <w:szCs w:val="21"/>
          <w:highlight w:val="none"/>
          <w:u w:val="none" w:color="000000"/>
          <w:lang w:val="en-US" w:eastAsia="zh-CN" w:bidi="ar-SA"/>
        </w:rPr>
        <w:t>为</w:t>
      </w:r>
      <w:r>
        <w:rPr>
          <w:rFonts w:hint="eastAsia" w:ascii="宋体" w:hAnsi="宋体" w:eastAsia="宋体" w:cs="宋体"/>
          <w:color w:val="auto"/>
          <w:kern w:val="2"/>
          <w:sz w:val="21"/>
          <w:szCs w:val="21"/>
          <w:highlight w:val="none"/>
          <w:u w:val="single" w:color="auto"/>
          <w:lang w:val="en-US" w:eastAsia="zh-CN" w:bidi="ar-SA"/>
        </w:rPr>
        <w:t>（企业名称）</w:t>
      </w:r>
      <w:r>
        <w:rPr>
          <w:rFonts w:hint="eastAsia" w:ascii="宋体" w:hAnsi="宋体" w:eastAsia="宋体" w:cs="宋体"/>
          <w:color w:val="auto"/>
          <w:kern w:val="2"/>
          <w:sz w:val="21"/>
          <w:szCs w:val="21"/>
          <w:highlight w:val="none"/>
          <w:u w:val="none" w:color="000000"/>
          <w:lang w:val="en-US" w:eastAsia="zh-CN" w:bidi="ar-SA"/>
        </w:rPr>
        <w:t>，从业人员</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人，营业收入为</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 xml:space="preserve">万元，资产总额为员 </w:t>
      </w:r>
      <w:r>
        <w:rPr>
          <w:rFonts w:hint="eastAsia" w:ascii="宋体" w:hAnsi="宋体" w:eastAsia="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none" w:color="000000"/>
          <w:lang w:val="en-US" w:eastAsia="zh-CN" w:bidi="ar-SA"/>
        </w:rPr>
        <w:t>万元，属于</w:t>
      </w:r>
      <w:r>
        <w:rPr>
          <w:rFonts w:hint="eastAsia" w:ascii="宋体" w:hAnsi="宋体" w:cs="宋体"/>
          <w:color w:val="auto"/>
          <w:kern w:val="2"/>
          <w:sz w:val="21"/>
          <w:szCs w:val="21"/>
          <w:highlight w:val="none"/>
          <w:u w:val="single" w:color="auto"/>
          <w:lang w:val="en-US" w:eastAsia="zh-CN" w:bidi="ar-SA"/>
        </w:rPr>
        <w:t xml:space="preserve">     </w:t>
      </w:r>
      <w:r>
        <w:rPr>
          <w:rFonts w:hint="eastAsia" w:ascii="宋体" w:hAnsi="宋体" w:eastAsia="宋体" w:cs="宋体"/>
          <w:color w:val="auto"/>
          <w:kern w:val="2"/>
          <w:sz w:val="21"/>
          <w:szCs w:val="21"/>
          <w:highlight w:val="none"/>
          <w:u w:val="single" w:color="auto"/>
          <w:lang w:val="en-US" w:eastAsia="zh-CN" w:bidi="ar-SA"/>
        </w:rPr>
        <w:t>（中型企业、小 型企业、微型企业）</w:t>
      </w:r>
      <w:r>
        <w:rPr>
          <w:rFonts w:hint="eastAsia" w:ascii="宋体" w:hAnsi="宋体" w:eastAsia="宋体" w:cs="宋体"/>
          <w:color w:val="auto"/>
          <w:kern w:val="2"/>
          <w:sz w:val="21"/>
          <w:szCs w:val="21"/>
          <w:highlight w:val="none"/>
          <w:u w:val="none" w:color="000000"/>
          <w:lang w:val="en-US" w:eastAsia="zh-CN" w:bidi="ar-SA"/>
        </w:rPr>
        <w:t>；</w:t>
      </w:r>
    </w:p>
    <w:p w14:paraId="60C9B7CB">
      <w:pPr>
        <w:keepNext w:val="0"/>
        <w:keepLines w:val="0"/>
        <w:pageBreakBefore w:val="0"/>
        <w:widowControl w:val="0"/>
        <w:kinsoku/>
        <w:wordWrap/>
        <w:overflowPunct/>
        <w:topLinePunct w:val="0"/>
        <w:autoSpaceDE/>
        <w:autoSpaceDN/>
        <w:bidi w:val="0"/>
        <w:adjustRightInd/>
        <w:snapToGrid/>
        <w:spacing w:line="520" w:lineRule="exact"/>
        <w:ind w:left="688"/>
        <w:textAlignment w:val="auto"/>
        <w:rPr>
          <w:rFonts w:ascii="仿宋" w:hAnsi="仿宋" w:eastAsia="仿宋" w:cs="仿宋"/>
          <w:sz w:val="28"/>
          <w:szCs w:val="28"/>
          <w:highlight w:val="none"/>
        </w:rPr>
      </w:pPr>
      <w:r>
        <w:rPr>
          <w:rFonts w:ascii="仿宋" w:hAnsi="仿宋" w:eastAsia="仿宋" w:cs="仿宋"/>
          <w:spacing w:val="5"/>
          <w:position w:val="4"/>
          <w:sz w:val="28"/>
          <w:szCs w:val="28"/>
          <w:highlight w:val="none"/>
        </w:rPr>
        <w:t>…</w:t>
      </w:r>
      <w:r>
        <w:rPr>
          <w:rFonts w:ascii="仿宋" w:hAnsi="仿宋" w:eastAsia="仿宋" w:cs="仿宋"/>
          <w:spacing w:val="4"/>
          <w:position w:val="4"/>
          <w:sz w:val="28"/>
          <w:szCs w:val="28"/>
          <w:highlight w:val="none"/>
        </w:rPr>
        <w:t>…</w:t>
      </w:r>
    </w:p>
    <w:p w14:paraId="47D0D17A">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以上企业，不属于大企业的分支机构，不存在控股股东为大企业的情形，也不存在与大企业的负责人为同一人的情形。</w:t>
      </w:r>
    </w:p>
    <w:p w14:paraId="09CB2695">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b/>
          <w:bCs/>
          <w:color w:val="auto"/>
          <w:kern w:val="2"/>
          <w:sz w:val="21"/>
          <w:szCs w:val="21"/>
          <w:highlight w:val="none"/>
          <w:u w:val="none" w:color="000000"/>
          <w:lang w:val="en-US" w:eastAsia="zh-CN" w:bidi="ar-SA"/>
        </w:rPr>
        <w:t>本企业对上述声明内容的真实性负责。如有虚假，将依法承担相应责任。</w:t>
      </w:r>
      <w:r>
        <w:rPr>
          <w:rFonts w:hint="eastAsia" w:ascii="宋体" w:hAnsi="宋体" w:eastAsia="宋体" w:cs="宋体"/>
          <w:color w:val="auto"/>
          <w:kern w:val="2"/>
          <w:sz w:val="21"/>
          <w:szCs w:val="21"/>
          <w:highlight w:val="none"/>
          <w:u w:val="none" w:color="000000"/>
          <w:lang w:val="en-US" w:eastAsia="zh-CN" w:bidi="ar-SA"/>
        </w:rPr>
        <w:t xml:space="preserve"> </w:t>
      </w:r>
    </w:p>
    <w:p w14:paraId="13C36EEE">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企业名称（盖章）：      </w:t>
      </w:r>
    </w:p>
    <w:p w14:paraId="16794CBC">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highlight w:val="none"/>
          <w:u w:val="single"/>
        </w:rPr>
      </w:pPr>
      <w:r>
        <w:rPr>
          <w:rFonts w:hint="eastAsia" w:ascii="宋体" w:hAnsi="宋体" w:eastAsia="宋体" w:cs="宋体"/>
          <w:color w:val="auto"/>
          <w:kern w:val="2"/>
          <w:sz w:val="21"/>
          <w:szCs w:val="21"/>
          <w:highlight w:val="none"/>
          <w:u w:val="none" w:color="000000"/>
          <w:lang w:val="en-US" w:eastAsia="zh-CN" w:bidi="ar-SA"/>
        </w:rPr>
        <w:t xml:space="preserve">日 期：    </w:t>
      </w:r>
      <w:r>
        <w:rPr>
          <w:rFonts w:hint="eastAsia" w:ascii="宋体" w:hAnsi="宋体" w:eastAsia="宋体" w:cs="宋体"/>
          <w:kern w:val="0"/>
          <w:sz w:val="24"/>
          <w:highlight w:val="none"/>
          <w:u w:val="single"/>
          <w:lang w:val="en-US" w:eastAsia="zh-CN"/>
        </w:rPr>
        <w:t xml:space="preserve"> </w:t>
      </w:r>
    </w:p>
    <w:p w14:paraId="7C8E547F">
      <w:pPr>
        <w:widowControl/>
        <w:kinsoku/>
        <w:topLinePunct w:val="0"/>
        <w:bidi w:val="0"/>
        <w:spacing w:before="100" w:beforeAutospacing="1" w:after="100" w:afterAutospacing="1" w:line="380" w:lineRule="exact"/>
        <w:ind w:firstLine="3159" w:firstLineChars="13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710DDB8F">
      <w:pPr>
        <w:pStyle w:val="49"/>
        <w:kinsoku/>
        <w:topLinePunct w:val="0"/>
        <w:bidi w:val="0"/>
        <w:spacing w:line="380" w:lineRule="exact"/>
        <w:rPr>
          <w:rFonts w:hint="eastAsia" w:ascii="宋体" w:hAnsi="宋体" w:eastAsia="宋体" w:cs="宋体"/>
          <w:kern w:val="0"/>
          <w:sz w:val="24"/>
          <w:highlight w:val="none"/>
        </w:rPr>
      </w:pPr>
    </w:p>
    <w:p w14:paraId="258076F1">
      <w:pPr>
        <w:keepNext w:val="0"/>
        <w:keepLines w:val="0"/>
        <w:widowControl/>
        <w:suppressLineNumbers w:val="0"/>
        <w:jc w:val="left"/>
        <w:rPr>
          <w:highlight w:val="none"/>
        </w:rPr>
      </w:pPr>
      <w:r>
        <w:rPr>
          <w:rFonts w:hint="eastAsia" w:ascii="宋体" w:hAnsi="宋体" w:eastAsia="宋体" w:cs="宋体"/>
          <w:b/>
          <w:bCs/>
          <w:color w:val="000000"/>
          <w:kern w:val="0"/>
          <w:sz w:val="18"/>
          <w:szCs w:val="18"/>
          <w:highlight w:val="none"/>
          <w:lang w:val="en-US" w:eastAsia="zh-CN" w:bidi="ar"/>
        </w:rPr>
        <w:t xml:space="preserve">备注：1、从业人员、营业收入、资产总额填报上一年度数据，无上一年度数据的新成立企业可不填报。 </w:t>
      </w:r>
    </w:p>
    <w:p w14:paraId="16301018">
      <w:pPr>
        <w:keepNext w:val="0"/>
        <w:keepLines w:val="0"/>
        <w:widowControl/>
        <w:suppressLineNumbers w:val="0"/>
        <w:jc w:val="left"/>
        <w:rPr>
          <w:highlight w:val="none"/>
        </w:rPr>
      </w:pPr>
      <w:r>
        <w:rPr>
          <w:rFonts w:hint="eastAsia" w:ascii="宋体" w:hAnsi="宋体" w:eastAsia="宋体" w:cs="宋体"/>
          <w:b/>
          <w:bCs/>
          <w:color w:val="000000"/>
          <w:kern w:val="0"/>
          <w:sz w:val="18"/>
          <w:szCs w:val="18"/>
          <w:highlight w:val="none"/>
          <w:lang w:val="en-US" w:eastAsia="zh-CN" w:bidi="ar"/>
        </w:rPr>
        <w:t xml:space="preserve">2、投标人为中小企业时需提供本声明函，并完整填写从业人员、营业收入、资产总额等内容，否 </w:t>
      </w:r>
    </w:p>
    <w:p w14:paraId="2538CEC9">
      <w:pPr>
        <w:keepNext w:val="0"/>
        <w:keepLines w:val="0"/>
        <w:widowControl/>
        <w:suppressLineNumbers w:val="0"/>
        <w:jc w:val="left"/>
        <w:rPr>
          <w:highlight w:val="none"/>
        </w:rPr>
      </w:pPr>
      <w:r>
        <w:rPr>
          <w:rFonts w:hint="eastAsia" w:ascii="宋体" w:hAnsi="宋体" w:eastAsia="宋体" w:cs="宋体"/>
          <w:b/>
          <w:bCs/>
          <w:color w:val="000000"/>
          <w:kern w:val="0"/>
          <w:sz w:val="18"/>
          <w:szCs w:val="18"/>
          <w:highlight w:val="none"/>
          <w:lang w:val="en-US" w:eastAsia="zh-CN" w:bidi="ar"/>
        </w:rPr>
        <w:t>则评审时不能享受相应的价格扣除。</w:t>
      </w:r>
    </w:p>
    <w:p w14:paraId="637852ED">
      <w:pPr>
        <w:pStyle w:val="49"/>
        <w:kinsoku/>
        <w:topLinePunct w:val="0"/>
        <w:bidi w:val="0"/>
        <w:spacing w:line="380" w:lineRule="exact"/>
        <w:rPr>
          <w:rFonts w:hint="eastAsia" w:ascii="宋体" w:hAnsi="宋体" w:eastAsia="宋体" w:cs="宋体"/>
          <w:kern w:val="0"/>
          <w:sz w:val="24"/>
          <w:highlight w:val="none"/>
        </w:rPr>
      </w:pPr>
    </w:p>
    <w:p w14:paraId="313894B2">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highlight w:val="none"/>
        </w:rPr>
      </w:pPr>
    </w:p>
    <w:p w14:paraId="50F8C194">
      <w:pPr>
        <w:kinsoku/>
        <w:topLinePunct w:val="0"/>
        <w:bidi w:val="0"/>
        <w:spacing w:line="380" w:lineRule="exact"/>
        <w:rPr>
          <w:rFonts w:hint="eastAsia" w:ascii="宋体" w:hAnsi="宋体" w:eastAsia="宋体" w:cs="宋体"/>
          <w:highlight w:val="none"/>
        </w:rPr>
      </w:pPr>
      <w:bookmarkStart w:id="140" w:name="_Toc10977"/>
      <w:bookmarkStart w:id="141" w:name="_Toc11803"/>
      <w:bookmarkStart w:id="142" w:name="_Toc515647824"/>
      <w:bookmarkStart w:id="143" w:name="_Toc10877"/>
    </w:p>
    <w:p w14:paraId="3637DD2D">
      <w:pPr>
        <w:pStyle w:val="10"/>
        <w:rPr>
          <w:rFonts w:hint="eastAsia" w:ascii="宋体" w:hAnsi="宋体" w:eastAsia="宋体" w:cs="宋体"/>
          <w:highlight w:val="none"/>
        </w:rPr>
      </w:pPr>
    </w:p>
    <w:p w14:paraId="5CC571AF">
      <w:pPr>
        <w:rPr>
          <w:rFonts w:hint="eastAsia"/>
          <w:highlight w:val="none"/>
        </w:rPr>
      </w:pPr>
      <w:r>
        <w:rPr>
          <w:rFonts w:hint="eastAsia"/>
          <w:highlight w:val="none"/>
        </w:rPr>
        <w:br w:type="page"/>
      </w:r>
    </w:p>
    <w:bookmarkEnd w:id="140"/>
    <w:bookmarkEnd w:id="141"/>
    <w:bookmarkEnd w:id="142"/>
    <w:bookmarkEnd w:id="143"/>
    <w:p w14:paraId="6669DF09">
      <w:pPr>
        <w:numPr>
          <w:ilvl w:val="0"/>
          <w:numId w:val="0"/>
        </w:numPr>
        <w:kinsoku/>
        <w:topLinePunct w:val="0"/>
        <w:bidi w:val="0"/>
        <w:spacing w:line="380" w:lineRule="exact"/>
        <w:jc w:val="center"/>
        <w:outlineLvl w:val="2"/>
        <w:rPr>
          <w:rFonts w:hint="eastAsia" w:ascii="宋体" w:hAnsi="宋体" w:eastAsia="宋体" w:cs="宋体"/>
          <w:b/>
          <w:bCs/>
          <w:highlight w:val="none"/>
        </w:rPr>
      </w:pPr>
      <w:bookmarkStart w:id="144" w:name="_Toc23068"/>
      <w:bookmarkStart w:id="145" w:name="_Toc515647825"/>
      <w:bookmarkStart w:id="146" w:name="_Toc8010"/>
      <w:bookmarkStart w:id="147" w:name="_Toc19284"/>
      <w:bookmarkStart w:id="148" w:name="OLE_LINK13"/>
      <w:bookmarkStart w:id="149" w:name="OLE_LINK14"/>
      <w:r>
        <w:rPr>
          <w:rFonts w:hint="eastAsia" w:ascii="宋体" w:hAnsi="宋体" w:eastAsia="宋体" w:cs="宋体"/>
          <w:b/>
          <w:bCs/>
          <w:highlight w:val="none"/>
          <w:lang w:val="en-US" w:eastAsia="zh-CN"/>
        </w:rPr>
        <w:t>9、</w:t>
      </w:r>
      <w:r>
        <w:rPr>
          <w:rFonts w:hint="eastAsia" w:ascii="宋体" w:hAnsi="宋体" w:eastAsia="宋体" w:cs="宋体"/>
          <w:b/>
          <w:bCs/>
          <w:highlight w:val="none"/>
        </w:rPr>
        <w:t>残疾人福利性单位声明函</w:t>
      </w:r>
      <w:bookmarkEnd w:id="144"/>
      <w:bookmarkEnd w:id="145"/>
      <w:bookmarkEnd w:id="146"/>
      <w:bookmarkEnd w:id="147"/>
    </w:p>
    <w:bookmarkEnd w:id="148"/>
    <w:bookmarkEnd w:id="149"/>
    <w:p w14:paraId="74F76FEA">
      <w:pPr>
        <w:kinsoku/>
        <w:topLinePunct w:val="0"/>
        <w:bidi w:val="0"/>
        <w:spacing w:line="380" w:lineRule="exact"/>
        <w:ind w:left="1087" w:leftChars="257" w:hanging="540"/>
        <w:jc w:val="center"/>
        <w:rPr>
          <w:rFonts w:hint="eastAsia" w:ascii="宋体" w:hAnsi="宋体" w:eastAsia="宋体" w:cs="宋体"/>
          <w:kern w:val="0"/>
          <w:sz w:val="24"/>
          <w:szCs w:val="20"/>
          <w:highlight w:val="none"/>
        </w:rPr>
      </w:pPr>
    </w:p>
    <w:p w14:paraId="3B009809">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67EE255B">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本单位对上述声明的真实性负责。如有虚假，将依法承担相应责任。</w:t>
      </w:r>
    </w:p>
    <w:p w14:paraId="1988EF57">
      <w:pPr>
        <w:widowControl/>
        <w:kinsoku/>
        <w:topLinePunct w:val="0"/>
        <w:bidi w:val="0"/>
        <w:spacing w:before="100" w:beforeAutospacing="1" w:after="100" w:afterAutospacing="1" w:line="380" w:lineRule="exact"/>
        <w:ind w:firstLine="420"/>
        <w:jc w:val="left"/>
        <w:rPr>
          <w:rFonts w:hint="eastAsia" w:ascii="宋体" w:hAnsi="宋体" w:eastAsia="宋体" w:cs="宋体"/>
          <w:color w:val="auto"/>
          <w:kern w:val="2"/>
          <w:sz w:val="21"/>
          <w:szCs w:val="21"/>
          <w:highlight w:val="none"/>
          <w:u w:val="none" w:color="000000"/>
          <w:lang w:val="en-US" w:eastAsia="zh-CN" w:bidi="ar-SA"/>
        </w:rPr>
      </w:pPr>
      <w:r>
        <w:rPr>
          <w:rFonts w:hint="eastAsia" w:ascii="宋体" w:hAnsi="宋体" w:eastAsia="宋体" w:cs="宋体"/>
          <w:color w:val="auto"/>
          <w:kern w:val="2"/>
          <w:sz w:val="21"/>
          <w:szCs w:val="21"/>
          <w:highlight w:val="none"/>
          <w:u w:val="none" w:color="000000"/>
          <w:lang w:val="en-US" w:eastAsia="zh-CN" w:bidi="ar-SA"/>
        </w:rPr>
        <w:t xml:space="preserve">        残疾人福利性单位名称（盖单位章）：______________</w:t>
      </w:r>
    </w:p>
    <w:p w14:paraId="6FDA8C1F">
      <w:pPr>
        <w:widowControl/>
        <w:kinsoku/>
        <w:topLinePunct w:val="0"/>
        <w:bidi w:val="0"/>
        <w:spacing w:before="100" w:beforeAutospacing="1" w:after="100" w:afterAutospacing="1" w:line="380" w:lineRule="exact"/>
        <w:ind w:firstLine="420"/>
        <w:jc w:val="left"/>
        <w:rPr>
          <w:rFonts w:hint="eastAsia" w:ascii="宋体" w:hAnsi="宋体" w:eastAsia="宋体" w:cs="宋体"/>
          <w:kern w:val="0"/>
          <w:sz w:val="24"/>
          <w:szCs w:val="20"/>
          <w:highlight w:val="none"/>
        </w:rPr>
      </w:pPr>
      <w:r>
        <w:rPr>
          <w:rFonts w:hint="eastAsia" w:ascii="宋体" w:hAnsi="宋体" w:eastAsia="宋体" w:cs="宋体"/>
          <w:color w:val="auto"/>
          <w:kern w:val="2"/>
          <w:sz w:val="21"/>
          <w:szCs w:val="21"/>
          <w:highlight w:val="none"/>
          <w:u w:val="none" w:color="000000"/>
          <w:lang w:val="en-US" w:eastAsia="zh-CN" w:bidi="ar-SA"/>
        </w:rPr>
        <w:t xml:space="preserve">         日  期：____________________</w:t>
      </w:r>
      <w:r>
        <w:rPr>
          <w:rFonts w:hint="eastAsia" w:ascii="宋体" w:hAnsi="宋体" w:eastAsia="宋体" w:cs="宋体"/>
          <w:kern w:val="0"/>
          <w:sz w:val="24"/>
          <w:szCs w:val="20"/>
          <w:highlight w:val="none"/>
        </w:rPr>
        <w:t>_________________</w:t>
      </w:r>
    </w:p>
    <w:p w14:paraId="03E993CF">
      <w:pPr>
        <w:kinsoku/>
        <w:topLinePunct w:val="0"/>
        <w:bidi w:val="0"/>
        <w:spacing w:line="380" w:lineRule="exact"/>
        <w:ind w:left="1087" w:leftChars="257" w:hanging="540"/>
        <w:jc w:val="center"/>
        <w:rPr>
          <w:rFonts w:hint="eastAsia" w:ascii="宋体" w:hAnsi="宋体" w:eastAsia="宋体" w:cs="宋体"/>
          <w:b/>
          <w:kern w:val="0"/>
          <w:sz w:val="24"/>
          <w:szCs w:val="20"/>
          <w:highlight w:val="none"/>
        </w:rPr>
      </w:pPr>
    </w:p>
    <w:p w14:paraId="7942257C">
      <w:pPr>
        <w:kinsoku/>
        <w:topLinePunct w:val="0"/>
        <w:bidi w:val="0"/>
        <w:spacing w:line="380" w:lineRule="exact"/>
        <w:ind w:left="1087" w:leftChars="257" w:hanging="540"/>
        <w:jc w:val="center"/>
        <w:rPr>
          <w:rFonts w:hint="eastAsia" w:ascii="宋体" w:hAnsi="宋体" w:eastAsia="宋体" w:cs="宋体"/>
          <w:b/>
          <w:kern w:val="0"/>
          <w:sz w:val="24"/>
          <w:szCs w:val="20"/>
          <w:highlight w:val="none"/>
        </w:rPr>
      </w:pPr>
    </w:p>
    <w:p w14:paraId="5FA4F1A2">
      <w:pPr>
        <w:numPr>
          <w:ilvl w:val="0"/>
          <w:numId w:val="0"/>
        </w:numPr>
        <w:kinsoku/>
        <w:topLinePunct w:val="0"/>
        <w:bidi w:val="0"/>
        <w:spacing w:line="380" w:lineRule="exact"/>
        <w:ind w:left="547" w:leftChars="257"/>
        <w:outlineLvl w:val="9"/>
        <w:rPr>
          <w:rFonts w:hint="eastAsia" w:ascii="宋体" w:hAnsi="宋体" w:eastAsia="宋体" w:cs="宋体"/>
          <w:highlight w:val="none"/>
        </w:rPr>
      </w:pPr>
    </w:p>
    <w:p w14:paraId="2EFCA827">
      <w:pPr>
        <w:numPr>
          <w:ilvl w:val="0"/>
          <w:numId w:val="0"/>
        </w:numPr>
        <w:kinsoku/>
        <w:topLinePunct w:val="0"/>
        <w:bidi w:val="0"/>
        <w:spacing w:line="380" w:lineRule="exact"/>
        <w:ind w:left="547" w:leftChars="257"/>
        <w:jc w:val="center"/>
        <w:outlineLvl w:val="9"/>
        <w:rPr>
          <w:rFonts w:hint="eastAsia" w:ascii="宋体" w:hAnsi="宋体" w:eastAsia="宋体" w:cs="宋体"/>
          <w:highlight w:val="none"/>
        </w:rPr>
      </w:pPr>
    </w:p>
    <w:p w14:paraId="116BF94A">
      <w:pPr>
        <w:numPr>
          <w:ilvl w:val="0"/>
          <w:numId w:val="0"/>
        </w:numPr>
        <w:kinsoku/>
        <w:topLinePunct w:val="0"/>
        <w:bidi w:val="0"/>
        <w:spacing w:line="380" w:lineRule="exact"/>
        <w:ind w:left="547" w:leftChars="257"/>
        <w:jc w:val="center"/>
        <w:outlineLvl w:val="9"/>
        <w:rPr>
          <w:rFonts w:hint="eastAsia" w:ascii="宋体" w:hAnsi="宋体" w:eastAsia="宋体" w:cs="宋体"/>
          <w:highlight w:val="none"/>
        </w:rPr>
      </w:pPr>
    </w:p>
    <w:p w14:paraId="26E66BC1">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3D4CEF12">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431033F9">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441E0198">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7E463C56">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767968DC">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21B8BE24">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40CBC1F2">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44FF1FB7">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70CF8D13">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5E71ED02">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5DC12093">
      <w:pPr>
        <w:pStyle w:val="49"/>
        <w:kinsoku/>
        <w:topLinePunct w:val="0"/>
        <w:bidi w:val="0"/>
        <w:spacing w:line="380" w:lineRule="exact"/>
        <w:ind w:left="0" w:leftChars="0" w:firstLine="0" w:firstLineChars="0"/>
        <w:outlineLvl w:val="9"/>
        <w:rPr>
          <w:rFonts w:hint="eastAsia" w:ascii="宋体" w:hAnsi="宋体" w:eastAsia="宋体" w:cs="宋体"/>
          <w:highlight w:val="none"/>
        </w:rPr>
      </w:pPr>
    </w:p>
    <w:p w14:paraId="291B91B3">
      <w:pPr>
        <w:pStyle w:val="49"/>
        <w:kinsoku/>
        <w:topLinePunct w:val="0"/>
        <w:bidi w:val="0"/>
        <w:spacing w:line="380" w:lineRule="exact"/>
        <w:outlineLvl w:val="9"/>
        <w:rPr>
          <w:rFonts w:hint="eastAsia" w:ascii="宋体" w:hAnsi="宋体" w:eastAsia="宋体" w:cs="宋体"/>
          <w:highlight w:val="none"/>
        </w:rPr>
      </w:pPr>
    </w:p>
    <w:p w14:paraId="7F5E89DD">
      <w:pPr>
        <w:pStyle w:val="49"/>
        <w:shd w:val="clear" w:color="auto" w:fill="auto"/>
        <w:outlineLvl w:val="9"/>
        <w:rPr>
          <w:rFonts w:hint="eastAsia" w:ascii="宋体" w:hAnsi="宋体" w:eastAsia="宋体" w:cs="宋体"/>
          <w:color w:val="auto"/>
          <w:sz w:val="24"/>
          <w:highlight w:val="none"/>
        </w:rPr>
      </w:pPr>
      <w:bookmarkStart w:id="150" w:name="_Toc6386"/>
    </w:p>
    <w:p w14:paraId="100D24F2">
      <w:pPr>
        <w:pStyle w:val="49"/>
        <w:shd w:val="clear" w:color="auto" w:fill="auto"/>
        <w:outlineLvl w:val="9"/>
        <w:rPr>
          <w:rFonts w:hint="eastAsia" w:ascii="宋体" w:hAnsi="宋体" w:eastAsia="宋体" w:cs="宋体"/>
          <w:color w:val="auto"/>
          <w:sz w:val="24"/>
          <w:highlight w:val="none"/>
        </w:rPr>
      </w:pPr>
    </w:p>
    <w:p w14:paraId="5E8DE669">
      <w:pPr>
        <w:pStyle w:val="49"/>
        <w:shd w:val="clear" w:color="auto" w:fill="auto"/>
        <w:outlineLvl w:val="9"/>
        <w:rPr>
          <w:rFonts w:hint="eastAsia" w:ascii="宋体" w:hAnsi="宋体" w:eastAsia="宋体" w:cs="宋体"/>
          <w:color w:val="auto"/>
          <w:sz w:val="24"/>
          <w:highlight w:val="none"/>
        </w:rPr>
      </w:pPr>
    </w:p>
    <w:p w14:paraId="765D2E35">
      <w:pPr>
        <w:pStyle w:val="49"/>
        <w:shd w:val="clear" w:color="auto" w:fill="auto"/>
        <w:rPr>
          <w:rFonts w:hint="eastAsia" w:ascii="宋体" w:hAnsi="宋体" w:eastAsia="宋体" w:cs="宋体"/>
          <w:color w:val="auto"/>
          <w:sz w:val="24"/>
          <w:highlight w:val="none"/>
        </w:rPr>
      </w:pPr>
    </w:p>
    <w:p w14:paraId="747F23B7">
      <w:pPr>
        <w:pStyle w:val="4"/>
        <w:numPr>
          <w:ilvl w:val="0"/>
          <w:numId w:val="0"/>
        </w:numPr>
        <w:shd w:val="clear" w:color="auto" w:fill="auto"/>
        <w:spacing w:before="0" w:line="240" w:lineRule="atLeas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投标人关联单位的说明</w:t>
      </w:r>
      <w:bookmarkEnd w:id="137"/>
      <w:bookmarkEnd w:id="138"/>
      <w:bookmarkEnd w:id="139"/>
      <w:bookmarkEnd w:id="150"/>
    </w:p>
    <w:p w14:paraId="0DEF82E2">
      <w:pPr>
        <w:pStyle w:val="6"/>
        <w:shd w:val="clear" w:color="auto" w:fill="auto"/>
        <w:jc w:val="center"/>
        <w:rPr>
          <w:rFonts w:hint="eastAsia" w:ascii="宋体" w:hAnsi="宋体" w:eastAsia="宋体" w:cs="宋体"/>
          <w:color w:val="auto"/>
          <w:highlight w:val="none"/>
        </w:rPr>
      </w:pPr>
    </w:p>
    <w:p w14:paraId="37B711CB">
      <w:pPr>
        <w:pStyle w:val="6"/>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说明：投标人应当如实披露与本单位存在下列关联关系的单位名称：</w:t>
      </w:r>
    </w:p>
    <w:p w14:paraId="645008B5">
      <w:pPr>
        <w:pStyle w:val="6"/>
        <w:shd w:val="clear" w:color="auto" w:fill="auto"/>
        <w:ind w:firstLine="426" w:firstLineChars="200"/>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（1）与投标人单位负责人为同一人的其他单位；</w:t>
      </w:r>
    </w:p>
    <w:p w14:paraId="5E50416E">
      <w:pPr>
        <w:pStyle w:val="6"/>
        <w:shd w:val="clear" w:color="auto" w:fill="auto"/>
        <w:ind w:firstLine="426" w:firstLineChars="20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（2）与投标人存在直接控股、管理关系的其他单位。</w:t>
      </w:r>
    </w:p>
    <w:p w14:paraId="0947296E">
      <w:pPr>
        <w:pStyle w:val="6"/>
        <w:shd w:val="clear" w:color="auto" w:fill="auto"/>
        <w:ind w:firstLine="0"/>
        <w:outlineLvl w:val="9"/>
        <w:rPr>
          <w:rFonts w:hint="eastAsia" w:ascii="宋体" w:hAnsi="宋体" w:eastAsia="宋体" w:cs="宋体"/>
          <w:color w:val="auto"/>
          <w:highlight w:val="none"/>
        </w:rPr>
      </w:pPr>
      <w:bookmarkStart w:id="151" w:name="_Toc515647828"/>
      <w:bookmarkStart w:id="152" w:name="_Toc7414"/>
      <w:bookmarkStart w:id="153" w:name="_Toc17333"/>
    </w:p>
    <w:p w14:paraId="73067420">
      <w:pPr>
        <w:pStyle w:val="49"/>
        <w:shd w:val="clear" w:color="auto" w:fill="auto"/>
        <w:ind w:left="0" w:leftChars="0" w:firstLine="0" w:firstLineChars="0"/>
        <w:outlineLvl w:val="9"/>
        <w:rPr>
          <w:rFonts w:hint="eastAsia" w:ascii="宋体" w:hAnsi="宋体" w:eastAsia="宋体" w:cs="宋体"/>
          <w:color w:val="auto"/>
          <w:highlight w:val="none"/>
        </w:rPr>
      </w:pPr>
    </w:p>
    <w:p w14:paraId="3D996619">
      <w:pPr>
        <w:pStyle w:val="49"/>
        <w:shd w:val="clear" w:color="auto" w:fill="auto"/>
        <w:ind w:left="0" w:leftChars="0" w:firstLine="0" w:firstLineChars="0"/>
        <w:outlineLvl w:val="9"/>
        <w:rPr>
          <w:rFonts w:hint="eastAsia" w:ascii="宋体" w:hAnsi="宋体" w:eastAsia="宋体" w:cs="宋体"/>
          <w:color w:val="auto"/>
          <w:highlight w:val="none"/>
        </w:rPr>
      </w:pPr>
    </w:p>
    <w:bookmarkEnd w:id="151"/>
    <w:bookmarkEnd w:id="152"/>
    <w:bookmarkEnd w:id="153"/>
    <w:p w14:paraId="6B4E69E4">
      <w:pPr>
        <w:numPr>
          <w:ilvl w:val="1"/>
          <w:numId w:val="0"/>
        </w:numPr>
        <w:shd w:val="clear" w:color="auto" w:fill="auto"/>
        <w:spacing w:before="0" w:line="240" w:lineRule="atLeast"/>
        <w:jc w:val="both"/>
        <w:outlineLvl w:val="9"/>
        <w:rPr>
          <w:rFonts w:hint="eastAsia" w:ascii="宋体" w:hAnsi="宋体" w:eastAsia="宋体" w:cs="宋体"/>
          <w:b/>
          <w:bCs/>
          <w:color w:val="auto"/>
          <w:sz w:val="24"/>
          <w:highlight w:val="none"/>
          <w:lang w:val="en-US" w:eastAsia="zh-CN"/>
        </w:rPr>
      </w:pPr>
    </w:p>
    <w:p w14:paraId="6F89AAFB">
      <w:pPr>
        <w:numPr>
          <w:ilvl w:val="1"/>
          <w:numId w:val="0"/>
        </w:numPr>
        <w:shd w:val="clear" w:color="auto" w:fill="auto"/>
        <w:spacing w:before="0" w:line="240" w:lineRule="atLeast"/>
        <w:jc w:val="center"/>
        <w:outlineLvl w:val="9"/>
        <w:rPr>
          <w:rFonts w:hint="eastAsia" w:ascii="宋体" w:hAnsi="宋体" w:eastAsia="宋体" w:cs="宋体"/>
          <w:b/>
          <w:bCs/>
          <w:color w:val="auto"/>
          <w:sz w:val="24"/>
          <w:highlight w:val="none"/>
          <w:lang w:val="en-US" w:eastAsia="zh-CN"/>
        </w:rPr>
      </w:pPr>
    </w:p>
    <w:p w14:paraId="15148486">
      <w:pPr>
        <w:pStyle w:val="4"/>
        <w:numPr>
          <w:ilvl w:val="1"/>
          <w:numId w:val="0"/>
        </w:numPr>
        <w:shd w:val="clear" w:color="auto" w:fill="auto"/>
        <w:spacing w:before="0" w:line="240" w:lineRule="atLeast"/>
        <w:jc w:val="center"/>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lang w:eastAsia="zh-CN"/>
        </w:rPr>
        <w:t>评分标准和细则中技术部分证明材料（格式自拟）</w:t>
      </w:r>
    </w:p>
    <w:p w14:paraId="16990D38">
      <w:pPr>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14:paraId="72DB0820">
      <w:pPr>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14:paraId="20BA9460">
      <w:pPr>
        <w:pStyle w:val="14"/>
        <w:shd w:val="clear" w:color="auto" w:fill="auto"/>
        <w:tabs>
          <w:tab w:val="left" w:pos="5580"/>
        </w:tabs>
        <w:spacing w:line="360" w:lineRule="auto"/>
        <w:ind w:left="1087" w:leftChars="257" w:hanging="540"/>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rPr>
        <w:t>说明：1.应提供</w:t>
      </w:r>
      <w:r>
        <w:rPr>
          <w:rFonts w:hint="eastAsia" w:ascii="宋体" w:hAnsi="宋体" w:eastAsia="宋体" w:cs="宋体"/>
          <w:color w:val="auto"/>
          <w:sz w:val="21"/>
          <w:szCs w:val="16"/>
          <w:highlight w:val="none"/>
          <w:u w:val="single" w:color="auto"/>
          <w:lang w:eastAsia="zh-CN"/>
        </w:rPr>
        <w:t>评分标准和细则中技术部分</w:t>
      </w:r>
      <w:r>
        <w:rPr>
          <w:rFonts w:hint="eastAsia" w:ascii="宋体" w:hAnsi="宋体" w:eastAsia="宋体" w:cs="宋体"/>
          <w:color w:val="auto"/>
          <w:sz w:val="21"/>
          <w:szCs w:val="16"/>
          <w:highlight w:val="none"/>
        </w:rPr>
        <w:t>要求的其他资格证明文件</w:t>
      </w:r>
      <w:r>
        <w:rPr>
          <w:rFonts w:hint="eastAsia" w:hAnsi="宋体" w:eastAsia="宋体" w:cs="宋体"/>
          <w:color w:val="auto"/>
          <w:sz w:val="21"/>
          <w:szCs w:val="16"/>
          <w:highlight w:val="none"/>
          <w:lang w:eastAsia="zh-CN"/>
        </w:rPr>
        <w:t>。</w:t>
      </w:r>
    </w:p>
    <w:p w14:paraId="2274EFA8">
      <w:pPr>
        <w:pStyle w:val="14"/>
        <w:shd w:val="clear" w:color="auto" w:fill="auto"/>
        <w:tabs>
          <w:tab w:val="left" w:pos="5580"/>
        </w:tabs>
        <w:spacing w:line="360" w:lineRule="auto"/>
        <w:ind w:firstLine="1065" w:firstLineChars="500"/>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14:paraId="1CCBA9C2">
      <w:pPr>
        <w:pStyle w:val="14"/>
        <w:shd w:val="clear" w:color="auto" w:fill="auto"/>
        <w:tabs>
          <w:tab w:val="left" w:pos="5580"/>
        </w:tabs>
        <w:spacing w:line="240" w:lineRule="atLeast"/>
        <w:ind w:left="1270" w:leftChars="344" w:hanging="53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4983121">
      <w:pPr>
        <w:pStyle w:val="49"/>
        <w:shd w:val="clear" w:color="auto" w:fill="auto"/>
        <w:ind w:left="0" w:leftChars="0" w:firstLine="0" w:firstLineChars="0"/>
        <w:outlineLvl w:val="9"/>
        <w:rPr>
          <w:rFonts w:hint="eastAsia"/>
          <w:color w:val="auto"/>
          <w:highlight w:val="none"/>
          <w:lang w:val="en-US" w:eastAsia="zh-CN"/>
        </w:rPr>
      </w:pPr>
    </w:p>
    <w:p w14:paraId="3452779D">
      <w:pPr>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14:paraId="44890405">
      <w:pPr>
        <w:pStyle w:val="4"/>
        <w:numPr>
          <w:ilvl w:val="1"/>
          <w:numId w:val="0"/>
        </w:numPr>
        <w:shd w:val="clear" w:color="auto" w:fill="auto"/>
        <w:spacing w:before="0" w:line="240" w:lineRule="atLeast"/>
        <w:jc w:val="center"/>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lang w:eastAsia="zh-CN"/>
        </w:rPr>
        <w:t>评分标准和细则中商务部分证明材料（格式自拟）</w:t>
      </w:r>
    </w:p>
    <w:p w14:paraId="01028D48">
      <w:pPr>
        <w:pStyle w:val="14"/>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14:paraId="5F1F1FF2">
      <w:pPr>
        <w:pStyle w:val="14"/>
        <w:shd w:val="clear" w:color="auto" w:fill="auto"/>
        <w:tabs>
          <w:tab w:val="left" w:pos="5580"/>
        </w:tabs>
        <w:spacing w:line="240" w:lineRule="atLeast"/>
        <w:ind w:left="1087" w:leftChars="257" w:hanging="540"/>
        <w:rPr>
          <w:rFonts w:hint="eastAsia" w:ascii="宋体" w:hAnsi="宋体" w:eastAsia="宋体" w:cs="宋体"/>
          <w:color w:val="auto"/>
          <w:sz w:val="24"/>
          <w:highlight w:val="none"/>
        </w:rPr>
      </w:pPr>
    </w:p>
    <w:p w14:paraId="5674B51D">
      <w:pPr>
        <w:pStyle w:val="14"/>
        <w:shd w:val="clear" w:color="auto" w:fill="auto"/>
        <w:tabs>
          <w:tab w:val="left" w:pos="5580"/>
        </w:tabs>
        <w:spacing w:line="360" w:lineRule="auto"/>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说明</w:t>
      </w:r>
      <w:r>
        <w:rPr>
          <w:rFonts w:hint="eastAsia" w:ascii="宋体" w:hAnsi="宋体" w:eastAsia="宋体" w:cs="宋体"/>
          <w:color w:val="auto"/>
          <w:sz w:val="21"/>
          <w:szCs w:val="16"/>
          <w:highlight w:val="none"/>
          <w:lang w:val="en-US" w:eastAsia="zh-CN"/>
        </w:rPr>
        <w:t>.</w:t>
      </w:r>
      <w:r>
        <w:rPr>
          <w:rFonts w:hint="eastAsia" w:ascii="宋体" w:hAnsi="宋体" w:eastAsia="宋体" w:cs="宋体"/>
          <w:color w:val="auto"/>
          <w:sz w:val="21"/>
          <w:szCs w:val="16"/>
          <w:highlight w:val="none"/>
        </w:rPr>
        <w:t>1.应提供</w:t>
      </w:r>
      <w:r>
        <w:rPr>
          <w:rFonts w:hint="eastAsia" w:ascii="宋体" w:hAnsi="宋体" w:eastAsia="宋体" w:cs="宋体"/>
          <w:color w:val="auto"/>
          <w:sz w:val="21"/>
          <w:szCs w:val="16"/>
          <w:highlight w:val="none"/>
          <w:lang w:eastAsia="zh-CN"/>
        </w:rPr>
        <w:t>评分标准和细则中商务部分</w:t>
      </w:r>
      <w:r>
        <w:rPr>
          <w:rFonts w:hint="eastAsia" w:ascii="宋体" w:hAnsi="宋体" w:eastAsia="宋体" w:cs="宋体"/>
          <w:color w:val="auto"/>
          <w:sz w:val="21"/>
          <w:szCs w:val="16"/>
          <w:highlight w:val="none"/>
        </w:rPr>
        <w:t>要求的其他资格证明文件。</w:t>
      </w:r>
    </w:p>
    <w:p w14:paraId="7B0016D0">
      <w:pPr>
        <w:pStyle w:val="14"/>
        <w:shd w:val="clear" w:color="auto" w:fill="auto"/>
        <w:tabs>
          <w:tab w:val="left" w:pos="5580"/>
        </w:tabs>
        <w:spacing w:line="360" w:lineRule="auto"/>
        <w:ind w:left="1153" w:leftChars="485" w:hanging="120" w:hangingChars="57"/>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2.复印件上应加盖本单位章（自然人投标的无需盖章，需要签字）。</w:t>
      </w:r>
    </w:p>
    <w:p w14:paraId="56C48BD4">
      <w:pPr>
        <w:pStyle w:val="14"/>
        <w:shd w:val="clear" w:color="auto" w:fill="auto"/>
        <w:tabs>
          <w:tab w:val="left" w:pos="5580"/>
        </w:tabs>
        <w:spacing w:line="360" w:lineRule="auto"/>
        <w:ind w:left="1087" w:leftChars="257" w:hanging="540"/>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rPr>
        <w:t xml:space="preserve"> </w:t>
      </w:r>
      <w:r>
        <w:rPr>
          <w:rFonts w:hint="eastAsia" w:ascii="宋体" w:hAnsi="宋体" w:eastAsia="宋体" w:cs="宋体"/>
          <w:color w:val="auto"/>
          <w:sz w:val="21"/>
          <w:szCs w:val="16"/>
          <w:highlight w:val="none"/>
          <w:lang w:val="en-US" w:eastAsia="zh-CN"/>
        </w:rPr>
        <w:t xml:space="preserve">   </w:t>
      </w:r>
      <w:r>
        <w:rPr>
          <w:rFonts w:hint="eastAsia" w:ascii="宋体" w:hAnsi="宋体" w:eastAsia="宋体" w:cs="宋体"/>
          <w:color w:val="auto"/>
          <w:sz w:val="21"/>
          <w:szCs w:val="16"/>
          <w:highlight w:val="none"/>
        </w:rPr>
        <w:t>3. （本项目不接受联合体）如果是联合体投标，联合体各方需提供的满足</w:t>
      </w:r>
      <w:r>
        <w:rPr>
          <w:rFonts w:hint="eastAsia" w:hAnsi="宋体" w:cs="宋体"/>
          <w:color w:val="auto"/>
          <w:sz w:val="21"/>
          <w:szCs w:val="16"/>
          <w:highlight w:val="none"/>
          <w:lang w:val="en-US" w:eastAsia="zh-CN"/>
        </w:rPr>
        <w:t>招标</w:t>
      </w:r>
      <w:r>
        <w:rPr>
          <w:rFonts w:hint="eastAsia" w:ascii="宋体" w:hAnsi="宋体" w:eastAsia="宋体" w:cs="宋体"/>
          <w:color w:val="auto"/>
          <w:sz w:val="21"/>
          <w:szCs w:val="16"/>
          <w:highlight w:val="none"/>
          <w:lang w:eastAsia="zh-CN"/>
        </w:rPr>
        <w:t>文件</w:t>
      </w:r>
      <w:r>
        <w:rPr>
          <w:rFonts w:hint="eastAsia" w:ascii="宋体" w:hAnsi="宋体" w:eastAsia="宋体" w:cs="宋体"/>
          <w:color w:val="auto"/>
          <w:sz w:val="21"/>
          <w:szCs w:val="16"/>
          <w:highlight w:val="none"/>
        </w:rPr>
        <w:t>要求的其他资格证明文件。</w:t>
      </w:r>
    </w:p>
    <w:p w14:paraId="7149D589">
      <w:pPr>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14:paraId="5EE09D82">
      <w:pPr>
        <w:pStyle w:val="49"/>
        <w:shd w:val="clear" w:color="auto" w:fill="auto"/>
        <w:outlineLvl w:val="9"/>
        <w:rPr>
          <w:rFonts w:hint="eastAsia" w:ascii="宋体" w:hAnsi="宋体" w:eastAsia="宋体" w:cs="宋体"/>
          <w:color w:val="auto"/>
          <w:sz w:val="24"/>
          <w:highlight w:val="none"/>
          <w:lang w:val="en-US" w:eastAsia="zh-CN"/>
        </w:rPr>
      </w:pPr>
    </w:p>
    <w:p w14:paraId="233788A5">
      <w:pPr>
        <w:numPr>
          <w:ilvl w:val="1"/>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lang w:val="en-US" w:eastAsia="zh-CN"/>
        </w:rPr>
      </w:pPr>
    </w:p>
    <w:p w14:paraId="5C71258B">
      <w:pPr>
        <w:numPr>
          <w:ilvl w:val="1"/>
          <w:numId w:val="0"/>
        </w:numPr>
        <w:shd w:val="clear" w:color="auto" w:fill="auto"/>
        <w:spacing w:before="0" w:line="240" w:lineRule="atLeast"/>
        <w:jc w:val="left"/>
        <w:outlineLvl w:val="9"/>
        <w:rPr>
          <w:rFonts w:hint="eastAsia" w:ascii="宋体" w:hAnsi="宋体" w:eastAsia="宋体" w:cs="宋体"/>
          <w:color w:val="auto"/>
          <w:sz w:val="24"/>
          <w:highlight w:val="none"/>
          <w:lang w:val="en-US" w:eastAsia="zh-CN"/>
        </w:rPr>
      </w:pPr>
    </w:p>
    <w:p w14:paraId="1DDCC1F9">
      <w:pPr>
        <w:pStyle w:val="4"/>
        <w:numPr>
          <w:ilvl w:val="1"/>
          <w:numId w:val="0"/>
        </w:numPr>
        <w:shd w:val="clear" w:color="auto" w:fill="auto"/>
        <w:spacing w:before="0" w:line="240" w:lineRule="atLeast"/>
        <w:jc w:val="center"/>
        <w:outlineLvl w:val="2"/>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13、</w:t>
      </w:r>
      <w:r>
        <w:rPr>
          <w:rFonts w:hint="eastAsia" w:ascii="宋体" w:hAnsi="宋体" w:eastAsia="宋体" w:cs="宋体"/>
          <w:b/>
          <w:bCs/>
          <w:color w:val="auto"/>
          <w:sz w:val="24"/>
          <w:highlight w:val="none"/>
          <w:lang w:eastAsia="zh-CN"/>
        </w:rPr>
        <w:t>投标人认为有必要提供的其他证明材料（格式自拟）</w:t>
      </w:r>
    </w:p>
    <w:p w14:paraId="2D245FEC">
      <w:pPr>
        <w:shd w:val="clear" w:color="auto" w:fill="auto"/>
        <w:rPr>
          <w:rFonts w:hint="eastAsia" w:ascii="宋体" w:hAnsi="宋体" w:eastAsia="宋体" w:cs="宋体"/>
          <w:color w:val="auto"/>
          <w:highlight w:val="none"/>
        </w:rPr>
      </w:pPr>
    </w:p>
    <w:p w14:paraId="44892EC3">
      <w:pPr>
        <w:pStyle w:val="14"/>
        <w:shd w:val="clear" w:color="auto" w:fill="auto"/>
        <w:tabs>
          <w:tab w:val="left" w:pos="5580"/>
        </w:tabs>
        <w:spacing w:line="240" w:lineRule="atLeast"/>
        <w:ind w:firstLine="486"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说明：1.复印件上应加盖本单位章（自然人投标的无需盖章，需要签字）。</w:t>
      </w:r>
    </w:p>
    <w:p w14:paraId="10E3257C">
      <w:pPr>
        <w:pStyle w:val="14"/>
        <w:shd w:val="clear" w:color="auto" w:fill="auto"/>
        <w:tabs>
          <w:tab w:val="left" w:pos="5580"/>
        </w:tabs>
        <w:spacing w:line="240" w:lineRule="atLeast"/>
        <w:ind w:left="1214" w:leftChars="570" w:firstLine="0" w:firstLineChars="0"/>
        <w:rPr>
          <w:rFonts w:hint="eastAsia"/>
          <w:color w:val="auto"/>
          <w:highlight w:val="none"/>
        </w:rPr>
      </w:pPr>
      <w:r>
        <w:rPr>
          <w:rFonts w:hint="eastAsia" w:ascii="宋体" w:hAnsi="宋体" w:eastAsia="宋体" w:cs="宋体"/>
          <w:b w:val="0"/>
          <w:bCs w:val="0"/>
          <w:color w:val="auto"/>
          <w:kern w:val="2"/>
          <w:sz w:val="24"/>
          <w:szCs w:val="20"/>
          <w:highlight w:val="none"/>
          <w:u w:val="none" w:color="000000"/>
          <w:lang w:val="en-US" w:eastAsia="zh-CN" w:bidi="ar-SA"/>
        </w:rPr>
        <w:t>2.（本项目不接受联合体）如果是联合体投标，联合体各方需提供的满足</w:t>
      </w:r>
      <w:r>
        <w:rPr>
          <w:rFonts w:hint="eastAsia" w:hAnsi="宋体" w:cs="宋体"/>
          <w:b w:val="0"/>
          <w:bCs w:val="0"/>
          <w:color w:val="auto"/>
          <w:kern w:val="2"/>
          <w:sz w:val="24"/>
          <w:szCs w:val="20"/>
          <w:highlight w:val="none"/>
          <w:u w:val="none" w:color="000000"/>
          <w:lang w:val="en-US" w:eastAsia="zh-CN" w:bidi="ar-SA"/>
        </w:rPr>
        <w:t>招标</w:t>
      </w:r>
      <w:r>
        <w:rPr>
          <w:rFonts w:hint="eastAsia" w:hAnsi="宋体" w:eastAsia="宋体" w:cs="宋体"/>
          <w:b w:val="0"/>
          <w:bCs w:val="0"/>
          <w:color w:val="auto"/>
          <w:kern w:val="2"/>
          <w:sz w:val="24"/>
          <w:szCs w:val="20"/>
          <w:highlight w:val="none"/>
          <w:u w:val="none" w:color="000000"/>
          <w:lang w:val="en-US" w:eastAsia="zh-CN" w:bidi="ar-SA"/>
        </w:rPr>
        <w:t>文件</w:t>
      </w:r>
      <w:r>
        <w:rPr>
          <w:rFonts w:hint="eastAsia" w:ascii="宋体" w:hAnsi="宋体" w:eastAsia="宋体" w:cs="宋体"/>
          <w:b w:val="0"/>
          <w:bCs w:val="0"/>
          <w:color w:val="auto"/>
          <w:kern w:val="2"/>
          <w:sz w:val="24"/>
          <w:szCs w:val="20"/>
          <w:highlight w:val="none"/>
          <w:u w:val="none" w:color="000000"/>
          <w:lang w:val="en-US" w:eastAsia="zh-CN" w:bidi="ar-SA"/>
        </w:rPr>
        <w:t>要求的其他资格证明文件。</w:t>
      </w:r>
    </w:p>
    <w:p w14:paraId="5E6B06FB">
      <w:pPr>
        <w:pStyle w:val="10"/>
        <w:rPr>
          <w:rFonts w:hint="eastAsia"/>
          <w:color w:val="auto"/>
          <w:highlight w:val="none"/>
        </w:rPr>
      </w:pPr>
    </w:p>
    <w:tbl>
      <w:tblPr>
        <w:tblStyle w:val="28"/>
        <w:tblW w:w="109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925"/>
        <w:gridCol w:w="606"/>
        <w:gridCol w:w="835"/>
        <w:gridCol w:w="843"/>
        <w:gridCol w:w="766"/>
        <w:gridCol w:w="936"/>
        <w:gridCol w:w="740"/>
        <w:gridCol w:w="785"/>
        <w:gridCol w:w="785"/>
        <w:gridCol w:w="704"/>
        <w:gridCol w:w="798"/>
        <w:gridCol w:w="714"/>
        <w:gridCol w:w="501"/>
      </w:tblGrid>
      <w:tr w14:paraId="5E40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7DFF8CC1">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行业</w:t>
            </w:r>
          </w:p>
        </w:tc>
        <w:tc>
          <w:tcPr>
            <w:tcW w:w="2284" w:type="dxa"/>
            <w:gridSpan w:val="3"/>
            <w:tcBorders>
              <w:top w:val="single" w:color="000000" w:sz="12" w:space="0"/>
              <w:left w:val="single" w:color="000000" w:sz="4" w:space="0"/>
              <w:bottom w:val="single" w:color="000000" w:sz="4" w:space="0"/>
              <w:right w:val="single" w:color="000000" w:sz="4" w:space="0"/>
            </w:tcBorders>
            <w:noWrap w:val="0"/>
            <w:vAlign w:val="center"/>
          </w:tcPr>
          <w:p w14:paraId="257488F4">
            <w:pPr>
              <w:keepNext w:val="0"/>
              <w:keepLines w:val="0"/>
              <w:widowControl/>
              <w:suppressLineNumbers w:val="0"/>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中小微型企业（</w:t>
            </w:r>
            <w:r>
              <w:rPr>
                <w:rFonts w:hint="eastAsia" w:ascii="仿宋" w:hAnsi="仿宋" w:eastAsia="仿宋" w:cs="仿宋"/>
                <w:b/>
                <w:i w:val="0"/>
                <w:color w:val="auto"/>
                <w:kern w:val="0"/>
                <w:sz w:val="11"/>
                <w:szCs w:val="11"/>
                <w:highlight w:val="none"/>
                <w:u w:val="none"/>
                <w:lang w:val="en-US" w:eastAsia="zh-CN" w:bidi="ar"/>
              </w:rPr>
              <w:t>或</w:t>
            </w:r>
            <w:r>
              <w:rPr>
                <w:rStyle w:val="68"/>
                <w:color w:val="auto"/>
                <w:sz w:val="11"/>
                <w:szCs w:val="11"/>
                <w:highlight w:val="none"/>
                <w:lang w:val="en-US" w:eastAsia="zh-CN" w:bidi="ar"/>
              </w:rPr>
              <w:t>）</w:t>
            </w:r>
          </w:p>
        </w:tc>
        <w:tc>
          <w:tcPr>
            <w:tcW w:w="2442" w:type="dxa"/>
            <w:gridSpan w:val="3"/>
            <w:tcBorders>
              <w:top w:val="single" w:color="000000" w:sz="12" w:space="0"/>
              <w:left w:val="single" w:color="000000" w:sz="4" w:space="0"/>
              <w:bottom w:val="single" w:color="000000" w:sz="4" w:space="0"/>
              <w:right w:val="single" w:color="000000" w:sz="4" w:space="0"/>
            </w:tcBorders>
            <w:noWrap w:val="0"/>
            <w:vAlign w:val="center"/>
          </w:tcPr>
          <w:p w14:paraId="51215218">
            <w:pPr>
              <w:keepNext w:val="0"/>
              <w:keepLines w:val="0"/>
              <w:widowControl/>
              <w:suppressLineNumbers w:val="0"/>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中型企业（</w:t>
            </w:r>
            <w:r>
              <w:rPr>
                <w:rFonts w:hint="eastAsia" w:ascii="仿宋" w:hAnsi="仿宋" w:eastAsia="仿宋" w:cs="仿宋"/>
                <w:b/>
                <w:i w:val="0"/>
                <w:color w:val="auto"/>
                <w:kern w:val="0"/>
                <w:sz w:val="11"/>
                <w:szCs w:val="11"/>
                <w:highlight w:val="none"/>
                <w:u w:val="none"/>
                <w:lang w:val="en-US" w:eastAsia="zh-CN" w:bidi="ar"/>
              </w:rPr>
              <w:t>且</w:t>
            </w:r>
            <w:r>
              <w:rPr>
                <w:rStyle w:val="68"/>
                <w:color w:val="auto"/>
                <w:sz w:val="11"/>
                <w:szCs w:val="11"/>
                <w:highlight w:val="none"/>
                <w:lang w:val="en-US" w:eastAsia="zh-CN" w:bidi="ar"/>
              </w:rPr>
              <w:t>）</w:t>
            </w:r>
          </w:p>
        </w:tc>
        <w:tc>
          <w:tcPr>
            <w:tcW w:w="2274" w:type="dxa"/>
            <w:gridSpan w:val="3"/>
            <w:tcBorders>
              <w:top w:val="single" w:color="000000" w:sz="12" w:space="0"/>
              <w:left w:val="single" w:color="000000" w:sz="4" w:space="0"/>
              <w:bottom w:val="single" w:color="000000" w:sz="4" w:space="0"/>
              <w:right w:val="single" w:color="000000" w:sz="4" w:space="0"/>
            </w:tcBorders>
            <w:noWrap w:val="0"/>
            <w:vAlign w:val="center"/>
          </w:tcPr>
          <w:p w14:paraId="56D835D0">
            <w:pPr>
              <w:keepNext w:val="0"/>
              <w:keepLines w:val="0"/>
              <w:widowControl/>
              <w:suppressLineNumbers w:val="0"/>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小型企业（</w:t>
            </w:r>
            <w:r>
              <w:rPr>
                <w:rFonts w:hint="eastAsia" w:ascii="仿宋" w:hAnsi="仿宋" w:eastAsia="仿宋" w:cs="仿宋"/>
                <w:b/>
                <w:i w:val="0"/>
                <w:color w:val="auto"/>
                <w:kern w:val="0"/>
                <w:sz w:val="11"/>
                <w:szCs w:val="11"/>
                <w:highlight w:val="none"/>
                <w:u w:val="none"/>
                <w:lang w:val="en-US" w:eastAsia="zh-CN" w:bidi="ar"/>
              </w:rPr>
              <w:t>且</w:t>
            </w:r>
            <w:r>
              <w:rPr>
                <w:rStyle w:val="68"/>
                <w:color w:val="auto"/>
                <w:sz w:val="11"/>
                <w:szCs w:val="11"/>
                <w:highlight w:val="none"/>
                <w:lang w:val="en-US" w:eastAsia="zh-CN" w:bidi="ar"/>
              </w:rPr>
              <w:t>）</w:t>
            </w:r>
          </w:p>
        </w:tc>
        <w:tc>
          <w:tcPr>
            <w:tcW w:w="2013" w:type="dxa"/>
            <w:gridSpan w:val="3"/>
            <w:tcBorders>
              <w:top w:val="single" w:color="000000" w:sz="12" w:space="0"/>
              <w:left w:val="single" w:color="000000" w:sz="4" w:space="0"/>
              <w:bottom w:val="single" w:color="000000" w:sz="4" w:space="0"/>
              <w:right w:val="single" w:color="000000" w:sz="12" w:space="0"/>
            </w:tcBorders>
            <w:noWrap w:val="0"/>
            <w:vAlign w:val="center"/>
          </w:tcPr>
          <w:p w14:paraId="62F2FED3">
            <w:pPr>
              <w:keepNext w:val="0"/>
              <w:keepLines w:val="0"/>
              <w:widowControl/>
              <w:suppressLineNumbers w:val="0"/>
              <w:ind w:right="-100" w:rightChars="-47"/>
              <w:jc w:val="center"/>
              <w:textAlignment w:val="center"/>
              <w:rPr>
                <w:rFonts w:hint="eastAsia" w:ascii="仿宋" w:hAnsi="仿宋" w:eastAsia="仿宋" w:cs="仿宋"/>
                <w:i w:val="0"/>
                <w:color w:val="auto"/>
                <w:sz w:val="11"/>
                <w:szCs w:val="11"/>
                <w:highlight w:val="none"/>
                <w:u w:val="none"/>
              </w:rPr>
            </w:pPr>
            <w:r>
              <w:rPr>
                <w:rFonts w:hint="eastAsia" w:ascii="仿宋" w:hAnsi="仿宋" w:eastAsia="仿宋" w:cs="仿宋"/>
                <w:i w:val="0"/>
                <w:color w:val="auto"/>
                <w:kern w:val="0"/>
                <w:sz w:val="11"/>
                <w:szCs w:val="11"/>
                <w:highlight w:val="none"/>
                <w:u w:val="none"/>
                <w:lang w:val="en-US" w:eastAsia="zh-CN" w:bidi="ar"/>
              </w:rPr>
              <w:t>微型企业（</w:t>
            </w:r>
            <w:r>
              <w:rPr>
                <w:rFonts w:hint="eastAsia" w:ascii="仿宋" w:hAnsi="仿宋" w:eastAsia="仿宋" w:cs="仿宋"/>
                <w:b/>
                <w:i w:val="0"/>
                <w:color w:val="auto"/>
                <w:kern w:val="0"/>
                <w:sz w:val="11"/>
                <w:szCs w:val="11"/>
                <w:highlight w:val="none"/>
                <w:u w:val="none"/>
                <w:lang w:val="en-US" w:eastAsia="zh-CN" w:bidi="ar"/>
              </w:rPr>
              <w:t>或</w:t>
            </w:r>
            <w:r>
              <w:rPr>
                <w:rStyle w:val="68"/>
                <w:color w:val="auto"/>
                <w:sz w:val="11"/>
                <w:szCs w:val="11"/>
                <w:highlight w:val="none"/>
                <w:lang w:val="en-US" w:eastAsia="zh-CN" w:bidi="ar"/>
              </w:rPr>
              <w:t>）</w:t>
            </w:r>
          </w:p>
        </w:tc>
      </w:tr>
      <w:tr w14:paraId="27F9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192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1A676DAD">
            <w:pPr>
              <w:jc w:val="center"/>
              <w:rPr>
                <w:rFonts w:hint="eastAsia" w:ascii="仿宋" w:hAnsi="仿宋" w:eastAsia="仿宋" w:cs="仿宋"/>
                <w:i w:val="0"/>
                <w:color w:val="000000"/>
                <w:sz w:val="11"/>
                <w:szCs w:val="11"/>
                <w:highlight w:val="none"/>
                <w:u w:val="none"/>
              </w:rPr>
            </w:pP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033EC154">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BC60534">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770D3D7">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183E688D">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5171F62">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32D7CB">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75F0689">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4665561">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F1C36B4">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696AFA9">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从业人员</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E89693">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营业收入</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A1F0E85">
            <w:pPr>
              <w:keepNext w:val="0"/>
              <w:keepLines w:val="0"/>
              <w:widowControl/>
              <w:suppressLineNumbers w:val="0"/>
              <w:jc w:val="center"/>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资产总额</w:t>
            </w:r>
          </w:p>
        </w:tc>
      </w:tr>
      <w:tr w14:paraId="00F4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5EBC187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农、林、牧、渔业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56C11B06">
            <w:pPr>
              <w:rPr>
                <w:rFonts w:hint="eastAsia" w:ascii="仿宋" w:hAnsi="仿宋" w:eastAsia="仿宋" w:cs="仿宋"/>
                <w:i w:val="0"/>
                <w:color w:val="000000"/>
                <w:sz w:val="11"/>
                <w:szCs w:val="11"/>
                <w:highlight w:val="none"/>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404F872">
            <w:pPr>
              <w:keepNext w:val="0"/>
              <w:keepLines w:val="0"/>
              <w:widowControl/>
              <w:suppressLineNumbers w:val="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20000万元</w:t>
            </w:r>
          </w:p>
          <w:p w14:paraId="3790C996">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D003066">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78B79CB">
            <w:pPr>
              <w:rPr>
                <w:rFonts w:hint="eastAsia" w:ascii="仿宋" w:hAnsi="仿宋" w:eastAsia="仿宋" w:cs="仿宋"/>
                <w:i w:val="0"/>
                <w:color w:val="000000"/>
                <w:sz w:val="11"/>
                <w:szCs w:val="11"/>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3B2EE55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32FB59A">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E3EFC72">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85D61E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11C002BB">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2CEC969">
            <w:pPr>
              <w:rPr>
                <w:rFonts w:hint="eastAsia" w:ascii="仿宋" w:hAnsi="仿宋" w:eastAsia="仿宋" w:cs="仿宋"/>
                <w:i w:val="0"/>
                <w:color w:val="000000"/>
                <w:sz w:val="11"/>
                <w:szCs w:val="11"/>
                <w:highlight w:val="none"/>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647466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9D3F0FA">
            <w:pPr>
              <w:rPr>
                <w:rFonts w:hint="eastAsia" w:ascii="仿宋" w:hAnsi="仿宋" w:eastAsia="仿宋" w:cs="仿宋"/>
                <w:i w:val="0"/>
                <w:color w:val="000000"/>
                <w:sz w:val="11"/>
                <w:szCs w:val="11"/>
                <w:highlight w:val="none"/>
                <w:u w:val="none"/>
              </w:rPr>
            </w:pPr>
          </w:p>
        </w:tc>
      </w:tr>
      <w:tr w14:paraId="27A8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2196425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工业（包括采矿业，制造业，电力、热力、燃气及水生产和供应业）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66163BB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8D1454E">
            <w:pPr>
              <w:keepNext w:val="0"/>
              <w:keepLines w:val="0"/>
              <w:widowControl/>
              <w:suppressLineNumbers w:val="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40000万元</w:t>
            </w:r>
          </w:p>
          <w:p w14:paraId="1D455E7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A58FB5E">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47BD36A">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DFC02C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AC3914">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7A883F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2F68B5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E62DBF9">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87734B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5D549F">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634CC39">
            <w:pPr>
              <w:rPr>
                <w:rFonts w:hint="eastAsia" w:ascii="仿宋" w:hAnsi="仿宋" w:eastAsia="仿宋" w:cs="仿宋"/>
                <w:i w:val="0"/>
                <w:color w:val="000000"/>
                <w:sz w:val="11"/>
                <w:szCs w:val="11"/>
                <w:highlight w:val="none"/>
                <w:u w:val="none"/>
              </w:rPr>
            </w:pPr>
          </w:p>
        </w:tc>
      </w:tr>
      <w:tr w14:paraId="486B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660B776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建筑业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3E62C50F">
            <w:pPr>
              <w:rPr>
                <w:rFonts w:hint="eastAsia" w:ascii="仿宋" w:hAnsi="仿宋" w:eastAsia="仿宋" w:cs="仿宋"/>
                <w:i w:val="0"/>
                <w:color w:val="000000"/>
                <w:sz w:val="11"/>
                <w:szCs w:val="11"/>
                <w:highlight w:val="none"/>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01621F4">
            <w:pPr>
              <w:keepNext w:val="0"/>
              <w:keepLines w:val="0"/>
              <w:widowControl/>
              <w:suppressLineNumbers w:val="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80000万元</w:t>
            </w:r>
          </w:p>
          <w:p w14:paraId="074F604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F65AC6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80000万元以下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A9C802F">
            <w:pPr>
              <w:rPr>
                <w:rFonts w:hint="eastAsia" w:ascii="仿宋" w:hAnsi="仿宋" w:eastAsia="仿宋" w:cs="仿宋"/>
                <w:i w:val="0"/>
                <w:color w:val="000000"/>
                <w:sz w:val="11"/>
                <w:szCs w:val="11"/>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94AA87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6000万元及以上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C6908B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F958086">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E6EDCF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8EE1A3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020924F">
            <w:pPr>
              <w:rPr>
                <w:rFonts w:hint="eastAsia" w:ascii="仿宋" w:hAnsi="仿宋" w:eastAsia="仿宋" w:cs="仿宋"/>
                <w:i w:val="0"/>
                <w:color w:val="000000"/>
                <w:sz w:val="11"/>
                <w:szCs w:val="11"/>
                <w:highlight w:val="none"/>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EE8E42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193A55B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300万元以下</w:t>
            </w:r>
          </w:p>
        </w:tc>
      </w:tr>
      <w:tr w14:paraId="75BEC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23563C0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批发业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05D3C28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54C0927F">
            <w:pPr>
              <w:keepNext w:val="0"/>
              <w:keepLines w:val="0"/>
              <w:widowControl/>
              <w:suppressLineNumbers w:val="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40000万元</w:t>
            </w:r>
          </w:p>
          <w:p w14:paraId="40C276D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01B70ED">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55B90D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5073B06">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4C5D666">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0A01E0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162CF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B4D91AF">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EA70B3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67828D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4CF03A47">
            <w:pPr>
              <w:rPr>
                <w:rFonts w:hint="eastAsia" w:ascii="仿宋" w:hAnsi="仿宋" w:eastAsia="仿宋" w:cs="仿宋"/>
                <w:i w:val="0"/>
                <w:color w:val="000000"/>
                <w:sz w:val="11"/>
                <w:szCs w:val="11"/>
                <w:highlight w:val="none"/>
                <w:u w:val="none"/>
              </w:rPr>
            </w:pPr>
          </w:p>
        </w:tc>
      </w:tr>
      <w:tr w14:paraId="6137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05C666F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零售业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1E82080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40AA822F">
            <w:pPr>
              <w:keepNext w:val="0"/>
              <w:keepLines w:val="0"/>
              <w:widowControl/>
              <w:suppressLineNumbers w:val="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20000万元</w:t>
            </w:r>
          </w:p>
          <w:p w14:paraId="018295B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8FC39C4">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CE5031A">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D80C80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094A9F">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2D8818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1B44CE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99CE800">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028B6A6">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022556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3FA1E7D5">
            <w:pPr>
              <w:rPr>
                <w:rFonts w:hint="eastAsia" w:ascii="仿宋" w:hAnsi="仿宋" w:eastAsia="仿宋" w:cs="仿宋"/>
                <w:i w:val="0"/>
                <w:color w:val="000000"/>
                <w:sz w:val="11"/>
                <w:szCs w:val="11"/>
                <w:highlight w:val="none"/>
                <w:u w:val="none"/>
              </w:rPr>
            </w:pPr>
          </w:p>
        </w:tc>
      </w:tr>
      <w:tr w14:paraId="11D2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3570126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交通运输业（不含铁路运输业）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6A94AA2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ADD45E3">
            <w:pPr>
              <w:keepNext w:val="0"/>
              <w:keepLines w:val="0"/>
              <w:widowControl/>
              <w:suppressLineNumbers w:val="0"/>
              <w:jc w:val="left"/>
              <w:textAlignment w:val="center"/>
              <w:rPr>
                <w:rFonts w:hint="eastAsia" w:ascii="仿宋" w:hAnsi="仿宋" w:eastAsia="仿宋" w:cs="仿宋"/>
                <w:i w:val="0"/>
                <w:color w:val="000000"/>
                <w:kern w:val="0"/>
                <w:sz w:val="11"/>
                <w:szCs w:val="11"/>
                <w:highlight w:val="none"/>
                <w:u w:val="none"/>
                <w:lang w:val="en-US" w:eastAsia="zh-CN" w:bidi="ar"/>
              </w:rPr>
            </w:pPr>
            <w:r>
              <w:rPr>
                <w:rFonts w:hint="eastAsia" w:ascii="仿宋" w:hAnsi="仿宋" w:eastAsia="仿宋" w:cs="仿宋"/>
                <w:i w:val="0"/>
                <w:color w:val="000000"/>
                <w:kern w:val="0"/>
                <w:sz w:val="11"/>
                <w:szCs w:val="11"/>
                <w:highlight w:val="none"/>
                <w:u w:val="none"/>
                <w:lang w:val="en-US" w:eastAsia="zh-CN" w:bidi="ar"/>
              </w:rPr>
              <w:t>30000万元</w:t>
            </w:r>
          </w:p>
          <w:p w14:paraId="3595D8D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DE4859A">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54A35C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DE17D7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6FF8CD0">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7F3736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FB69ED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30B0A2B">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56EC28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0B50F2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0360823">
            <w:pPr>
              <w:rPr>
                <w:rFonts w:hint="eastAsia" w:ascii="仿宋" w:hAnsi="仿宋" w:eastAsia="仿宋" w:cs="仿宋"/>
                <w:i w:val="0"/>
                <w:color w:val="000000"/>
                <w:sz w:val="11"/>
                <w:szCs w:val="11"/>
                <w:highlight w:val="none"/>
                <w:u w:val="none"/>
              </w:rPr>
            </w:pPr>
          </w:p>
        </w:tc>
      </w:tr>
      <w:tr w14:paraId="7A5B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3092901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仓储业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3CA9C8E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D7E3A3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03D193E">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E61A1E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6C64D91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0ADD638">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7CA9ABD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390EE17">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9753C50">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8B6619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844F02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74E6841E">
            <w:pPr>
              <w:rPr>
                <w:rFonts w:hint="eastAsia" w:ascii="仿宋" w:hAnsi="仿宋" w:eastAsia="仿宋" w:cs="仿宋"/>
                <w:i w:val="0"/>
                <w:color w:val="000000"/>
                <w:sz w:val="11"/>
                <w:szCs w:val="11"/>
                <w:highlight w:val="none"/>
                <w:u w:val="none"/>
              </w:rPr>
            </w:pPr>
          </w:p>
        </w:tc>
      </w:tr>
      <w:tr w14:paraId="3A03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3B35FCD6">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邮政业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67C6E16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5E7D94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1752400D">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08743EF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AF88FAA">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977FE5">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667502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4407CE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2B3B9BCD">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B923E9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A3405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299A2E32">
            <w:pPr>
              <w:rPr>
                <w:rFonts w:hint="eastAsia" w:ascii="仿宋" w:hAnsi="仿宋" w:eastAsia="仿宋" w:cs="仿宋"/>
                <w:i w:val="0"/>
                <w:color w:val="000000"/>
                <w:sz w:val="11"/>
                <w:szCs w:val="11"/>
                <w:highlight w:val="none"/>
                <w:u w:val="none"/>
              </w:rPr>
            </w:pPr>
          </w:p>
        </w:tc>
      </w:tr>
      <w:tr w14:paraId="608A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53902712">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住宿业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0D1C7D8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1E9E21A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7BA6992D">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7F06C1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6A6F972">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7C54E1">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2B0703D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35A0609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0FD5E5AC">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0B4DD5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575631A">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53BA775A">
            <w:pPr>
              <w:rPr>
                <w:rFonts w:hint="eastAsia" w:ascii="仿宋" w:hAnsi="仿宋" w:eastAsia="仿宋" w:cs="仿宋"/>
                <w:i w:val="0"/>
                <w:color w:val="000000"/>
                <w:sz w:val="11"/>
                <w:szCs w:val="11"/>
                <w:highlight w:val="none"/>
                <w:u w:val="none"/>
              </w:rPr>
            </w:pPr>
          </w:p>
        </w:tc>
      </w:tr>
      <w:tr w14:paraId="2521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4FFB8F02">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餐饮业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7CD320D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CE947F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5BB89B9C">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0EAD19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D97260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3769368">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B11DA8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792787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0DFEE57">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D799FC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08D3C27">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5BE30E25">
            <w:pPr>
              <w:rPr>
                <w:rFonts w:hint="eastAsia" w:ascii="仿宋" w:hAnsi="仿宋" w:eastAsia="仿宋" w:cs="仿宋"/>
                <w:i w:val="0"/>
                <w:color w:val="000000"/>
                <w:sz w:val="11"/>
                <w:szCs w:val="11"/>
                <w:highlight w:val="none"/>
                <w:u w:val="none"/>
              </w:rPr>
            </w:pPr>
          </w:p>
        </w:tc>
      </w:tr>
      <w:tr w14:paraId="718D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7A8ECB5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信息传输业（包括电信、互联网和相关服务）</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1B842C6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4B6E24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BD231C7">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389EF88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59A7EC9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FD987D8">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C20731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64CB81F">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3F4C1DBF">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267D6D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49400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0590F9AE">
            <w:pPr>
              <w:rPr>
                <w:rFonts w:hint="eastAsia" w:ascii="仿宋" w:hAnsi="仿宋" w:eastAsia="仿宋" w:cs="仿宋"/>
                <w:i w:val="0"/>
                <w:color w:val="000000"/>
                <w:sz w:val="11"/>
                <w:szCs w:val="11"/>
                <w:highlight w:val="none"/>
                <w:u w:val="none"/>
              </w:rPr>
            </w:pPr>
          </w:p>
        </w:tc>
      </w:tr>
      <w:tr w14:paraId="4AA9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3DFA576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软件和信息技术服务业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6138751F">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64E3AFD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9DF1DCB">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7E15371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027A3EF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6FE343">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6265F7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E6EF47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6B1891F5">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CD1B4FB">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D15F838">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44F166D9">
            <w:pPr>
              <w:rPr>
                <w:rFonts w:hint="eastAsia" w:ascii="仿宋" w:hAnsi="仿宋" w:eastAsia="仿宋" w:cs="仿宋"/>
                <w:i w:val="0"/>
                <w:color w:val="000000"/>
                <w:sz w:val="11"/>
                <w:szCs w:val="11"/>
                <w:highlight w:val="none"/>
                <w:u w:val="none"/>
              </w:rPr>
            </w:pPr>
          </w:p>
        </w:tc>
      </w:tr>
      <w:tr w14:paraId="3712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3977B73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房地产开发经营</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74A0371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200000万元以下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256DA557">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41EC9E8E">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43DB06D2">
            <w:pPr>
              <w:rPr>
                <w:rFonts w:hint="eastAsia" w:ascii="仿宋" w:hAnsi="仿宋" w:eastAsia="仿宋" w:cs="仿宋"/>
                <w:i w:val="0"/>
                <w:color w:val="000000"/>
                <w:sz w:val="11"/>
                <w:szCs w:val="11"/>
                <w:highlight w:val="none"/>
                <w:u w:val="none"/>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3C7BA2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9A7B36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091F7036">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6886ED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79F0B7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61D9766A">
            <w:pPr>
              <w:rPr>
                <w:rFonts w:hint="eastAsia" w:ascii="仿宋" w:hAnsi="仿宋" w:eastAsia="仿宋" w:cs="仿宋"/>
                <w:i w:val="0"/>
                <w:color w:val="000000"/>
                <w:sz w:val="11"/>
                <w:szCs w:val="11"/>
                <w:highlight w:val="none"/>
                <w:u w:val="none"/>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81EF98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23C6BE67">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2000万元以下</w:t>
            </w:r>
          </w:p>
        </w:tc>
      </w:tr>
      <w:tr w14:paraId="707A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7"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59C01F8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物业管理</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2EA6ADB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3DE3900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5000万元以下</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332A867F">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6AEBB08A">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73759CDD">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1000万元及以上</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3C6912F">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1AD940F3">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6DE01C49">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500万元及以上</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51E531A0">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75B50AF">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68CF3D2">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500万元以下</w:t>
            </w: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2F13507A">
            <w:pPr>
              <w:rPr>
                <w:rFonts w:hint="eastAsia" w:ascii="仿宋" w:hAnsi="仿宋" w:eastAsia="仿宋" w:cs="仿宋"/>
                <w:i w:val="0"/>
                <w:color w:val="000000"/>
                <w:sz w:val="11"/>
                <w:szCs w:val="11"/>
                <w:highlight w:val="none"/>
                <w:u w:val="none"/>
              </w:rPr>
            </w:pPr>
          </w:p>
        </w:tc>
      </w:tr>
      <w:tr w14:paraId="47E1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8" w:hRule="atLeast"/>
          <w:jc w:val="center"/>
        </w:trPr>
        <w:tc>
          <w:tcPr>
            <w:tcW w:w="1925" w:type="dxa"/>
            <w:tcBorders>
              <w:top w:val="single" w:color="000000" w:sz="4" w:space="0"/>
              <w:left w:val="single" w:color="000000" w:sz="12" w:space="0"/>
              <w:bottom w:val="single" w:color="000000" w:sz="4" w:space="0"/>
              <w:right w:val="single" w:color="000000" w:sz="4" w:space="0"/>
            </w:tcBorders>
            <w:noWrap w:val="0"/>
            <w:vAlign w:val="center"/>
          </w:tcPr>
          <w:p w14:paraId="2E782C7A">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租赁和商务服务业</w:t>
            </w:r>
          </w:p>
        </w:tc>
        <w:tc>
          <w:tcPr>
            <w:tcW w:w="606" w:type="dxa"/>
            <w:tcBorders>
              <w:top w:val="single" w:color="000000" w:sz="4" w:space="0"/>
              <w:left w:val="single" w:color="000000" w:sz="4" w:space="0"/>
              <w:bottom w:val="single" w:color="000000" w:sz="4" w:space="0"/>
              <w:right w:val="single" w:color="000000" w:sz="4" w:space="0"/>
            </w:tcBorders>
            <w:noWrap w:val="0"/>
            <w:vAlign w:val="center"/>
          </w:tcPr>
          <w:p w14:paraId="16D29D4F">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14:paraId="0926BC24">
            <w:pPr>
              <w:rPr>
                <w:rFonts w:hint="eastAsia" w:ascii="仿宋" w:hAnsi="仿宋" w:eastAsia="仿宋" w:cs="仿宋"/>
                <w:i w:val="0"/>
                <w:color w:val="000000"/>
                <w:sz w:val="11"/>
                <w:szCs w:val="11"/>
                <w:highlight w:val="none"/>
                <w:u w:val="none"/>
              </w:rPr>
            </w:pP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6B92231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120000万元以下</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14:paraId="2C4C5651">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41E2DF6F">
            <w:pPr>
              <w:rPr>
                <w:rFonts w:hint="eastAsia" w:ascii="仿宋" w:hAnsi="仿宋" w:eastAsia="仿宋" w:cs="仿宋"/>
                <w:i w:val="0"/>
                <w:color w:val="000000"/>
                <w:sz w:val="11"/>
                <w:szCs w:val="11"/>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BC5BCCF">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8000万元及以上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50207494">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14:paraId="43608009">
            <w:pPr>
              <w:rPr>
                <w:rFonts w:hint="eastAsia" w:ascii="仿宋" w:hAnsi="仿宋" w:eastAsia="仿宋" w:cs="仿宋"/>
                <w:i w:val="0"/>
                <w:color w:val="000000"/>
                <w:sz w:val="11"/>
                <w:szCs w:val="11"/>
                <w:highlight w:val="none"/>
                <w:u w:val="none"/>
              </w:rPr>
            </w:pP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7F9B84E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100万元及以上</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5441694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86189C9">
            <w:pPr>
              <w:rPr>
                <w:rFonts w:hint="eastAsia" w:ascii="仿宋" w:hAnsi="仿宋" w:eastAsia="仿宋" w:cs="仿宋"/>
                <w:i w:val="0"/>
                <w:color w:val="000000"/>
                <w:sz w:val="11"/>
                <w:szCs w:val="11"/>
                <w:highlight w:val="none"/>
                <w:u w:val="none"/>
              </w:rPr>
            </w:pPr>
          </w:p>
        </w:tc>
        <w:tc>
          <w:tcPr>
            <w:tcW w:w="501" w:type="dxa"/>
            <w:tcBorders>
              <w:top w:val="single" w:color="000000" w:sz="4" w:space="0"/>
              <w:left w:val="single" w:color="000000" w:sz="4" w:space="0"/>
              <w:bottom w:val="single" w:color="000000" w:sz="4" w:space="0"/>
              <w:right w:val="single" w:color="000000" w:sz="12" w:space="0"/>
            </w:tcBorders>
            <w:noWrap w:val="0"/>
            <w:vAlign w:val="center"/>
          </w:tcPr>
          <w:p w14:paraId="5515E6C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100万元以下</w:t>
            </w:r>
          </w:p>
        </w:tc>
      </w:tr>
      <w:tr w14:paraId="2D4F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5" w:hRule="atLeast"/>
          <w:jc w:val="center"/>
        </w:trPr>
        <w:tc>
          <w:tcPr>
            <w:tcW w:w="1925" w:type="dxa"/>
            <w:tcBorders>
              <w:top w:val="single" w:color="000000" w:sz="4" w:space="0"/>
              <w:left w:val="single" w:color="000000" w:sz="12" w:space="0"/>
              <w:bottom w:val="single" w:color="000000" w:sz="12" w:space="0"/>
              <w:right w:val="single" w:color="000000" w:sz="4" w:space="0"/>
            </w:tcBorders>
            <w:noWrap w:val="0"/>
            <w:vAlign w:val="center"/>
          </w:tcPr>
          <w:p w14:paraId="6CA8973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其他未列明行业（包括科学研究和技术服务业，水利、环境和公共设施管理业，居民服务、修理和其他服务业，社会工作，文化、体育和娱乐业等）</w:t>
            </w:r>
          </w:p>
        </w:tc>
        <w:tc>
          <w:tcPr>
            <w:tcW w:w="606" w:type="dxa"/>
            <w:tcBorders>
              <w:top w:val="single" w:color="000000" w:sz="4" w:space="0"/>
              <w:left w:val="single" w:color="000000" w:sz="4" w:space="0"/>
              <w:bottom w:val="single" w:color="000000" w:sz="12" w:space="0"/>
              <w:right w:val="single" w:color="000000" w:sz="4" w:space="0"/>
            </w:tcBorders>
            <w:noWrap w:val="0"/>
            <w:vAlign w:val="center"/>
          </w:tcPr>
          <w:p w14:paraId="2F10F3FE">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300人以下</w:t>
            </w:r>
          </w:p>
        </w:tc>
        <w:tc>
          <w:tcPr>
            <w:tcW w:w="835" w:type="dxa"/>
            <w:tcBorders>
              <w:top w:val="single" w:color="000000" w:sz="4" w:space="0"/>
              <w:left w:val="single" w:color="000000" w:sz="4" w:space="0"/>
              <w:bottom w:val="single" w:color="000000" w:sz="12" w:space="0"/>
              <w:right w:val="single" w:color="000000" w:sz="4" w:space="0"/>
            </w:tcBorders>
            <w:noWrap w:val="0"/>
            <w:vAlign w:val="center"/>
          </w:tcPr>
          <w:p w14:paraId="75189C73">
            <w:pPr>
              <w:rPr>
                <w:rFonts w:hint="eastAsia" w:ascii="仿宋" w:hAnsi="仿宋" w:eastAsia="仿宋" w:cs="仿宋"/>
                <w:i w:val="0"/>
                <w:color w:val="000000"/>
                <w:sz w:val="11"/>
                <w:szCs w:val="11"/>
                <w:highlight w:val="none"/>
                <w:u w:val="none"/>
              </w:rPr>
            </w:pPr>
          </w:p>
        </w:tc>
        <w:tc>
          <w:tcPr>
            <w:tcW w:w="843" w:type="dxa"/>
            <w:tcBorders>
              <w:top w:val="single" w:color="000000" w:sz="4" w:space="0"/>
              <w:left w:val="single" w:color="000000" w:sz="4" w:space="0"/>
              <w:bottom w:val="single" w:color="000000" w:sz="12" w:space="0"/>
              <w:right w:val="single" w:color="000000" w:sz="4" w:space="0"/>
            </w:tcBorders>
            <w:noWrap w:val="0"/>
            <w:vAlign w:val="center"/>
          </w:tcPr>
          <w:p w14:paraId="7F18C2F4">
            <w:pPr>
              <w:rPr>
                <w:rFonts w:hint="eastAsia" w:ascii="仿宋" w:hAnsi="仿宋" w:eastAsia="仿宋" w:cs="仿宋"/>
                <w:i w:val="0"/>
                <w:color w:val="000000"/>
                <w:sz w:val="11"/>
                <w:szCs w:val="11"/>
                <w:highlight w:val="none"/>
                <w:u w:val="none"/>
              </w:rPr>
            </w:pPr>
          </w:p>
        </w:tc>
        <w:tc>
          <w:tcPr>
            <w:tcW w:w="766" w:type="dxa"/>
            <w:tcBorders>
              <w:top w:val="single" w:color="000000" w:sz="4" w:space="0"/>
              <w:left w:val="single" w:color="000000" w:sz="4" w:space="0"/>
              <w:bottom w:val="single" w:color="000000" w:sz="12" w:space="0"/>
              <w:right w:val="single" w:color="000000" w:sz="4" w:space="0"/>
            </w:tcBorders>
            <w:noWrap w:val="0"/>
            <w:vAlign w:val="center"/>
          </w:tcPr>
          <w:p w14:paraId="3C3F85BC">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100人及以上</w:t>
            </w:r>
          </w:p>
        </w:tc>
        <w:tc>
          <w:tcPr>
            <w:tcW w:w="936" w:type="dxa"/>
            <w:tcBorders>
              <w:top w:val="single" w:color="000000" w:sz="4" w:space="0"/>
              <w:left w:val="single" w:color="000000" w:sz="4" w:space="0"/>
              <w:bottom w:val="single" w:color="000000" w:sz="12" w:space="0"/>
              <w:right w:val="single" w:color="000000" w:sz="4" w:space="0"/>
            </w:tcBorders>
            <w:noWrap w:val="0"/>
            <w:vAlign w:val="center"/>
          </w:tcPr>
          <w:p w14:paraId="027A7EFC">
            <w:pPr>
              <w:rPr>
                <w:rFonts w:hint="eastAsia" w:ascii="仿宋" w:hAnsi="仿宋" w:eastAsia="仿宋" w:cs="仿宋"/>
                <w:i w:val="0"/>
                <w:color w:val="000000"/>
                <w:sz w:val="11"/>
                <w:szCs w:val="11"/>
                <w:highlight w:val="none"/>
                <w:u w:val="none"/>
              </w:rPr>
            </w:pPr>
          </w:p>
        </w:tc>
        <w:tc>
          <w:tcPr>
            <w:tcW w:w="740" w:type="dxa"/>
            <w:tcBorders>
              <w:top w:val="single" w:color="000000" w:sz="4" w:space="0"/>
              <w:left w:val="single" w:color="000000" w:sz="4" w:space="0"/>
              <w:bottom w:val="single" w:color="000000" w:sz="12" w:space="0"/>
              <w:right w:val="single" w:color="000000" w:sz="4" w:space="0"/>
            </w:tcBorders>
            <w:noWrap w:val="0"/>
            <w:vAlign w:val="center"/>
          </w:tcPr>
          <w:p w14:paraId="7241DC49">
            <w:pPr>
              <w:rPr>
                <w:rFonts w:hint="eastAsia" w:ascii="仿宋" w:hAnsi="仿宋" w:eastAsia="仿宋" w:cs="仿宋"/>
                <w:i w:val="0"/>
                <w:color w:val="000000"/>
                <w:sz w:val="11"/>
                <w:szCs w:val="11"/>
                <w:highlight w:val="none"/>
                <w:u w:val="none"/>
              </w:rPr>
            </w:pPr>
          </w:p>
        </w:tc>
        <w:tc>
          <w:tcPr>
            <w:tcW w:w="785" w:type="dxa"/>
            <w:tcBorders>
              <w:top w:val="single" w:color="000000" w:sz="4" w:space="0"/>
              <w:left w:val="single" w:color="000000" w:sz="4" w:space="0"/>
              <w:bottom w:val="single" w:color="000000" w:sz="12" w:space="0"/>
              <w:right w:val="single" w:color="000000" w:sz="4" w:space="0"/>
            </w:tcBorders>
            <w:noWrap w:val="0"/>
            <w:vAlign w:val="center"/>
          </w:tcPr>
          <w:p w14:paraId="4A34DCB5">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10人及以上</w:t>
            </w:r>
          </w:p>
        </w:tc>
        <w:tc>
          <w:tcPr>
            <w:tcW w:w="785" w:type="dxa"/>
            <w:tcBorders>
              <w:top w:val="single" w:color="000000" w:sz="4" w:space="0"/>
              <w:left w:val="single" w:color="000000" w:sz="4" w:space="0"/>
              <w:bottom w:val="single" w:color="000000" w:sz="12" w:space="0"/>
              <w:right w:val="single" w:color="000000" w:sz="4" w:space="0"/>
            </w:tcBorders>
            <w:noWrap w:val="0"/>
            <w:vAlign w:val="center"/>
          </w:tcPr>
          <w:p w14:paraId="41AE2D21">
            <w:pPr>
              <w:rPr>
                <w:rFonts w:hint="eastAsia" w:ascii="仿宋" w:hAnsi="仿宋" w:eastAsia="仿宋" w:cs="仿宋"/>
                <w:i w:val="0"/>
                <w:color w:val="000000"/>
                <w:sz w:val="11"/>
                <w:szCs w:val="11"/>
                <w:highlight w:val="none"/>
                <w:u w:val="none"/>
              </w:rPr>
            </w:pPr>
          </w:p>
        </w:tc>
        <w:tc>
          <w:tcPr>
            <w:tcW w:w="704" w:type="dxa"/>
            <w:tcBorders>
              <w:top w:val="single" w:color="000000" w:sz="4" w:space="0"/>
              <w:left w:val="single" w:color="000000" w:sz="4" w:space="0"/>
              <w:bottom w:val="single" w:color="000000" w:sz="12" w:space="0"/>
              <w:right w:val="single" w:color="000000" w:sz="4" w:space="0"/>
            </w:tcBorders>
            <w:noWrap w:val="0"/>
            <w:vAlign w:val="center"/>
          </w:tcPr>
          <w:p w14:paraId="03C277F3">
            <w:pPr>
              <w:rPr>
                <w:rFonts w:hint="eastAsia" w:ascii="仿宋" w:hAnsi="仿宋" w:eastAsia="仿宋" w:cs="仿宋"/>
                <w:i w:val="0"/>
                <w:color w:val="000000"/>
                <w:sz w:val="11"/>
                <w:szCs w:val="11"/>
                <w:highlight w:val="none"/>
                <w:u w:val="none"/>
              </w:rPr>
            </w:pPr>
          </w:p>
        </w:tc>
        <w:tc>
          <w:tcPr>
            <w:tcW w:w="798" w:type="dxa"/>
            <w:tcBorders>
              <w:top w:val="single" w:color="000000" w:sz="4" w:space="0"/>
              <w:left w:val="single" w:color="000000" w:sz="4" w:space="0"/>
              <w:bottom w:val="single" w:color="000000" w:sz="12" w:space="0"/>
              <w:right w:val="single" w:color="000000" w:sz="4" w:space="0"/>
            </w:tcBorders>
            <w:noWrap w:val="0"/>
            <w:vAlign w:val="center"/>
          </w:tcPr>
          <w:p w14:paraId="3564A010">
            <w:pPr>
              <w:keepNext w:val="0"/>
              <w:keepLines w:val="0"/>
              <w:widowControl/>
              <w:suppressLineNumbers w:val="0"/>
              <w:jc w:val="left"/>
              <w:textAlignment w:val="center"/>
              <w:rPr>
                <w:rFonts w:hint="eastAsia" w:ascii="仿宋" w:hAnsi="仿宋" w:eastAsia="仿宋" w:cs="仿宋"/>
                <w:i w:val="0"/>
                <w:color w:val="000000"/>
                <w:sz w:val="11"/>
                <w:szCs w:val="11"/>
                <w:highlight w:val="none"/>
                <w:u w:val="none"/>
              </w:rPr>
            </w:pPr>
            <w:r>
              <w:rPr>
                <w:rFonts w:hint="eastAsia" w:ascii="仿宋" w:hAnsi="仿宋" w:eastAsia="仿宋" w:cs="仿宋"/>
                <w:i w:val="0"/>
                <w:color w:val="000000"/>
                <w:kern w:val="0"/>
                <w:sz w:val="11"/>
                <w:szCs w:val="11"/>
                <w:highlight w:val="none"/>
                <w:u w:val="none"/>
                <w:lang w:val="en-US" w:eastAsia="zh-CN" w:bidi="ar"/>
              </w:rPr>
              <w:t>10人以下</w:t>
            </w:r>
          </w:p>
        </w:tc>
        <w:tc>
          <w:tcPr>
            <w:tcW w:w="714" w:type="dxa"/>
            <w:tcBorders>
              <w:top w:val="single" w:color="000000" w:sz="4" w:space="0"/>
              <w:left w:val="single" w:color="000000" w:sz="4" w:space="0"/>
              <w:bottom w:val="single" w:color="000000" w:sz="12" w:space="0"/>
              <w:right w:val="single" w:color="000000" w:sz="4" w:space="0"/>
            </w:tcBorders>
            <w:noWrap w:val="0"/>
            <w:vAlign w:val="center"/>
          </w:tcPr>
          <w:p w14:paraId="79568DB3">
            <w:pPr>
              <w:rPr>
                <w:rFonts w:hint="eastAsia" w:ascii="仿宋" w:hAnsi="仿宋" w:eastAsia="仿宋" w:cs="仿宋"/>
                <w:i w:val="0"/>
                <w:color w:val="000000"/>
                <w:sz w:val="11"/>
                <w:szCs w:val="11"/>
                <w:highlight w:val="none"/>
                <w:u w:val="none"/>
              </w:rPr>
            </w:pPr>
          </w:p>
        </w:tc>
        <w:tc>
          <w:tcPr>
            <w:tcW w:w="501" w:type="dxa"/>
            <w:tcBorders>
              <w:top w:val="single" w:color="000000" w:sz="4" w:space="0"/>
              <w:left w:val="single" w:color="000000" w:sz="4" w:space="0"/>
              <w:bottom w:val="single" w:color="000000" w:sz="12" w:space="0"/>
              <w:right w:val="single" w:color="000000" w:sz="12" w:space="0"/>
            </w:tcBorders>
            <w:noWrap w:val="0"/>
            <w:vAlign w:val="center"/>
          </w:tcPr>
          <w:p w14:paraId="372EB192">
            <w:pPr>
              <w:rPr>
                <w:rFonts w:hint="eastAsia" w:ascii="仿宋" w:hAnsi="仿宋" w:eastAsia="仿宋" w:cs="仿宋"/>
                <w:i w:val="0"/>
                <w:color w:val="000000"/>
                <w:sz w:val="11"/>
                <w:szCs w:val="11"/>
                <w:highlight w:val="none"/>
                <w:u w:val="none"/>
              </w:rPr>
            </w:pPr>
          </w:p>
        </w:tc>
      </w:tr>
    </w:tbl>
    <w:p w14:paraId="7D04A821">
      <w:pPr>
        <w:pStyle w:val="14"/>
        <w:rPr>
          <w:rFonts w:hint="eastAsia"/>
          <w:highlight w:val="none"/>
        </w:rPr>
      </w:pPr>
    </w:p>
    <w:p w14:paraId="310016DD">
      <w:pPr>
        <w:pStyle w:val="15"/>
        <w:rPr>
          <w:rFonts w:hint="eastAsia"/>
          <w:highlight w:val="none"/>
        </w:rPr>
      </w:pPr>
    </w:p>
    <w:p w14:paraId="7CB35030">
      <w:pPr>
        <w:rPr>
          <w:rFonts w:hint="eastAsia" w:eastAsia="宋体"/>
          <w:highlight w:val="none"/>
          <w:lang w:eastAsia="zh-CN"/>
        </w:rPr>
      </w:pPr>
      <w:r>
        <w:rPr>
          <w:rFonts w:hint="eastAsia" w:eastAsia="宋体"/>
          <w:highlight w:val="none"/>
          <w:lang w:eastAsia="zh-CN"/>
        </w:rPr>
        <w:drawing>
          <wp:inline distT="0" distB="0" distL="114300" distR="114300">
            <wp:extent cx="5276215" cy="6016625"/>
            <wp:effectExtent l="0" t="0" r="635" b="3175"/>
            <wp:docPr id="1" name="图片 1" descr="f676df5ad6e0e07e3d404e46a220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76df5ad6e0e07e3d404e46a220b1a"/>
                    <pic:cNvPicPr>
                      <a:picLocks noChangeAspect="1"/>
                    </pic:cNvPicPr>
                  </pic:nvPicPr>
                  <pic:blipFill>
                    <a:blip r:embed="rId7"/>
                    <a:stretch>
                      <a:fillRect/>
                    </a:stretch>
                  </pic:blipFill>
                  <pic:spPr>
                    <a:xfrm>
                      <a:off x="0" y="0"/>
                      <a:ext cx="5276215" cy="6016625"/>
                    </a:xfrm>
                    <a:prstGeom prst="rect">
                      <a:avLst/>
                    </a:prstGeom>
                  </pic:spPr>
                </pic:pic>
              </a:graphicData>
            </a:graphic>
          </wp:inline>
        </w:drawing>
      </w:r>
    </w:p>
    <w:sectPr>
      <w:headerReference r:id="rId4" w:type="default"/>
      <w:footerReference r:id="rId5" w:type="default"/>
      <w:pgSz w:w="11905" w:h="16838"/>
      <w:pgMar w:top="1440" w:right="1797" w:bottom="1440" w:left="1797" w:header="850" w:footer="992" w:gutter="0"/>
      <w:pgBorders>
        <w:top w:val="none" w:sz="0" w:space="0"/>
        <w:left w:val="none" w:sz="0" w:space="0"/>
        <w:bottom w:val="none" w:sz="0" w:space="0"/>
        <w:right w:val="none" w:sz="0" w:space="0"/>
      </w:pgBorders>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 w:name="华文仿宋">
    <w:panose1 w:val="02010600040101010101"/>
    <w:charset w:val="86"/>
    <w:family w:val="swiss"/>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宋体-18030">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00618">
    <w:pPr>
      <w:pStyle w:val="17"/>
      <w:ind w:right="360"/>
      <w:jc w:val="both"/>
      <w:rPr>
        <w:rFonts w:hint="eastAsia"/>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F71D0">
                          <w:pPr>
                            <w:pStyle w:val="1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7D8F71D0">
                    <w:pPr>
                      <w:pStyle w:val="17"/>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13"/>
        <w:szCs w:val="13"/>
      </w:rPr>
      <w:t xml:space="preserve"> </w:t>
    </w:r>
    <w:r>
      <w:rPr>
        <w:rFonts w:hint="eastAsia"/>
      </w:rPr>
      <w:t xml:space="preserve">  </w:t>
    </w:r>
    <w:r>
      <w:rPr>
        <w:rFonts w:hint="eastAsia"/>
        <w:sz w:val="21"/>
        <w:szCs w:val="21"/>
      </w:rPr>
      <w:t xml:space="preserve"> </w:t>
    </w:r>
    <w:r>
      <w:rPr>
        <w:rFonts w:hint="eastAsia"/>
        <w:color w:val="800000"/>
        <w:sz w:val="16"/>
        <w:szCs w:val="20"/>
        <w:lang w:val="en-US" w:eastAsia="zh-CN"/>
      </w:rPr>
      <w:t xml:space="preserve">      </w:t>
    </w:r>
  </w:p>
  <w:p w14:paraId="6B9097AA">
    <w:pPr>
      <w:pStyle w:val="17"/>
      <w:tabs>
        <w:tab w:val="center" w:pos="4320"/>
        <w:tab w:val="right" w:pos="864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5DBBB">
    <w:pPr>
      <w:pStyle w:val="17"/>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FD9F2">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DFD9F2">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color w:val="800000"/>
        <w:sz w:val="16"/>
        <w:szCs w:val="20"/>
        <w:lang w:val="en-US" w:eastAsia="zh-CN"/>
      </w:rPr>
      <w:t xml:space="preserve">        </w:t>
    </w:r>
  </w:p>
  <w:p w14:paraId="5E1CA02D">
    <w:pPr>
      <w:pStyle w:val="17"/>
      <w:keepNext w:val="0"/>
      <w:keepLines w:val="0"/>
      <w:pageBreakBefore w:val="0"/>
      <w:widowControl w:val="0"/>
      <w:kinsoku/>
      <w:wordWrap/>
      <w:overflowPunct/>
      <w:topLinePunct w:val="0"/>
      <w:autoSpaceDE w:val="0"/>
      <w:autoSpaceDN w:val="0"/>
      <w:bidi w:val="0"/>
      <w:adjustRightInd w:val="0"/>
      <w:snapToGrid w:val="0"/>
      <w:spacing w:line="240" w:lineRule="auto"/>
      <w:ind w:left="7200" w:hanging="7200" w:hangingChars="4000"/>
      <w:jc w:val="both"/>
      <w:textAlignment w:val="auto"/>
      <w:rPr>
        <w:rFonts w:hint="default"/>
        <w:lang w:val="en-US"/>
      </w:rPr>
    </w:pPr>
  </w:p>
  <w:p w14:paraId="4087B975">
    <w:pPr>
      <w:pStyle w:val="17"/>
      <w:ind w:right="360"/>
      <w:jc w:val="right"/>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9E13">
    <w:pPr>
      <w:pStyle w:val="18"/>
      <w:pBdr>
        <w:bottom w:val="single" w:color="auto" w:sz="4" w:space="0"/>
      </w:pBdr>
      <w:jc w:val="both"/>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B7C0C"/>
    <w:multiLevelType w:val="singleLevel"/>
    <w:tmpl w:val="891B7C0C"/>
    <w:lvl w:ilvl="0" w:tentative="0">
      <w:start w:val="1"/>
      <w:numFmt w:val="decimal"/>
      <w:suff w:val="nothing"/>
      <w:lvlText w:val="（%1）"/>
      <w:lvlJc w:val="left"/>
    </w:lvl>
  </w:abstractNum>
  <w:abstractNum w:abstractNumId="1">
    <w:nsid w:val="B8A8889F"/>
    <w:multiLevelType w:val="singleLevel"/>
    <w:tmpl w:val="B8A8889F"/>
    <w:lvl w:ilvl="0" w:tentative="0">
      <w:start w:val="2"/>
      <w:numFmt w:val="chineseCounting"/>
      <w:suff w:val="space"/>
      <w:lvlText w:val="（%1）"/>
      <w:lvlJc w:val="left"/>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6EC8727B"/>
    <w:multiLevelType w:val="singleLevel"/>
    <w:tmpl w:val="6EC8727B"/>
    <w:lvl w:ilvl="0" w:tentative="0">
      <w:start w:val="1"/>
      <w:numFmt w:val="decimal"/>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5"/>
  </w:num>
  <w:num w:numId="3">
    <w:abstractNumId w:val="7"/>
  </w:num>
  <w:num w:numId="4">
    <w:abstractNumId w:val="0"/>
  </w:num>
  <w:num w:numId="5">
    <w:abstractNumId w:val="6"/>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NTVkYTAzOTgzZDAxZjZkZDdmOWViN2M5NDFlZGI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135"/>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0827C0"/>
    <w:rsid w:val="012F16C0"/>
    <w:rsid w:val="014F04E5"/>
    <w:rsid w:val="016F283F"/>
    <w:rsid w:val="01920401"/>
    <w:rsid w:val="0195644C"/>
    <w:rsid w:val="0196601E"/>
    <w:rsid w:val="019E4202"/>
    <w:rsid w:val="01B87B26"/>
    <w:rsid w:val="01C072D1"/>
    <w:rsid w:val="01C62F65"/>
    <w:rsid w:val="02057CDE"/>
    <w:rsid w:val="02450B5D"/>
    <w:rsid w:val="025008C3"/>
    <w:rsid w:val="0255198A"/>
    <w:rsid w:val="026B1AC9"/>
    <w:rsid w:val="027423B3"/>
    <w:rsid w:val="028E7BDF"/>
    <w:rsid w:val="02B472A9"/>
    <w:rsid w:val="02C95469"/>
    <w:rsid w:val="02D34744"/>
    <w:rsid w:val="02D61B95"/>
    <w:rsid w:val="03101E00"/>
    <w:rsid w:val="03110CB2"/>
    <w:rsid w:val="034F484F"/>
    <w:rsid w:val="03E11484"/>
    <w:rsid w:val="04552530"/>
    <w:rsid w:val="0465519A"/>
    <w:rsid w:val="04B05277"/>
    <w:rsid w:val="04B14A54"/>
    <w:rsid w:val="05087233"/>
    <w:rsid w:val="050D4295"/>
    <w:rsid w:val="05371AF0"/>
    <w:rsid w:val="0548574A"/>
    <w:rsid w:val="054A1206"/>
    <w:rsid w:val="05544350"/>
    <w:rsid w:val="05D02834"/>
    <w:rsid w:val="05E64C20"/>
    <w:rsid w:val="05ED6429"/>
    <w:rsid w:val="062051A9"/>
    <w:rsid w:val="064A0705"/>
    <w:rsid w:val="06897EFF"/>
    <w:rsid w:val="06A04F45"/>
    <w:rsid w:val="06AF0529"/>
    <w:rsid w:val="06AF7AFE"/>
    <w:rsid w:val="06B04F83"/>
    <w:rsid w:val="06CD24E2"/>
    <w:rsid w:val="06D500D3"/>
    <w:rsid w:val="071C6E28"/>
    <w:rsid w:val="074143D2"/>
    <w:rsid w:val="07443158"/>
    <w:rsid w:val="074E6108"/>
    <w:rsid w:val="07D41F0B"/>
    <w:rsid w:val="07EF451C"/>
    <w:rsid w:val="07F4584C"/>
    <w:rsid w:val="080A62FE"/>
    <w:rsid w:val="082500FC"/>
    <w:rsid w:val="082779D0"/>
    <w:rsid w:val="08305869"/>
    <w:rsid w:val="088F1F3E"/>
    <w:rsid w:val="089E6217"/>
    <w:rsid w:val="08BE09DC"/>
    <w:rsid w:val="08C96CD9"/>
    <w:rsid w:val="08D82CBE"/>
    <w:rsid w:val="08DF2475"/>
    <w:rsid w:val="08E421C5"/>
    <w:rsid w:val="08F63846"/>
    <w:rsid w:val="08F830FA"/>
    <w:rsid w:val="091F4B4B"/>
    <w:rsid w:val="09287EA3"/>
    <w:rsid w:val="09293C1C"/>
    <w:rsid w:val="092A4459"/>
    <w:rsid w:val="093F1B4A"/>
    <w:rsid w:val="09755F8A"/>
    <w:rsid w:val="098D41AA"/>
    <w:rsid w:val="09B53677"/>
    <w:rsid w:val="09F101AC"/>
    <w:rsid w:val="09F547F1"/>
    <w:rsid w:val="0A1641A0"/>
    <w:rsid w:val="0A374116"/>
    <w:rsid w:val="0A425D09"/>
    <w:rsid w:val="0A615213"/>
    <w:rsid w:val="0A894972"/>
    <w:rsid w:val="0AD361DF"/>
    <w:rsid w:val="0AF139A7"/>
    <w:rsid w:val="0BA17A99"/>
    <w:rsid w:val="0BAF7383"/>
    <w:rsid w:val="0BB97AC8"/>
    <w:rsid w:val="0BCA09F3"/>
    <w:rsid w:val="0BCE4606"/>
    <w:rsid w:val="0BCF5D24"/>
    <w:rsid w:val="0C174BC2"/>
    <w:rsid w:val="0C1A784C"/>
    <w:rsid w:val="0C7D722D"/>
    <w:rsid w:val="0CB97FA9"/>
    <w:rsid w:val="0CCB1770"/>
    <w:rsid w:val="0CCE5B94"/>
    <w:rsid w:val="0CEF39AD"/>
    <w:rsid w:val="0CFF1A4A"/>
    <w:rsid w:val="0D3F1B32"/>
    <w:rsid w:val="0D5A43A4"/>
    <w:rsid w:val="0D5F286E"/>
    <w:rsid w:val="0DEB14A0"/>
    <w:rsid w:val="0DEB54DD"/>
    <w:rsid w:val="0E096438"/>
    <w:rsid w:val="0E1A25F8"/>
    <w:rsid w:val="0E33119A"/>
    <w:rsid w:val="0E484B44"/>
    <w:rsid w:val="0ED71EEE"/>
    <w:rsid w:val="0EEF05BA"/>
    <w:rsid w:val="0F0F11BE"/>
    <w:rsid w:val="0F2203CF"/>
    <w:rsid w:val="0F272863"/>
    <w:rsid w:val="0F2C78B5"/>
    <w:rsid w:val="0F340C24"/>
    <w:rsid w:val="0F49256A"/>
    <w:rsid w:val="0F544915"/>
    <w:rsid w:val="0F6256F4"/>
    <w:rsid w:val="0FAC2639"/>
    <w:rsid w:val="0FB2671F"/>
    <w:rsid w:val="0FBF4B97"/>
    <w:rsid w:val="10130368"/>
    <w:rsid w:val="102E514F"/>
    <w:rsid w:val="104C77C0"/>
    <w:rsid w:val="1061783B"/>
    <w:rsid w:val="10AF2C58"/>
    <w:rsid w:val="10BF71E9"/>
    <w:rsid w:val="10D241D0"/>
    <w:rsid w:val="11105DEF"/>
    <w:rsid w:val="111123A7"/>
    <w:rsid w:val="1132247A"/>
    <w:rsid w:val="113B0034"/>
    <w:rsid w:val="11511AAD"/>
    <w:rsid w:val="11714438"/>
    <w:rsid w:val="117C475F"/>
    <w:rsid w:val="11B271DC"/>
    <w:rsid w:val="11D10160"/>
    <w:rsid w:val="1204469C"/>
    <w:rsid w:val="12135469"/>
    <w:rsid w:val="121E04E8"/>
    <w:rsid w:val="12200177"/>
    <w:rsid w:val="126E04C4"/>
    <w:rsid w:val="12900868"/>
    <w:rsid w:val="12C10A21"/>
    <w:rsid w:val="12F64B6E"/>
    <w:rsid w:val="130970C4"/>
    <w:rsid w:val="131624FF"/>
    <w:rsid w:val="13441AE5"/>
    <w:rsid w:val="134C6DD6"/>
    <w:rsid w:val="136D666B"/>
    <w:rsid w:val="139F799A"/>
    <w:rsid w:val="13B17C71"/>
    <w:rsid w:val="13CE17D5"/>
    <w:rsid w:val="1405689D"/>
    <w:rsid w:val="140E5EE8"/>
    <w:rsid w:val="1425441D"/>
    <w:rsid w:val="14301B0C"/>
    <w:rsid w:val="14711FFC"/>
    <w:rsid w:val="147C18B9"/>
    <w:rsid w:val="147E2158"/>
    <w:rsid w:val="14970D4A"/>
    <w:rsid w:val="14AD4DB8"/>
    <w:rsid w:val="14C4258A"/>
    <w:rsid w:val="15A64BF0"/>
    <w:rsid w:val="15C13494"/>
    <w:rsid w:val="15EC220C"/>
    <w:rsid w:val="15F555B1"/>
    <w:rsid w:val="161E3404"/>
    <w:rsid w:val="169C77DB"/>
    <w:rsid w:val="16CD208A"/>
    <w:rsid w:val="16E573D4"/>
    <w:rsid w:val="170A6E3A"/>
    <w:rsid w:val="1720040C"/>
    <w:rsid w:val="174E3C66"/>
    <w:rsid w:val="175005C5"/>
    <w:rsid w:val="176D3DBC"/>
    <w:rsid w:val="17BA0860"/>
    <w:rsid w:val="17FF1CA5"/>
    <w:rsid w:val="183C7668"/>
    <w:rsid w:val="186576DB"/>
    <w:rsid w:val="1870581D"/>
    <w:rsid w:val="18852DC4"/>
    <w:rsid w:val="18B43EE8"/>
    <w:rsid w:val="18D07C10"/>
    <w:rsid w:val="19940024"/>
    <w:rsid w:val="19B73F44"/>
    <w:rsid w:val="1A1C0075"/>
    <w:rsid w:val="1A2235E4"/>
    <w:rsid w:val="1A304E0A"/>
    <w:rsid w:val="1A367F46"/>
    <w:rsid w:val="1A943AF7"/>
    <w:rsid w:val="1ADC3C25"/>
    <w:rsid w:val="1B0A0ACD"/>
    <w:rsid w:val="1B2C68C9"/>
    <w:rsid w:val="1B4D2EB0"/>
    <w:rsid w:val="1B8A22F8"/>
    <w:rsid w:val="1BA809D0"/>
    <w:rsid w:val="1BAD4A8B"/>
    <w:rsid w:val="1BC8769B"/>
    <w:rsid w:val="1C041A94"/>
    <w:rsid w:val="1C456AEB"/>
    <w:rsid w:val="1C817B9F"/>
    <w:rsid w:val="1C8C41A9"/>
    <w:rsid w:val="1C913B90"/>
    <w:rsid w:val="1C982E58"/>
    <w:rsid w:val="1CAA2094"/>
    <w:rsid w:val="1CB338B2"/>
    <w:rsid w:val="1CBB1081"/>
    <w:rsid w:val="1CF52D14"/>
    <w:rsid w:val="1D076741"/>
    <w:rsid w:val="1D0F3860"/>
    <w:rsid w:val="1D2A5E93"/>
    <w:rsid w:val="1D3369BF"/>
    <w:rsid w:val="1D354CD2"/>
    <w:rsid w:val="1D5C49B8"/>
    <w:rsid w:val="1D6227F8"/>
    <w:rsid w:val="1D644556"/>
    <w:rsid w:val="1DAB7C59"/>
    <w:rsid w:val="1DB775F0"/>
    <w:rsid w:val="1DC96A0D"/>
    <w:rsid w:val="1DE1661E"/>
    <w:rsid w:val="1DFE291F"/>
    <w:rsid w:val="1E141822"/>
    <w:rsid w:val="1E385966"/>
    <w:rsid w:val="1E601256"/>
    <w:rsid w:val="1E7D1FC4"/>
    <w:rsid w:val="1E990AA4"/>
    <w:rsid w:val="1EC41FC5"/>
    <w:rsid w:val="1EE42889"/>
    <w:rsid w:val="1F093E7B"/>
    <w:rsid w:val="1F132604"/>
    <w:rsid w:val="1F4C5B16"/>
    <w:rsid w:val="1F852551"/>
    <w:rsid w:val="1FA73631"/>
    <w:rsid w:val="1FAB0A8F"/>
    <w:rsid w:val="1FBB64FE"/>
    <w:rsid w:val="1FC009DE"/>
    <w:rsid w:val="1FC35DD8"/>
    <w:rsid w:val="1FF90AD1"/>
    <w:rsid w:val="201448F3"/>
    <w:rsid w:val="2056004D"/>
    <w:rsid w:val="205F5715"/>
    <w:rsid w:val="206B2007"/>
    <w:rsid w:val="207B4905"/>
    <w:rsid w:val="20A04297"/>
    <w:rsid w:val="20C20C31"/>
    <w:rsid w:val="20C84D12"/>
    <w:rsid w:val="20EA3839"/>
    <w:rsid w:val="210F6386"/>
    <w:rsid w:val="21123AF4"/>
    <w:rsid w:val="214B42D7"/>
    <w:rsid w:val="21543824"/>
    <w:rsid w:val="215A1D31"/>
    <w:rsid w:val="2197751D"/>
    <w:rsid w:val="21A6126D"/>
    <w:rsid w:val="21AC5E05"/>
    <w:rsid w:val="21BA77C5"/>
    <w:rsid w:val="21C10A3D"/>
    <w:rsid w:val="21CD2F3E"/>
    <w:rsid w:val="21E40288"/>
    <w:rsid w:val="220F1E76"/>
    <w:rsid w:val="22135316"/>
    <w:rsid w:val="22312373"/>
    <w:rsid w:val="223E3706"/>
    <w:rsid w:val="225D0766"/>
    <w:rsid w:val="227F3C44"/>
    <w:rsid w:val="22813E3B"/>
    <w:rsid w:val="229B2BFD"/>
    <w:rsid w:val="22C4509D"/>
    <w:rsid w:val="22D14F53"/>
    <w:rsid w:val="22F4274D"/>
    <w:rsid w:val="23447230"/>
    <w:rsid w:val="239F492C"/>
    <w:rsid w:val="23AC59BF"/>
    <w:rsid w:val="23DB0465"/>
    <w:rsid w:val="23DE59BA"/>
    <w:rsid w:val="240E27FB"/>
    <w:rsid w:val="2460453E"/>
    <w:rsid w:val="24613453"/>
    <w:rsid w:val="24690BB2"/>
    <w:rsid w:val="247955FF"/>
    <w:rsid w:val="24A43F77"/>
    <w:rsid w:val="24C1158C"/>
    <w:rsid w:val="24C82820"/>
    <w:rsid w:val="24D16C22"/>
    <w:rsid w:val="24D740D4"/>
    <w:rsid w:val="25011339"/>
    <w:rsid w:val="25236D9F"/>
    <w:rsid w:val="256E3D48"/>
    <w:rsid w:val="25F50CB6"/>
    <w:rsid w:val="26163EB5"/>
    <w:rsid w:val="26321F0A"/>
    <w:rsid w:val="265B2A1E"/>
    <w:rsid w:val="26C568DA"/>
    <w:rsid w:val="26D905D7"/>
    <w:rsid w:val="26EA6665"/>
    <w:rsid w:val="27223B87"/>
    <w:rsid w:val="273902E6"/>
    <w:rsid w:val="2746688A"/>
    <w:rsid w:val="276B6060"/>
    <w:rsid w:val="27822A1D"/>
    <w:rsid w:val="278F23C0"/>
    <w:rsid w:val="27AD56A5"/>
    <w:rsid w:val="27B2145C"/>
    <w:rsid w:val="27FA7131"/>
    <w:rsid w:val="281A0EA7"/>
    <w:rsid w:val="28435545"/>
    <w:rsid w:val="287C121A"/>
    <w:rsid w:val="28884063"/>
    <w:rsid w:val="28962D82"/>
    <w:rsid w:val="28C22024"/>
    <w:rsid w:val="28DA4193"/>
    <w:rsid w:val="28E76FDC"/>
    <w:rsid w:val="28F42AC8"/>
    <w:rsid w:val="28FB2A87"/>
    <w:rsid w:val="290129D3"/>
    <w:rsid w:val="298D5275"/>
    <w:rsid w:val="29A742A4"/>
    <w:rsid w:val="29F56D48"/>
    <w:rsid w:val="2A0D0CC4"/>
    <w:rsid w:val="2A1B2201"/>
    <w:rsid w:val="2A613DAE"/>
    <w:rsid w:val="2A73489F"/>
    <w:rsid w:val="2AC8240E"/>
    <w:rsid w:val="2AE474F4"/>
    <w:rsid w:val="2AE91610"/>
    <w:rsid w:val="2AF23A16"/>
    <w:rsid w:val="2B2D0EF2"/>
    <w:rsid w:val="2B69661F"/>
    <w:rsid w:val="2BA271EA"/>
    <w:rsid w:val="2BAE7D76"/>
    <w:rsid w:val="2BCD7395"/>
    <w:rsid w:val="2BCE4856"/>
    <w:rsid w:val="2BEC2B5B"/>
    <w:rsid w:val="2C0B1EB7"/>
    <w:rsid w:val="2C3708A1"/>
    <w:rsid w:val="2C371CC5"/>
    <w:rsid w:val="2C4E1120"/>
    <w:rsid w:val="2C740C6A"/>
    <w:rsid w:val="2C8F5842"/>
    <w:rsid w:val="2CBA5B43"/>
    <w:rsid w:val="2CBE0286"/>
    <w:rsid w:val="2CFE750E"/>
    <w:rsid w:val="2D05394C"/>
    <w:rsid w:val="2D0F7889"/>
    <w:rsid w:val="2D874C30"/>
    <w:rsid w:val="2DC0604D"/>
    <w:rsid w:val="2DD361E2"/>
    <w:rsid w:val="2DF42E5B"/>
    <w:rsid w:val="2E0A72C8"/>
    <w:rsid w:val="2E0D4939"/>
    <w:rsid w:val="2E734E6D"/>
    <w:rsid w:val="2E933762"/>
    <w:rsid w:val="2EA27501"/>
    <w:rsid w:val="2EA852C3"/>
    <w:rsid w:val="2EB16D61"/>
    <w:rsid w:val="2EE46E89"/>
    <w:rsid w:val="2F0361F1"/>
    <w:rsid w:val="2F260132"/>
    <w:rsid w:val="2F3C2100"/>
    <w:rsid w:val="2F3E7857"/>
    <w:rsid w:val="2F5E167A"/>
    <w:rsid w:val="2F624773"/>
    <w:rsid w:val="2F7A54B3"/>
    <w:rsid w:val="2F9060E8"/>
    <w:rsid w:val="2FCA440F"/>
    <w:rsid w:val="2FE00F3D"/>
    <w:rsid w:val="2FE57FED"/>
    <w:rsid w:val="2FEC4067"/>
    <w:rsid w:val="2FF02C24"/>
    <w:rsid w:val="2FF40230"/>
    <w:rsid w:val="2FFC2FA7"/>
    <w:rsid w:val="30246A80"/>
    <w:rsid w:val="305C0CAD"/>
    <w:rsid w:val="307325D9"/>
    <w:rsid w:val="30B11ABF"/>
    <w:rsid w:val="30C51EF2"/>
    <w:rsid w:val="30D977A2"/>
    <w:rsid w:val="318750EF"/>
    <w:rsid w:val="318C73AC"/>
    <w:rsid w:val="31D71BB7"/>
    <w:rsid w:val="31E71DFA"/>
    <w:rsid w:val="31F2015C"/>
    <w:rsid w:val="31F67EDC"/>
    <w:rsid w:val="325D5CAE"/>
    <w:rsid w:val="32E53E60"/>
    <w:rsid w:val="333E257D"/>
    <w:rsid w:val="33473172"/>
    <w:rsid w:val="337C0898"/>
    <w:rsid w:val="33CD3196"/>
    <w:rsid w:val="341774EA"/>
    <w:rsid w:val="343C6007"/>
    <w:rsid w:val="3474525E"/>
    <w:rsid w:val="348231C8"/>
    <w:rsid w:val="349756CD"/>
    <w:rsid w:val="34BB1D0D"/>
    <w:rsid w:val="34DB703E"/>
    <w:rsid w:val="34DF325D"/>
    <w:rsid w:val="352B6080"/>
    <w:rsid w:val="352E7A4E"/>
    <w:rsid w:val="355D1BDD"/>
    <w:rsid w:val="35BB002A"/>
    <w:rsid w:val="35D46B3A"/>
    <w:rsid w:val="35E13532"/>
    <w:rsid w:val="35F273D0"/>
    <w:rsid w:val="35FF1075"/>
    <w:rsid w:val="36312BA6"/>
    <w:rsid w:val="363E3E80"/>
    <w:rsid w:val="364147F8"/>
    <w:rsid w:val="3659703F"/>
    <w:rsid w:val="36AB0D07"/>
    <w:rsid w:val="36CA51EA"/>
    <w:rsid w:val="36F44901"/>
    <w:rsid w:val="371216F3"/>
    <w:rsid w:val="371562DB"/>
    <w:rsid w:val="37256F21"/>
    <w:rsid w:val="37321D6A"/>
    <w:rsid w:val="37555A58"/>
    <w:rsid w:val="375E2E42"/>
    <w:rsid w:val="37B26BC7"/>
    <w:rsid w:val="37BA272F"/>
    <w:rsid w:val="37DF7667"/>
    <w:rsid w:val="3810197F"/>
    <w:rsid w:val="381E47F3"/>
    <w:rsid w:val="38240664"/>
    <w:rsid w:val="382F7F59"/>
    <w:rsid w:val="384A5A72"/>
    <w:rsid w:val="3898459D"/>
    <w:rsid w:val="38B4677D"/>
    <w:rsid w:val="38D65532"/>
    <w:rsid w:val="39585248"/>
    <w:rsid w:val="39682C9F"/>
    <w:rsid w:val="39C0030D"/>
    <w:rsid w:val="39E15BEA"/>
    <w:rsid w:val="3A74592E"/>
    <w:rsid w:val="3AF96F3C"/>
    <w:rsid w:val="3AFF6407"/>
    <w:rsid w:val="3B4E1274"/>
    <w:rsid w:val="3B5B73B5"/>
    <w:rsid w:val="3B6A75F8"/>
    <w:rsid w:val="3B8A2759"/>
    <w:rsid w:val="3BA20BFD"/>
    <w:rsid w:val="3BA42B0A"/>
    <w:rsid w:val="3BC40B50"/>
    <w:rsid w:val="3BD01B51"/>
    <w:rsid w:val="3C003D8D"/>
    <w:rsid w:val="3C3917A1"/>
    <w:rsid w:val="3C5C2847"/>
    <w:rsid w:val="3C925059"/>
    <w:rsid w:val="3CB5559F"/>
    <w:rsid w:val="3CBC2B52"/>
    <w:rsid w:val="3CE753A4"/>
    <w:rsid w:val="3D1A4877"/>
    <w:rsid w:val="3D1F312E"/>
    <w:rsid w:val="3D340328"/>
    <w:rsid w:val="3D6A7724"/>
    <w:rsid w:val="3DDC1163"/>
    <w:rsid w:val="3E3711E2"/>
    <w:rsid w:val="3E421533"/>
    <w:rsid w:val="3E4E44C1"/>
    <w:rsid w:val="3E706C67"/>
    <w:rsid w:val="3E8D5E6B"/>
    <w:rsid w:val="3ED01430"/>
    <w:rsid w:val="3EDC25BB"/>
    <w:rsid w:val="3EF74B23"/>
    <w:rsid w:val="3F081602"/>
    <w:rsid w:val="3F66594E"/>
    <w:rsid w:val="3F796D91"/>
    <w:rsid w:val="3F9733C2"/>
    <w:rsid w:val="3FA30497"/>
    <w:rsid w:val="3FD247CD"/>
    <w:rsid w:val="3FD414E4"/>
    <w:rsid w:val="40925627"/>
    <w:rsid w:val="40D45C40"/>
    <w:rsid w:val="40DB5220"/>
    <w:rsid w:val="40E81C84"/>
    <w:rsid w:val="40F94293"/>
    <w:rsid w:val="4157061F"/>
    <w:rsid w:val="41597EF3"/>
    <w:rsid w:val="41662610"/>
    <w:rsid w:val="41921B27"/>
    <w:rsid w:val="41D33E93"/>
    <w:rsid w:val="41D46DAB"/>
    <w:rsid w:val="41D75722"/>
    <w:rsid w:val="420D7370"/>
    <w:rsid w:val="429E34F1"/>
    <w:rsid w:val="42AA6865"/>
    <w:rsid w:val="42C57F36"/>
    <w:rsid w:val="42D27F5D"/>
    <w:rsid w:val="42EA6221"/>
    <w:rsid w:val="434A46EC"/>
    <w:rsid w:val="435C7A89"/>
    <w:rsid w:val="437B01A5"/>
    <w:rsid w:val="43941B2C"/>
    <w:rsid w:val="43CB2F74"/>
    <w:rsid w:val="43E20674"/>
    <w:rsid w:val="444A568D"/>
    <w:rsid w:val="444C4C47"/>
    <w:rsid w:val="44590819"/>
    <w:rsid w:val="445B488C"/>
    <w:rsid w:val="446E48E9"/>
    <w:rsid w:val="44784B34"/>
    <w:rsid w:val="447B1C4D"/>
    <w:rsid w:val="450665E4"/>
    <w:rsid w:val="450F3328"/>
    <w:rsid w:val="453252CE"/>
    <w:rsid w:val="453A4CCF"/>
    <w:rsid w:val="45597105"/>
    <w:rsid w:val="455E0086"/>
    <w:rsid w:val="45640302"/>
    <w:rsid w:val="456C63D5"/>
    <w:rsid w:val="45763405"/>
    <w:rsid w:val="458B7D93"/>
    <w:rsid w:val="46293689"/>
    <w:rsid w:val="465A35BD"/>
    <w:rsid w:val="465D0485"/>
    <w:rsid w:val="465F0134"/>
    <w:rsid w:val="46D93AEF"/>
    <w:rsid w:val="47113641"/>
    <w:rsid w:val="4742292E"/>
    <w:rsid w:val="475E2568"/>
    <w:rsid w:val="476B6BD2"/>
    <w:rsid w:val="47842674"/>
    <w:rsid w:val="4795427E"/>
    <w:rsid w:val="479F32A6"/>
    <w:rsid w:val="47B9126E"/>
    <w:rsid w:val="47D12ED9"/>
    <w:rsid w:val="48322A33"/>
    <w:rsid w:val="4857428C"/>
    <w:rsid w:val="485B09F4"/>
    <w:rsid w:val="4866371A"/>
    <w:rsid w:val="48674224"/>
    <w:rsid w:val="48A95C04"/>
    <w:rsid w:val="48CE652C"/>
    <w:rsid w:val="48D91605"/>
    <w:rsid w:val="48F97216"/>
    <w:rsid w:val="492275A4"/>
    <w:rsid w:val="49446E29"/>
    <w:rsid w:val="49C9699B"/>
    <w:rsid w:val="49DD50AA"/>
    <w:rsid w:val="4A496086"/>
    <w:rsid w:val="4A6C513B"/>
    <w:rsid w:val="4A74295D"/>
    <w:rsid w:val="4AC11C68"/>
    <w:rsid w:val="4ACE1952"/>
    <w:rsid w:val="4AEE4B84"/>
    <w:rsid w:val="4AEF15D8"/>
    <w:rsid w:val="4B005883"/>
    <w:rsid w:val="4B036369"/>
    <w:rsid w:val="4B61791F"/>
    <w:rsid w:val="4B7A0F54"/>
    <w:rsid w:val="4BE40D01"/>
    <w:rsid w:val="4C0C7EBD"/>
    <w:rsid w:val="4C486328"/>
    <w:rsid w:val="4C4C09CF"/>
    <w:rsid w:val="4C4D6CFC"/>
    <w:rsid w:val="4C5540BF"/>
    <w:rsid w:val="4CA02851"/>
    <w:rsid w:val="4CC81A20"/>
    <w:rsid w:val="4CE76CFB"/>
    <w:rsid w:val="4D141FE0"/>
    <w:rsid w:val="4D646B23"/>
    <w:rsid w:val="4DAC05E6"/>
    <w:rsid w:val="4DC236BE"/>
    <w:rsid w:val="4DE82D2A"/>
    <w:rsid w:val="4E0524B6"/>
    <w:rsid w:val="4E0E5897"/>
    <w:rsid w:val="4E4242CC"/>
    <w:rsid w:val="4E5F5F0E"/>
    <w:rsid w:val="4E677615"/>
    <w:rsid w:val="4ED079B5"/>
    <w:rsid w:val="4ED127FF"/>
    <w:rsid w:val="4ED96A7E"/>
    <w:rsid w:val="4EF92D15"/>
    <w:rsid w:val="4F540514"/>
    <w:rsid w:val="4F6666E3"/>
    <w:rsid w:val="4F724D1A"/>
    <w:rsid w:val="4F9C22EA"/>
    <w:rsid w:val="4FA72771"/>
    <w:rsid w:val="4FB22195"/>
    <w:rsid w:val="4FFE3062"/>
    <w:rsid w:val="500372D1"/>
    <w:rsid w:val="50697A27"/>
    <w:rsid w:val="50C01628"/>
    <w:rsid w:val="50C65FDD"/>
    <w:rsid w:val="50C77758"/>
    <w:rsid w:val="50E028B4"/>
    <w:rsid w:val="5119769F"/>
    <w:rsid w:val="51271000"/>
    <w:rsid w:val="517D674F"/>
    <w:rsid w:val="51B11960"/>
    <w:rsid w:val="5200468D"/>
    <w:rsid w:val="520B596A"/>
    <w:rsid w:val="5226253D"/>
    <w:rsid w:val="522D7877"/>
    <w:rsid w:val="523A461D"/>
    <w:rsid w:val="526D37FE"/>
    <w:rsid w:val="52C728C5"/>
    <w:rsid w:val="52E57E15"/>
    <w:rsid w:val="52EB0BC7"/>
    <w:rsid w:val="52FD43C9"/>
    <w:rsid w:val="531B187C"/>
    <w:rsid w:val="533C110A"/>
    <w:rsid w:val="536A3A27"/>
    <w:rsid w:val="53737AE7"/>
    <w:rsid w:val="53DE35D5"/>
    <w:rsid w:val="5403105C"/>
    <w:rsid w:val="543E122D"/>
    <w:rsid w:val="544544DB"/>
    <w:rsid w:val="54454A38"/>
    <w:rsid w:val="54603722"/>
    <w:rsid w:val="5460414F"/>
    <w:rsid w:val="546E1AAF"/>
    <w:rsid w:val="546E385E"/>
    <w:rsid w:val="546E6143"/>
    <w:rsid w:val="54994D7E"/>
    <w:rsid w:val="54B76D9A"/>
    <w:rsid w:val="54C44B46"/>
    <w:rsid w:val="54D34337"/>
    <w:rsid w:val="54DA5D8D"/>
    <w:rsid w:val="54ED35AA"/>
    <w:rsid w:val="551D40DC"/>
    <w:rsid w:val="55300100"/>
    <w:rsid w:val="55B921AE"/>
    <w:rsid w:val="55C217A6"/>
    <w:rsid w:val="55C45E2B"/>
    <w:rsid w:val="55C7591B"/>
    <w:rsid w:val="55F964C0"/>
    <w:rsid w:val="562B5EAA"/>
    <w:rsid w:val="565A665B"/>
    <w:rsid w:val="566B44F9"/>
    <w:rsid w:val="568000FE"/>
    <w:rsid w:val="56CE1E48"/>
    <w:rsid w:val="57231423"/>
    <w:rsid w:val="57441971"/>
    <w:rsid w:val="5753390A"/>
    <w:rsid w:val="577949F3"/>
    <w:rsid w:val="5781344E"/>
    <w:rsid w:val="578923D3"/>
    <w:rsid w:val="57C837F3"/>
    <w:rsid w:val="57D27E9C"/>
    <w:rsid w:val="57DE5369"/>
    <w:rsid w:val="57E33FE6"/>
    <w:rsid w:val="58002426"/>
    <w:rsid w:val="584E6149"/>
    <w:rsid w:val="585A65D3"/>
    <w:rsid w:val="587873A1"/>
    <w:rsid w:val="587C29ED"/>
    <w:rsid w:val="587D598D"/>
    <w:rsid w:val="589F3852"/>
    <w:rsid w:val="58BB798B"/>
    <w:rsid w:val="58CB74D0"/>
    <w:rsid w:val="58E77E9A"/>
    <w:rsid w:val="59154646"/>
    <w:rsid w:val="5935428B"/>
    <w:rsid w:val="59537423"/>
    <w:rsid w:val="59695434"/>
    <w:rsid w:val="59CA7788"/>
    <w:rsid w:val="59D06384"/>
    <w:rsid w:val="59EB363D"/>
    <w:rsid w:val="59F359C5"/>
    <w:rsid w:val="59F82839"/>
    <w:rsid w:val="5A6E2A15"/>
    <w:rsid w:val="5AA4447D"/>
    <w:rsid w:val="5AF54CD9"/>
    <w:rsid w:val="5B105132"/>
    <w:rsid w:val="5B314FB8"/>
    <w:rsid w:val="5B395408"/>
    <w:rsid w:val="5B3C4A21"/>
    <w:rsid w:val="5B5136E8"/>
    <w:rsid w:val="5B8542BD"/>
    <w:rsid w:val="5BB22788"/>
    <w:rsid w:val="5BEF0AD5"/>
    <w:rsid w:val="5C0E64BD"/>
    <w:rsid w:val="5C0F3B78"/>
    <w:rsid w:val="5C36729C"/>
    <w:rsid w:val="5C520E7C"/>
    <w:rsid w:val="5C5611D3"/>
    <w:rsid w:val="5C6E5A67"/>
    <w:rsid w:val="5CC055C4"/>
    <w:rsid w:val="5CC07DD9"/>
    <w:rsid w:val="5D0D35F8"/>
    <w:rsid w:val="5D123E93"/>
    <w:rsid w:val="5D1C654D"/>
    <w:rsid w:val="5D2017FC"/>
    <w:rsid w:val="5DB449D7"/>
    <w:rsid w:val="5DC23869"/>
    <w:rsid w:val="5DDE1A54"/>
    <w:rsid w:val="5DFA1519"/>
    <w:rsid w:val="5E6B5F28"/>
    <w:rsid w:val="5E6D4E5F"/>
    <w:rsid w:val="5E8343A9"/>
    <w:rsid w:val="5ECF7C24"/>
    <w:rsid w:val="5EFA2F5D"/>
    <w:rsid w:val="5F0E6877"/>
    <w:rsid w:val="5F1405A9"/>
    <w:rsid w:val="5F4E2C09"/>
    <w:rsid w:val="5F7C47FC"/>
    <w:rsid w:val="5FB4164A"/>
    <w:rsid w:val="5FF41E65"/>
    <w:rsid w:val="60675D31"/>
    <w:rsid w:val="606E61E9"/>
    <w:rsid w:val="60D17C50"/>
    <w:rsid w:val="61152866"/>
    <w:rsid w:val="61CE7FA1"/>
    <w:rsid w:val="622017F1"/>
    <w:rsid w:val="62DD1EB5"/>
    <w:rsid w:val="63154001"/>
    <w:rsid w:val="633D39F4"/>
    <w:rsid w:val="634467FD"/>
    <w:rsid w:val="63520F1A"/>
    <w:rsid w:val="63937429"/>
    <w:rsid w:val="63D0339F"/>
    <w:rsid w:val="6413263F"/>
    <w:rsid w:val="64944B56"/>
    <w:rsid w:val="64B27796"/>
    <w:rsid w:val="64CA1A25"/>
    <w:rsid w:val="64E83DE8"/>
    <w:rsid w:val="64EC3D37"/>
    <w:rsid w:val="64EE1A97"/>
    <w:rsid w:val="656211BC"/>
    <w:rsid w:val="65622EF3"/>
    <w:rsid w:val="6578453C"/>
    <w:rsid w:val="65810E59"/>
    <w:rsid w:val="65817895"/>
    <w:rsid w:val="658E039D"/>
    <w:rsid w:val="65924CA9"/>
    <w:rsid w:val="65B46B2F"/>
    <w:rsid w:val="65C26A8E"/>
    <w:rsid w:val="65D200F0"/>
    <w:rsid w:val="65E51C8D"/>
    <w:rsid w:val="65FF6E40"/>
    <w:rsid w:val="660D2ED6"/>
    <w:rsid w:val="660E0C4E"/>
    <w:rsid w:val="6612135A"/>
    <w:rsid w:val="6659207B"/>
    <w:rsid w:val="66AE7DC2"/>
    <w:rsid w:val="66D439F4"/>
    <w:rsid w:val="66D6776C"/>
    <w:rsid w:val="66FA4241"/>
    <w:rsid w:val="672A3F5C"/>
    <w:rsid w:val="672C66EE"/>
    <w:rsid w:val="674D4335"/>
    <w:rsid w:val="67726657"/>
    <w:rsid w:val="678A4ED6"/>
    <w:rsid w:val="67BB05DB"/>
    <w:rsid w:val="67BD26DA"/>
    <w:rsid w:val="68120612"/>
    <w:rsid w:val="684865DA"/>
    <w:rsid w:val="68744C4B"/>
    <w:rsid w:val="688A35DC"/>
    <w:rsid w:val="6896352A"/>
    <w:rsid w:val="68C80E95"/>
    <w:rsid w:val="68D51FF8"/>
    <w:rsid w:val="68F41093"/>
    <w:rsid w:val="69232A11"/>
    <w:rsid w:val="694F6758"/>
    <w:rsid w:val="695E2B47"/>
    <w:rsid w:val="69721525"/>
    <w:rsid w:val="69874162"/>
    <w:rsid w:val="69886D18"/>
    <w:rsid w:val="699C0B46"/>
    <w:rsid w:val="699E6EDB"/>
    <w:rsid w:val="6A0C5CC5"/>
    <w:rsid w:val="6A0D4726"/>
    <w:rsid w:val="6A1011E7"/>
    <w:rsid w:val="6A5C61DA"/>
    <w:rsid w:val="6A7554EE"/>
    <w:rsid w:val="6A7D7D3F"/>
    <w:rsid w:val="6A9C5931"/>
    <w:rsid w:val="6AAE7AF6"/>
    <w:rsid w:val="6AD14FD7"/>
    <w:rsid w:val="6B327947"/>
    <w:rsid w:val="6BC92D5B"/>
    <w:rsid w:val="6BD20370"/>
    <w:rsid w:val="6BDC2A11"/>
    <w:rsid w:val="6BE85984"/>
    <w:rsid w:val="6C4179F9"/>
    <w:rsid w:val="6CC60283"/>
    <w:rsid w:val="6D2356D5"/>
    <w:rsid w:val="6D374CDD"/>
    <w:rsid w:val="6D4603CA"/>
    <w:rsid w:val="6D7A376E"/>
    <w:rsid w:val="6D924ED4"/>
    <w:rsid w:val="6DC139A9"/>
    <w:rsid w:val="6DC432DB"/>
    <w:rsid w:val="6E1F559C"/>
    <w:rsid w:val="6E74415F"/>
    <w:rsid w:val="6E9A3775"/>
    <w:rsid w:val="6EC425A0"/>
    <w:rsid w:val="6EF966EE"/>
    <w:rsid w:val="6F155591"/>
    <w:rsid w:val="6F564781"/>
    <w:rsid w:val="6F944336"/>
    <w:rsid w:val="6FA110A6"/>
    <w:rsid w:val="6FAD4F96"/>
    <w:rsid w:val="6FC64B3E"/>
    <w:rsid w:val="6FD5610C"/>
    <w:rsid w:val="6FEB019E"/>
    <w:rsid w:val="700A0487"/>
    <w:rsid w:val="70393F60"/>
    <w:rsid w:val="706E6C67"/>
    <w:rsid w:val="70A408DB"/>
    <w:rsid w:val="70A52F39"/>
    <w:rsid w:val="70BB7EBB"/>
    <w:rsid w:val="70D34E08"/>
    <w:rsid w:val="70EF5AB4"/>
    <w:rsid w:val="71325EE7"/>
    <w:rsid w:val="71411CC9"/>
    <w:rsid w:val="71502811"/>
    <w:rsid w:val="71C10F2E"/>
    <w:rsid w:val="71C87C41"/>
    <w:rsid w:val="71C93E5C"/>
    <w:rsid w:val="71FC339D"/>
    <w:rsid w:val="722137BD"/>
    <w:rsid w:val="722453CB"/>
    <w:rsid w:val="72365B57"/>
    <w:rsid w:val="72611287"/>
    <w:rsid w:val="72A20E4A"/>
    <w:rsid w:val="72BB5F8B"/>
    <w:rsid w:val="72BB6655"/>
    <w:rsid w:val="72C70B09"/>
    <w:rsid w:val="72C712E1"/>
    <w:rsid w:val="72F97638"/>
    <w:rsid w:val="72FA1A10"/>
    <w:rsid w:val="73322ECF"/>
    <w:rsid w:val="73662167"/>
    <w:rsid w:val="738024D6"/>
    <w:rsid w:val="73952CB3"/>
    <w:rsid w:val="73C55FFA"/>
    <w:rsid w:val="74424693"/>
    <w:rsid w:val="744A0A36"/>
    <w:rsid w:val="74D62DD0"/>
    <w:rsid w:val="7501589A"/>
    <w:rsid w:val="75092F11"/>
    <w:rsid w:val="751C6001"/>
    <w:rsid w:val="752C54C6"/>
    <w:rsid w:val="75686957"/>
    <w:rsid w:val="75907680"/>
    <w:rsid w:val="75D017B9"/>
    <w:rsid w:val="761A4816"/>
    <w:rsid w:val="76772852"/>
    <w:rsid w:val="767C4B99"/>
    <w:rsid w:val="769D3F76"/>
    <w:rsid w:val="76D36956"/>
    <w:rsid w:val="771D3195"/>
    <w:rsid w:val="7758241F"/>
    <w:rsid w:val="77CE2B0A"/>
    <w:rsid w:val="77F838AE"/>
    <w:rsid w:val="780E7E28"/>
    <w:rsid w:val="781B0555"/>
    <w:rsid w:val="784E07A8"/>
    <w:rsid w:val="78533409"/>
    <w:rsid w:val="78705799"/>
    <w:rsid w:val="78774B27"/>
    <w:rsid w:val="787765F1"/>
    <w:rsid w:val="78D26A7E"/>
    <w:rsid w:val="78F9553C"/>
    <w:rsid w:val="79940026"/>
    <w:rsid w:val="79B871A5"/>
    <w:rsid w:val="79F002FE"/>
    <w:rsid w:val="7A162C99"/>
    <w:rsid w:val="7A170370"/>
    <w:rsid w:val="7A173ECC"/>
    <w:rsid w:val="7A1C5986"/>
    <w:rsid w:val="7A72753A"/>
    <w:rsid w:val="7A8377B3"/>
    <w:rsid w:val="7A8A20FF"/>
    <w:rsid w:val="7AF47429"/>
    <w:rsid w:val="7B0862D8"/>
    <w:rsid w:val="7B130B37"/>
    <w:rsid w:val="7B406A51"/>
    <w:rsid w:val="7B6B4CD9"/>
    <w:rsid w:val="7B9B00FB"/>
    <w:rsid w:val="7BF7374C"/>
    <w:rsid w:val="7C01654E"/>
    <w:rsid w:val="7C09018C"/>
    <w:rsid w:val="7C3A2988"/>
    <w:rsid w:val="7C420122"/>
    <w:rsid w:val="7C541224"/>
    <w:rsid w:val="7C5F5157"/>
    <w:rsid w:val="7C675C0A"/>
    <w:rsid w:val="7C727ADF"/>
    <w:rsid w:val="7CF02627"/>
    <w:rsid w:val="7D114D01"/>
    <w:rsid w:val="7D5921B2"/>
    <w:rsid w:val="7D741635"/>
    <w:rsid w:val="7DDC6E34"/>
    <w:rsid w:val="7E205AED"/>
    <w:rsid w:val="7E23216E"/>
    <w:rsid w:val="7E751182"/>
    <w:rsid w:val="7E8A5804"/>
    <w:rsid w:val="7E8E57B1"/>
    <w:rsid w:val="7EA41695"/>
    <w:rsid w:val="7EAC1347"/>
    <w:rsid w:val="7ED96E19"/>
    <w:rsid w:val="7F1F491B"/>
    <w:rsid w:val="7F245858"/>
    <w:rsid w:val="7F9A1827"/>
    <w:rsid w:val="7FA22F78"/>
    <w:rsid w:val="7FA27CF2"/>
    <w:rsid w:val="7FAF4BA7"/>
    <w:rsid w:val="7FB201B2"/>
    <w:rsid w:val="7FB3011B"/>
    <w:rsid w:val="7FBA3291"/>
    <w:rsid w:val="7FBC7AE6"/>
    <w:rsid w:val="7FF00AD6"/>
    <w:rsid w:val="7FF459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autoRedefine/>
    <w:qFormat/>
    <w:uiPriority w:val="1"/>
    <w:pPr>
      <w:ind w:left="652"/>
      <w:outlineLvl w:val="3"/>
    </w:pPr>
    <w:rPr>
      <w:b/>
      <w:bCs/>
      <w:sz w:val="30"/>
      <w:szCs w:val="30"/>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7">
    <w:name w:val="toa heading"/>
    <w:basedOn w:val="1"/>
    <w:next w:val="1"/>
    <w:autoRedefine/>
    <w:unhideWhenUsed/>
    <w:qFormat/>
    <w:uiPriority w:val="99"/>
    <w:pPr>
      <w:spacing w:before="120"/>
    </w:pPr>
    <w:rPr>
      <w:rFonts w:ascii="Cambria" w:hAnsi="Cambria"/>
      <w:sz w:val="24"/>
    </w:rPr>
  </w:style>
  <w:style w:type="paragraph" w:styleId="8">
    <w:name w:val="annotation text"/>
    <w:basedOn w:val="1"/>
    <w:autoRedefine/>
    <w:qFormat/>
    <w:uiPriority w:val="0"/>
    <w:pPr>
      <w:jc w:val="left"/>
    </w:pPr>
  </w:style>
  <w:style w:type="paragraph" w:styleId="9">
    <w:name w:val="index 6"/>
    <w:next w:val="1"/>
    <w:autoRedefine/>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ody Text"/>
    <w:basedOn w:val="1"/>
    <w:next w:val="11"/>
    <w:link w:val="43"/>
    <w:autoRedefine/>
    <w:qFormat/>
    <w:uiPriority w:val="0"/>
    <w:pPr>
      <w:spacing w:after="120"/>
    </w:pPr>
  </w:style>
  <w:style w:type="paragraph" w:customStyle="1" w:styleId="11">
    <w:name w:val="_Style 2"/>
    <w:basedOn w:val="1"/>
    <w:next w:val="1"/>
    <w:autoRedefine/>
    <w:qFormat/>
    <w:uiPriority w:val="0"/>
    <w:pPr>
      <w:ind w:firstLine="200" w:firstLineChars="200"/>
    </w:pPr>
    <w:rPr>
      <w:rFonts w:ascii="Calibri" w:hAnsi="Calibri"/>
      <w:sz w:val="28"/>
      <w:szCs w:val="22"/>
    </w:rPr>
  </w:style>
  <w:style w:type="paragraph" w:styleId="12">
    <w:name w:val="Body Text Indent"/>
    <w:basedOn w:val="1"/>
    <w:next w:val="1"/>
    <w:autoRedefine/>
    <w:qFormat/>
    <w:uiPriority w:val="0"/>
    <w:pPr>
      <w:spacing w:after="120"/>
      <w:ind w:left="200" w:leftChars="200"/>
    </w:pPr>
  </w:style>
  <w:style w:type="paragraph" w:styleId="13">
    <w:name w:val="toc 3"/>
    <w:basedOn w:val="1"/>
    <w:next w:val="1"/>
    <w:autoRedefine/>
    <w:qFormat/>
    <w:uiPriority w:val="39"/>
    <w:pPr>
      <w:tabs>
        <w:tab w:val="right" w:leader="dot" w:pos="9288"/>
      </w:tabs>
      <w:ind w:left="400" w:leftChars="400"/>
    </w:pPr>
    <w:rPr>
      <w:rFonts w:ascii="宋体"/>
    </w:rPr>
  </w:style>
  <w:style w:type="paragraph" w:styleId="14">
    <w:name w:val="Plain Text"/>
    <w:basedOn w:val="1"/>
    <w:next w:val="15"/>
    <w:link w:val="44"/>
    <w:autoRedefine/>
    <w:qFormat/>
    <w:uiPriority w:val="0"/>
    <w:rPr>
      <w:rFonts w:ascii="宋体"/>
      <w:color w:val="000000"/>
      <w:szCs w:val="20"/>
      <w:u w:val="none" w:color="000000"/>
    </w:rPr>
  </w:style>
  <w:style w:type="paragraph" w:styleId="15">
    <w:name w:val="index 7"/>
    <w:basedOn w:val="1"/>
    <w:next w:val="1"/>
    <w:autoRedefine/>
    <w:qFormat/>
    <w:uiPriority w:val="0"/>
    <w:pPr>
      <w:autoSpaceDE/>
      <w:autoSpaceDN/>
      <w:adjustRightInd/>
      <w:ind w:left="1200" w:leftChars="1200"/>
    </w:pPr>
    <w:rPr>
      <w:color w:val="auto"/>
      <w:kern w:val="2"/>
      <w:szCs w:val="24"/>
    </w:rPr>
  </w:style>
  <w:style w:type="paragraph" w:styleId="16">
    <w:name w:val="Date"/>
    <w:basedOn w:val="1"/>
    <w:next w:val="1"/>
    <w:link w:val="45"/>
    <w:autoRedefine/>
    <w:qFormat/>
    <w:uiPriority w:val="0"/>
    <w:rPr>
      <w:rFonts w:ascii="Arial" w:hAnsi="Arial" w:eastAsia="仿宋_GB2312"/>
      <w:color w:val="000000"/>
      <w:sz w:val="32"/>
      <w:szCs w:val="20"/>
      <w:u w:val="none" w:color="000000"/>
    </w:rPr>
  </w:style>
  <w:style w:type="paragraph" w:styleId="17">
    <w:name w:val="footer"/>
    <w:basedOn w:val="1"/>
    <w:link w:val="46"/>
    <w:autoRedefine/>
    <w:qFormat/>
    <w:uiPriority w:val="0"/>
    <w:pPr>
      <w:tabs>
        <w:tab w:val="center" w:pos="4153"/>
        <w:tab w:val="right" w:pos="8306"/>
      </w:tabs>
      <w:snapToGrid w:val="0"/>
      <w:jc w:val="left"/>
    </w:pPr>
    <w:rPr>
      <w:sz w:val="18"/>
      <w:szCs w:val="18"/>
    </w:rPr>
  </w:style>
  <w:style w:type="paragraph" w:styleId="18">
    <w:name w:val="header"/>
    <w:basedOn w:val="1"/>
    <w:link w:val="47"/>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style>
  <w:style w:type="paragraph" w:styleId="20">
    <w:name w:val="List"/>
    <w:basedOn w:val="1"/>
    <w:autoRedefine/>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next w:val="10"/>
    <w:autoRedefine/>
    <w:qFormat/>
    <w:uiPriority w:val="0"/>
    <w:pPr>
      <w:snapToGrid w:val="0"/>
      <w:jc w:val="left"/>
    </w:pPr>
    <w:rPr>
      <w:rFonts w:ascii="Times New Roman" w:hAnsi="Times New Roman" w:eastAsia="宋体" w:cs="Times New Roman"/>
      <w:sz w:val="18"/>
    </w:rPr>
  </w:style>
  <w:style w:type="paragraph" w:styleId="22">
    <w:name w:val="toc 2"/>
    <w:basedOn w:val="1"/>
    <w:next w:val="1"/>
    <w:autoRedefine/>
    <w:qFormat/>
    <w:uiPriority w:val="39"/>
    <w:pPr>
      <w:ind w:left="200" w:leftChars="200"/>
    </w:pPr>
  </w:style>
  <w:style w:type="paragraph" w:styleId="23">
    <w:name w:val="Body Text 2"/>
    <w:basedOn w:val="1"/>
    <w:autoRedefine/>
    <w:qFormat/>
    <w:uiPriority w:val="0"/>
    <w:pPr>
      <w:tabs>
        <w:tab w:val="left" w:pos="0"/>
      </w:tabs>
      <w:spacing w:line="400" w:lineRule="atLeast"/>
    </w:pPr>
    <w:rPr>
      <w:rFonts w:ascii="Arial" w:hAnsi="Arial"/>
      <w:color w:val="000000"/>
    </w:rPr>
  </w:style>
  <w:style w:type="paragraph" w:styleId="2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5">
    <w:name w:val="Title"/>
    <w:basedOn w:val="1"/>
    <w:link w:val="77"/>
    <w:autoRedefine/>
    <w:qFormat/>
    <w:uiPriority w:val="0"/>
    <w:pPr>
      <w:spacing w:before="240" w:after="60"/>
      <w:ind w:left="425" w:hanging="425"/>
      <w:jc w:val="center"/>
      <w:outlineLvl w:val="0"/>
    </w:pPr>
    <w:rPr>
      <w:rFonts w:ascii="Arial" w:hAnsi="Arial" w:cs="Arial"/>
      <w:b/>
      <w:bCs/>
      <w:sz w:val="32"/>
      <w:szCs w:val="32"/>
    </w:rPr>
  </w:style>
  <w:style w:type="paragraph" w:styleId="26">
    <w:name w:val="Body Text First Indent"/>
    <w:basedOn w:val="10"/>
    <w:next w:val="1"/>
    <w:autoRedefine/>
    <w:unhideWhenUsed/>
    <w:qFormat/>
    <w:uiPriority w:val="0"/>
    <w:pPr>
      <w:adjustRightInd/>
      <w:spacing w:after="120" w:line="240" w:lineRule="auto"/>
      <w:ind w:firstLine="420" w:firstLineChars="100"/>
      <w:jc w:val="both"/>
    </w:pPr>
    <w:rPr>
      <w:rFonts w:ascii="Times New Roman"/>
      <w:kern w:val="2"/>
      <w:sz w:val="21"/>
      <w:szCs w:val="24"/>
    </w:rPr>
  </w:style>
  <w:style w:type="paragraph" w:styleId="27">
    <w:name w:val="Body Text First Indent 2"/>
    <w:basedOn w:val="12"/>
    <w:autoRedefine/>
    <w:unhideWhenUsed/>
    <w:qFormat/>
    <w:uiPriority w:val="99"/>
    <w:pPr>
      <w:spacing w:after="120" w:line="240" w:lineRule="auto"/>
      <w:ind w:left="420" w:leftChars="200" w:firstLine="420"/>
    </w:pPr>
    <w:rPr>
      <w:rFonts w:cs="宋体"/>
      <w:sz w:val="21"/>
      <w:szCs w:val="21"/>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basedOn w:val="30"/>
    <w:autoRedefine/>
    <w:qFormat/>
    <w:uiPriority w:val="0"/>
  </w:style>
  <w:style w:type="character" w:styleId="33">
    <w:name w:val="FollowedHyperlink"/>
    <w:autoRedefine/>
    <w:qFormat/>
    <w:uiPriority w:val="0"/>
    <w:rPr>
      <w:color w:val="333333"/>
      <w:u w:val="none"/>
    </w:rPr>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autoRedefine/>
    <w:qFormat/>
    <w:uiPriority w:val="99"/>
    <w:rPr>
      <w:color w:val="0000FF"/>
      <w:u w:val="singl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character" w:customStyle="1" w:styleId="43">
    <w:name w:val="正文文本 Char"/>
    <w:link w:val="10"/>
    <w:autoRedefine/>
    <w:semiHidden/>
    <w:qFormat/>
    <w:locked/>
    <w:uiPriority w:val="0"/>
    <w:rPr>
      <w:rFonts w:eastAsia="宋体"/>
      <w:kern w:val="2"/>
      <w:sz w:val="21"/>
      <w:szCs w:val="24"/>
      <w:lang w:val="en-US" w:eastAsia="zh-CN" w:bidi="ar-SA"/>
    </w:rPr>
  </w:style>
  <w:style w:type="character" w:customStyle="1" w:styleId="44">
    <w:name w:val="纯文本 Char"/>
    <w:link w:val="14"/>
    <w:autoRedefine/>
    <w:qFormat/>
    <w:uiPriority w:val="0"/>
    <w:rPr>
      <w:rFonts w:ascii="宋体"/>
      <w:color w:val="000000"/>
      <w:kern w:val="2"/>
      <w:sz w:val="21"/>
      <w:u w:val="none" w:color="000000"/>
    </w:rPr>
  </w:style>
  <w:style w:type="character" w:customStyle="1" w:styleId="45">
    <w:name w:val="日期 Char"/>
    <w:link w:val="16"/>
    <w:autoRedefine/>
    <w:qFormat/>
    <w:uiPriority w:val="0"/>
    <w:rPr>
      <w:rFonts w:ascii="Arial" w:hAnsi="Arial" w:eastAsia="仿宋_GB2312"/>
      <w:color w:val="000000"/>
      <w:kern w:val="2"/>
      <w:sz w:val="32"/>
      <w:u w:val="none" w:color="000000"/>
      <w:lang w:val="en-US" w:eastAsia="zh-CN" w:bidi="ar-SA"/>
    </w:rPr>
  </w:style>
  <w:style w:type="character" w:customStyle="1" w:styleId="46">
    <w:name w:val="页脚 Char"/>
    <w:link w:val="17"/>
    <w:autoRedefine/>
    <w:qFormat/>
    <w:locked/>
    <w:uiPriority w:val="0"/>
    <w:rPr>
      <w:rFonts w:eastAsia="宋体"/>
      <w:kern w:val="2"/>
      <w:sz w:val="18"/>
      <w:szCs w:val="18"/>
      <w:lang w:val="en-US" w:eastAsia="zh-CN" w:bidi="ar-SA"/>
    </w:rPr>
  </w:style>
  <w:style w:type="character" w:customStyle="1" w:styleId="47">
    <w:name w:val="页眉 Char"/>
    <w:link w:val="18"/>
    <w:autoRedefine/>
    <w:qFormat/>
    <w:locked/>
    <w:uiPriority w:val="0"/>
    <w:rPr>
      <w:rFonts w:eastAsia="宋体"/>
      <w:kern w:val="2"/>
      <w:sz w:val="18"/>
      <w:szCs w:val="18"/>
      <w:lang w:val="en-US" w:eastAsia="zh-CN" w:bidi="ar-SA"/>
    </w:rPr>
  </w:style>
  <w:style w:type="paragraph" w:customStyle="1" w:styleId="48">
    <w:name w:val="正文缩进1"/>
    <w:basedOn w:val="1"/>
    <w:autoRedefine/>
    <w:qFormat/>
    <w:uiPriority w:val="0"/>
    <w:pPr>
      <w:ind w:firstLine="420" w:firstLineChars="200"/>
    </w:pPr>
  </w:style>
  <w:style w:type="paragraph" w:customStyle="1" w:styleId="49">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50">
    <w:name w:val="font01"/>
    <w:basedOn w:val="30"/>
    <w:autoRedefine/>
    <w:qFormat/>
    <w:uiPriority w:val="0"/>
    <w:rPr>
      <w:rFonts w:hint="eastAsia" w:ascii="宋体" w:hAnsi="宋体" w:eastAsia="宋体" w:cs="宋体"/>
      <w:color w:val="000000"/>
      <w:sz w:val="22"/>
      <w:szCs w:val="22"/>
      <w:u w:val="none"/>
    </w:rPr>
  </w:style>
  <w:style w:type="character" w:customStyle="1" w:styleId="51">
    <w:name w:val="font111"/>
    <w:basedOn w:val="30"/>
    <w:autoRedefine/>
    <w:qFormat/>
    <w:uiPriority w:val="0"/>
    <w:rPr>
      <w:rFonts w:ascii="Arial" w:hAnsi="Arial" w:cs="Arial"/>
      <w:color w:val="000000"/>
      <w:sz w:val="18"/>
      <w:szCs w:val="18"/>
      <w:u w:val="none"/>
    </w:rPr>
  </w:style>
  <w:style w:type="character" w:customStyle="1" w:styleId="52">
    <w:name w:val="Body Text Char"/>
    <w:autoRedefine/>
    <w:qFormat/>
    <w:locked/>
    <w:uiPriority w:val="0"/>
    <w:rPr>
      <w:rFonts w:ascii="宋体" w:hAnsi="Arial"/>
      <w:sz w:val="28"/>
    </w:rPr>
  </w:style>
  <w:style w:type="paragraph" w:customStyle="1" w:styleId="53">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4">
    <w:name w:val="Table Paragraph"/>
    <w:basedOn w:val="1"/>
    <w:autoRedefine/>
    <w:qFormat/>
    <w:uiPriority w:val="1"/>
  </w:style>
  <w:style w:type="paragraph" w:customStyle="1" w:styleId="55">
    <w:name w:val="Body 1"/>
    <w:autoRedefine/>
    <w:qFormat/>
    <w:uiPriority w:val="0"/>
    <w:pPr>
      <w:outlineLvl w:val="0"/>
    </w:pPr>
    <w:rPr>
      <w:rFonts w:ascii="Helvetica" w:hAnsi="Helvetica" w:eastAsia="ヒラギノ角ゴ Pro W3" w:cs="Times New Roman"/>
      <w:color w:val="000000"/>
      <w:sz w:val="22"/>
      <w:lang w:val="en-US" w:eastAsia="zh-CN" w:bidi="ar-SA"/>
    </w:rPr>
  </w:style>
  <w:style w:type="paragraph" w:customStyle="1" w:styleId="56">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57">
    <w:name w:val="Char"/>
    <w:basedOn w:val="1"/>
    <w:next w:val="1"/>
    <w:autoRedefine/>
    <w:qFormat/>
    <w:uiPriority w:val="0"/>
    <w:pPr>
      <w:widowControl/>
      <w:spacing w:line="360" w:lineRule="auto"/>
      <w:jc w:val="left"/>
    </w:pPr>
    <w:rPr>
      <w:kern w:val="0"/>
      <w:szCs w:val="20"/>
      <w:lang w:eastAsia="en-US"/>
    </w:rPr>
  </w:style>
  <w:style w:type="paragraph" w:customStyle="1" w:styleId="58">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9">
    <w:name w:val="p0"/>
    <w:basedOn w:val="1"/>
    <w:autoRedefine/>
    <w:qFormat/>
    <w:uiPriority w:val="0"/>
    <w:pPr>
      <w:widowControl/>
      <w:jc w:val="left"/>
    </w:pPr>
    <w:rPr>
      <w:rFonts w:ascii="宋体" w:hAnsi="宋体" w:cs="宋体"/>
      <w:kern w:val="0"/>
      <w:sz w:val="18"/>
      <w:szCs w:val="18"/>
    </w:rPr>
  </w:style>
  <w:style w:type="paragraph" w:customStyle="1" w:styleId="60">
    <w:name w:val="WPS Plain"/>
    <w:autoRedefine/>
    <w:qFormat/>
    <w:uiPriority w:val="0"/>
    <w:rPr>
      <w:rFonts w:ascii="Times New Roman" w:hAnsi="Times New Roman" w:eastAsia="宋体" w:cs="Times New Roman"/>
      <w:lang w:val="en-US" w:eastAsia="zh-CN" w:bidi="ar-SA"/>
    </w:rPr>
  </w:style>
  <w:style w:type="paragraph" w:customStyle="1" w:styleId="61">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styleId="62">
    <w:name w:val="List Paragraph"/>
    <w:basedOn w:val="1"/>
    <w:autoRedefine/>
    <w:qFormat/>
    <w:uiPriority w:val="0"/>
    <w:pPr>
      <w:spacing w:line="360" w:lineRule="auto"/>
      <w:ind w:firstLine="420" w:firstLineChars="200"/>
    </w:pPr>
    <w:rPr>
      <w:rFonts w:ascii="宋体" w:hAnsi="宋体" w:cs="宋体"/>
      <w:sz w:val="24"/>
    </w:rPr>
  </w:style>
  <w:style w:type="paragraph" w:customStyle="1" w:styleId="63">
    <w:name w:val="样式 左侧:  0 厘米 悬挂缩进: 2.5 字符"/>
    <w:basedOn w:val="1"/>
    <w:autoRedefine/>
    <w:qFormat/>
    <w:uiPriority w:val="0"/>
    <w:pPr>
      <w:ind w:left="525" w:hanging="525" w:hangingChars="250"/>
    </w:pPr>
    <w:rPr>
      <w:szCs w:val="20"/>
    </w:rPr>
  </w:style>
  <w:style w:type="paragraph" w:customStyle="1" w:styleId="64">
    <w:name w:val="标题 5（有编号）（绿盟科技）"/>
    <w:basedOn w:val="1"/>
    <w:next w:val="56"/>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6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图例"/>
    <w:basedOn w:val="1"/>
    <w:autoRedefine/>
    <w:qFormat/>
    <w:uiPriority w:val="0"/>
    <w:pPr>
      <w:spacing w:before="120" w:beforeLines="0" w:after="120" w:afterLines="0" w:line="360" w:lineRule="auto"/>
      <w:jc w:val="center"/>
    </w:pPr>
    <w:rPr>
      <w:rFonts w:eastAsia="仿宋_GB2312"/>
      <w:b/>
      <w:sz w:val="24"/>
    </w:rPr>
  </w:style>
  <w:style w:type="character" w:customStyle="1" w:styleId="67">
    <w:name w:val="font71"/>
    <w:basedOn w:val="30"/>
    <w:autoRedefine/>
    <w:qFormat/>
    <w:uiPriority w:val="0"/>
    <w:rPr>
      <w:rFonts w:hint="default" w:ascii="Calibri" w:hAnsi="Calibri" w:cs="Calibri"/>
      <w:b/>
      <w:bCs/>
      <w:color w:val="000000"/>
      <w:sz w:val="21"/>
      <w:szCs w:val="21"/>
      <w:u w:val="none"/>
    </w:rPr>
  </w:style>
  <w:style w:type="character" w:customStyle="1" w:styleId="68">
    <w:name w:val="font61"/>
    <w:basedOn w:val="30"/>
    <w:autoRedefine/>
    <w:qFormat/>
    <w:uiPriority w:val="0"/>
    <w:rPr>
      <w:rFonts w:hint="eastAsia" w:ascii="华文仿宋" w:hAnsi="华文仿宋" w:eastAsia="华文仿宋" w:cs="华文仿宋"/>
      <w:color w:val="000000"/>
      <w:sz w:val="21"/>
      <w:szCs w:val="21"/>
      <w:u w:val="none"/>
    </w:rPr>
  </w:style>
  <w:style w:type="character" w:customStyle="1" w:styleId="69">
    <w:name w:val="font91"/>
    <w:basedOn w:val="30"/>
    <w:autoRedefine/>
    <w:qFormat/>
    <w:uiPriority w:val="0"/>
    <w:rPr>
      <w:rFonts w:hint="default" w:ascii="Calibri" w:hAnsi="Calibri" w:cs="Calibri"/>
      <w:b/>
      <w:bCs/>
      <w:color w:val="FF0000"/>
      <w:sz w:val="21"/>
      <w:szCs w:val="21"/>
      <w:u w:val="none"/>
    </w:rPr>
  </w:style>
  <w:style w:type="character" w:customStyle="1" w:styleId="70">
    <w:name w:val="font101"/>
    <w:basedOn w:val="30"/>
    <w:autoRedefine/>
    <w:qFormat/>
    <w:uiPriority w:val="0"/>
    <w:rPr>
      <w:rFonts w:hint="eastAsia" w:ascii="宋体" w:hAnsi="宋体" w:eastAsia="宋体" w:cs="宋体"/>
      <w:color w:val="000000"/>
      <w:sz w:val="21"/>
      <w:szCs w:val="21"/>
      <w:u w:val="none"/>
    </w:rPr>
  </w:style>
  <w:style w:type="character" w:customStyle="1" w:styleId="71">
    <w:name w:val="font81"/>
    <w:basedOn w:val="30"/>
    <w:autoRedefine/>
    <w:qFormat/>
    <w:uiPriority w:val="0"/>
    <w:rPr>
      <w:rFonts w:hint="default" w:ascii="Calibri" w:hAnsi="Calibri" w:cs="Calibri"/>
      <w:color w:val="000000"/>
      <w:sz w:val="21"/>
      <w:szCs w:val="21"/>
      <w:u w:val="none"/>
    </w:rPr>
  </w:style>
  <w:style w:type="character" w:customStyle="1" w:styleId="72">
    <w:name w:val="first-child"/>
    <w:basedOn w:val="30"/>
    <w:autoRedefine/>
    <w:qFormat/>
    <w:uiPriority w:val="0"/>
  </w:style>
  <w:style w:type="character" w:customStyle="1" w:styleId="73">
    <w:name w:val="layui-layer-tabnow"/>
    <w:basedOn w:val="30"/>
    <w:autoRedefine/>
    <w:qFormat/>
    <w:uiPriority w:val="0"/>
    <w:rPr>
      <w:bdr w:val="single" w:color="CCCCCC" w:sz="6" w:space="0"/>
      <w:shd w:val="clear" w:fill="FFFFFF"/>
    </w:rPr>
  </w:style>
  <w:style w:type="paragraph" w:customStyle="1" w:styleId="74">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75">
    <w:name w:val="答复表头"/>
    <w:basedOn w:val="76"/>
    <w:next w:val="1"/>
    <w:autoRedefine/>
    <w:qFormat/>
    <w:uiPriority w:val="0"/>
    <w:pPr>
      <w:tabs>
        <w:tab w:val="left" w:pos="480"/>
      </w:tabs>
    </w:pPr>
    <w:rPr>
      <w:b/>
    </w:rPr>
  </w:style>
  <w:style w:type="paragraph" w:customStyle="1" w:styleId="76">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77">
    <w:name w:val="标题 字符"/>
    <w:link w:val="25"/>
    <w:autoRedefine/>
    <w:qFormat/>
    <w:uiPriority w:val="0"/>
    <w:rPr>
      <w:rFonts w:ascii="Arial" w:hAnsi="Arial" w:cs="Arial"/>
      <w:b/>
      <w:bCs/>
      <w:sz w:val="32"/>
      <w:szCs w:val="32"/>
    </w:rPr>
  </w:style>
  <w:style w:type="character" w:customStyle="1" w:styleId="78">
    <w:name w:val="NormalCharacter"/>
    <w:autoRedefine/>
    <w:semiHidden/>
    <w:qFormat/>
    <w:uiPriority w:val="0"/>
  </w:style>
  <w:style w:type="paragraph" w:customStyle="1" w:styleId="79">
    <w:name w:val="Body text|2"/>
    <w:basedOn w:val="1"/>
    <w:autoRedefine/>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80">
    <w:name w:val="Body text|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1">
    <w:name w:val="Other|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8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3">
    <w:name w:val="正文2"/>
    <w:next w:val="48"/>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74</Pages>
  <Words>6219</Words>
  <Characters>7349</Characters>
  <Lines>310</Lines>
  <Paragraphs>87</Paragraphs>
  <TotalTime>129</TotalTime>
  <ScaleCrop>false</ScaleCrop>
  <LinksUpToDate>false</LinksUpToDate>
  <CharactersWithSpaces>7549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cp:lastModifiedBy>
  <cp:lastPrinted>2026-03-25T02:20:00Z</cp:lastPrinted>
  <dcterms:modified xsi:type="dcterms:W3CDTF">2026-04-20T04:39:11Z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33EE75599FF6401089D6B5D6AE764FA3_13</vt:lpwstr>
  </property>
  <property fmtid="{D5CDD505-2E9C-101B-9397-08002B2CF9AE}" pid="4" name="KSOTemplateDocerSaveRecord">
    <vt:lpwstr>eyJoZGlkIjoiZDczYzMzNjk5NTVmNTQ2M2I4ZTc3MGM2MTkzN2UxOTIiLCJ1c2VySWQiOiI0NDU4MjYxMDkifQ==</vt:lpwstr>
  </property>
</Properties>
</file>