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新疆医科大学第一附属医院双目显微镜采购项目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（项目编号：SJX-2026-346）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新疆医科大学第一附属医院双目显微镜采购项目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（项目编号：SJX-2026-346）</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项目编号：SJX-2026-346</w:t>
      </w:r>
    </w:p>
    <w:p w14:paraId="5F9A11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项目名称：新疆医科大学第一附属医院双目显微镜采购项目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120000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最高限价（元）：37600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采购需求：双目显微镜</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标项名称:新疆医科大学第一附属医院双目显微镜采购项目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4套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120000</w:t>
      </w:r>
    </w:p>
    <w:p w14:paraId="5FAA27D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简要规格描述或项目基本概况介绍、用途：双目显微镜</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如投标人所投产品属于医疗器械管理的，需根据《医疗器械监督管理条例》(国务院令第650号)有关内容办理医疗器产品注册或备案。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合格投标人的其他资格要求：如投标人所投产品属于医疗器械管理的，需根据《医疗器械监督管理条例》(国务院令第650号)有关内容办理医疗器产品注册或备案。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4"/>
                      <w:szCs w:val="24"/>
                      <w:highlight w:val="none"/>
                    </w:rPr>
                    <w:t>双目显微镜</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159BC5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项目预算金额：120000元</w:t>
            </w:r>
          </w:p>
          <w:p w14:paraId="2870ED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最高限价：37600元   </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单价最高限价：9400元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752</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人民币柒佰伍拾贰</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bookmarkStart w:id="75" w:name="_GoBack"/>
            <w:bookmarkEnd w:id="75"/>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10、异常低价审查：依据《关于推动解决政府采购异常低价问题的通知》（财库〔2026〕2号）政府采购评审中出现下列情形之一的，评审委员会应当启动异常低价投标（响应）审查程序：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06054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4C0606C1">
      <w:pPr>
        <w:spacing w:line="264" w:lineRule="auto"/>
        <w:rPr>
          <w:rFonts w:hint="eastAsia" w:ascii="宋体" w:hAnsi="宋体"/>
          <w:b/>
          <w:bCs/>
          <w:szCs w:val="21"/>
        </w:rPr>
      </w:pPr>
      <w:r>
        <w:rPr>
          <w:rFonts w:hint="eastAsia" w:ascii="宋体" w:hAnsi="宋体"/>
          <w:b/>
          <w:bCs/>
          <w:szCs w:val="21"/>
        </w:rPr>
        <w:t xml:space="preserve"> 乙方：</w:t>
      </w:r>
    </w:p>
    <w:p w14:paraId="69B94C23">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55745352">
      <w:pPr>
        <w:numPr>
          <w:ilvl w:val="0"/>
          <w:numId w:val="9"/>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0E1085C7">
      <w:pPr>
        <w:spacing w:line="264"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本合同为</w:t>
      </w:r>
      <w:r>
        <w:rPr>
          <w:rFonts w:hint="eastAsia" w:ascii="宋体" w:hAnsi="宋体"/>
          <w:b/>
          <w:bCs/>
          <w:i w:val="0"/>
          <w:iCs w:val="0"/>
          <w:color w:val="auto"/>
          <w:szCs w:val="21"/>
          <w:u w:val="single"/>
          <w:lang w:val="en-US" w:eastAsia="zh-CN"/>
        </w:rPr>
        <w:t>固定总价/固定单价</w:t>
      </w:r>
      <w:r>
        <w:rPr>
          <w:rFonts w:hint="eastAsia" w:ascii="宋体" w:hAnsi="宋体"/>
          <w:b/>
          <w:bCs/>
          <w:color w:val="auto"/>
          <w:szCs w:val="21"/>
          <w:lang w:val="en-US" w:eastAsia="zh-CN"/>
        </w:rPr>
        <w:t>，</w:t>
      </w:r>
      <w:r>
        <w:rPr>
          <w:rFonts w:hint="eastAsia" w:ascii="宋体" w:hAnsi="宋体"/>
          <w:b/>
          <w:bCs/>
          <w:color w:val="auto"/>
          <w:szCs w:val="21"/>
        </w:rPr>
        <w:t>上述合同</w:t>
      </w:r>
      <w:r>
        <w:rPr>
          <w:rFonts w:hint="eastAsia" w:ascii="宋体" w:hAnsi="宋体"/>
          <w:b/>
          <w:bCs/>
          <w:color w:val="auto"/>
          <w:szCs w:val="21"/>
          <w:lang w:val="en-US" w:eastAsia="zh-CN"/>
        </w:rPr>
        <w:t>价格</w:t>
      </w:r>
      <w:r>
        <w:rPr>
          <w:rFonts w:hint="eastAsia" w:ascii="宋体" w:hAnsi="宋体"/>
          <w:b/>
          <w:bCs/>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2" w:firstLineChars="200"/>
        <w:rPr>
          <w:rFonts w:hint="eastAsia" w:ascii="宋体" w:hAnsi="宋体" w:cs="宋体"/>
          <w:b/>
          <w:bCs/>
          <w:color w:val="auto"/>
        </w:rPr>
      </w:pPr>
      <w:r>
        <w:rPr>
          <w:rFonts w:hint="eastAsia" w:ascii="宋体" w:hAnsi="宋体"/>
          <w:b/>
          <w:bCs/>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2" w:firstLineChars="200"/>
        <w:rPr>
          <w:rFonts w:hint="eastAsia" w:ascii="宋体" w:hAnsi="宋体" w:eastAsia="宋体" w:cs="Times New Roman"/>
          <w:b/>
          <w:bCs/>
          <w:color w:val="auto"/>
          <w:szCs w:val="21"/>
          <w:lang w:val="en-US" w:eastAsia="zh-CN"/>
        </w:rPr>
      </w:pPr>
      <w:r>
        <w:rPr>
          <w:rFonts w:hint="eastAsia" w:ascii="宋体" w:hAnsi="宋体" w:cs="宋体"/>
          <w:b/>
          <w:bCs/>
          <w:color w:val="auto"/>
        </w:rPr>
        <w:t>本合同以美元计价，双方明确，按照第一次购汇当日的银行汇卖价，即购汇凭单上的购汇汇率，作为与医院结算的购汇汇率。</w:t>
      </w:r>
      <w:r>
        <w:rPr>
          <w:rFonts w:hint="eastAsia" w:ascii="宋体" w:hAnsi="宋体" w:eastAsia="宋体" w:cs="Times New Roman"/>
          <w:b/>
          <w:bCs/>
          <w:color w:val="auto"/>
          <w:szCs w:val="21"/>
          <w:lang w:val="en-US" w:eastAsia="zh-CN"/>
        </w:rPr>
        <w:t>甲乙双方确认合同总价受开标当日汇率计算的人民币报价限制，超出金额则无效。</w:t>
      </w:r>
    </w:p>
    <w:p w14:paraId="76360FF6">
      <w:pPr>
        <w:spacing w:line="264" w:lineRule="auto"/>
        <w:rPr>
          <w:rStyle w:val="30"/>
          <w:color w:val="auto"/>
        </w:rPr>
      </w:pPr>
      <w:r>
        <w:rPr>
          <w:rFonts w:hint="eastAsia" w:ascii="宋体" w:hAnsi="宋体"/>
          <w:b/>
          <w:color w:val="auto"/>
          <w:szCs w:val="21"/>
        </w:rPr>
        <w:t>二、制造商及原产地</w:t>
      </w:r>
    </w:p>
    <w:p w14:paraId="12F99F61">
      <w:pPr>
        <w:spacing w:line="264" w:lineRule="auto"/>
        <w:rPr>
          <w:rFonts w:hint="eastAsia" w:ascii="宋体" w:hAnsi="宋体"/>
          <w:b/>
          <w:color w:val="auto"/>
          <w:szCs w:val="21"/>
        </w:rPr>
      </w:pPr>
      <w:r>
        <w:rPr>
          <w:rFonts w:hint="eastAsia" w:ascii="宋体" w:hAnsi="宋体"/>
          <w:b/>
          <w:color w:val="auto"/>
          <w:szCs w:val="21"/>
        </w:rPr>
        <w:t xml:space="preserve">    制造商：              </w:t>
      </w:r>
    </w:p>
    <w:p w14:paraId="7BF5644A">
      <w:pPr>
        <w:spacing w:line="264" w:lineRule="auto"/>
        <w:rPr>
          <w:rFonts w:hint="eastAsia" w:ascii="宋体" w:hAnsi="宋体"/>
          <w:b/>
          <w:color w:val="auto"/>
          <w:szCs w:val="21"/>
        </w:rPr>
      </w:pPr>
      <w:r>
        <w:rPr>
          <w:rFonts w:hint="eastAsia" w:ascii="宋体" w:hAnsi="宋体"/>
          <w:b/>
          <w:color w:val="auto"/>
          <w:szCs w:val="21"/>
        </w:rPr>
        <w:t xml:space="preserve">    原产地：</w:t>
      </w:r>
    </w:p>
    <w:p w14:paraId="308DE780">
      <w:pPr>
        <w:spacing w:line="264" w:lineRule="auto"/>
        <w:rPr>
          <w:rFonts w:hint="eastAsia" w:ascii="宋体" w:hAnsi="宋体"/>
          <w:b/>
          <w:color w:val="auto"/>
          <w:szCs w:val="21"/>
          <w:u w:val="single"/>
        </w:rPr>
      </w:pPr>
      <w:r>
        <w:rPr>
          <w:rFonts w:hint="eastAsia" w:ascii="宋体" w:hAnsi="宋体"/>
          <w:b/>
          <w:color w:val="auto"/>
          <w:szCs w:val="21"/>
        </w:rPr>
        <w:t>三、系统配置：详见附件</w:t>
      </w:r>
    </w:p>
    <w:p w14:paraId="5AE21710">
      <w:pPr>
        <w:spacing w:line="264" w:lineRule="auto"/>
        <w:ind w:left="422" w:hanging="422" w:hangingChars="200"/>
        <w:rPr>
          <w:rFonts w:hint="eastAsia" w:ascii="宋体" w:hAnsi="宋体"/>
          <w:b/>
          <w:color w:val="auto"/>
          <w:szCs w:val="21"/>
        </w:rPr>
      </w:pPr>
      <w:r>
        <w:rPr>
          <w:rFonts w:hint="eastAsia" w:ascii="宋体" w:hAnsi="宋体"/>
          <w:b/>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color w:val="auto"/>
          <w:szCs w:val="21"/>
        </w:rPr>
      </w:pPr>
      <w:r>
        <w:rPr>
          <w:rFonts w:hint="eastAsia" w:ascii="宋体" w:hAnsi="宋体"/>
          <w:b/>
          <w:color w:val="auto"/>
          <w:szCs w:val="21"/>
        </w:rPr>
        <w:t>五、交货期、地点、</w:t>
      </w:r>
      <w:r>
        <w:rPr>
          <w:rFonts w:hint="eastAsia" w:ascii="宋体" w:hAnsi="宋体"/>
          <w:b/>
          <w:color w:val="auto"/>
          <w:szCs w:val="21"/>
          <w:lang w:val="en-US" w:eastAsia="zh-CN"/>
        </w:rPr>
        <w:t>售后服务</w:t>
      </w:r>
      <w:r>
        <w:rPr>
          <w:rFonts w:hint="eastAsia" w:ascii="宋体" w:hAnsi="宋体"/>
          <w:b/>
          <w:color w:val="auto"/>
          <w:szCs w:val="21"/>
        </w:rPr>
        <w:t>期：</w:t>
      </w:r>
    </w:p>
    <w:p w14:paraId="1C4FDA36">
      <w:pPr>
        <w:rPr>
          <w:rFonts w:hint="eastAsia" w:ascii="宋体" w:hAnsi="宋体" w:cs="宋体"/>
          <w:b/>
          <w:bCs/>
          <w:color w:val="auto"/>
        </w:rPr>
      </w:pPr>
      <w:r>
        <w:rPr>
          <w:rFonts w:hint="eastAsia" w:ascii="宋体" w:hAnsi="宋体"/>
          <w:b/>
          <w:color w:val="auto"/>
          <w:szCs w:val="21"/>
        </w:rPr>
        <w:t>a）交货期：自</w:t>
      </w:r>
      <w:r>
        <w:rPr>
          <w:rFonts w:hint="eastAsia" w:ascii="宋体" w:hAnsi="宋体"/>
          <w:b/>
          <w:color w:val="auto"/>
          <w:szCs w:val="21"/>
          <w:lang w:eastAsia="zh-CN"/>
        </w:rPr>
        <w:t>合同签订</w:t>
      </w:r>
      <w:r>
        <w:rPr>
          <w:rFonts w:hint="eastAsia" w:ascii="宋体" w:hAnsi="宋体"/>
          <w:b/>
          <w:color w:val="auto"/>
          <w:szCs w:val="21"/>
        </w:rPr>
        <w:t>之日起</w:t>
      </w:r>
      <w:r>
        <w:rPr>
          <w:rFonts w:hint="eastAsia" w:ascii="宋体" w:hAnsi="宋体"/>
          <w:b/>
          <w:color w:val="auto"/>
          <w:szCs w:val="21"/>
          <w:u w:val="single"/>
        </w:rPr>
        <w:t xml:space="preserve">     </w:t>
      </w:r>
      <w:r>
        <w:rPr>
          <w:rFonts w:hint="eastAsia" w:ascii="宋体" w:hAnsi="宋体"/>
          <w:b/>
          <w:color w:val="auto"/>
          <w:szCs w:val="21"/>
        </w:rPr>
        <w:t>天内（按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color w:val="auto"/>
        </w:rPr>
        <w:t>将</w:t>
      </w:r>
      <w:r>
        <w:rPr>
          <w:rFonts w:hint="eastAsia" w:ascii="宋体" w:hAnsi="宋体" w:cs="宋体"/>
          <w:b/>
          <w:bCs/>
          <w:color w:val="auto"/>
          <w:lang w:eastAsia="zh-CN"/>
        </w:rPr>
        <w:t>标的物</w:t>
      </w:r>
      <w:r>
        <w:rPr>
          <w:rFonts w:hint="eastAsia" w:ascii="宋体" w:hAnsi="宋体" w:cs="宋体"/>
          <w:b/>
          <w:bCs/>
          <w:color w:val="auto"/>
        </w:rPr>
        <w:t>运送至甲方指定地点，并负责完成安装调试，配合甲方完成验收。</w:t>
      </w:r>
    </w:p>
    <w:p w14:paraId="78703185">
      <w:pPr>
        <w:spacing w:line="264" w:lineRule="auto"/>
        <w:rPr>
          <w:rFonts w:hint="eastAsia" w:ascii="宋体" w:hAnsi="宋体"/>
          <w:b/>
          <w:color w:val="auto"/>
          <w:szCs w:val="21"/>
        </w:rPr>
      </w:pPr>
      <w:r>
        <w:rPr>
          <w:rFonts w:hint="eastAsia" w:ascii="宋体" w:hAnsi="宋体"/>
          <w:b/>
          <w:color w:val="auto"/>
          <w:szCs w:val="21"/>
        </w:rPr>
        <w:t>b）交货地点：甲方指定。</w:t>
      </w:r>
    </w:p>
    <w:p w14:paraId="451CC57D">
      <w:pPr>
        <w:spacing w:line="264" w:lineRule="auto"/>
        <w:rPr>
          <w:rFonts w:hint="eastAsia" w:ascii="宋体" w:hAnsi="宋体"/>
          <w:b/>
          <w:color w:val="auto"/>
          <w:szCs w:val="21"/>
        </w:rPr>
      </w:pPr>
      <w:r>
        <w:rPr>
          <w:rFonts w:hint="eastAsia" w:ascii="宋体" w:hAnsi="宋体"/>
          <w:b/>
          <w:color w:val="auto"/>
          <w:szCs w:val="21"/>
        </w:rPr>
        <w:t>c）</w:t>
      </w:r>
      <w:r>
        <w:rPr>
          <w:rFonts w:hint="eastAsia" w:ascii="宋体" w:hAnsi="宋体"/>
          <w:b/>
          <w:color w:val="auto"/>
          <w:szCs w:val="21"/>
          <w:lang w:val="en-US" w:eastAsia="zh-CN"/>
        </w:rPr>
        <w:t>保修期</w:t>
      </w:r>
      <w:r>
        <w:rPr>
          <w:rFonts w:hint="eastAsia" w:ascii="宋体" w:hAnsi="宋体"/>
          <w:b/>
          <w:color w:val="auto"/>
          <w:szCs w:val="21"/>
        </w:rPr>
        <w:t>：系统安装验收合格之日起</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r>
        <w:rPr>
          <w:rFonts w:hint="eastAsia" w:ascii="宋体" w:hAnsi="宋体"/>
          <w:b/>
          <w:color w:val="auto"/>
          <w:szCs w:val="21"/>
        </w:rPr>
        <w:t>年，</w:t>
      </w:r>
      <w:r>
        <w:rPr>
          <w:rFonts w:hint="eastAsia" w:ascii="宋体" w:hAnsi="宋体"/>
          <w:b/>
          <w:color w:val="auto"/>
          <w:szCs w:val="21"/>
          <w:lang w:val="en-US" w:eastAsia="zh-CN"/>
        </w:rPr>
        <w:t>乙方</w:t>
      </w:r>
      <w:r>
        <w:rPr>
          <w:rFonts w:hint="eastAsia" w:ascii="宋体" w:hAnsi="宋体"/>
          <w:b/>
          <w:color w:val="auto"/>
          <w:szCs w:val="21"/>
        </w:rPr>
        <w:t>承担</w:t>
      </w:r>
      <w:r>
        <w:rPr>
          <w:rFonts w:hint="eastAsia" w:ascii="宋体" w:hAnsi="宋体"/>
          <w:b/>
          <w:color w:val="auto"/>
          <w:szCs w:val="21"/>
          <w:lang w:val="en-US" w:eastAsia="zh-CN"/>
        </w:rPr>
        <w:t>保修期</w:t>
      </w:r>
      <w:r>
        <w:rPr>
          <w:rFonts w:hint="eastAsia" w:ascii="宋体" w:hAnsi="宋体"/>
          <w:b/>
          <w:color w:val="auto"/>
          <w:szCs w:val="21"/>
        </w:rPr>
        <w:t>内设备任何故障产生的费用。</w:t>
      </w:r>
    </w:p>
    <w:p w14:paraId="66AC6701">
      <w:pPr>
        <w:spacing w:line="264" w:lineRule="auto"/>
        <w:rPr>
          <w:rFonts w:hint="eastAsia" w:ascii="宋体" w:hAnsi="宋体" w:eastAsia="宋体"/>
          <w:b/>
          <w:color w:val="auto"/>
          <w:szCs w:val="21"/>
          <w:lang w:eastAsia="zh-CN"/>
        </w:rPr>
      </w:pPr>
      <w:r>
        <w:rPr>
          <w:rFonts w:hint="eastAsia" w:ascii="宋体" w:hAnsi="宋体"/>
          <w:b/>
          <w:color w:val="auto"/>
          <w:szCs w:val="21"/>
        </w:rPr>
        <w:t>六、售后服务：详见附件，需涵盖以下条款</w:t>
      </w:r>
    </w:p>
    <w:p w14:paraId="706A1693">
      <w:pPr>
        <w:spacing w:line="264" w:lineRule="auto"/>
        <w:rPr>
          <w:rFonts w:hint="eastAsia" w:ascii="宋体" w:hAnsi="宋体"/>
          <w:b/>
          <w:color w:val="auto"/>
          <w:szCs w:val="21"/>
        </w:rPr>
      </w:pPr>
      <w:r>
        <w:rPr>
          <w:rFonts w:hint="eastAsia" w:ascii="宋体" w:hAnsi="宋体"/>
          <w:b/>
          <w:color w:val="auto"/>
          <w:szCs w:val="21"/>
        </w:rPr>
        <w:t>1、保修期间，乙方需提供免费的维修及零配件更换</w:t>
      </w:r>
      <w:r>
        <w:rPr>
          <w:rFonts w:hint="eastAsia" w:ascii="宋体" w:hAnsi="宋体"/>
          <w:b/>
          <w:color w:val="auto"/>
          <w:szCs w:val="21"/>
          <w:lang w:eastAsia="zh-CN"/>
        </w:rPr>
        <w:t>，提供整机（包含附件）原厂（</w:t>
      </w:r>
      <w:r>
        <w:rPr>
          <w:rFonts w:hint="eastAsia" w:ascii="宋体" w:hAnsi="宋体"/>
          <w:b/>
          <w:color w:val="auto"/>
          <w:szCs w:val="21"/>
          <w:lang w:val="en-US" w:eastAsia="zh-CN"/>
        </w:rPr>
        <w:t>免费</w:t>
      </w:r>
      <w:r>
        <w:rPr>
          <w:rFonts w:hint="eastAsia" w:ascii="宋体" w:hAnsi="宋体"/>
          <w:b/>
          <w:color w:val="auto"/>
          <w:szCs w:val="21"/>
          <w:lang w:eastAsia="zh-CN"/>
        </w:rPr>
        <w:t>）保修服务</w:t>
      </w:r>
      <w:r>
        <w:rPr>
          <w:rFonts w:hint="eastAsia" w:ascii="宋体" w:hAnsi="宋体"/>
          <w:b/>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color w:val="auto"/>
          <w:szCs w:val="21"/>
        </w:rPr>
      </w:pPr>
      <w:r>
        <w:rPr>
          <w:rFonts w:hint="eastAsia" w:ascii="宋体" w:hAnsi="宋体"/>
          <w:b/>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color w:val="auto"/>
          <w:szCs w:val="21"/>
        </w:rPr>
      </w:pPr>
      <w:r>
        <w:rPr>
          <w:rFonts w:hint="eastAsia" w:ascii="宋体" w:hAnsi="宋体"/>
          <w:b/>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color w:val="auto"/>
          <w:szCs w:val="21"/>
        </w:rPr>
      </w:pPr>
      <w:r>
        <w:rPr>
          <w:rFonts w:hint="eastAsia" w:ascii="宋体" w:hAnsi="宋体"/>
          <w:b/>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color w:val="auto"/>
          <w:szCs w:val="21"/>
        </w:rPr>
      </w:pPr>
      <w:r>
        <w:rPr>
          <w:rFonts w:hint="eastAsia" w:ascii="宋体" w:hAnsi="宋体"/>
          <w:b/>
          <w:color w:val="auto"/>
          <w:szCs w:val="21"/>
        </w:rPr>
        <w:t>5、售后服务期外，终身免费维修，定期保养，最优惠提供零配件、易损件和耗材。</w:t>
      </w:r>
    </w:p>
    <w:p w14:paraId="625DD78B">
      <w:pPr>
        <w:spacing w:line="264" w:lineRule="auto"/>
        <w:rPr>
          <w:rFonts w:hint="eastAsia" w:ascii="宋体" w:hAnsi="宋体"/>
          <w:b/>
          <w:color w:val="auto"/>
          <w:szCs w:val="21"/>
        </w:rPr>
      </w:pPr>
      <w:r>
        <w:rPr>
          <w:rFonts w:hint="eastAsia" w:ascii="宋体" w:hAnsi="宋体"/>
          <w:b/>
          <w:color w:val="auto"/>
          <w:szCs w:val="21"/>
        </w:rPr>
        <w:t>6、疆内设有常年维修点或提供常驻维修人员。</w:t>
      </w:r>
    </w:p>
    <w:p w14:paraId="6E2223B3">
      <w:pPr>
        <w:spacing w:line="264" w:lineRule="auto"/>
        <w:rPr>
          <w:rFonts w:ascii="宋体" w:hAnsi="宋体"/>
          <w:b/>
          <w:color w:val="auto"/>
          <w:szCs w:val="21"/>
        </w:rPr>
      </w:pPr>
      <w:r>
        <w:rPr>
          <w:rFonts w:hint="eastAsia" w:ascii="宋体" w:hAnsi="宋体"/>
          <w:b/>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color w:val="auto"/>
          <w:szCs w:val="21"/>
          <w:lang w:val="en-US" w:eastAsia="zh-CN"/>
        </w:rPr>
        <w:t>质量保函中</w:t>
      </w:r>
      <w:r>
        <w:rPr>
          <w:rFonts w:hint="eastAsia" w:ascii="宋体" w:hAnsi="宋体"/>
          <w:b/>
          <w:color w:val="auto"/>
          <w:szCs w:val="21"/>
        </w:rPr>
        <w:t>予以扣除，不足部分，乙方应予以补足。</w:t>
      </w:r>
    </w:p>
    <w:p w14:paraId="37E775F5">
      <w:pPr>
        <w:spacing w:line="264" w:lineRule="auto"/>
        <w:rPr>
          <w:rFonts w:hint="eastAsia" w:ascii="宋体" w:hAnsi="宋体" w:eastAsia="宋体"/>
          <w:b/>
          <w:color w:val="auto"/>
          <w:szCs w:val="21"/>
          <w:lang w:eastAsia="zh-CN"/>
        </w:rPr>
      </w:pPr>
      <w:r>
        <w:rPr>
          <w:rFonts w:hint="eastAsia" w:ascii="宋体" w:hAnsi="宋体"/>
          <w:b/>
          <w:color w:val="auto"/>
          <w:szCs w:val="21"/>
          <w:lang w:val="en-US" w:eastAsia="zh-CN"/>
        </w:rPr>
        <w:t>8</w:t>
      </w:r>
      <w:r>
        <w:rPr>
          <w:rFonts w:hint="eastAsia" w:ascii="宋体" w:hAnsi="宋体"/>
          <w:b/>
          <w:color w:val="auto"/>
          <w:szCs w:val="21"/>
        </w:rPr>
        <w:t>、乙方应当按照附件及本约定履行售后服务义务，附件与本约定不一致的，以本约定为准</w:t>
      </w:r>
      <w:r>
        <w:rPr>
          <w:rFonts w:hint="eastAsia" w:ascii="宋体" w:hAnsi="宋体"/>
          <w:b/>
          <w:color w:val="auto"/>
          <w:szCs w:val="21"/>
          <w:lang w:eastAsia="zh-CN"/>
        </w:rPr>
        <w:t>。</w:t>
      </w:r>
    </w:p>
    <w:p w14:paraId="20AF0EA6">
      <w:pPr>
        <w:spacing w:line="264" w:lineRule="auto"/>
        <w:rPr>
          <w:rFonts w:hint="eastAsia" w:ascii="宋体" w:hAnsi="宋体"/>
          <w:b/>
          <w:color w:val="auto"/>
          <w:szCs w:val="21"/>
        </w:rPr>
      </w:pPr>
      <w:r>
        <w:rPr>
          <w:rFonts w:hint="eastAsia" w:ascii="宋体" w:hAnsi="宋体"/>
          <w:b/>
          <w:color w:val="auto"/>
          <w:szCs w:val="21"/>
        </w:rPr>
        <w:t>七、付款方式：</w:t>
      </w:r>
    </w:p>
    <w:p w14:paraId="62991391">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达到验收标准后无息支付合同总金额10%，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w:t>
      </w:r>
    </w:p>
    <w:p w14:paraId="162D5579">
      <w:pPr>
        <w:spacing w:line="264" w:lineRule="auto"/>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color w:val="auto"/>
          <w:szCs w:val="21"/>
          <w:lang w:val="en-US" w:eastAsia="zh-CN"/>
        </w:rPr>
      </w:pPr>
      <w:r>
        <w:rPr>
          <w:rFonts w:hint="eastAsia" w:ascii="宋体" w:hAnsi="宋体"/>
          <w:b/>
          <w:color w:val="auto"/>
          <w:szCs w:val="21"/>
          <w:lang w:val="en-US" w:eastAsia="zh-CN"/>
        </w:rPr>
        <w:t>3</w:t>
      </w:r>
      <w:r>
        <w:rPr>
          <w:rFonts w:hint="eastAsia" w:ascii="宋体" w:hAnsi="宋体"/>
          <w:b/>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color w:val="auto"/>
          <w:szCs w:val="21"/>
          <w:lang w:val="en-US" w:eastAsia="zh-CN"/>
        </w:rPr>
        <w:t>否则甲方有权拒绝支付任何费用且不承担任何违约责任。</w:t>
      </w:r>
    </w:p>
    <w:p w14:paraId="4D450A8B">
      <w:pPr>
        <w:spacing w:line="264"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、乙方银行账户信息：</w:t>
      </w:r>
    </w:p>
    <w:p w14:paraId="687ECB5E">
      <w:pPr>
        <w:spacing w:line="264" w:lineRule="auto"/>
        <w:ind w:firstLine="422" w:firstLineChars="200"/>
        <w:rPr>
          <w:rFonts w:ascii="宋体" w:hAnsi="宋体"/>
          <w:b/>
          <w:color w:val="auto"/>
          <w:szCs w:val="21"/>
        </w:rPr>
      </w:pPr>
      <w:r>
        <w:rPr>
          <w:rFonts w:hint="eastAsia" w:ascii="宋体" w:hAnsi="宋体"/>
          <w:b/>
          <w:color w:val="auto"/>
          <w:szCs w:val="21"/>
        </w:rPr>
        <w:t xml:space="preserve">开户行：                                  </w:t>
      </w:r>
    </w:p>
    <w:p w14:paraId="70A91C85">
      <w:pPr>
        <w:spacing w:line="264" w:lineRule="auto"/>
        <w:ind w:firstLine="422" w:firstLineChars="200"/>
        <w:rPr>
          <w:rFonts w:ascii="宋体" w:hAnsi="宋体"/>
          <w:b/>
          <w:color w:val="auto"/>
          <w:szCs w:val="21"/>
        </w:rPr>
      </w:pPr>
      <w:r>
        <w:rPr>
          <w:rFonts w:hint="eastAsia" w:ascii="宋体" w:hAnsi="宋体"/>
          <w:b/>
          <w:color w:val="auto"/>
          <w:szCs w:val="21"/>
        </w:rPr>
        <w:t xml:space="preserve">账户名称：                                                </w:t>
      </w:r>
    </w:p>
    <w:p w14:paraId="7E4E745E">
      <w:pPr>
        <w:spacing w:line="264" w:lineRule="auto"/>
        <w:ind w:firstLine="422" w:firstLineChars="200"/>
        <w:rPr>
          <w:rFonts w:ascii="宋体" w:hAnsi="宋体"/>
          <w:b/>
          <w:color w:val="auto"/>
          <w:szCs w:val="21"/>
        </w:rPr>
      </w:pPr>
      <w:r>
        <w:rPr>
          <w:rFonts w:hint="eastAsia" w:ascii="宋体" w:hAnsi="宋体"/>
          <w:b/>
          <w:color w:val="auto"/>
          <w:szCs w:val="21"/>
        </w:rPr>
        <w:t xml:space="preserve">银行账号：                                                    </w:t>
      </w:r>
    </w:p>
    <w:p w14:paraId="77A8FED9">
      <w:pPr>
        <w:spacing w:line="264" w:lineRule="auto"/>
        <w:ind w:firstLine="422" w:firstLineChars="200"/>
        <w:rPr>
          <w:rFonts w:hint="eastAsia" w:ascii="宋体" w:hAnsi="宋体"/>
          <w:b/>
          <w:color w:val="auto"/>
          <w:szCs w:val="21"/>
        </w:rPr>
      </w:pPr>
      <w:r>
        <w:rPr>
          <w:rFonts w:hint="eastAsia" w:ascii="宋体" w:hAnsi="宋体"/>
          <w:b/>
          <w:color w:val="auto"/>
          <w:szCs w:val="21"/>
        </w:rPr>
        <w:t>甲方向以上账户付款，即为完成本合同项下对乙方相应的付款义务。乙方对上述账户信息的准确性和可用性承担全部责任。若上述</w:t>
      </w:r>
      <w:r>
        <w:rPr>
          <w:rFonts w:hint="eastAsia" w:ascii="宋体" w:hAnsi="宋体"/>
          <w:b/>
          <w:color w:val="auto"/>
          <w:szCs w:val="21"/>
          <w:lang w:val="en-US" w:eastAsia="zh-CN"/>
        </w:rPr>
        <w:t>开户行、银行账号发生变更</w:t>
      </w:r>
      <w:r>
        <w:rPr>
          <w:rFonts w:hint="eastAsia" w:ascii="宋体" w:hAnsi="宋体"/>
          <w:b/>
          <w:color w:val="auto"/>
          <w:szCs w:val="21"/>
        </w:rPr>
        <w:t xml:space="preserve">，乙方应提前7个工作日使甲方获悉，否则甲方不对乙方迟延收到或未能收到任何款项承担责任。 </w:t>
      </w:r>
      <w:r>
        <w:rPr>
          <w:rFonts w:ascii="宋体" w:hAnsi="宋体"/>
          <w:b/>
          <w:color w:val="auto"/>
          <w:szCs w:val="21"/>
        </w:rPr>
        <w:t xml:space="preserve"> </w:t>
      </w:r>
    </w:p>
    <w:p w14:paraId="7360049E">
      <w:pPr>
        <w:rPr>
          <w:rFonts w:hint="eastAsia" w:ascii="宋体" w:hAnsi="宋体"/>
          <w:b/>
          <w:color w:val="auto"/>
          <w:szCs w:val="21"/>
        </w:rPr>
      </w:pPr>
      <w:r>
        <w:rPr>
          <w:rFonts w:hint="eastAsia" w:ascii="宋体" w:hAnsi="宋体"/>
          <w:b/>
          <w:color w:val="auto"/>
          <w:szCs w:val="21"/>
        </w:rPr>
        <w:t>八、包装标准：</w:t>
      </w:r>
    </w:p>
    <w:p w14:paraId="230801F0">
      <w:pPr>
        <w:rPr>
          <w:rFonts w:hint="eastAsia" w:ascii="宋体" w:hAnsi="宋体"/>
          <w:b/>
          <w:color w:val="auto"/>
          <w:szCs w:val="21"/>
        </w:rPr>
      </w:pPr>
      <w:r>
        <w:rPr>
          <w:rFonts w:hint="eastAsia" w:ascii="宋体" w:hAnsi="宋体"/>
          <w:b/>
          <w:color w:val="auto"/>
          <w:szCs w:val="21"/>
        </w:rPr>
        <w:t>1、乙方提供的全部</w:t>
      </w:r>
      <w:r>
        <w:rPr>
          <w:rFonts w:hint="eastAsia" w:ascii="宋体" w:hAnsi="宋体" w:eastAsia="宋体" w:cs="Times New Roman"/>
          <w:b/>
          <w:color w:val="auto"/>
          <w:szCs w:val="21"/>
        </w:rPr>
        <w:t>标的物</w:t>
      </w:r>
      <w:r>
        <w:rPr>
          <w:rFonts w:hint="eastAsia" w:ascii="宋体" w:hAnsi="宋体"/>
          <w:b/>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color w:val="auto"/>
          <w:szCs w:val="21"/>
        </w:rPr>
        <w:t>标的物</w:t>
      </w:r>
      <w:r>
        <w:rPr>
          <w:rFonts w:hint="eastAsia" w:ascii="宋体" w:hAnsi="宋体"/>
          <w:b/>
          <w:color w:val="auto"/>
          <w:szCs w:val="21"/>
        </w:rPr>
        <w:t>安全运抵交货地点。</w:t>
      </w:r>
    </w:p>
    <w:p w14:paraId="14D03B5D">
      <w:pPr>
        <w:rPr>
          <w:rFonts w:hint="eastAsia" w:ascii="宋体" w:hAnsi="宋体"/>
          <w:b/>
          <w:color w:val="auto"/>
          <w:szCs w:val="21"/>
        </w:rPr>
      </w:pPr>
      <w:r>
        <w:rPr>
          <w:rFonts w:hint="eastAsia" w:ascii="宋体" w:hAnsi="宋体"/>
          <w:b/>
          <w:color w:val="auto"/>
          <w:szCs w:val="21"/>
        </w:rPr>
        <w:t>2、由于乙方包装或其防护措施不妥而引起</w:t>
      </w:r>
      <w:r>
        <w:rPr>
          <w:rFonts w:hint="eastAsia" w:ascii="宋体" w:hAnsi="宋体" w:eastAsia="宋体" w:cs="Times New Roman"/>
          <w:b/>
          <w:color w:val="auto"/>
          <w:szCs w:val="21"/>
        </w:rPr>
        <w:t>标的物</w:t>
      </w:r>
      <w:r>
        <w:rPr>
          <w:rFonts w:hint="eastAsia" w:ascii="宋体" w:hAnsi="宋体"/>
          <w:b/>
          <w:color w:val="auto"/>
          <w:szCs w:val="21"/>
        </w:rPr>
        <w:t>锈蚀、损坏和丢失的任何损失的责任或费用由乙方承担。</w:t>
      </w:r>
    </w:p>
    <w:p w14:paraId="4283CE1A">
      <w:pPr>
        <w:rPr>
          <w:rFonts w:hint="eastAsia" w:ascii="宋体" w:hAnsi="宋体"/>
          <w:b/>
          <w:color w:val="auto"/>
          <w:szCs w:val="21"/>
        </w:rPr>
      </w:pPr>
      <w:r>
        <w:rPr>
          <w:rFonts w:hint="eastAsia" w:ascii="宋体" w:hAnsi="宋体"/>
          <w:b/>
          <w:color w:val="auto"/>
          <w:szCs w:val="21"/>
        </w:rPr>
        <w:t>3、除双方特殊约定以外，乙方提供的包装物费用包括在本合同总价中。</w:t>
      </w:r>
    </w:p>
    <w:p w14:paraId="3B0BE7B0">
      <w:pPr>
        <w:rPr>
          <w:rFonts w:hint="eastAsia" w:ascii="宋体" w:hAnsi="宋体"/>
          <w:b/>
          <w:color w:val="auto"/>
          <w:szCs w:val="21"/>
        </w:rPr>
      </w:pPr>
      <w:r>
        <w:rPr>
          <w:rFonts w:hint="eastAsia" w:ascii="宋体" w:hAnsi="宋体"/>
          <w:b/>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bCs/>
          <w:color w:val="auto"/>
        </w:rPr>
      </w:pPr>
      <w:r>
        <w:rPr>
          <w:rFonts w:hint="eastAsia" w:ascii="宋体" w:hAnsi="宋体"/>
          <w:b/>
          <w:color w:val="auto"/>
          <w:szCs w:val="21"/>
        </w:rPr>
        <w:t>5、</w:t>
      </w:r>
      <w:r>
        <w:rPr>
          <w:rFonts w:hint="eastAsia" w:ascii="宋体" w:hAnsi="宋体" w:eastAsia="宋体" w:cs="Times New Roman"/>
          <w:b/>
          <w:color w:val="auto"/>
          <w:szCs w:val="21"/>
        </w:rPr>
        <w:t>标的物</w:t>
      </w:r>
      <w:r>
        <w:rPr>
          <w:rFonts w:hint="eastAsia" w:ascii="宋体" w:hAnsi="宋体"/>
          <w:b/>
          <w:color w:val="auto"/>
          <w:szCs w:val="21"/>
        </w:rPr>
        <w:t>在</w:t>
      </w:r>
      <w:r>
        <w:rPr>
          <w:rFonts w:hint="eastAsia" w:ascii="宋体" w:hAnsi="宋体" w:cs="宋体"/>
          <w:b/>
          <w:bCs/>
          <w:color w:val="auto"/>
        </w:rPr>
        <w:t>运输途中的安全问题均由乙方负责</w:t>
      </w:r>
      <w:r>
        <w:rPr>
          <w:rFonts w:hint="eastAsia" w:ascii="宋体" w:hAnsi="宋体" w:cs="宋体"/>
          <w:b/>
          <w:bCs/>
          <w:color w:val="auto"/>
          <w:lang w:eastAsia="zh-CN"/>
        </w:rPr>
        <w:t>，</w:t>
      </w:r>
      <w:r>
        <w:rPr>
          <w:rFonts w:hint="eastAsia" w:ascii="宋体" w:hAnsi="宋体" w:cs="宋体"/>
          <w:b/>
          <w:bCs/>
          <w:color w:val="auto"/>
        </w:rPr>
        <w:t>在交货过程中，发生意外事故和故障损失，如撞、刮、裂、损等均由乙方承担责任；</w:t>
      </w:r>
    </w:p>
    <w:p w14:paraId="1E0822D8">
      <w:pPr>
        <w:spacing w:line="264" w:lineRule="auto"/>
        <w:rPr>
          <w:rFonts w:hint="eastAsia" w:ascii="宋体" w:hAnsi="宋体"/>
          <w:b/>
          <w:color w:val="auto"/>
          <w:szCs w:val="21"/>
        </w:rPr>
      </w:pPr>
      <w:r>
        <w:rPr>
          <w:rFonts w:hint="eastAsia" w:ascii="宋体" w:hAnsi="宋体"/>
          <w:b/>
          <w:color w:val="auto"/>
          <w:szCs w:val="21"/>
        </w:rPr>
        <w:t>九、技术参数：乙方负责提供</w:t>
      </w:r>
      <w:r>
        <w:rPr>
          <w:rFonts w:hint="eastAsia" w:ascii="宋体" w:hAnsi="宋体" w:eastAsia="宋体" w:cs="Times New Roman"/>
          <w:b/>
          <w:color w:val="auto"/>
          <w:szCs w:val="21"/>
        </w:rPr>
        <w:t>标的物</w:t>
      </w:r>
      <w:r>
        <w:rPr>
          <w:rFonts w:hint="eastAsia" w:ascii="宋体" w:hAnsi="宋体"/>
          <w:b/>
          <w:color w:val="auto"/>
          <w:szCs w:val="21"/>
        </w:rPr>
        <w:t>详细的中文版说明书、使用手册、维修手册及电路原理图等一切与该</w:t>
      </w:r>
      <w:r>
        <w:rPr>
          <w:rFonts w:hint="eastAsia" w:ascii="宋体" w:hAnsi="宋体" w:eastAsia="宋体" w:cs="Times New Roman"/>
          <w:b/>
          <w:color w:val="auto"/>
          <w:szCs w:val="21"/>
        </w:rPr>
        <w:t>标的物</w:t>
      </w:r>
      <w:r>
        <w:rPr>
          <w:rFonts w:hint="eastAsia" w:ascii="宋体" w:hAnsi="宋体"/>
          <w:b/>
          <w:color w:val="auto"/>
          <w:szCs w:val="21"/>
        </w:rPr>
        <w:t>的安装、维修、保养有关的技术图纸及文字资料。</w:t>
      </w:r>
      <w:r>
        <w:rPr>
          <w:rFonts w:hint="eastAsia" w:ascii="宋体" w:hAnsi="宋体" w:cs="宋体"/>
          <w:b/>
          <w:bCs/>
          <w:color w:val="auto"/>
        </w:rPr>
        <w:t>否则，甲方有权不予付款且不承担违约责任。乙方应</w:t>
      </w:r>
      <w:r>
        <w:rPr>
          <w:rFonts w:hint="eastAsia" w:ascii="宋体" w:hAnsi="宋体"/>
          <w:b/>
          <w:color w:val="auto"/>
          <w:szCs w:val="21"/>
        </w:rPr>
        <w:t>同时提供该</w:t>
      </w:r>
      <w:r>
        <w:rPr>
          <w:rFonts w:hint="eastAsia" w:ascii="宋体" w:hAnsi="宋体" w:eastAsia="宋体" w:cs="Times New Roman"/>
          <w:b/>
          <w:color w:val="auto"/>
          <w:szCs w:val="21"/>
        </w:rPr>
        <w:t>标的物</w:t>
      </w:r>
      <w:r>
        <w:rPr>
          <w:rFonts w:hint="eastAsia" w:ascii="宋体" w:hAnsi="宋体"/>
          <w:b/>
          <w:color w:val="auto"/>
          <w:szCs w:val="21"/>
        </w:rPr>
        <w:t>彩页资料和公司、产品资质，并承担由此发生的全部费用。</w:t>
      </w:r>
    </w:p>
    <w:p w14:paraId="5ACA8E6B">
      <w:pPr>
        <w:spacing w:line="264" w:lineRule="auto"/>
        <w:rPr>
          <w:rFonts w:hint="eastAsia" w:ascii="宋体" w:hAnsi="宋体"/>
          <w:b/>
          <w:color w:val="auto"/>
          <w:szCs w:val="21"/>
        </w:rPr>
      </w:pPr>
      <w:r>
        <w:rPr>
          <w:rFonts w:hint="eastAsia" w:ascii="宋体" w:hAnsi="宋体"/>
          <w:b/>
          <w:color w:val="auto"/>
          <w:szCs w:val="21"/>
        </w:rPr>
        <w:t>十、安装调试</w:t>
      </w:r>
      <w:r>
        <w:rPr>
          <w:rFonts w:hint="eastAsia" w:ascii="宋体" w:hAnsi="宋体"/>
          <w:b/>
          <w:color w:val="auto"/>
          <w:szCs w:val="21"/>
          <w:lang w:val="en-US" w:eastAsia="zh-CN"/>
        </w:rPr>
        <w:t>及试运行</w:t>
      </w:r>
      <w:r>
        <w:rPr>
          <w:rFonts w:hint="eastAsia" w:ascii="宋体" w:hAnsi="宋体"/>
          <w:b/>
          <w:color w:val="auto"/>
          <w:szCs w:val="21"/>
        </w:rPr>
        <w:t>：</w:t>
      </w:r>
    </w:p>
    <w:p w14:paraId="478B349D">
      <w:pPr>
        <w:spacing w:line="264" w:lineRule="auto"/>
        <w:rPr>
          <w:rFonts w:hint="eastAsia" w:ascii="宋体" w:hAnsi="宋体"/>
          <w:b/>
          <w:color w:val="auto"/>
          <w:szCs w:val="21"/>
        </w:rPr>
      </w:pPr>
      <w:r>
        <w:rPr>
          <w:rFonts w:hint="eastAsia" w:ascii="宋体" w:hAnsi="宋体"/>
          <w:b/>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color w:val="auto"/>
          <w:szCs w:val="21"/>
        </w:rPr>
      </w:pPr>
      <w:r>
        <w:rPr>
          <w:rFonts w:hint="eastAsia" w:ascii="宋体" w:hAnsi="宋体"/>
          <w:b/>
          <w:color w:val="auto"/>
          <w:szCs w:val="21"/>
        </w:rPr>
        <w:t>2、乙方负责</w:t>
      </w:r>
      <w:r>
        <w:rPr>
          <w:rFonts w:hint="eastAsia" w:ascii="宋体" w:hAnsi="宋体" w:eastAsia="宋体" w:cs="Times New Roman"/>
          <w:b/>
          <w:color w:val="auto"/>
          <w:szCs w:val="21"/>
        </w:rPr>
        <w:t>标的物</w:t>
      </w:r>
      <w:r>
        <w:rPr>
          <w:rFonts w:hint="eastAsia" w:ascii="宋体" w:hAnsi="宋体"/>
          <w:b/>
          <w:color w:val="auto"/>
          <w:szCs w:val="21"/>
        </w:rPr>
        <w:t>的运送、安装、调试、技术协助、校准、培训以及其他类似等工作，</w:t>
      </w:r>
      <w:r>
        <w:rPr>
          <w:rFonts w:hint="eastAsia" w:ascii="宋体" w:hAnsi="宋体"/>
          <w:b/>
          <w:color w:val="auto"/>
          <w:szCs w:val="21"/>
          <w:lang w:eastAsia="zh-CN"/>
        </w:rPr>
        <w:t>直至该</w:t>
      </w:r>
      <w:r>
        <w:rPr>
          <w:rFonts w:hint="eastAsia" w:ascii="宋体" w:hAnsi="宋体"/>
          <w:b/>
          <w:color w:val="auto"/>
          <w:szCs w:val="21"/>
          <w:lang w:val="en-US" w:eastAsia="zh-CN"/>
        </w:rPr>
        <w:t>标的物</w:t>
      </w:r>
      <w:r>
        <w:rPr>
          <w:rFonts w:hint="eastAsia" w:ascii="宋体" w:hAnsi="宋体"/>
          <w:b/>
          <w:color w:val="auto"/>
          <w:szCs w:val="21"/>
          <w:lang w:eastAsia="zh-CN"/>
        </w:rPr>
        <w:t>可以正常</w:t>
      </w:r>
      <w:r>
        <w:rPr>
          <w:rFonts w:hint="eastAsia" w:ascii="宋体" w:hAnsi="宋体"/>
          <w:b/>
          <w:color w:val="auto"/>
          <w:szCs w:val="21"/>
          <w:lang w:val="en-US" w:eastAsia="zh-CN"/>
        </w:rPr>
        <w:t>试运行</w:t>
      </w:r>
      <w:r>
        <w:rPr>
          <w:rFonts w:hint="eastAsia" w:ascii="宋体" w:hAnsi="宋体"/>
          <w:b/>
          <w:color w:val="auto"/>
          <w:szCs w:val="21"/>
        </w:rPr>
        <w:t xml:space="preserve">。 </w:t>
      </w:r>
    </w:p>
    <w:p w14:paraId="2041F322">
      <w:pPr>
        <w:spacing w:line="264" w:lineRule="auto"/>
        <w:rPr>
          <w:rFonts w:hint="eastAsia" w:ascii="宋体" w:hAnsi="宋体"/>
          <w:b/>
          <w:color w:val="auto"/>
          <w:szCs w:val="21"/>
        </w:rPr>
      </w:pPr>
      <w:r>
        <w:rPr>
          <w:rFonts w:hint="eastAsia" w:ascii="宋体" w:hAnsi="宋体"/>
          <w:b/>
          <w:color w:val="auto"/>
          <w:szCs w:val="21"/>
        </w:rPr>
        <w:t>3、乙方应指派专</w:t>
      </w:r>
      <w:r>
        <w:rPr>
          <w:rFonts w:hint="eastAsia" w:ascii="宋体" w:hAnsi="宋体"/>
          <w:b/>
          <w:color w:val="auto"/>
          <w:szCs w:val="21"/>
          <w:lang w:val="en-US" w:eastAsia="zh-CN"/>
        </w:rPr>
        <w:t>业</w:t>
      </w:r>
      <w:r>
        <w:rPr>
          <w:rFonts w:hint="eastAsia" w:ascii="宋体" w:hAnsi="宋体"/>
          <w:b/>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auto"/>
        </w:rPr>
        <w:t>且上述费用已包含在合同总价中，甲方不再另行支付</w:t>
      </w:r>
      <w:r>
        <w:rPr>
          <w:rFonts w:hint="eastAsia" w:ascii="宋体" w:hAnsi="宋体"/>
          <w:b/>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bCs w:val="0"/>
          <w:color w:val="auto"/>
          <w:kern w:val="2"/>
          <w:sz w:val="21"/>
          <w:szCs w:val="21"/>
          <w:lang w:val="en-US" w:eastAsia="zh-CN" w:bidi="ar"/>
        </w:rPr>
        <w:br w:type="textWrapping"/>
      </w:r>
      <w:r>
        <w:rPr>
          <w:rFonts w:hint="eastAsia" w:ascii="宋体" w:hAnsi="宋体" w:eastAsia="宋体" w:cs="宋体"/>
          <w:b/>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color w:val="auto"/>
          <w:szCs w:val="21"/>
        </w:rPr>
      </w:pPr>
      <w:r>
        <w:rPr>
          <w:rFonts w:hint="eastAsia" w:ascii="宋体" w:hAnsi="宋体" w:eastAsia="宋体" w:cs="宋体"/>
          <w:b/>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color w:val="auto"/>
          <w:szCs w:val="21"/>
        </w:rPr>
      </w:pPr>
      <w:r>
        <w:rPr>
          <w:rFonts w:hint="eastAsia" w:ascii="宋体" w:hAnsi="宋体"/>
          <w:b/>
          <w:color w:val="auto"/>
          <w:szCs w:val="21"/>
        </w:rPr>
        <w:t>十一、验收标准：</w:t>
      </w:r>
    </w:p>
    <w:p w14:paraId="127AF713">
      <w:pPr>
        <w:spacing w:line="264" w:lineRule="auto"/>
        <w:rPr>
          <w:rFonts w:hint="eastAsia" w:ascii="宋体" w:hAnsi="宋体"/>
          <w:b/>
          <w:color w:val="auto"/>
          <w:szCs w:val="21"/>
        </w:rPr>
      </w:pPr>
      <w:r>
        <w:rPr>
          <w:rFonts w:hint="eastAsia" w:ascii="宋体" w:hAnsi="宋体"/>
          <w:b/>
          <w:color w:val="auto"/>
          <w:szCs w:val="21"/>
        </w:rPr>
        <w:t>1、单证齐全：应有产品合格证（或质量证明）、使用说明、保修证明、发票和其他应具有的单证。同时由乙方提供该套</w:t>
      </w:r>
      <w:r>
        <w:rPr>
          <w:rFonts w:hint="eastAsia" w:ascii="宋体" w:hAnsi="宋体" w:eastAsia="宋体" w:cs="Times New Roman"/>
          <w:b/>
          <w:color w:val="auto"/>
          <w:szCs w:val="21"/>
        </w:rPr>
        <w:t>标的物</w:t>
      </w:r>
      <w:r>
        <w:rPr>
          <w:rFonts w:hint="eastAsia" w:ascii="宋体" w:hAnsi="宋体"/>
          <w:b/>
          <w:color w:val="auto"/>
          <w:szCs w:val="21"/>
        </w:rPr>
        <w:t>的商检证，需计量鉴定的，还需提供初次计量鉴定证书。</w:t>
      </w:r>
    </w:p>
    <w:p w14:paraId="4A9FAC58">
      <w:pPr>
        <w:spacing w:line="264" w:lineRule="auto"/>
        <w:rPr>
          <w:rFonts w:hint="eastAsia" w:ascii="宋体" w:hAnsi="宋体"/>
          <w:b/>
          <w:color w:val="auto"/>
          <w:szCs w:val="21"/>
        </w:rPr>
      </w:pPr>
      <w:r>
        <w:rPr>
          <w:rFonts w:hint="eastAsia" w:ascii="宋体" w:hAnsi="宋体"/>
          <w:b/>
          <w:color w:val="auto"/>
          <w:szCs w:val="21"/>
        </w:rPr>
        <w:t>2、质量符合</w:t>
      </w:r>
      <w:r>
        <w:rPr>
          <w:rFonts w:hint="eastAsia" w:ascii="宋体" w:hAnsi="宋体"/>
          <w:b/>
          <w:color w:val="auto"/>
          <w:szCs w:val="21"/>
          <w:lang w:val="en-US" w:eastAsia="zh-CN"/>
        </w:rPr>
        <w:t>现行</w:t>
      </w:r>
      <w:r>
        <w:rPr>
          <w:rFonts w:hint="eastAsia" w:ascii="宋体" w:hAnsi="宋体"/>
          <w:b/>
          <w:color w:val="auto"/>
          <w:szCs w:val="21"/>
        </w:rPr>
        <w:t>国家法律法规规定的标准、招标文件和投标文件的要求。其中有关</w:t>
      </w:r>
      <w:r>
        <w:rPr>
          <w:rFonts w:hint="eastAsia" w:ascii="宋体" w:hAnsi="宋体" w:eastAsia="宋体" w:cs="Times New Roman"/>
          <w:b/>
          <w:color w:val="auto"/>
          <w:szCs w:val="21"/>
        </w:rPr>
        <w:t>标的物</w:t>
      </w:r>
      <w:r>
        <w:rPr>
          <w:rFonts w:hint="eastAsia" w:ascii="宋体" w:hAnsi="宋体"/>
          <w:b/>
          <w:color w:val="auto"/>
          <w:szCs w:val="21"/>
        </w:rPr>
        <w:t>名称、制造商、数量等信息须符合投标文件和配置清单</w:t>
      </w:r>
    </w:p>
    <w:p w14:paraId="07D791A8">
      <w:pPr>
        <w:spacing w:line="264" w:lineRule="auto"/>
        <w:rPr>
          <w:rFonts w:hint="eastAsia" w:ascii="宋体" w:hAnsi="宋体"/>
          <w:b/>
          <w:color w:val="auto"/>
          <w:szCs w:val="21"/>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val="en-US" w:eastAsia="zh-CN"/>
        </w:rPr>
        <w:t>试运行期结束后，</w:t>
      </w:r>
      <w:r>
        <w:rPr>
          <w:rFonts w:hint="eastAsia" w:ascii="宋体" w:hAnsi="宋体"/>
          <w:b/>
          <w:color w:val="auto"/>
          <w:szCs w:val="21"/>
        </w:rPr>
        <w:t>甲方</w:t>
      </w:r>
      <w:r>
        <w:rPr>
          <w:rFonts w:hint="eastAsia" w:ascii="宋体" w:hAnsi="宋体" w:eastAsia="宋体" w:cs="Times New Roman"/>
          <w:b/>
          <w:color w:val="auto"/>
          <w:szCs w:val="21"/>
        </w:rPr>
        <w:t>标的物</w:t>
      </w:r>
      <w:r>
        <w:rPr>
          <w:rFonts w:hint="eastAsia" w:ascii="宋体" w:hAnsi="宋体"/>
          <w:b/>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bCs/>
          <w:color w:val="auto"/>
        </w:rPr>
        <w:t>同意</w:t>
      </w:r>
      <w:r>
        <w:rPr>
          <w:rFonts w:hint="eastAsia" w:ascii="宋体" w:hAnsi="宋体"/>
          <w:b/>
          <w:color w:val="auto"/>
          <w:szCs w:val="21"/>
        </w:rPr>
        <w:t>授权甲方从应付货款中直接</w:t>
      </w:r>
      <w:r>
        <w:rPr>
          <w:rFonts w:hint="eastAsia" w:ascii="宋体" w:hAnsi="宋体" w:cs="宋体"/>
          <w:b/>
          <w:bCs/>
          <w:color w:val="auto"/>
        </w:rPr>
        <w:t>扣除</w:t>
      </w:r>
      <w:r>
        <w:rPr>
          <w:rFonts w:hint="eastAsia" w:ascii="宋体" w:hAnsi="宋体"/>
          <w:b/>
          <w:color w:val="auto"/>
          <w:szCs w:val="21"/>
        </w:rPr>
        <w:t>。</w:t>
      </w:r>
    </w:p>
    <w:p w14:paraId="6615A18C">
      <w:pPr>
        <w:spacing w:line="264" w:lineRule="auto"/>
        <w:rPr>
          <w:rFonts w:hint="eastAsia"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、甲方最终验收合格后进入</w:t>
      </w:r>
      <w:r>
        <w:rPr>
          <w:rFonts w:hint="eastAsia" w:ascii="宋体" w:hAnsi="宋体"/>
          <w:b/>
          <w:color w:val="auto"/>
          <w:szCs w:val="21"/>
          <w:lang w:val="en-US" w:eastAsia="zh-CN"/>
        </w:rPr>
        <w:t>保修</w:t>
      </w:r>
      <w:r>
        <w:rPr>
          <w:rFonts w:hint="eastAsia" w:ascii="宋体" w:hAnsi="宋体"/>
          <w:b/>
          <w:color w:val="auto"/>
          <w:szCs w:val="21"/>
        </w:rPr>
        <w:t>期。若</w:t>
      </w:r>
      <w:r>
        <w:rPr>
          <w:rFonts w:hint="eastAsia" w:ascii="宋体" w:hAnsi="宋体" w:cs="宋体"/>
          <w:b/>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747D40EA">
      <w:pPr>
        <w:spacing w:line="264" w:lineRule="auto"/>
        <w:rPr>
          <w:rFonts w:hint="eastAsia" w:ascii="宋体" w:hAnsi="宋体"/>
          <w:b/>
          <w:color w:val="auto"/>
          <w:szCs w:val="21"/>
        </w:rPr>
      </w:pPr>
      <w:r>
        <w:rPr>
          <w:rFonts w:hint="eastAsia" w:ascii="宋体" w:hAnsi="宋体"/>
          <w:b/>
          <w:color w:val="auto"/>
          <w:szCs w:val="21"/>
        </w:rPr>
        <w:t>十二、质量技术标准及损害赔偿：</w:t>
      </w:r>
    </w:p>
    <w:p w14:paraId="418E8A99">
      <w:pPr>
        <w:spacing w:line="264" w:lineRule="auto"/>
        <w:rPr>
          <w:rFonts w:hint="eastAsia" w:ascii="宋体" w:hAnsi="宋体"/>
          <w:b/>
          <w:color w:val="auto"/>
          <w:szCs w:val="21"/>
        </w:rPr>
      </w:pPr>
      <w:r>
        <w:rPr>
          <w:rFonts w:hint="eastAsia" w:ascii="宋体" w:hAnsi="宋体"/>
          <w:b/>
          <w:color w:val="auto"/>
          <w:szCs w:val="21"/>
        </w:rPr>
        <w:t>1、</w:t>
      </w:r>
      <w:r>
        <w:rPr>
          <w:rFonts w:hint="eastAsia" w:ascii="宋体" w:hAnsi="宋体" w:cs="宋体"/>
          <w:b/>
          <w:bCs/>
          <w:color w:val="auto"/>
        </w:rPr>
        <w:t>产品质量标准：</w:t>
      </w:r>
      <w:r>
        <w:rPr>
          <w:rFonts w:hint="eastAsia" w:ascii="宋体" w:hAnsi="宋体" w:eastAsia="宋体" w:cs="Times New Roman"/>
          <w:b/>
          <w:color w:val="auto"/>
          <w:szCs w:val="21"/>
        </w:rPr>
        <w:t>标的物</w:t>
      </w:r>
      <w:r>
        <w:rPr>
          <w:rFonts w:hint="eastAsia" w:ascii="宋体" w:hAnsi="宋体"/>
          <w:b/>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color w:val="auto"/>
          <w:szCs w:val="21"/>
        </w:rPr>
      </w:pPr>
      <w:r>
        <w:rPr>
          <w:rFonts w:hint="eastAsia" w:ascii="宋体" w:hAnsi="宋体"/>
          <w:b/>
          <w:color w:val="auto"/>
          <w:szCs w:val="21"/>
        </w:rPr>
        <w:t>2、乙方应保证其提供的</w:t>
      </w:r>
      <w:r>
        <w:rPr>
          <w:rFonts w:hint="eastAsia" w:ascii="宋体" w:hAnsi="宋体" w:eastAsia="宋体" w:cs="Times New Roman"/>
          <w:b/>
          <w:color w:val="auto"/>
          <w:szCs w:val="21"/>
        </w:rPr>
        <w:t>标的物</w:t>
      </w:r>
      <w:r>
        <w:rPr>
          <w:rFonts w:hint="eastAsia" w:ascii="宋体" w:hAnsi="宋体"/>
          <w:b/>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color w:val="auto"/>
          <w:szCs w:val="21"/>
        </w:rPr>
      </w:pPr>
      <w:r>
        <w:rPr>
          <w:rFonts w:hint="eastAsia" w:ascii="宋体" w:hAnsi="宋体"/>
          <w:b/>
          <w:color w:val="auto"/>
          <w:szCs w:val="21"/>
        </w:rPr>
        <w:t>3、乙方应保证其</w:t>
      </w:r>
      <w:r>
        <w:rPr>
          <w:rFonts w:hint="eastAsia" w:ascii="宋体" w:hAnsi="宋体" w:eastAsia="宋体" w:cs="Times New Roman"/>
          <w:b/>
          <w:color w:val="auto"/>
          <w:szCs w:val="21"/>
        </w:rPr>
        <w:t>标的物</w:t>
      </w:r>
      <w:r>
        <w:rPr>
          <w:rFonts w:hint="eastAsia" w:ascii="宋体" w:hAnsi="宋体"/>
          <w:b/>
          <w:color w:val="auto"/>
          <w:szCs w:val="21"/>
        </w:rPr>
        <w:t>经过正确安装、合理操作和维护保养，在</w:t>
      </w:r>
      <w:r>
        <w:rPr>
          <w:rFonts w:hint="eastAsia" w:ascii="宋体" w:hAnsi="宋体" w:eastAsia="宋体" w:cs="Times New Roman"/>
          <w:b/>
          <w:color w:val="auto"/>
          <w:szCs w:val="21"/>
        </w:rPr>
        <w:t>标的物</w:t>
      </w:r>
      <w:r>
        <w:rPr>
          <w:rFonts w:hint="eastAsia" w:ascii="宋体" w:hAnsi="宋体"/>
          <w:b/>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color w:val="auto"/>
          <w:szCs w:val="21"/>
        </w:rPr>
      </w:pPr>
      <w:r>
        <w:rPr>
          <w:rFonts w:hint="eastAsia" w:ascii="宋体" w:hAnsi="宋体"/>
          <w:b/>
          <w:color w:val="auto"/>
          <w:szCs w:val="21"/>
        </w:rPr>
        <w:t>4、</w:t>
      </w:r>
      <w:r>
        <w:rPr>
          <w:rFonts w:hint="eastAsia" w:ascii="宋体" w:hAnsi="宋体" w:eastAsia="宋体" w:cs="Times New Roman"/>
          <w:b/>
          <w:color w:val="auto"/>
          <w:szCs w:val="21"/>
        </w:rPr>
        <w:t>标的物</w:t>
      </w:r>
      <w:r>
        <w:rPr>
          <w:rFonts w:hint="eastAsia" w:ascii="宋体" w:hAnsi="宋体"/>
          <w:b/>
          <w:color w:val="auto"/>
          <w:szCs w:val="21"/>
        </w:rPr>
        <w:t>在售后服务期内，如出现三次以上（含三次）因质量问题引起的故障，乙方负责更换同类新的</w:t>
      </w:r>
      <w:r>
        <w:rPr>
          <w:rFonts w:hint="eastAsia" w:ascii="宋体" w:hAnsi="宋体"/>
          <w:b/>
          <w:color w:val="auto"/>
          <w:szCs w:val="21"/>
          <w:lang w:val="en-US" w:eastAsia="zh-CN"/>
        </w:rPr>
        <w:t>标的物</w:t>
      </w:r>
      <w:r>
        <w:rPr>
          <w:rFonts w:hint="eastAsia" w:ascii="宋体" w:hAnsi="宋体"/>
          <w:b/>
          <w:color w:val="auto"/>
          <w:szCs w:val="21"/>
        </w:rPr>
        <w:t>，以达到合同规定的规格、质量和性能，并从更换之日起重新计算被更换</w:t>
      </w:r>
      <w:r>
        <w:rPr>
          <w:rFonts w:hint="eastAsia" w:ascii="宋体" w:hAnsi="宋体" w:eastAsia="宋体" w:cs="Times New Roman"/>
          <w:b/>
          <w:color w:val="auto"/>
          <w:szCs w:val="21"/>
        </w:rPr>
        <w:t>标的物</w:t>
      </w:r>
      <w:r>
        <w:rPr>
          <w:rFonts w:hint="eastAsia" w:ascii="宋体" w:hAnsi="宋体"/>
          <w:b/>
          <w:color w:val="auto"/>
          <w:szCs w:val="21"/>
        </w:rPr>
        <w:t>的售后服务期，由此产生的一切费用由乙方承担。</w:t>
      </w:r>
    </w:p>
    <w:p w14:paraId="3AAD8B6E">
      <w:pPr>
        <w:spacing w:line="264" w:lineRule="auto"/>
        <w:rPr>
          <w:rFonts w:hint="eastAsia" w:ascii="宋体" w:hAnsi="宋体"/>
          <w:b/>
          <w:color w:val="auto"/>
          <w:szCs w:val="21"/>
        </w:rPr>
      </w:pPr>
      <w:r>
        <w:rPr>
          <w:rFonts w:hint="eastAsia" w:ascii="宋体" w:hAnsi="宋体"/>
          <w:b/>
          <w:color w:val="auto"/>
          <w:szCs w:val="21"/>
        </w:rPr>
        <w:t>5、如因为乙方</w:t>
      </w:r>
      <w:r>
        <w:rPr>
          <w:rFonts w:hint="eastAsia" w:ascii="宋体" w:hAnsi="宋体" w:eastAsia="宋体" w:cs="Times New Roman"/>
          <w:b/>
          <w:color w:val="auto"/>
          <w:szCs w:val="21"/>
        </w:rPr>
        <w:t>标的物</w:t>
      </w:r>
      <w:r>
        <w:rPr>
          <w:rFonts w:hint="eastAsia" w:ascii="宋体" w:hAnsi="宋体"/>
          <w:b/>
          <w:color w:val="auto"/>
          <w:szCs w:val="21"/>
        </w:rPr>
        <w:t>质量原因，导致甲方损失，</w:t>
      </w:r>
      <w:r>
        <w:rPr>
          <w:rFonts w:hint="eastAsia" w:ascii="宋体" w:hAnsi="宋体" w:eastAsia="宋体" w:cs="Times New Roman"/>
          <w:b/>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auto"/>
          <w:szCs w:val="21"/>
        </w:rPr>
        <w:t>。</w:t>
      </w:r>
    </w:p>
    <w:p w14:paraId="7BCBF224">
      <w:pPr>
        <w:spacing w:line="264" w:lineRule="auto"/>
        <w:rPr>
          <w:rFonts w:hint="eastAsia" w:ascii="宋体" w:hAnsi="宋体"/>
          <w:b/>
          <w:color w:val="auto"/>
          <w:szCs w:val="21"/>
        </w:rPr>
      </w:pPr>
      <w:r>
        <w:rPr>
          <w:rFonts w:hint="eastAsia" w:ascii="宋体" w:hAnsi="宋体"/>
          <w:b/>
          <w:color w:val="auto"/>
          <w:szCs w:val="21"/>
        </w:rPr>
        <w:t>十三、合同修改、变更、转让及专利权：</w:t>
      </w:r>
    </w:p>
    <w:p w14:paraId="3128FE3B">
      <w:pPr>
        <w:spacing w:line="264" w:lineRule="auto"/>
        <w:rPr>
          <w:rFonts w:hint="eastAsia" w:ascii="宋体" w:hAnsi="宋体"/>
          <w:b/>
          <w:color w:val="auto"/>
          <w:szCs w:val="21"/>
        </w:rPr>
      </w:pPr>
      <w:r>
        <w:rPr>
          <w:rFonts w:hint="eastAsia" w:ascii="宋体" w:hAnsi="宋体"/>
          <w:b/>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color w:val="auto"/>
          <w:szCs w:val="21"/>
        </w:rPr>
      </w:pPr>
      <w:r>
        <w:rPr>
          <w:rFonts w:hint="eastAsia" w:ascii="宋体" w:hAnsi="宋体"/>
          <w:b/>
          <w:color w:val="auto"/>
          <w:szCs w:val="21"/>
        </w:rPr>
        <w:t>2、乙方须保障甲方在使用其</w:t>
      </w:r>
      <w:r>
        <w:rPr>
          <w:rFonts w:hint="eastAsia" w:ascii="宋体" w:hAnsi="宋体" w:eastAsia="宋体" w:cs="Times New Roman"/>
          <w:b/>
          <w:color w:val="auto"/>
          <w:szCs w:val="21"/>
        </w:rPr>
        <w:t>标的物</w:t>
      </w:r>
      <w:r>
        <w:rPr>
          <w:rFonts w:hint="eastAsia" w:ascii="宋体" w:hAnsi="宋体"/>
          <w:b/>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color w:val="auto"/>
          <w:szCs w:val="21"/>
        </w:rPr>
      </w:pPr>
      <w:r>
        <w:rPr>
          <w:rFonts w:hint="eastAsia" w:ascii="宋体" w:hAnsi="宋体"/>
          <w:b/>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color w:val="auto"/>
          <w:szCs w:val="21"/>
        </w:rPr>
      </w:pPr>
      <w:r>
        <w:rPr>
          <w:rFonts w:hint="eastAsia" w:ascii="宋体" w:hAnsi="宋体"/>
          <w:b/>
          <w:color w:val="auto"/>
          <w:szCs w:val="21"/>
        </w:rPr>
        <w:t>十五、违约责任：</w:t>
      </w:r>
    </w:p>
    <w:p w14:paraId="2CABF29D">
      <w:pPr>
        <w:spacing w:line="264" w:lineRule="auto"/>
        <w:rPr>
          <w:rFonts w:hint="eastAsia" w:ascii="宋体" w:hAnsi="宋体"/>
          <w:b/>
          <w:color w:val="auto"/>
          <w:szCs w:val="21"/>
        </w:rPr>
      </w:pPr>
      <w:r>
        <w:rPr>
          <w:rFonts w:hint="eastAsia" w:ascii="宋体" w:hAnsi="宋体"/>
          <w:b/>
          <w:color w:val="auto"/>
          <w:szCs w:val="21"/>
        </w:rPr>
        <w:t>1、乙方交付</w:t>
      </w:r>
      <w:r>
        <w:rPr>
          <w:rFonts w:hint="eastAsia" w:ascii="宋体" w:hAnsi="宋体" w:eastAsia="宋体" w:cs="Times New Roman"/>
          <w:b/>
          <w:color w:val="auto"/>
          <w:szCs w:val="21"/>
        </w:rPr>
        <w:t>标的物</w:t>
      </w:r>
      <w:r>
        <w:rPr>
          <w:rFonts w:hint="eastAsia" w:ascii="宋体" w:hAnsi="宋体"/>
          <w:b/>
          <w:color w:val="auto"/>
          <w:szCs w:val="21"/>
        </w:rPr>
        <w:t>的品种、规格、质量不符合国家标准或合同规定的，由乙方全权负责换货。换货必须全新并符合</w:t>
      </w:r>
      <w:r>
        <w:rPr>
          <w:rFonts w:hint="eastAsia" w:ascii="宋体" w:hAnsi="宋体" w:cs="宋体"/>
          <w:b/>
          <w:bCs/>
          <w:color w:val="auto"/>
        </w:rPr>
        <w:t>本合同约定的质量标准和验收标准</w:t>
      </w:r>
      <w:r>
        <w:rPr>
          <w:rFonts w:hint="eastAsia" w:ascii="宋体" w:hAnsi="宋体"/>
          <w:b/>
          <w:color w:val="auto"/>
          <w:szCs w:val="21"/>
        </w:rPr>
        <w:t>，因此而产生的一切费用和甲方遭受的一切直接损失由乙方无条件承担，</w:t>
      </w:r>
      <w:r>
        <w:rPr>
          <w:rFonts w:hint="eastAsia" w:ascii="宋体" w:hAnsi="宋体" w:cs="宋体"/>
          <w:b/>
          <w:bCs/>
          <w:color w:val="auto"/>
        </w:rPr>
        <w:t>乙方不能修理或者不能调换、安装的，按合同总额的1</w:t>
      </w:r>
      <w:r>
        <w:rPr>
          <w:rFonts w:ascii="宋体" w:hAnsi="宋体" w:cs="宋体"/>
          <w:b/>
          <w:bCs/>
          <w:color w:val="auto"/>
        </w:rPr>
        <w:t>0%</w:t>
      </w:r>
      <w:r>
        <w:rPr>
          <w:rFonts w:hint="eastAsia" w:ascii="宋体" w:hAnsi="宋体" w:cs="宋体"/>
          <w:b/>
          <w:bCs/>
          <w:color w:val="auto"/>
        </w:rPr>
        <w:t>承担违约金。</w:t>
      </w:r>
      <w:r>
        <w:rPr>
          <w:rFonts w:hint="eastAsia" w:ascii="宋体" w:hAnsi="宋体"/>
          <w:b/>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color w:val="auto"/>
          <w:szCs w:val="21"/>
        </w:rPr>
      </w:pPr>
      <w:r>
        <w:rPr>
          <w:rFonts w:hint="eastAsia" w:ascii="宋体" w:hAnsi="宋体"/>
          <w:b/>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color w:val="auto"/>
          <w:szCs w:val="21"/>
        </w:rPr>
      </w:pPr>
      <w:r>
        <w:rPr>
          <w:rFonts w:hint="eastAsia" w:ascii="宋体" w:hAnsi="宋体"/>
          <w:b/>
          <w:color w:val="auto"/>
          <w:szCs w:val="21"/>
        </w:rPr>
        <w:t>十六、赔偿、追索权：</w:t>
      </w:r>
    </w:p>
    <w:p w14:paraId="65CA0481">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43684AE1">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15E67491">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rPr>
        <w:t>2、在诉讼期间，合同未发生争议部分应当继续履行。</w:t>
      </w:r>
      <w:r>
        <w:rPr>
          <w:rFonts w:hint="eastAsia" w:ascii="宋体" w:hAnsi="宋体"/>
          <w:b/>
          <w:color w:val="auto"/>
          <w:szCs w:val="21"/>
        </w:rPr>
        <w:br w:type="textWrapping"/>
      </w:r>
      <w:r>
        <w:rPr>
          <w:rFonts w:hint="eastAsia" w:ascii="宋体" w:hAnsi="宋体"/>
          <w:b/>
          <w:color w:val="auto"/>
          <w:szCs w:val="21"/>
          <w:lang w:val="en-US" w:eastAsia="zh-CN"/>
        </w:rPr>
        <w:t>十八：质量保函：</w:t>
      </w:r>
      <w:r>
        <w:rPr>
          <w:rFonts w:hint="eastAsia" w:ascii="宋体" w:hAnsi="宋体"/>
          <w:b/>
          <w:color w:val="auto"/>
          <w:szCs w:val="21"/>
          <w:lang w:val="en-US" w:eastAsia="zh-CN"/>
        </w:rPr>
        <w:br w:type="textWrapping"/>
      </w:r>
      <w:r>
        <w:rPr>
          <w:rFonts w:hint="eastAsia" w:ascii="宋体" w:hAnsi="宋体" w:eastAsia="宋体" w:cs="Times New Roman"/>
          <w:b/>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3、乙方承诺在标的物验收合格后，对标的物进行为期</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年的免费保修服务。</w:t>
      </w:r>
    </w:p>
    <w:p w14:paraId="7E981893">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6、质量保函自签订之日起生效，至项目验收合格后</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年止.</w:t>
      </w:r>
    </w:p>
    <w:p w14:paraId="195898DB">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val="en-US" w:eastAsia="zh-CN"/>
        </w:rPr>
        <w:t>九</w:t>
      </w:r>
      <w:r>
        <w:rPr>
          <w:rFonts w:hint="eastAsia" w:ascii="宋体" w:hAnsi="宋体"/>
          <w:b/>
          <w:color w:val="auto"/>
          <w:szCs w:val="21"/>
        </w:rPr>
        <w:t>、其它：</w:t>
      </w:r>
    </w:p>
    <w:p w14:paraId="70AD3A7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28FF79C4">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5D892507">
      <w:pPr>
        <w:spacing w:line="264" w:lineRule="auto"/>
        <w:rPr>
          <w:rFonts w:hint="eastAsia"/>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w:t>
      </w:r>
      <w:r>
        <w:rPr>
          <w:rFonts w:hint="eastAsia" w:ascii="宋体" w:hAnsi="宋体"/>
          <w:b/>
          <w:color w:val="auto"/>
          <w:szCs w:val="21"/>
          <w:lang w:val="en-US" w:eastAsia="zh-CN"/>
        </w:rPr>
        <w:t>法定代表人或委托代理人</w:t>
      </w:r>
      <w:r>
        <w:rPr>
          <w:rFonts w:hint="eastAsia" w:ascii="宋体" w:hAnsi="宋体"/>
          <w:b/>
          <w:color w:val="auto"/>
          <w:szCs w:val="21"/>
        </w:rPr>
        <w:t>签字</w:t>
      </w:r>
      <w:r>
        <w:rPr>
          <w:rFonts w:hint="eastAsia" w:ascii="宋体" w:hAnsi="宋体"/>
          <w:b/>
          <w:color w:val="auto"/>
          <w:szCs w:val="21"/>
          <w:lang w:val="en-US" w:eastAsia="zh-CN"/>
        </w:rPr>
        <w:t>且加盖单位公</w:t>
      </w:r>
      <w:r>
        <w:rPr>
          <w:rFonts w:hint="eastAsia" w:ascii="宋体" w:hAnsi="宋体"/>
          <w:b/>
          <w:color w:val="auto"/>
          <w:szCs w:val="21"/>
        </w:rPr>
        <w:t>章</w:t>
      </w:r>
      <w:r>
        <w:rPr>
          <w:rFonts w:hint="eastAsia" w:ascii="宋体" w:hAnsi="宋体"/>
          <w:b/>
          <w:color w:val="auto"/>
          <w:szCs w:val="21"/>
          <w:lang w:val="en-US" w:eastAsia="zh-CN"/>
        </w:rPr>
        <w:t>或合同专用章</w:t>
      </w:r>
      <w:r>
        <w:rPr>
          <w:rFonts w:hint="eastAsia" w:ascii="宋体" w:hAnsi="宋体"/>
          <w:b/>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szCs w:val="21"/>
              </w:rPr>
            </w:pPr>
            <w:r>
              <w:rPr>
                <w:rFonts w:ascii="Times New Roman" w:hAnsi="Times New Roman"/>
                <w:b/>
                <w:szCs w:val="21"/>
              </w:rPr>
              <w:t>甲方：新疆医科大学第一附属医院</w:t>
            </w:r>
          </w:p>
        </w:tc>
        <w:tc>
          <w:tcPr>
            <w:tcW w:w="4860" w:type="dxa"/>
            <w:noWrap w:val="0"/>
            <w:vAlign w:val="top"/>
          </w:tcPr>
          <w:p w14:paraId="15335905">
            <w:pPr>
              <w:spacing w:line="264" w:lineRule="auto"/>
              <w:rPr>
                <w:rFonts w:ascii="Times New Roman" w:hAnsi="Times New Roman"/>
                <w:b/>
                <w:szCs w:val="21"/>
              </w:rPr>
            </w:pPr>
            <w:r>
              <w:rPr>
                <w:rFonts w:ascii="Times New Roman" w:hAnsi="Times New Roman"/>
                <w:b/>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szCs w:val="21"/>
              </w:rPr>
            </w:pPr>
          </w:p>
        </w:tc>
        <w:tc>
          <w:tcPr>
            <w:tcW w:w="4860" w:type="dxa"/>
            <w:noWrap w:val="0"/>
            <w:vAlign w:val="top"/>
          </w:tcPr>
          <w:p w14:paraId="2336375A">
            <w:pPr>
              <w:spacing w:line="264" w:lineRule="auto"/>
              <w:rPr>
                <w:rFonts w:ascii="Times New Roman" w:hAnsi="Times New Roman"/>
                <w:b/>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szCs w:val="21"/>
              </w:rPr>
            </w:pPr>
            <w:r>
              <w:rPr>
                <w:rFonts w:ascii="Times New Roman" w:hAnsi="Times New Roman"/>
                <w:b/>
                <w:szCs w:val="21"/>
              </w:rPr>
              <w:t>甲方法人：</w:t>
            </w:r>
          </w:p>
        </w:tc>
        <w:tc>
          <w:tcPr>
            <w:tcW w:w="4860" w:type="dxa"/>
            <w:noWrap w:val="0"/>
            <w:vAlign w:val="top"/>
          </w:tcPr>
          <w:p w14:paraId="0332B04F">
            <w:pPr>
              <w:spacing w:line="264" w:lineRule="auto"/>
              <w:rPr>
                <w:rFonts w:ascii="Times New Roman" w:hAnsi="Times New Roman"/>
                <w:b/>
                <w:szCs w:val="21"/>
              </w:rPr>
            </w:pPr>
            <w:r>
              <w:rPr>
                <w:rFonts w:ascii="Times New Roman" w:hAnsi="Times New Roman"/>
                <w:b/>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329A8999">
            <w:pPr>
              <w:spacing w:line="264" w:lineRule="auto"/>
              <w:rPr>
                <w:rFonts w:ascii="Times New Roman" w:hAnsi="Times New Roman"/>
                <w:b/>
                <w:szCs w:val="21"/>
              </w:rPr>
            </w:pPr>
            <w:r>
              <w:rPr>
                <w:rFonts w:hint="eastAsia" w:ascii="宋体" w:hAnsi="宋体"/>
                <w:b/>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szCs w:val="21"/>
              </w:rPr>
            </w:pPr>
          </w:p>
        </w:tc>
        <w:tc>
          <w:tcPr>
            <w:tcW w:w="4860" w:type="dxa"/>
            <w:noWrap w:val="0"/>
            <w:vAlign w:val="top"/>
          </w:tcPr>
          <w:p w14:paraId="33AB41AF">
            <w:pPr>
              <w:spacing w:line="264" w:lineRule="auto"/>
              <w:rPr>
                <w:rFonts w:ascii="Times New Roman" w:hAnsi="Times New Roman"/>
                <w:b/>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szCs w:val="21"/>
              </w:rPr>
            </w:pPr>
            <w:r>
              <w:rPr>
                <w:rFonts w:ascii="Times New Roman" w:hAnsi="Times New Roman"/>
                <w:b/>
                <w:szCs w:val="21"/>
              </w:rPr>
              <w:t>甲方代表：</w:t>
            </w:r>
          </w:p>
        </w:tc>
        <w:tc>
          <w:tcPr>
            <w:tcW w:w="4860" w:type="dxa"/>
            <w:noWrap w:val="0"/>
            <w:vAlign w:val="top"/>
          </w:tcPr>
          <w:p w14:paraId="256136B9">
            <w:pPr>
              <w:spacing w:line="264" w:lineRule="auto"/>
              <w:rPr>
                <w:rFonts w:ascii="Times New Roman" w:hAnsi="Times New Roman"/>
                <w:b/>
                <w:szCs w:val="21"/>
              </w:rPr>
            </w:pPr>
            <w:r>
              <w:rPr>
                <w:rFonts w:ascii="Times New Roman" w:hAnsi="Times New Roman"/>
                <w:b/>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640B23ED">
            <w:pPr>
              <w:spacing w:line="264" w:lineRule="auto"/>
              <w:rPr>
                <w:rFonts w:ascii="Times New Roman" w:hAnsi="Times New Roman"/>
                <w:b/>
                <w:szCs w:val="21"/>
              </w:rPr>
            </w:pPr>
            <w:r>
              <w:rPr>
                <w:rFonts w:hint="eastAsia" w:ascii="宋体" w:hAnsi="宋体"/>
                <w:b/>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szCs w:val="21"/>
              </w:rPr>
            </w:pPr>
          </w:p>
        </w:tc>
        <w:tc>
          <w:tcPr>
            <w:tcW w:w="4860" w:type="dxa"/>
            <w:noWrap w:val="0"/>
            <w:vAlign w:val="top"/>
          </w:tcPr>
          <w:p w14:paraId="106008E1">
            <w:pPr>
              <w:spacing w:line="264" w:lineRule="auto"/>
              <w:rPr>
                <w:rFonts w:ascii="Times New Roman" w:hAnsi="Times New Roman"/>
                <w:b/>
                <w:szCs w:val="21"/>
              </w:rPr>
            </w:pPr>
            <w:r>
              <w:rPr>
                <w:rFonts w:ascii="Times New Roman" w:hAnsi="Times New Roman"/>
                <w:b/>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szCs w:val="21"/>
              </w:rPr>
            </w:pPr>
          </w:p>
        </w:tc>
        <w:tc>
          <w:tcPr>
            <w:tcW w:w="4860" w:type="dxa"/>
            <w:noWrap w:val="0"/>
            <w:vAlign w:val="top"/>
          </w:tcPr>
          <w:p w14:paraId="428090FA">
            <w:pPr>
              <w:spacing w:line="264" w:lineRule="auto"/>
              <w:rPr>
                <w:rFonts w:ascii="Times New Roman" w:hAnsi="Times New Roman"/>
                <w:b/>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szCs w:val="21"/>
              </w:rPr>
            </w:pPr>
          </w:p>
        </w:tc>
        <w:tc>
          <w:tcPr>
            <w:tcW w:w="4860" w:type="dxa"/>
            <w:noWrap w:val="0"/>
            <w:vAlign w:val="top"/>
          </w:tcPr>
          <w:p w14:paraId="4EA4C2F9">
            <w:pPr>
              <w:spacing w:line="264" w:lineRule="auto"/>
              <w:ind w:left="1054" w:hanging="1054" w:hangingChars="500"/>
              <w:rPr>
                <w:rFonts w:ascii="Times New Roman" w:hAnsi="Times New Roman"/>
                <w:b/>
                <w:szCs w:val="21"/>
              </w:rPr>
            </w:pPr>
            <w:r>
              <w:rPr>
                <w:rFonts w:ascii="Times New Roman" w:hAnsi="Times New Roman"/>
                <w:b/>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szCs w:val="21"/>
              </w:rPr>
            </w:pPr>
          </w:p>
          <w:p w14:paraId="43E0BE82">
            <w:pPr>
              <w:spacing w:line="264" w:lineRule="auto"/>
              <w:rPr>
                <w:rFonts w:ascii="Times New Roman" w:hAnsi="Times New Roman"/>
                <w:b/>
                <w:szCs w:val="21"/>
              </w:rPr>
            </w:pPr>
          </w:p>
        </w:tc>
        <w:tc>
          <w:tcPr>
            <w:tcW w:w="4860" w:type="dxa"/>
            <w:noWrap w:val="0"/>
            <w:vAlign w:val="top"/>
          </w:tcPr>
          <w:p w14:paraId="78B94BCD">
            <w:pPr>
              <w:spacing w:line="264" w:lineRule="auto"/>
              <w:rPr>
                <w:rFonts w:ascii="Times New Roman" w:hAnsi="Times New Roman"/>
                <w:b/>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szCs w:val="21"/>
              </w:rPr>
            </w:pPr>
            <w:r>
              <w:rPr>
                <w:rFonts w:ascii="Times New Roman" w:hAnsi="Times New Roman"/>
                <w:b/>
                <w:szCs w:val="21"/>
              </w:rPr>
              <w:t>合同专用章：</w:t>
            </w:r>
          </w:p>
        </w:tc>
        <w:tc>
          <w:tcPr>
            <w:tcW w:w="4860" w:type="dxa"/>
            <w:noWrap w:val="0"/>
            <w:vAlign w:val="top"/>
          </w:tcPr>
          <w:p w14:paraId="1A3E1C21">
            <w:pPr>
              <w:spacing w:line="264" w:lineRule="auto"/>
              <w:rPr>
                <w:rFonts w:ascii="Times New Roman" w:hAnsi="Times New Roman"/>
                <w:b/>
                <w:szCs w:val="21"/>
              </w:rPr>
            </w:pPr>
            <w:r>
              <w:rPr>
                <w:rFonts w:ascii="Times New Roman" w:hAnsi="Times New Roman"/>
                <w:b/>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szCs w:val="21"/>
              </w:rPr>
            </w:pPr>
          </w:p>
          <w:p w14:paraId="49C7CAA5">
            <w:pPr>
              <w:spacing w:line="264" w:lineRule="auto"/>
              <w:rPr>
                <w:rFonts w:ascii="Times New Roman" w:hAnsi="Times New Roman"/>
                <w:b/>
                <w:szCs w:val="21"/>
              </w:rPr>
            </w:pPr>
          </w:p>
        </w:tc>
        <w:tc>
          <w:tcPr>
            <w:tcW w:w="4860" w:type="dxa"/>
            <w:noWrap w:val="0"/>
            <w:vAlign w:val="top"/>
          </w:tcPr>
          <w:p w14:paraId="2463AA47">
            <w:pPr>
              <w:spacing w:line="264" w:lineRule="auto"/>
              <w:rPr>
                <w:rFonts w:ascii="Times New Roman" w:hAnsi="Times New Roman"/>
                <w:b/>
                <w:szCs w:val="21"/>
              </w:rPr>
            </w:pPr>
            <w:r>
              <w:rPr>
                <w:rFonts w:ascii="Times New Roman" w:hAnsi="Times New Roman"/>
                <w:b/>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szCs w:val="21"/>
              </w:rPr>
            </w:pPr>
            <w:r>
              <w:rPr>
                <w:rFonts w:ascii="Times New Roman" w:hAnsi="Times New Roman"/>
                <w:b/>
                <w:szCs w:val="21"/>
              </w:rPr>
              <w:t>单位地址：乌鲁木齐市鲤鱼山路</w:t>
            </w:r>
            <w:r>
              <w:rPr>
                <w:rFonts w:hint="eastAsia" w:ascii="Times New Roman" w:hAnsi="Times New Roman"/>
                <w:b/>
                <w:szCs w:val="21"/>
              </w:rPr>
              <w:t>137</w:t>
            </w:r>
            <w:r>
              <w:rPr>
                <w:rFonts w:ascii="Times New Roman" w:hAnsi="Times New Roman"/>
                <w:b/>
                <w:szCs w:val="21"/>
              </w:rPr>
              <w:t>号</w:t>
            </w:r>
          </w:p>
        </w:tc>
        <w:tc>
          <w:tcPr>
            <w:tcW w:w="4860" w:type="dxa"/>
            <w:noWrap w:val="0"/>
            <w:vAlign w:val="top"/>
          </w:tcPr>
          <w:p w14:paraId="4E246EC0">
            <w:pPr>
              <w:spacing w:line="264" w:lineRule="auto"/>
              <w:rPr>
                <w:rFonts w:ascii="Times New Roman" w:hAnsi="Times New Roman"/>
                <w:b/>
                <w:szCs w:val="21"/>
              </w:rPr>
            </w:pPr>
            <w:r>
              <w:rPr>
                <w:rFonts w:ascii="Times New Roman" w:hAnsi="Times New Roman"/>
                <w:b/>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szCs w:val="21"/>
              </w:rPr>
            </w:pPr>
          </w:p>
          <w:p w14:paraId="7BD16E92">
            <w:pPr>
              <w:spacing w:line="264" w:lineRule="auto"/>
              <w:rPr>
                <w:rFonts w:ascii="Times New Roman" w:hAnsi="Times New Roman"/>
                <w:b/>
                <w:szCs w:val="21"/>
              </w:rPr>
            </w:pPr>
            <w:r>
              <w:rPr>
                <w:rFonts w:ascii="Times New Roman" w:hAnsi="Times New Roman"/>
                <w:b/>
                <w:szCs w:val="21"/>
              </w:rPr>
              <w:t>单位电话：0991-4362698</w:t>
            </w:r>
          </w:p>
        </w:tc>
        <w:tc>
          <w:tcPr>
            <w:tcW w:w="4860" w:type="dxa"/>
            <w:noWrap w:val="0"/>
            <w:vAlign w:val="top"/>
          </w:tcPr>
          <w:p w14:paraId="0EFF5584">
            <w:pPr>
              <w:spacing w:line="264" w:lineRule="auto"/>
              <w:rPr>
                <w:rFonts w:ascii="Times New Roman" w:hAnsi="Times New Roman"/>
                <w:b/>
                <w:szCs w:val="21"/>
              </w:rPr>
            </w:pPr>
            <w:r>
              <w:rPr>
                <w:rFonts w:ascii="Times New Roman" w:hAnsi="Times New Roman"/>
                <w:b/>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szCs w:val="21"/>
              </w:rPr>
            </w:pPr>
            <w:r>
              <w:rPr>
                <w:rFonts w:ascii="Times New Roman" w:hAnsi="Times New Roman"/>
                <w:b/>
                <w:szCs w:val="21"/>
              </w:rPr>
              <w:t>合同签订时间：    年   月   日</w:t>
            </w:r>
          </w:p>
        </w:tc>
        <w:tc>
          <w:tcPr>
            <w:tcW w:w="4860" w:type="dxa"/>
            <w:noWrap w:val="0"/>
            <w:vAlign w:val="top"/>
          </w:tcPr>
          <w:p w14:paraId="428D9E61">
            <w:pPr>
              <w:spacing w:line="264" w:lineRule="auto"/>
              <w:rPr>
                <w:rFonts w:ascii="Times New Roman" w:hAnsi="Times New Roman"/>
                <w:b/>
                <w:szCs w:val="21"/>
              </w:rPr>
            </w:pPr>
            <w:r>
              <w:rPr>
                <w:rFonts w:ascii="Times New Roman" w:hAnsi="Times New Roman"/>
                <w:b/>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0F463596">
      <w:pPr>
        <w:keepNext w:val="0"/>
        <w:keepLines w:val="0"/>
        <w:widowControl/>
        <w:suppressLineNumbers w:val="0"/>
        <w:jc w:val="left"/>
      </w:pPr>
      <w:r>
        <w:rPr>
          <w:rFonts w:hint="eastAsia" w:ascii="Bold" w:hAnsi="Bold" w:eastAsia="Bold" w:cs="Bold"/>
          <w:b/>
          <w:bCs/>
          <w:color w:val="000000"/>
          <w:kern w:val="0"/>
          <w:sz w:val="24"/>
          <w:szCs w:val="24"/>
          <w:lang w:val="en-US" w:eastAsia="zh-CN" w:bidi="ar"/>
        </w:rPr>
        <w:t>一、</w:t>
      </w:r>
      <w:r>
        <w:rPr>
          <w:rFonts w:ascii="Bold" w:hAnsi="Bold" w:eastAsia="Bold" w:cs="Bold"/>
          <w:b/>
          <w:bCs/>
          <w:color w:val="000000"/>
          <w:kern w:val="0"/>
          <w:sz w:val="24"/>
          <w:szCs w:val="24"/>
          <w:lang w:val="en-US" w:eastAsia="zh-CN" w:bidi="ar"/>
        </w:rPr>
        <w:t>采购需求一览表</w:t>
      </w:r>
    </w:p>
    <w:p w14:paraId="126E15E5">
      <w:pPr>
        <w:pageBreakBefore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color w:val="auto"/>
          <w:sz w:val="24"/>
          <w:szCs w:val="24"/>
          <w:lang w:val="en-US" w:eastAsia="zh-CN"/>
        </w:rPr>
      </w:pPr>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双目显微镜</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4套</w:t>
            </w:r>
          </w:p>
        </w:tc>
        <w:tc>
          <w:tcPr>
            <w:tcW w:w="1653" w:type="dxa"/>
            <w:vAlign w:val="center"/>
          </w:tcPr>
          <w:p w14:paraId="1C7913D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9400</w:t>
            </w:r>
          </w:p>
        </w:tc>
        <w:tc>
          <w:tcPr>
            <w:tcW w:w="1716" w:type="dxa"/>
            <w:vAlign w:val="center"/>
          </w:tcPr>
          <w:p w14:paraId="658A7B4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37600</w:t>
            </w:r>
          </w:p>
        </w:tc>
      </w:tr>
    </w:tbl>
    <w:p w14:paraId="5E40C4C8">
      <w:pPr>
        <w:rPr>
          <w:rFonts w:hint="eastAsia"/>
          <w:lang w:val="en-US" w:eastAsia="zh-CN"/>
        </w:rPr>
      </w:pPr>
    </w:p>
    <w:p w14:paraId="5A1DE1DD">
      <w:pPr>
        <w:spacing w:line="400" w:lineRule="exact"/>
        <w:ind w:left="720" w:hanging="720"/>
        <w:jc w:val="center"/>
        <w:rPr>
          <w:rFonts w:hint="eastAsia" w:ascii="仿宋" w:hAnsi="仿宋" w:eastAsia="仿宋" w:cs="仿宋"/>
          <w:b/>
          <w:sz w:val="32"/>
          <w:szCs w:val="32"/>
        </w:rPr>
      </w:pPr>
      <w:r>
        <w:rPr>
          <w:rFonts w:hint="eastAsia" w:ascii="仿宋" w:hAnsi="仿宋" w:eastAsia="仿宋" w:cs="仿宋"/>
          <w:b/>
          <w:sz w:val="32"/>
          <w:szCs w:val="32"/>
        </w:rPr>
        <w:t>双目显微镜技术参数</w:t>
      </w:r>
    </w:p>
    <w:p w14:paraId="67111DF9">
      <w:pPr>
        <w:spacing w:line="400" w:lineRule="exact"/>
        <w:rPr>
          <w:rFonts w:hint="eastAsia" w:ascii="仿宋" w:hAnsi="仿宋" w:eastAsia="仿宋" w:cs="仿宋"/>
          <w:sz w:val="24"/>
          <w:szCs w:val="24"/>
        </w:rPr>
      </w:pPr>
      <w:r>
        <w:rPr>
          <w:rFonts w:hint="eastAsia" w:ascii="仿宋" w:hAnsi="仿宋" w:eastAsia="仿宋" w:cs="仿宋"/>
          <w:sz w:val="24"/>
          <w:szCs w:val="24"/>
        </w:rPr>
        <w:t>1．光学系统：；三目观察镜筒可≥30°倾斜，360°旋转。瞳距调节范围：40mm~80mm。两档分光比, 100:0或50:50。视度调节 ±5屈光度，可以增加各种不同的附件。</w:t>
      </w:r>
    </w:p>
    <w:p w14:paraId="0A0262DC">
      <w:pPr>
        <w:spacing w:line="400" w:lineRule="exact"/>
        <w:rPr>
          <w:rFonts w:hint="eastAsia" w:ascii="仿宋" w:hAnsi="仿宋" w:eastAsia="仿宋" w:cs="仿宋"/>
          <w:sz w:val="24"/>
          <w:szCs w:val="24"/>
        </w:rPr>
      </w:pPr>
      <w:r>
        <w:rPr>
          <w:rFonts w:hint="eastAsia" w:ascii="仿宋" w:hAnsi="仿宋" w:eastAsia="仿宋" w:cs="仿宋"/>
          <w:sz w:val="24"/>
          <w:szCs w:val="24"/>
        </w:rPr>
        <w:t>2．目镜：PL10X/22mm</w:t>
      </w:r>
    </w:p>
    <w:p w14:paraId="04A091F2">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内定位内倾式五孔物镜转换器。</w:t>
      </w:r>
    </w:p>
    <w:p w14:paraId="77C56F0B">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物镜：无限远平场消色差物镜:4X/NA≥0.1/WD≥15mm，成像清晰圆直径≥17mm.</w:t>
      </w:r>
    </w:p>
    <w:p w14:paraId="7A834DA4">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10X/NA≥0.25/WD≥10.8mm，成像清晰圆直径≥17mm，</w:t>
      </w:r>
    </w:p>
    <w:p w14:paraId="7F0F00DA">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20X/NA≥0.4/WD≥1.5mm，成像清晰圆直径≥17mm，</w:t>
      </w:r>
    </w:p>
    <w:p w14:paraId="4E59844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40X/NA≥0.65/WD≥0.8mm，成像清晰圆直径≥18.0mm.</w:t>
      </w:r>
    </w:p>
    <w:p w14:paraId="271DA170">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物镜齐焦：10→4X，不超过±0.028mm，10→20X，不超过±0.02mm，10→40X，不超过±0.01mm，40→100X，不超过±0.005mm.</w:t>
      </w:r>
    </w:p>
    <w:p w14:paraId="34EAC118">
      <w:pPr>
        <w:spacing w:line="400" w:lineRule="exact"/>
        <w:ind w:left="600" w:hanging="480" w:hangingChars="200"/>
        <w:rPr>
          <w:rFonts w:hint="eastAsia" w:ascii="仿宋" w:hAnsi="仿宋" w:eastAsia="仿宋" w:cs="仿宋"/>
          <w:sz w:val="24"/>
          <w:szCs w:val="24"/>
        </w:rPr>
      </w:pPr>
      <w:r>
        <w:rPr>
          <w:rFonts w:hint="eastAsia" w:ascii="仿宋" w:hAnsi="仿宋" w:eastAsia="仿宋" w:cs="仿宋"/>
          <w:sz w:val="24"/>
          <w:szCs w:val="24"/>
        </w:rPr>
        <w:t>5．载物台：采用双向线轨传动机构，平台面积：≥170X150mm,移动范围≥70X50mm。</w:t>
      </w:r>
    </w:p>
    <w:p w14:paraId="266612C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载物台侧向受5N水平方向作用力的最大位移≤0.01mm.</w:t>
      </w:r>
    </w:p>
    <w:p w14:paraId="784C364A">
      <w:pPr>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载物台侧向受5N水平方向作用力的不重复性≤0.002mm.</w:t>
      </w:r>
    </w:p>
    <w:p w14:paraId="57B5B1E4">
      <w:pPr>
        <w:spacing w:line="400" w:lineRule="exact"/>
        <w:rPr>
          <w:rFonts w:hint="eastAsia" w:ascii="仿宋" w:hAnsi="仿宋" w:eastAsia="仿宋" w:cs="仿宋"/>
          <w:sz w:val="24"/>
          <w:szCs w:val="24"/>
        </w:rPr>
      </w:pPr>
      <w:r>
        <w:rPr>
          <w:rFonts w:hint="eastAsia" w:ascii="仿宋" w:hAnsi="仿宋" w:eastAsia="仿宋" w:cs="仿宋"/>
          <w:sz w:val="24"/>
          <w:szCs w:val="24"/>
        </w:rPr>
        <w:t>6．摇出式聚光镜，数值孔径N.A.1.25，齿轮齿条升降，带可变孔径光栏。</w:t>
      </w:r>
    </w:p>
    <w:p w14:paraId="47617705">
      <w:pPr>
        <w:spacing w:line="400" w:lineRule="exact"/>
        <w:rPr>
          <w:rFonts w:hint="eastAsia" w:ascii="仿宋" w:hAnsi="仿宋" w:eastAsia="仿宋" w:cs="仿宋"/>
          <w:sz w:val="24"/>
          <w:szCs w:val="24"/>
        </w:rPr>
      </w:pPr>
      <w:r>
        <w:rPr>
          <w:rFonts w:hint="eastAsia" w:ascii="仿宋" w:hAnsi="仿宋" w:eastAsia="仿宋" w:cs="仿宋"/>
          <w:sz w:val="24"/>
          <w:szCs w:val="24"/>
        </w:rPr>
        <w:t>7．柯拉照明，带可变视场光阑。</w:t>
      </w:r>
    </w:p>
    <w:p w14:paraId="29EEDF9E">
      <w:pPr>
        <w:spacing w:line="400" w:lineRule="exact"/>
        <w:rPr>
          <w:rFonts w:hint="eastAsia" w:ascii="仿宋" w:hAnsi="仿宋" w:eastAsia="仿宋" w:cs="仿宋"/>
          <w:sz w:val="24"/>
          <w:szCs w:val="24"/>
        </w:rPr>
      </w:pPr>
      <w:r>
        <w:rPr>
          <w:rFonts w:hint="eastAsia" w:ascii="仿宋" w:hAnsi="仿宋" w:eastAsia="仿宋" w:cs="仿宋"/>
          <w:sz w:val="24"/>
          <w:szCs w:val="24"/>
        </w:rPr>
        <w:t>8. 提供完整的检测报告。</w:t>
      </w:r>
    </w:p>
    <w:p w14:paraId="16E594E5">
      <w:pPr>
        <w:spacing w:line="400" w:lineRule="exact"/>
        <w:rPr>
          <w:rFonts w:hint="eastAsia" w:ascii="仿宋" w:hAnsi="仿宋" w:eastAsia="仿宋" w:cs="仿宋"/>
          <w:sz w:val="24"/>
          <w:szCs w:val="24"/>
        </w:rPr>
      </w:pPr>
      <w:r>
        <w:rPr>
          <w:rFonts w:hint="eastAsia" w:ascii="仿宋" w:hAnsi="仿宋" w:eastAsia="仿宋" w:cs="仿宋"/>
          <w:sz w:val="24"/>
          <w:szCs w:val="24"/>
        </w:rPr>
        <w:t>四．其他技术性要求：</w:t>
      </w:r>
    </w:p>
    <w:p w14:paraId="69C7208C">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3262FACA">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须列出所有设备易损件清单及价格。</w:t>
      </w:r>
    </w:p>
    <w:p w14:paraId="69D75918">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须列出所有设备维保服务类型及价格。</w:t>
      </w:r>
    </w:p>
    <w:p w14:paraId="234948B0">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6A0B6473">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02EB744">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51FA2A02">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198D5C86">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保修期内每季度定期由专业工程师对设备进行巡检，并出具相应工单交使用科室及医学工程科备案。</w:t>
      </w:r>
    </w:p>
    <w:p w14:paraId="69C8A573">
      <w:pPr>
        <w:rPr>
          <w:rFonts w:hint="eastAsia" w:ascii="仿宋" w:hAnsi="仿宋" w:eastAsia="仿宋" w:cs="仿宋"/>
          <w:color w:val="auto"/>
          <w:sz w:val="28"/>
          <w:szCs w:val="28"/>
          <w:highlight w:val="none"/>
          <w:lang w:val="en-US" w:eastAsia="zh-CN"/>
        </w:rPr>
      </w:pPr>
    </w:p>
    <w:p w14:paraId="06425E85">
      <w:pPr>
        <w:rPr>
          <w:rFonts w:hint="eastAsia" w:ascii="仿宋" w:hAnsi="仿宋" w:eastAsia="仿宋" w:cs="仿宋"/>
          <w:color w:val="auto"/>
          <w:sz w:val="28"/>
          <w:szCs w:val="28"/>
          <w:highlight w:val="none"/>
          <w:lang w:val="en-US" w:eastAsia="zh-CN"/>
        </w:rPr>
      </w:pPr>
    </w:p>
    <w:p w14:paraId="6DC68D66">
      <w:pPr>
        <w:rPr>
          <w:rFonts w:hint="eastAsia" w:ascii="仿宋" w:hAnsi="仿宋" w:eastAsia="仿宋" w:cs="仿宋"/>
          <w:color w:val="auto"/>
          <w:sz w:val="28"/>
          <w:szCs w:val="28"/>
          <w:highlight w:val="none"/>
          <w:lang w:val="en-US" w:eastAsia="zh-CN"/>
        </w:rPr>
      </w:pPr>
    </w:p>
    <w:p w14:paraId="2E2DE000">
      <w:pPr>
        <w:rPr>
          <w:rFonts w:hint="eastAsia" w:ascii="仿宋" w:hAnsi="仿宋" w:eastAsia="仿宋" w:cs="仿宋"/>
          <w:color w:val="auto"/>
          <w:sz w:val="28"/>
          <w:szCs w:val="28"/>
          <w:highlight w:val="none"/>
          <w:lang w:val="en-US" w:eastAsia="zh-CN"/>
        </w:rPr>
      </w:pPr>
    </w:p>
    <w:p w14:paraId="6A705D87">
      <w:pPr>
        <w:rPr>
          <w:rFonts w:hint="eastAsia" w:ascii="仿宋" w:hAnsi="仿宋" w:eastAsia="仿宋" w:cs="仿宋"/>
          <w:color w:val="auto"/>
          <w:sz w:val="28"/>
          <w:szCs w:val="28"/>
          <w:highlight w:val="none"/>
          <w:lang w:val="en-US" w:eastAsia="zh-CN"/>
        </w:rPr>
      </w:pPr>
    </w:p>
    <w:p w14:paraId="4EE81D20">
      <w:pPr>
        <w:rPr>
          <w:rFonts w:hint="eastAsia" w:ascii="仿宋" w:hAnsi="仿宋" w:eastAsia="仿宋" w:cs="仿宋"/>
          <w:color w:val="auto"/>
          <w:sz w:val="28"/>
          <w:szCs w:val="28"/>
          <w:highlight w:val="none"/>
          <w:lang w:val="en-US" w:eastAsia="zh-CN"/>
        </w:rPr>
      </w:pPr>
    </w:p>
    <w:p w14:paraId="4C15AB38">
      <w:pPr>
        <w:rPr>
          <w:rFonts w:hint="eastAsia" w:ascii="仿宋" w:hAnsi="仿宋" w:eastAsia="仿宋" w:cs="仿宋"/>
          <w:color w:val="auto"/>
          <w:sz w:val="28"/>
          <w:szCs w:val="28"/>
          <w:highlight w:val="none"/>
          <w:lang w:val="en-US" w:eastAsia="zh-CN"/>
        </w:rPr>
      </w:pPr>
    </w:p>
    <w:p w14:paraId="1E64FC14">
      <w:pPr>
        <w:rPr>
          <w:rFonts w:hint="eastAsia" w:ascii="仿宋" w:hAnsi="仿宋" w:eastAsia="仿宋" w:cs="仿宋"/>
          <w:color w:val="auto"/>
          <w:sz w:val="28"/>
          <w:szCs w:val="28"/>
          <w:highlight w:val="none"/>
          <w:lang w:val="en-US" w:eastAsia="zh-CN"/>
        </w:rPr>
      </w:pPr>
    </w:p>
    <w:p w14:paraId="7BDE7703">
      <w:pPr>
        <w:rPr>
          <w:rFonts w:hint="eastAsia" w:ascii="仿宋" w:hAnsi="仿宋" w:eastAsia="仿宋" w:cs="仿宋"/>
          <w:color w:val="auto"/>
          <w:sz w:val="28"/>
          <w:szCs w:val="28"/>
          <w:highlight w:val="none"/>
          <w:lang w:val="en-US" w:eastAsia="zh-CN"/>
        </w:rPr>
      </w:pPr>
    </w:p>
    <w:p w14:paraId="192983E1">
      <w:pPr>
        <w:rPr>
          <w:rFonts w:hint="eastAsia" w:ascii="仿宋" w:hAnsi="仿宋" w:eastAsia="仿宋" w:cs="仿宋"/>
          <w:color w:val="auto"/>
          <w:sz w:val="28"/>
          <w:szCs w:val="28"/>
          <w:highlight w:val="none"/>
          <w:lang w:val="en-US" w:eastAsia="zh-CN"/>
        </w:rPr>
      </w:pPr>
    </w:p>
    <w:p w14:paraId="005B48A1">
      <w:pPr>
        <w:rPr>
          <w:rFonts w:hint="eastAsia" w:ascii="仿宋" w:hAnsi="仿宋" w:eastAsia="仿宋" w:cs="仿宋"/>
          <w:color w:val="auto"/>
          <w:sz w:val="28"/>
          <w:szCs w:val="28"/>
          <w:highlight w:val="none"/>
          <w:lang w:val="en-US" w:eastAsia="zh-CN"/>
        </w:rPr>
      </w:pPr>
    </w:p>
    <w:p w14:paraId="3E6E9839">
      <w:pPr>
        <w:rPr>
          <w:rFonts w:hint="eastAsia" w:ascii="仿宋" w:hAnsi="仿宋" w:eastAsia="仿宋" w:cs="仿宋"/>
          <w:color w:val="auto"/>
          <w:sz w:val="28"/>
          <w:szCs w:val="28"/>
          <w:highlight w:val="none"/>
          <w:lang w:val="en-US" w:eastAsia="zh-CN"/>
        </w:rPr>
      </w:pPr>
    </w:p>
    <w:p w14:paraId="17A8B35E">
      <w:pPr>
        <w:rPr>
          <w:rFonts w:hint="eastAsia" w:ascii="仿宋" w:hAnsi="仿宋" w:eastAsia="仿宋" w:cs="仿宋"/>
          <w:color w:val="auto"/>
          <w:sz w:val="28"/>
          <w:szCs w:val="28"/>
          <w:highlight w:val="none"/>
          <w:lang w:val="en-US" w:eastAsia="zh-CN"/>
        </w:rPr>
      </w:pPr>
    </w:p>
    <w:p w14:paraId="33FFF738">
      <w:pPr>
        <w:rPr>
          <w:rFonts w:hint="eastAsia" w:ascii="仿宋" w:hAnsi="仿宋" w:eastAsia="仿宋" w:cs="仿宋"/>
          <w:color w:val="auto"/>
          <w:sz w:val="28"/>
          <w:szCs w:val="28"/>
          <w:highlight w:val="none"/>
          <w:lang w:val="en-US" w:eastAsia="zh-CN"/>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35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1D72A3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3A89D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443F48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395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66B6F17C">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07004EB6">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7F85BFFC">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32分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技术参数完全满足招标文件要求得32分。</w:t>
            </w:r>
          </w:p>
          <w:p w14:paraId="32648327">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1.▲为重要参数，负偏离每项扣7分。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2.一般参数负偏离每项扣3分，扣完为止。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5</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5</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6</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1.5</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16"/>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216582819"/>
      <w:bookmarkStart w:id="49" w:name="_Toc520356224"/>
      <w:bookmarkStart w:id="50" w:name="_Ref467988543"/>
      <w:bookmarkStart w:id="51" w:name="_Toc480942355"/>
      <w:bookmarkStart w:id="52" w:name="_Toc4183"/>
      <w:bookmarkStart w:id="53" w:name="_Toc507399535"/>
      <w:bookmarkStart w:id="54" w:name="_Toc522"/>
      <w:bookmarkStart w:id="55" w:name="_Toc21320"/>
      <w:bookmarkStart w:id="56" w:name="_Toc15963"/>
      <w:bookmarkStart w:id="57" w:name="_Toc20238"/>
      <w:bookmarkStart w:id="58" w:name="_Toc17143"/>
      <w:bookmarkStart w:id="59" w:name="_Toc9592"/>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1212"/>
      <w:bookmarkEnd w:id="62"/>
      <w:bookmarkStart w:id="63" w:name="_Hlt520274407"/>
      <w:bookmarkEnd w:id="63"/>
      <w:bookmarkStart w:id="64" w:name="_Hlt520274065"/>
      <w:bookmarkEnd w:id="64"/>
      <w:bookmarkStart w:id="65" w:name="_Hlt520350957"/>
      <w:bookmarkEnd w:id="65"/>
      <w:bookmarkStart w:id="66" w:name="_Hlt520343000"/>
      <w:bookmarkEnd w:id="66"/>
      <w:bookmarkStart w:id="67" w:name="_Hlt520274911"/>
      <w:bookmarkEnd w:id="67"/>
      <w:bookmarkStart w:id="68" w:name="_Hlt520273711"/>
      <w:bookmarkEnd w:id="68"/>
      <w:bookmarkStart w:id="69" w:name="_Hlt520350918"/>
      <w:bookmarkEnd w:id="69"/>
      <w:bookmarkStart w:id="70" w:name="_Hlt520274393"/>
      <w:bookmarkEnd w:id="70"/>
      <w:bookmarkStart w:id="71" w:name="_Hlt520343392"/>
      <w:bookmarkEnd w:id="71"/>
      <w:bookmarkStart w:id="72" w:name="_Hlt520273973"/>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12、关于符合本国产品标准的声明函等有关证明文件（如适用）</w:t>
      </w:r>
    </w:p>
    <w:p w14:paraId="52904815">
      <w:pPr>
        <w:numPr>
          <w:ilvl w:val="0"/>
          <w:numId w:val="0"/>
        </w:numPr>
        <w:rPr>
          <w:rFonts w:hint="eastAsia" w:ascii="仿宋" w:hAnsi="仿宋" w:eastAsia="仿宋" w:cs="仿宋"/>
          <w:sz w:val="24"/>
          <w:szCs w:val="24"/>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A14ED5F">
      <w:pPr>
        <w:rPr>
          <w:rFonts w:hint="eastAsia" w:ascii="仿宋" w:hAnsi="仿宋" w:eastAsia="仿宋" w:cs="仿宋"/>
          <w:b w:val="0"/>
          <w:bCs w:val="0"/>
          <w:color w:val="auto"/>
          <w:kern w:val="0"/>
          <w:sz w:val="24"/>
          <w:szCs w:val="24"/>
          <w:highlight w:val="none"/>
          <w:lang w:val="en-US" w:eastAsia="zh-CN" w:bidi="ar"/>
        </w:rPr>
      </w:pPr>
    </w:p>
    <w:p w14:paraId="013A4E33">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4E11D4B-8A84-4214-9462-975BA0205C40}"/>
  </w:font>
  <w:font w:name="仿宋">
    <w:panose1 w:val="02010609060101010101"/>
    <w:charset w:val="86"/>
    <w:family w:val="auto"/>
    <w:pitch w:val="default"/>
    <w:sig w:usb0="800002BF" w:usb1="38CF7CFA" w:usb2="00000016" w:usb3="00000000" w:csb0="00040001" w:csb1="00000000"/>
    <w:embedRegular r:id="rId2" w:fontKey="{8640916A-AAD4-4ECB-8551-20F39FA302B9}"/>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F73885B0-2329-441A-9222-5FE7417B00F7}"/>
  </w:font>
  <w:font w:name="微软雅黑">
    <w:panose1 w:val="020B0503020204020204"/>
    <w:charset w:val="86"/>
    <w:family w:val="auto"/>
    <w:pitch w:val="default"/>
    <w:sig w:usb0="80000287" w:usb1="2ACF3C50" w:usb2="00000016" w:usb3="00000000" w:csb0="0004001F" w:csb1="00000000"/>
    <w:embedRegular r:id="rId4" w:fontKey="{FEB69ECC-0A76-4A55-8401-FA779CC3E417}"/>
  </w:font>
  <w:font w:name="Microsoft JhengHei UI">
    <w:panose1 w:val="020B0604030504040204"/>
    <w:charset w:val="88"/>
    <w:family w:val="auto"/>
    <w:pitch w:val="default"/>
    <w:sig w:usb0="000002A7" w:usb1="28CF4400" w:usb2="00000016" w:usb3="00000000" w:csb0="00100009" w:csb1="00000000"/>
    <w:embedRegular r:id="rId5" w:fontKey="{4615A45D-D45C-43F1-B17E-760DC4E5EB83}"/>
  </w:font>
  <w:font w:name="Bold">
    <w:altName w:val="Segoe Print"/>
    <w:panose1 w:val="00000000000000000000"/>
    <w:charset w:val="00"/>
    <w:family w:val="auto"/>
    <w:pitch w:val="default"/>
    <w:sig w:usb0="00000000" w:usb1="00000000" w:usb2="00000000" w:usb3="00000000" w:csb0="00000000" w:csb1="00000000"/>
    <w:embedRegular r:id="rId6" w:fontKey="{EC4E576B-8F9D-4F3B-8DC8-DE97B50957B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B97BF64D"/>
    <w:multiLevelType w:val="multilevel"/>
    <w:tmpl w:val="B97BF64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F7EE394D"/>
    <w:multiLevelType w:val="singleLevel"/>
    <w:tmpl w:val="F7EE394D"/>
    <w:lvl w:ilvl="0" w:tentative="0">
      <w:start w:val="1"/>
      <w:numFmt w:val="decimal"/>
      <w:suff w:val="nothing"/>
      <w:lvlText w:val="%1、"/>
      <w:lvlJc w:val="left"/>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4049F403"/>
    <w:multiLevelType w:val="singleLevel"/>
    <w:tmpl w:val="4049F403"/>
    <w:lvl w:ilvl="0" w:tentative="0">
      <w:start w:val="1"/>
      <w:numFmt w:val="chineseCounting"/>
      <w:suff w:val="nothing"/>
      <w:lvlText w:val="%1、"/>
      <w:lvlJc w:val="left"/>
      <w:rPr>
        <w:rFonts w:hint="eastAsia"/>
      </w:rPr>
    </w:lvl>
  </w:abstractNum>
  <w:abstractNum w:abstractNumId="1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16"/>
  </w:num>
  <w:num w:numId="3">
    <w:abstractNumId w:val="15"/>
  </w:num>
  <w:num w:numId="4">
    <w:abstractNumId w:val="8"/>
  </w:num>
  <w:num w:numId="5">
    <w:abstractNumId w:val="5"/>
  </w:num>
  <w:num w:numId="6">
    <w:abstractNumId w:val="13"/>
  </w:num>
  <w:num w:numId="7">
    <w:abstractNumId w:val="1"/>
  </w:num>
  <w:num w:numId="8">
    <w:abstractNumId w:val="9"/>
  </w:num>
  <w:num w:numId="9">
    <w:abstractNumId w:val="11"/>
  </w:num>
  <w:num w:numId="10">
    <w:abstractNumId w:val="12"/>
  </w:num>
  <w:num w:numId="11">
    <w:abstractNumId w:val="6"/>
  </w:num>
  <w:num w:numId="12">
    <w:abstractNumId w:val="4"/>
  </w:num>
  <w:num w:numId="13">
    <w:abstractNumId w:val="14"/>
  </w:num>
  <w:num w:numId="14">
    <w:abstractNumId w:val="10"/>
  </w:num>
  <w:num w:numId="15">
    <w:abstractNumId w:val="0"/>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6F75418"/>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2B76A7"/>
    <w:rsid w:val="0A357927"/>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D5218"/>
    <w:rsid w:val="0E3D7B44"/>
    <w:rsid w:val="0E426906"/>
    <w:rsid w:val="0E9C09EC"/>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6B462C"/>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6A1387"/>
    <w:rsid w:val="197C38F4"/>
    <w:rsid w:val="198E49C8"/>
    <w:rsid w:val="19CB19A2"/>
    <w:rsid w:val="1A0F5CBD"/>
    <w:rsid w:val="1A211AD2"/>
    <w:rsid w:val="1AB53523"/>
    <w:rsid w:val="1AC00AF1"/>
    <w:rsid w:val="1AC35B02"/>
    <w:rsid w:val="1AFC2F3E"/>
    <w:rsid w:val="1B011FED"/>
    <w:rsid w:val="1B0818E3"/>
    <w:rsid w:val="1B466DA8"/>
    <w:rsid w:val="1B6C3086"/>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A97A0C"/>
    <w:rsid w:val="1EB06519"/>
    <w:rsid w:val="1ECE322F"/>
    <w:rsid w:val="1F263922"/>
    <w:rsid w:val="1F615A66"/>
    <w:rsid w:val="200F54C2"/>
    <w:rsid w:val="20370574"/>
    <w:rsid w:val="20717F2A"/>
    <w:rsid w:val="207B66B3"/>
    <w:rsid w:val="208F0C46"/>
    <w:rsid w:val="210E49CA"/>
    <w:rsid w:val="21244F9D"/>
    <w:rsid w:val="212B00D9"/>
    <w:rsid w:val="219739C1"/>
    <w:rsid w:val="21B53E47"/>
    <w:rsid w:val="222A4ED8"/>
    <w:rsid w:val="2242167C"/>
    <w:rsid w:val="22474421"/>
    <w:rsid w:val="22605C74"/>
    <w:rsid w:val="226F2247"/>
    <w:rsid w:val="22C96D6A"/>
    <w:rsid w:val="22D14CB0"/>
    <w:rsid w:val="233C34DF"/>
    <w:rsid w:val="23957A8C"/>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1E5139"/>
    <w:rsid w:val="312318B9"/>
    <w:rsid w:val="313D6184"/>
    <w:rsid w:val="31B152B7"/>
    <w:rsid w:val="31FC307E"/>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82287D"/>
    <w:rsid w:val="389A2414"/>
    <w:rsid w:val="389B7104"/>
    <w:rsid w:val="38C500B3"/>
    <w:rsid w:val="38C613AA"/>
    <w:rsid w:val="38C641BE"/>
    <w:rsid w:val="39317DFF"/>
    <w:rsid w:val="39924D42"/>
    <w:rsid w:val="39B747A8"/>
    <w:rsid w:val="39FC665F"/>
    <w:rsid w:val="3A0177D1"/>
    <w:rsid w:val="3A06303A"/>
    <w:rsid w:val="3A1A7E2D"/>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6F4DCD"/>
    <w:rsid w:val="3DC56D68"/>
    <w:rsid w:val="3DCB25D0"/>
    <w:rsid w:val="3DCE30EC"/>
    <w:rsid w:val="3DFB09DB"/>
    <w:rsid w:val="3E003377"/>
    <w:rsid w:val="3E043D34"/>
    <w:rsid w:val="3E502AD5"/>
    <w:rsid w:val="3E895FE7"/>
    <w:rsid w:val="3F33730D"/>
    <w:rsid w:val="3F5465F5"/>
    <w:rsid w:val="3F6B28B5"/>
    <w:rsid w:val="3F7647BE"/>
    <w:rsid w:val="3F942E96"/>
    <w:rsid w:val="3FC90D91"/>
    <w:rsid w:val="3FD27474"/>
    <w:rsid w:val="3FE13153"/>
    <w:rsid w:val="40022408"/>
    <w:rsid w:val="40062C79"/>
    <w:rsid w:val="40CB28E7"/>
    <w:rsid w:val="40D55514"/>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50785F"/>
    <w:rsid w:val="456B2BE9"/>
    <w:rsid w:val="456F23DB"/>
    <w:rsid w:val="45790B64"/>
    <w:rsid w:val="4597548E"/>
    <w:rsid w:val="45C73FC5"/>
    <w:rsid w:val="45CF4C28"/>
    <w:rsid w:val="45E44766"/>
    <w:rsid w:val="46C7182E"/>
    <w:rsid w:val="475573AE"/>
    <w:rsid w:val="47AA0E1C"/>
    <w:rsid w:val="47AC3C58"/>
    <w:rsid w:val="47AF6ABF"/>
    <w:rsid w:val="48181044"/>
    <w:rsid w:val="48471B78"/>
    <w:rsid w:val="48BB02CE"/>
    <w:rsid w:val="48E52145"/>
    <w:rsid w:val="49531683"/>
    <w:rsid w:val="49771967"/>
    <w:rsid w:val="49C5081B"/>
    <w:rsid w:val="4A631F37"/>
    <w:rsid w:val="4A6F69D9"/>
    <w:rsid w:val="4A712751"/>
    <w:rsid w:val="4B017326"/>
    <w:rsid w:val="4B073546"/>
    <w:rsid w:val="4B0C5FD6"/>
    <w:rsid w:val="4B672132"/>
    <w:rsid w:val="4B814C16"/>
    <w:rsid w:val="4B865A05"/>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940C01"/>
    <w:rsid w:val="4FA03191"/>
    <w:rsid w:val="4FFA4F97"/>
    <w:rsid w:val="501C315F"/>
    <w:rsid w:val="503B2824"/>
    <w:rsid w:val="50BE16C5"/>
    <w:rsid w:val="50CC5E28"/>
    <w:rsid w:val="50EC48E0"/>
    <w:rsid w:val="50EF43D0"/>
    <w:rsid w:val="5101103A"/>
    <w:rsid w:val="51085492"/>
    <w:rsid w:val="517379AA"/>
    <w:rsid w:val="51842D6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7D6A7C"/>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0E23AE9"/>
    <w:rsid w:val="610572F8"/>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8F62F8"/>
    <w:rsid w:val="69FF522C"/>
    <w:rsid w:val="6A07121D"/>
    <w:rsid w:val="6A0B3BD1"/>
    <w:rsid w:val="6A2B311C"/>
    <w:rsid w:val="6A3D1BFD"/>
    <w:rsid w:val="6A5D6751"/>
    <w:rsid w:val="6AA819B9"/>
    <w:rsid w:val="6AD00976"/>
    <w:rsid w:val="6B490CDC"/>
    <w:rsid w:val="6B760662"/>
    <w:rsid w:val="6B7E03D2"/>
    <w:rsid w:val="6C0F7008"/>
    <w:rsid w:val="6C14700C"/>
    <w:rsid w:val="6C163F72"/>
    <w:rsid w:val="6C21592D"/>
    <w:rsid w:val="6C2A5DBB"/>
    <w:rsid w:val="6C373CF5"/>
    <w:rsid w:val="6C78338F"/>
    <w:rsid w:val="6C9F4AA4"/>
    <w:rsid w:val="6CDE31F5"/>
    <w:rsid w:val="6CF52916"/>
    <w:rsid w:val="6CFA1CDB"/>
    <w:rsid w:val="6D321474"/>
    <w:rsid w:val="6D5D0BE7"/>
    <w:rsid w:val="6D7E46BA"/>
    <w:rsid w:val="6DB752B8"/>
    <w:rsid w:val="6DD30EA9"/>
    <w:rsid w:val="6DE0518A"/>
    <w:rsid w:val="6DE634C7"/>
    <w:rsid w:val="6E1E5238"/>
    <w:rsid w:val="6E5508F5"/>
    <w:rsid w:val="6E730D44"/>
    <w:rsid w:val="6EBF7EC8"/>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2241AD"/>
    <w:rsid w:val="7234659E"/>
    <w:rsid w:val="72473C14"/>
    <w:rsid w:val="72712A3F"/>
    <w:rsid w:val="728118F5"/>
    <w:rsid w:val="7298085C"/>
    <w:rsid w:val="72EF2334"/>
    <w:rsid w:val="73066F8E"/>
    <w:rsid w:val="73084FC0"/>
    <w:rsid w:val="733C656D"/>
    <w:rsid w:val="73465C7A"/>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876202"/>
    <w:rsid w:val="76946CFC"/>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DEF3EAB"/>
    <w:rsid w:val="7E1F77F3"/>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1488</Words>
  <Characters>1755</Characters>
  <Lines>0</Lines>
  <Paragraphs>0</Paragraphs>
  <TotalTime>7</TotalTime>
  <ScaleCrop>false</ScaleCrop>
  <LinksUpToDate>false</LinksUpToDate>
  <CharactersWithSpaces>1878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Fighting Boy</cp:lastModifiedBy>
  <cp:lastPrinted>2026-05-06T12:44:00Z</cp:lastPrinted>
  <dcterms:modified xsi:type="dcterms:W3CDTF">2026-05-12T05:49:23Z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ACE95D20F4AF4BF7818F80B1DBB26C93_13</vt:lpwstr>
  </property>
  <property fmtid="{D5CDD505-2E9C-101B-9397-08002B2CF9AE}" pid="4" name="KSOTemplateDocerSaveRecord">
    <vt:lpwstr>eyJoZGlkIjoiNzVhYjg5Njk2ZmEwZjAzNjI5YjZkNDM3YzU5NmM3MTkiLCJ1c2VySWQiOiIyNDcwNzExMzgifQ==</vt:lpwstr>
  </property>
</Properties>
</file>