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DBE22">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7354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新疆维吾尔自治区儿童医院保安服务项目</w:t>
                            </w:r>
                          </w:p>
                          <w:p w14:paraId="24969F19">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（项目编号：SJX-2026-280）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4E07354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新疆维吾尔自治区儿童医院保安服务项目</w:t>
                      </w:r>
                    </w:p>
                    <w:p w14:paraId="24969F19">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（项目编号：SJX-2026-280）</w:t>
                      </w:r>
                    </w:p>
                  </w:txbxContent>
                </v:textbox>
              </v:shape>
            </w:pict>
          </mc:Fallback>
        </mc:AlternateContent>
      </w:r>
      <w:r>
        <w:rPr>
          <w:rFonts w:hint="eastAsia" w:eastAsiaTheme="minorEastAsia"/>
          <w:highlight w:val="none"/>
          <w:lang w:eastAsia="zh-CN"/>
        </w:rPr>
        <w:drawing>
          <wp:anchor distT="0" distB="0" distL="114300" distR="114300" simplePos="0" relativeHeight="251664384" behindDoc="0" locked="0" layoutInCell="1" allowOverlap="1">
            <wp:simplePos x="0" y="0"/>
            <wp:positionH relativeFrom="column">
              <wp:posOffset>2974975</wp:posOffset>
            </wp:positionH>
            <wp:positionV relativeFrom="page">
              <wp:posOffset>7449185</wp:posOffset>
            </wp:positionV>
            <wp:extent cx="1417320" cy="1410970"/>
            <wp:effectExtent l="0" t="0" r="5080" b="1143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6"/>
                    <a:srcRect l="22113" t="29394" r="21666" b="28715"/>
                    <a:stretch>
                      <a:fillRect/>
                    </a:stretch>
                  </pic:blipFill>
                  <pic:spPr>
                    <a:xfrm>
                      <a:off x="0" y="0"/>
                      <a:ext cx="1417320" cy="1410970"/>
                    </a:xfrm>
                    <a:prstGeom prst="rect">
                      <a:avLst/>
                    </a:prstGeom>
                  </pic:spPr>
                </pic:pic>
              </a:graphicData>
            </a:graphic>
          </wp:anchor>
        </w:drawing>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769225" cy="10739755"/>
                    </a:xfrm>
                    <a:prstGeom prst="rect">
                      <a:avLst/>
                    </a:prstGeom>
                    <a:noFill/>
                    <a:ln>
                      <a:noFill/>
                    </a:ln>
                  </pic:spPr>
                </pic:pic>
              </a:graphicData>
            </a:graphic>
          </wp:anchor>
        </w:drawing>
      </w:r>
    </w:p>
    <w:p w14:paraId="0E230E14">
      <w:pPr>
        <w:rPr>
          <w:rFonts w:hint="eastAsia" w:ascii="仿宋_GB2312" w:hAnsi="仿宋_GB2312" w:eastAsia="仿宋_GB2312" w:cs="仿宋_GB2312"/>
          <w:highlight w:val="none"/>
        </w:rPr>
      </w:pPr>
    </w:p>
    <w:p w14:paraId="5348740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ABF0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0E5ABF04">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C0AF4">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45FC5D0A">
                            <w:pPr>
                              <w:jc w:val="left"/>
                              <w:rPr>
                                <w:rFonts w:hint="eastAsia" w:ascii="微软雅黑" w:hAnsi="微软雅黑" w:eastAsia="微软雅黑" w:cs="微软雅黑"/>
                                <w:b/>
                                <w:bCs/>
                                <w:color w:val="237085"/>
                                <w:sz w:val="32"/>
                                <w:szCs w:val="32"/>
                                <w:lang w:val="en-US" w:eastAsia="zh-CN"/>
                              </w:rPr>
                            </w:pPr>
                          </w:p>
                          <w:p w14:paraId="7A462DB0">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471C7198">
                            <w:pPr>
                              <w:jc w:val="center"/>
                              <w:rPr>
                                <w:rFonts w:hint="eastAsia" w:ascii="微软雅黑" w:hAnsi="微软雅黑" w:eastAsia="微软雅黑" w:cs="微软雅黑"/>
                                <w:b/>
                                <w:bCs/>
                                <w:color w:val="237085"/>
                                <w:sz w:val="32"/>
                                <w:szCs w:val="32"/>
                                <w:lang w:val="en-US" w:eastAsia="zh-CN"/>
                              </w:rPr>
                            </w:pPr>
                          </w:p>
                          <w:p w14:paraId="193722D0">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日期：2026年4月14日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481C0AF4">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45FC5D0A">
                      <w:pPr>
                        <w:jc w:val="left"/>
                        <w:rPr>
                          <w:rFonts w:hint="eastAsia" w:ascii="微软雅黑" w:hAnsi="微软雅黑" w:eastAsia="微软雅黑" w:cs="微软雅黑"/>
                          <w:b/>
                          <w:bCs/>
                          <w:color w:val="237085"/>
                          <w:sz w:val="32"/>
                          <w:szCs w:val="32"/>
                          <w:lang w:val="en-US" w:eastAsia="zh-CN"/>
                        </w:rPr>
                      </w:pPr>
                    </w:p>
                    <w:p w14:paraId="7A462DB0">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471C7198">
                      <w:pPr>
                        <w:jc w:val="center"/>
                        <w:rPr>
                          <w:rFonts w:hint="eastAsia" w:ascii="微软雅黑" w:hAnsi="微软雅黑" w:eastAsia="微软雅黑" w:cs="微软雅黑"/>
                          <w:b/>
                          <w:bCs/>
                          <w:color w:val="237085"/>
                          <w:sz w:val="32"/>
                          <w:szCs w:val="32"/>
                          <w:lang w:val="en-US" w:eastAsia="zh-CN"/>
                        </w:rPr>
                      </w:pPr>
                    </w:p>
                    <w:p w14:paraId="193722D0">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日期：2026年4月14日</w:t>
                      </w:r>
                    </w:p>
                  </w:txbxContent>
                </v:textbox>
              </v:shape>
            </w:pict>
          </mc:Fallback>
        </mc:AlternateContent>
      </w:r>
    </w:p>
    <w:p w14:paraId="5BFA88FF">
      <w:pPr>
        <w:jc w:val="center"/>
        <w:rPr>
          <w:rFonts w:hint="eastAsia" w:ascii="仿宋_GB2312" w:hAnsi="仿宋_GB2312" w:eastAsia="仿宋_GB2312" w:cs="仿宋_GB2312"/>
          <w:sz w:val="32"/>
          <w:szCs w:val="32"/>
          <w:highlight w:val="none"/>
        </w:rPr>
      </w:pPr>
    </w:p>
    <w:p w14:paraId="77C20458">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3CECF7BB">
          <w:pPr>
            <w:spacing w:before="0" w:beforeLines="0" w:after="0" w:afterLines="0" w:line="240" w:lineRule="auto"/>
            <w:ind w:left="0" w:leftChars="0" w:right="0" w:rightChars="0" w:firstLine="0" w:firstLineChars="0"/>
            <w:jc w:val="center"/>
            <w:rPr>
              <w:highlight w:val="none"/>
            </w:rPr>
          </w:pPr>
        </w:p>
        <w:p w14:paraId="1D6C9299">
          <w:pPr>
            <w:pStyle w:val="25"/>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6AF83929">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0ACB955">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8E0313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BB96CB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0A074AC">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8AA6AC5">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4759F5A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09CB7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21D8158">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5A40518">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9</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2EBC0841">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4BF9068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_Toc6547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F01B51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16</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715C8FC">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4AF643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B1512F1">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07F7656">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48920904">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267F6F2C">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28</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E396BDE">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D96F740">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6A4ADB8">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_Toc6046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8C4531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_Toc4337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27DF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5825840">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4E587F5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7DBA49F">
          <w:pPr>
            <w:pStyle w:val="26"/>
            <w:tabs>
              <w:tab w:val="right" w:leader="dot" w:pos="8306"/>
            </w:tabs>
            <w:rPr>
              <w:highlight w:val="none"/>
            </w:rPr>
          </w:pPr>
        </w:p>
        <w:p w14:paraId="6C91D490">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01B0C0F6">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6CD0C8A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4E8E1640">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1" w:name="_Toc21739"/>
      <w:r>
        <w:rPr>
          <w:rFonts w:hint="eastAsia" w:ascii="仿宋_GB2312" w:hAnsi="仿宋_GB2312" w:eastAsia="仿宋_GB2312" w:cs="仿宋_GB2312"/>
          <w:b/>
          <w:bCs/>
          <w:sz w:val="24"/>
          <w:szCs w:val="24"/>
          <w:highlight w:val="none"/>
        </w:rPr>
        <w:t>一、项目基本情况</w:t>
      </w:r>
      <w:bookmarkEnd w:id="1"/>
    </w:p>
    <w:p w14:paraId="1545EE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项目编号：SJX-2026-280</w:t>
      </w:r>
    </w:p>
    <w:p w14:paraId="15A26B4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项目名称：</w:t>
      </w:r>
      <w:r>
        <w:rPr>
          <w:rFonts w:hint="eastAsia" w:ascii="仿宋_GB2312" w:hAnsi="仿宋_GB2312" w:eastAsia="仿宋_GB2312" w:cs="仿宋_GB2312"/>
          <w:sz w:val="24"/>
          <w:szCs w:val="24"/>
          <w:highlight w:val="none"/>
          <w:lang w:val="en-US" w:eastAsia="zh-CN"/>
        </w:rPr>
        <w:t>新疆维吾尔自治区儿童医院保安服务项目</w:t>
      </w:r>
    </w:p>
    <w:p w14:paraId="531AC4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采购方式：公开招标</w:t>
      </w:r>
    </w:p>
    <w:p w14:paraId="711CDDC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1300000元/年</w:t>
      </w:r>
    </w:p>
    <w:p w14:paraId="4048F5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lang w:val="en-US" w:eastAsia="zh-CN"/>
        </w:rPr>
        <w:t>1300000元/年</w:t>
      </w:r>
    </w:p>
    <w:p w14:paraId="0D8F768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w:t>
      </w:r>
    </w:p>
    <w:p w14:paraId="680EDA4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1389322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lang w:val="en-US" w:eastAsia="zh-CN"/>
        </w:rPr>
        <w:t>新疆维吾尔自治区儿童医院保安服务项目</w:t>
      </w:r>
    </w:p>
    <w:p w14:paraId="2C1864D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w:t>
      </w:r>
    </w:p>
    <w:p w14:paraId="6BA1EC8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1300000元/年</w:t>
      </w:r>
    </w:p>
    <w:p w14:paraId="3DA460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简要规格描述或项目基本概况介绍、用途：医院及(家属区)的秩序维护，消防安全、治安防范，医院的人员、财产、设备设施的安全保卫，重点部位的值班，消防、治安及设施的巡查，突发事件的处置、看守工作及与安全工作有关的各项临时性任务等。</w:t>
      </w:r>
      <w:r>
        <w:rPr>
          <w:rFonts w:hint="eastAsia" w:ascii="仿宋_GB2312" w:hAnsi="仿宋_GB2312" w:eastAsia="仿宋_GB2312" w:cs="仿宋_GB2312"/>
          <w:sz w:val="24"/>
          <w:szCs w:val="24"/>
          <w:highlight w:val="none"/>
          <w:lang w:val="en-US" w:eastAsia="zh-CN"/>
        </w:rPr>
        <w:t>详见采购需求。</w:t>
      </w:r>
    </w:p>
    <w:p w14:paraId="514923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0D9DC80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16AA78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lang w:eastAsia="zh-CN"/>
        </w:rPr>
        <w:t>一年</w:t>
      </w:r>
    </w:p>
    <w:p w14:paraId="14C96A5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6FE4800C">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2" w:name="_Toc15364"/>
      <w:r>
        <w:rPr>
          <w:rFonts w:hint="eastAsia" w:ascii="仿宋_GB2312" w:hAnsi="仿宋_GB2312" w:eastAsia="仿宋_GB2312" w:cs="仿宋_GB2312"/>
          <w:b/>
          <w:bCs/>
          <w:sz w:val="24"/>
          <w:szCs w:val="24"/>
          <w:highlight w:val="none"/>
        </w:rPr>
        <w:t>二、申请人的资格要求：</w:t>
      </w:r>
      <w:bookmarkEnd w:id="2"/>
    </w:p>
    <w:p w14:paraId="21E59BF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729DA9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2.落</w:t>
      </w:r>
      <w:r>
        <w:rPr>
          <w:rFonts w:hint="eastAsia" w:ascii="仿宋_GB2312" w:hAnsi="仿宋_GB2312" w:eastAsia="仿宋_GB2312" w:cs="仿宋_GB2312"/>
          <w:sz w:val="24"/>
          <w:szCs w:val="24"/>
          <w:highlight w:val="none"/>
          <w:lang w:eastAsia="zh-CN"/>
        </w:rPr>
        <w:t>实政府采购政策需满足的资格要求：</w:t>
      </w:r>
      <w:r>
        <w:rPr>
          <w:rFonts w:hint="eastAsia" w:ascii="仿宋_GB2312" w:hAnsi="仿宋_GB2312" w:eastAsia="仿宋_GB2312" w:cs="仿宋_GB2312"/>
          <w:sz w:val="24"/>
          <w:szCs w:val="24"/>
          <w:highlight w:val="none"/>
          <w:lang w:val="en-US" w:eastAsia="zh-CN"/>
        </w:rPr>
        <w:t>本项目专门面向中小企业采购</w:t>
      </w:r>
    </w:p>
    <w:p w14:paraId="305D43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3.本项目的特定资格要求：</w:t>
      </w:r>
    </w:p>
    <w:p w14:paraId="3192E9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6ABEE881">
      <w:pPr>
        <w:pStyle w:val="16"/>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仿宋_GB2312" w:hAnsi="仿宋_GB2312" w:eastAsia="仿宋_GB2312" w:cs="仿宋_GB2312"/>
          <w:b/>
          <w:bCs/>
          <w:sz w:val="24"/>
          <w:szCs w:val="24"/>
          <w:highlight w:val="none"/>
          <w:lang w:eastAsia="zh-CN"/>
        </w:rPr>
        <w:t>。</w:t>
      </w:r>
    </w:p>
    <w:p w14:paraId="265B76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投标人</w:t>
      </w:r>
      <w:r>
        <w:rPr>
          <w:rFonts w:hint="eastAsia" w:ascii="仿宋_GB2312" w:hAnsi="仿宋_GB2312" w:eastAsia="仿宋_GB2312" w:cs="仿宋_GB2312"/>
          <w:sz w:val="24"/>
          <w:szCs w:val="24"/>
          <w:highlight w:val="none"/>
          <w:lang w:eastAsia="zh-CN"/>
        </w:rPr>
        <w:t>须具备公安机关颁发的《保安服务许可证》</w:t>
      </w:r>
      <w:r>
        <w:rPr>
          <w:rFonts w:hint="eastAsia" w:ascii="仿宋_GB2312" w:hAnsi="仿宋_GB2312" w:eastAsia="仿宋_GB2312" w:cs="仿宋_GB2312"/>
          <w:sz w:val="24"/>
          <w:szCs w:val="24"/>
          <w:highlight w:val="none"/>
          <w:lang w:val="en-US" w:eastAsia="zh-CN"/>
        </w:rPr>
        <w:t>。</w:t>
      </w:r>
    </w:p>
    <w:p w14:paraId="69CBBF5B">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3" w:name="_Toc29084"/>
      <w:r>
        <w:rPr>
          <w:rFonts w:hint="eastAsia" w:ascii="仿宋_GB2312" w:hAnsi="仿宋_GB2312" w:eastAsia="仿宋_GB2312" w:cs="仿宋_GB2312"/>
          <w:b/>
          <w:bCs/>
          <w:sz w:val="24"/>
          <w:szCs w:val="24"/>
          <w:highlight w:val="none"/>
        </w:rPr>
        <w:t>三、获取招标文件</w:t>
      </w:r>
      <w:bookmarkEnd w:id="3"/>
    </w:p>
    <w:p w14:paraId="2019ABE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22</w:t>
      </w:r>
      <w:r>
        <w:rPr>
          <w:rFonts w:hint="eastAsia" w:ascii="仿宋_GB2312" w:hAnsi="仿宋_GB2312" w:eastAsia="仿宋_GB2312" w:cs="仿宋_GB2312"/>
          <w:sz w:val="24"/>
          <w:szCs w:val="24"/>
          <w:highlight w:val="none"/>
        </w:rPr>
        <w:t>日，每天上午09:00至12:00，下午12:00至19:00（北京时间，法定节假日除外）</w:t>
      </w:r>
    </w:p>
    <w:p w14:paraId="795307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w:t>
      </w:r>
      <w:r>
        <w:rPr>
          <w:rFonts w:hint="eastAsia" w:ascii="仿宋_GB2312" w:hAnsi="仿宋_GB2312" w:eastAsia="仿宋_GB2312" w:cs="仿宋_GB2312"/>
          <w:sz w:val="24"/>
          <w:szCs w:val="24"/>
          <w:highlight w:val="none"/>
        </w:rPr>
        <w:t>政采云平台（https://www.zcygov.cn/）</w:t>
      </w:r>
    </w:p>
    <w:p w14:paraId="3DBDF1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w:t>
      </w:r>
      <w:r>
        <w:rPr>
          <w:rFonts w:hint="eastAsia" w:ascii="仿宋_GB2312" w:hAnsi="仿宋_GB2312" w:eastAsia="仿宋_GB2312" w:cs="仿宋_GB2312"/>
          <w:sz w:val="24"/>
          <w:szCs w:val="24"/>
          <w:highlight w:val="none"/>
        </w:rPr>
        <w:t>供应商登录政采云平台https://www.zcygov.cn/在线申请获取采购文件（进入“项目采购”应用，在获取采购文件菜单中选择项目，申请获取采购文件）本次招标不提供纸质版</w:t>
      </w:r>
      <w:r>
        <w:rPr>
          <w:rFonts w:hint="eastAsia" w:ascii="仿宋_GB2312" w:hAnsi="仿宋_GB2312" w:eastAsia="仿宋_GB2312" w:cs="仿宋_GB2312"/>
          <w:sz w:val="24"/>
          <w:szCs w:val="24"/>
          <w:highlight w:val="none"/>
          <w:lang w:eastAsia="zh-CN"/>
        </w:rPr>
        <w:t>采购文件</w:t>
      </w:r>
      <w:r>
        <w:rPr>
          <w:rFonts w:hint="eastAsia" w:ascii="仿宋_GB2312" w:hAnsi="仿宋_GB2312" w:eastAsia="仿宋_GB2312" w:cs="仿宋_GB2312"/>
          <w:sz w:val="24"/>
          <w:szCs w:val="24"/>
          <w:highlight w:val="none"/>
        </w:rPr>
        <w:t>。</w:t>
      </w:r>
    </w:p>
    <w:p w14:paraId="48E0EC2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21D9590C">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0EDE26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 11:00（北京时间）</w:t>
      </w:r>
    </w:p>
    <w:p w14:paraId="1F3EE0E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w:t>
      </w:r>
      <w:r>
        <w:rPr>
          <w:rFonts w:hint="eastAsia" w:ascii="仿宋_GB2312" w:hAnsi="仿宋_GB2312" w:eastAsia="仿宋_GB2312" w:cs="仿宋_GB2312"/>
          <w:sz w:val="24"/>
          <w:szCs w:val="24"/>
          <w:highlight w:val="none"/>
        </w:rPr>
        <w:t>政采云平台（https://www.zcygov.cn/），本项目采用不见面开标，加密的电子投标文件在投标截止时间前在政采云平台上传。</w:t>
      </w:r>
    </w:p>
    <w:p w14:paraId="6A69CA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 xml:space="preserve"> 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 xml:space="preserve"> 11 </w:t>
      </w:r>
      <w:r>
        <w:rPr>
          <w:rFonts w:hint="eastAsia" w:ascii="仿宋_GB2312" w:hAnsi="仿宋_GB2312" w:eastAsia="仿宋_GB2312" w:cs="仿宋_GB2312"/>
          <w:sz w:val="24"/>
          <w:szCs w:val="24"/>
          <w:highlight w:val="none"/>
        </w:rPr>
        <w:t>日 11:00（北京时间）</w:t>
      </w:r>
    </w:p>
    <w:p w14:paraId="26FADE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w:t>
      </w:r>
      <w:r>
        <w:rPr>
          <w:rFonts w:hint="eastAsia" w:ascii="仿宋_GB2312" w:hAnsi="仿宋_GB2312" w:eastAsia="仿宋_GB2312" w:cs="仿宋_GB2312"/>
          <w:sz w:val="24"/>
          <w:szCs w:val="24"/>
          <w:highlight w:val="none"/>
        </w:rPr>
        <w:t>政采云平台（https://www.zcygov.cn/）不见面开标系统</w:t>
      </w:r>
    </w:p>
    <w:p w14:paraId="387DE7CF">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5" w:name="_Toc17115"/>
      <w:r>
        <w:rPr>
          <w:rFonts w:hint="eastAsia" w:ascii="仿宋_GB2312" w:hAnsi="仿宋_GB2312" w:eastAsia="仿宋_GB2312" w:cs="仿宋_GB2312"/>
          <w:b/>
          <w:bCs/>
          <w:sz w:val="24"/>
          <w:szCs w:val="24"/>
          <w:highlight w:val="none"/>
        </w:rPr>
        <w:t>五、公告期限</w:t>
      </w:r>
      <w:bookmarkEnd w:id="5"/>
    </w:p>
    <w:p w14:paraId="3880AC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2F48A75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6" w:name="_Toc22084"/>
      <w:r>
        <w:rPr>
          <w:rFonts w:hint="eastAsia" w:ascii="仿宋_GB2312" w:hAnsi="仿宋_GB2312" w:eastAsia="仿宋_GB2312" w:cs="仿宋_GB2312"/>
          <w:b/>
          <w:bCs/>
          <w:sz w:val="24"/>
          <w:szCs w:val="24"/>
          <w:highlight w:val="none"/>
        </w:rPr>
        <w:t>六、其他补充事宜</w:t>
      </w:r>
      <w:bookmarkEnd w:id="6"/>
    </w:p>
    <w:p w14:paraId="5B3B0F9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1、关于本项目所有公告、公示在新疆政府采购网（http://www.ccgp-xinjiang.gov.cn）发布。</w:t>
      </w:r>
    </w:p>
    <w:p w14:paraId="4BBECD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2、请投标单位随时关注本项目的澄清、答疑、变更事项。</w:t>
      </w:r>
    </w:p>
    <w:p w14:paraId="318CA97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3、本项目实行电子招投标，供应商须登录政采云平台申请获取</w:t>
      </w:r>
      <w:r>
        <w:rPr>
          <w:rFonts w:hint="eastAsia" w:ascii="仿宋_GB2312" w:hAnsi="仿宋_GB2312" w:eastAsia="仿宋_GB2312" w:cs="仿宋_GB2312"/>
          <w:sz w:val="24"/>
          <w:szCs w:val="24"/>
          <w:highlight w:val="none"/>
          <w:lang w:eastAsia="zh-CN"/>
        </w:rPr>
        <w:t>采购文件</w:t>
      </w:r>
      <w:r>
        <w:rPr>
          <w:rFonts w:hint="eastAsia" w:ascii="仿宋_GB2312" w:hAnsi="仿宋_GB2312" w:eastAsia="仿宋_GB2312" w:cs="仿宋_GB2312"/>
          <w:sz w:val="24"/>
          <w:szCs w:val="24"/>
          <w:highlight w:val="none"/>
        </w:rPr>
        <w:t>，并通过政采云电子投标客户端制作响应文件，同时自行承担与投标有关的一切费用。</w:t>
      </w:r>
    </w:p>
    <w:p w14:paraId="421656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4、各供应商应在开标前确保成为</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sz w:val="24"/>
          <w:szCs w:val="24"/>
          <w:highlight w:val="none"/>
        </w:rPr>
        <w:t>正式注册入库供应商，并完成CA数字证书申领。因未注册入库、未办理CA数字证书等原因造成无法投标或投标失败等后果由供应商自行承担。</w:t>
      </w:r>
    </w:p>
    <w:p w14:paraId="2D32908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491E1A0">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7" w:name="_Toc21999"/>
      <w:r>
        <w:rPr>
          <w:rFonts w:hint="eastAsia" w:ascii="仿宋_GB2312" w:hAnsi="仿宋_GB2312" w:eastAsia="仿宋_GB2312" w:cs="仿宋_GB2312"/>
          <w:b/>
          <w:bCs/>
          <w:sz w:val="24"/>
          <w:szCs w:val="24"/>
          <w:highlight w:val="none"/>
        </w:rPr>
        <w:t>七、对本次采购提出询问，请按以下方式联系</w:t>
      </w:r>
      <w:bookmarkEnd w:id="7"/>
    </w:p>
    <w:p w14:paraId="176E4A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4A03023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名 称：</w:t>
      </w:r>
      <w:r>
        <w:rPr>
          <w:rFonts w:hint="eastAsia" w:ascii="仿宋_GB2312" w:hAnsi="仿宋_GB2312" w:eastAsia="仿宋_GB2312" w:cs="仿宋_GB2312"/>
          <w:sz w:val="24"/>
          <w:szCs w:val="24"/>
          <w:highlight w:val="none"/>
          <w:lang w:val="en-US" w:eastAsia="zh-CN"/>
        </w:rPr>
        <w:t>新疆维吾尔自治区儿童医院</w:t>
      </w:r>
    </w:p>
    <w:p w14:paraId="0C0C9D6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址：乌鲁木齐市沙依巴克区阿勒泰路393号</w:t>
      </w:r>
    </w:p>
    <w:p w14:paraId="5216F26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lang w:val="en-US" w:eastAsia="zh-CN"/>
        </w:rPr>
        <w:t xml:space="preserve">张老师 </w:t>
      </w:r>
      <w:r>
        <w:rPr>
          <w:rFonts w:hint="eastAsia" w:ascii="仿宋_GB2312" w:hAnsi="仿宋_GB2312" w:eastAsia="仿宋_GB2312" w:cs="仿宋_GB2312"/>
          <w:sz w:val="24"/>
          <w:szCs w:val="24"/>
          <w:highlight w:val="none"/>
          <w:lang w:eastAsia="zh-CN"/>
        </w:rPr>
        <w:t>0991-3056196</w:t>
      </w:r>
    </w:p>
    <w:p w14:paraId="7E3ACEB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p>
    <w:p w14:paraId="608D332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1E6910F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4801EBC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47588A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w:t>
      </w:r>
    </w:p>
    <w:p w14:paraId="43FE7E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3937867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郑倩如、李航、</w:t>
      </w:r>
      <w:r>
        <w:rPr>
          <w:rFonts w:hint="eastAsia" w:ascii="仿宋_GB2312" w:hAnsi="仿宋_GB2312" w:eastAsia="仿宋_GB2312" w:cs="仿宋_GB2312"/>
          <w:sz w:val="24"/>
          <w:szCs w:val="24"/>
          <w:highlight w:val="none"/>
        </w:rPr>
        <w:t>杜萍、范艳娥</w:t>
      </w:r>
    </w:p>
    <w:p w14:paraId="28EC03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电 话：0991-3678303</w:t>
      </w:r>
    </w:p>
    <w:p w14:paraId="359D85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br w:type="page"/>
      </w:r>
    </w:p>
    <w:p w14:paraId="39DE9A39">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62090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4114F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条款号</w:t>
            </w:r>
          </w:p>
        </w:tc>
        <w:tc>
          <w:tcPr>
            <w:tcW w:w="6652" w:type="dxa"/>
            <w:tcBorders>
              <w:tl2br w:val="nil"/>
              <w:tr2bl w:val="nil"/>
            </w:tcBorders>
          </w:tcPr>
          <w:p w14:paraId="3A90BA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lang w:val="en-US" w:eastAsia="zh-CN"/>
              </w:rPr>
              <w:t>内容</w:t>
            </w:r>
          </w:p>
        </w:tc>
      </w:tr>
      <w:tr w14:paraId="00A4A7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EE7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0409BB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名 称：新疆维吾尔自治区儿童医院</w:t>
            </w:r>
          </w:p>
          <w:p w14:paraId="1CC0195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地 址：乌鲁木齐市沙依巴克区阿勒泰路393号</w:t>
            </w:r>
          </w:p>
          <w:p w14:paraId="59B1A7E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联系方式：张老师 0991-3056196</w:t>
            </w:r>
          </w:p>
        </w:tc>
      </w:tr>
      <w:tr w14:paraId="3DC1B9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7489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1.2</w:t>
            </w:r>
          </w:p>
        </w:tc>
        <w:tc>
          <w:tcPr>
            <w:tcW w:w="6652" w:type="dxa"/>
            <w:tcBorders>
              <w:tl2br w:val="nil"/>
              <w:tr2bl w:val="nil"/>
            </w:tcBorders>
            <w:vAlign w:val="center"/>
          </w:tcPr>
          <w:p w14:paraId="37DE8F2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 xml:space="preserve">采购代理机构：新疆世纪星工程咨询有限公司 </w:t>
            </w:r>
          </w:p>
          <w:p w14:paraId="0BCE2C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 xml:space="preserve">地址：乌鲁木齐经济技术开发区二期黄山街一品九点阳光德港大厦B座20楼 </w:t>
            </w:r>
          </w:p>
          <w:p w14:paraId="69F5285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 xml:space="preserve">业务联系人：郑倩如、李航   电话：0991-3678303 </w:t>
            </w:r>
          </w:p>
          <w:p w14:paraId="664923E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电子邮箱：522439995@qq.com</w:t>
            </w:r>
          </w:p>
        </w:tc>
      </w:tr>
      <w:tr w14:paraId="390728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9A97D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1.3.3</w:t>
            </w:r>
          </w:p>
        </w:tc>
        <w:tc>
          <w:tcPr>
            <w:tcW w:w="6652" w:type="dxa"/>
            <w:tcBorders>
              <w:tl2br w:val="nil"/>
              <w:tr2bl w:val="nil"/>
            </w:tcBorders>
            <w:vAlign w:val="center"/>
          </w:tcPr>
          <w:p w14:paraId="402F1C9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合格投标人的其他资格要求：</w:t>
            </w:r>
          </w:p>
          <w:p w14:paraId="3D84600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69FBB1A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kern w:val="2"/>
                <w:sz w:val="21"/>
                <w:szCs w:val="21"/>
                <w:highlight w:val="none"/>
                <w:vertAlign w:val="baseline"/>
                <w:lang w:val="en-US" w:eastAsia="zh-CN" w:bidi="ar-SA"/>
              </w:rPr>
            </w:pPr>
            <w:r>
              <w:rPr>
                <w:rFonts w:hint="eastAsia" w:ascii="仿宋_GB2312" w:hAnsi="仿宋_GB2312" w:eastAsia="仿宋_GB2312" w:cs="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61DE42C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（3）投标人须具备公安机关颁发的《保安服务许可证》。</w:t>
            </w:r>
          </w:p>
        </w:tc>
      </w:tr>
      <w:tr w14:paraId="1235C7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D50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w:t>
            </w:r>
          </w:p>
        </w:tc>
        <w:tc>
          <w:tcPr>
            <w:tcW w:w="6652" w:type="dxa"/>
            <w:tcBorders>
              <w:tl2br w:val="nil"/>
              <w:tr2bl w:val="nil"/>
            </w:tcBorders>
            <w:vAlign w:val="center"/>
          </w:tcPr>
          <w:p w14:paraId="615259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kern w:val="2"/>
                <w:sz w:val="21"/>
                <w:szCs w:val="21"/>
                <w:highlight w:val="none"/>
                <w:vertAlign w:val="baseline"/>
                <w:lang w:val="en-US" w:eastAsia="zh-CN" w:bidi="ar-SA"/>
              </w:rPr>
            </w:pPr>
            <w:r>
              <w:rPr>
                <w:rFonts w:hint="eastAsia" w:ascii="仿宋_GB2312" w:hAnsi="仿宋_GB2312" w:eastAsia="仿宋_GB2312" w:cs="仿宋_GB2312"/>
                <w:b/>
                <w:bCs/>
                <w:kern w:val="2"/>
                <w:sz w:val="21"/>
                <w:szCs w:val="21"/>
                <w:highlight w:val="none"/>
                <w:vertAlign w:val="baseline"/>
                <w:lang w:val="en-US" w:eastAsia="zh-CN" w:bidi="ar-SA"/>
              </w:rPr>
              <w:t>是否允许采购进口产品：</w:t>
            </w:r>
          </w:p>
          <w:p w14:paraId="1FF716B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☑不允许采购进口产品</w:t>
            </w:r>
          </w:p>
          <w:p w14:paraId="0B6DE52A">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□允许采购进口产品</w:t>
            </w:r>
          </w:p>
          <w:p w14:paraId="02DFAB7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0CEB10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BD75C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1.5.1</w:t>
            </w:r>
          </w:p>
        </w:tc>
        <w:tc>
          <w:tcPr>
            <w:tcW w:w="6652" w:type="dxa"/>
            <w:tcBorders>
              <w:tl2br w:val="nil"/>
              <w:tr2bl w:val="nil"/>
            </w:tcBorders>
            <w:vAlign w:val="center"/>
          </w:tcPr>
          <w:p w14:paraId="0464311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本项目采购标的对应的中小企业划分标准所属行业：</w:t>
            </w:r>
          </w:p>
          <w:p w14:paraId="7901BEC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b w:val="0"/>
                <w:bCs w:val="0"/>
                <w:sz w:val="21"/>
                <w:szCs w:val="21"/>
                <w:highlight w:val="none"/>
                <w:vertAlign w:val="baseline"/>
                <w:lang w:val="en-US" w:eastAsia="zh-CN"/>
              </w:rPr>
              <w:t>根据工业和信息化部、国家统计局、国家发展 和改革委员会、财政部《关于印发中小企业划型标准规定的通知》 （工信部联企业〔2011〕300 号）采购标的</w:t>
            </w:r>
            <w:r>
              <w:rPr>
                <w:rFonts w:hint="eastAsia" w:ascii="仿宋_GB2312" w:hAnsi="仿宋_GB2312" w:eastAsia="仿宋_GB2312" w:cs="仿宋_GB2312"/>
                <w:b/>
                <w:bCs/>
                <w:sz w:val="21"/>
                <w:szCs w:val="21"/>
                <w:highlight w:val="none"/>
                <w:u w:val="single"/>
                <w:vertAlign w:val="baseline"/>
                <w:lang w:val="en-US" w:eastAsia="zh-CN"/>
              </w:rPr>
              <w:t xml:space="preserve"> 新疆维吾尔自治区儿童医院保安服务采购项目 </w:t>
            </w:r>
            <w:r>
              <w:rPr>
                <w:rFonts w:hint="eastAsia" w:ascii="仿宋_GB2312" w:hAnsi="仿宋_GB2312" w:eastAsia="仿宋_GB2312" w:cs="仿宋_GB2312"/>
                <w:b w:val="0"/>
                <w:bCs w:val="0"/>
                <w:sz w:val="21"/>
                <w:szCs w:val="21"/>
                <w:highlight w:val="none"/>
                <w:vertAlign w:val="baseline"/>
                <w:lang w:val="en-US" w:eastAsia="zh-CN"/>
              </w:rPr>
              <w:t>按照</w:t>
            </w:r>
            <w:r>
              <w:rPr>
                <w:rFonts w:hint="eastAsia" w:ascii="仿宋_GB2312" w:hAnsi="仿宋_GB2312" w:eastAsia="仿宋_GB2312" w:cs="仿宋_GB2312"/>
                <w:b/>
                <w:bCs/>
                <w:sz w:val="21"/>
                <w:szCs w:val="21"/>
                <w:highlight w:val="none"/>
                <w:u w:val="single"/>
                <w:vertAlign w:val="baseline"/>
                <w:lang w:val="en-US" w:eastAsia="zh-CN"/>
              </w:rPr>
              <w:t xml:space="preserve"> 租赁和商务服务业 </w:t>
            </w:r>
            <w:r>
              <w:rPr>
                <w:rFonts w:hint="eastAsia" w:ascii="仿宋_GB2312" w:hAnsi="仿宋_GB2312" w:eastAsia="仿宋_GB2312" w:cs="仿宋_GB2312"/>
                <w:b w:val="0"/>
                <w:bCs w:val="0"/>
                <w:sz w:val="21"/>
                <w:szCs w:val="21"/>
                <w:highlight w:val="none"/>
                <w:vertAlign w:val="baseline"/>
                <w:lang w:val="en-US" w:eastAsia="zh-CN"/>
              </w:rPr>
              <w:t>行业认定企业类型标准。</w:t>
            </w:r>
          </w:p>
        </w:tc>
      </w:tr>
      <w:tr w14:paraId="1D8669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237E25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78693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722D5F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5670D0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eastAsia="仿宋_GB2312" w:cs="仿宋_GB2312"/>
                <w:b/>
                <w:bCs/>
                <w:sz w:val="21"/>
                <w:szCs w:val="21"/>
                <w:highlight w:val="none"/>
                <w:vertAlign w:val="baseline"/>
                <w:lang w:val="en-US" w:eastAsia="zh-CN"/>
              </w:rPr>
              <w:t>☑中小□小微企业</w:t>
            </w:r>
            <w:r>
              <w:rPr>
                <w:rFonts w:hint="eastAsia" w:ascii="仿宋_GB2312" w:hAnsi="仿宋_GB2312" w:eastAsia="仿宋_GB2312" w:cs="仿宋_GB2312"/>
                <w:sz w:val="21"/>
                <w:szCs w:val="21"/>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企业制造、服务全部由符合政策要求的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企业承接。</w:t>
            </w:r>
          </w:p>
          <w:p w14:paraId="791B55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b/>
                <w:bCs/>
                <w:sz w:val="21"/>
                <w:szCs w:val="21"/>
                <w:highlight w:val="none"/>
                <w:u w:val="single"/>
                <w:vertAlign w:val="baseline"/>
                <w:lang w:val="en-US" w:eastAsia="zh-CN"/>
              </w:rPr>
              <w:t>要求获得采购合同的投标人将本采购项目预算金额的至少   %分包给一家或者多家中小企业，这其中预留给小微企业的比例至少   %，须提供《拟分包情况说明》，监狱和戒毒企业、残疾人福利性单位视同小型、微型企业（格式详见采购文件）。</w:t>
            </w:r>
          </w:p>
        </w:tc>
      </w:tr>
      <w:tr w14:paraId="6C9FB0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3" w:hRule="atLeast"/>
        </w:trPr>
        <w:tc>
          <w:tcPr>
            <w:tcW w:w="1870" w:type="dxa"/>
            <w:tcBorders>
              <w:top w:val="single" w:color="auto" w:sz="4" w:space="0"/>
              <w:tl2br w:val="nil"/>
              <w:tr2bl w:val="nil"/>
            </w:tcBorders>
            <w:vAlign w:val="center"/>
          </w:tcPr>
          <w:p w14:paraId="2712D3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332F59B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33772AC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□本项目适用支持本国产品标准</w:t>
            </w:r>
          </w:p>
          <w:p w14:paraId="412D98C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☑本项目不适用</w:t>
            </w:r>
          </w:p>
          <w:p w14:paraId="74B7292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highlight w:val="no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24D928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EE82A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1.12</w:t>
            </w:r>
          </w:p>
        </w:tc>
        <w:tc>
          <w:tcPr>
            <w:tcW w:w="6652" w:type="dxa"/>
            <w:tcBorders>
              <w:tl2br w:val="nil"/>
              <w:tr2bl w:val="nil"/>
            </w:tcBorders>
            <w:vAlign w:val="center"/>
          </w:tcPr>
          <w:p w14:paraId="7A08B4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是否允许联合体投标：否</w:t>
            </w:r>
          </w:p>
          <w:p w14:paraId="193A6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联合体的其他资格要求：无</w:t>
            </w:r>
          </w:p>
        </w:tc>
      </w:tr>
      <w:tr w14:paraId="71285F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B302A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655CC52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项目预算金额：130万元/年</w:t>
            </w:r>
          </w:p>
          <w:p w14:paraId="614888D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rPr>
            </w:pPr>
            <w:r>
              <w:rPr>
                <w:rFonts w:hint="eastAsia" w:ascii="仿宋_GB2312" w:hAnsi="仿宋_GB2312" w:eastAsia="仿宋_GB2312" w:cs="仿宋_GB2312"/>
                <w:sz w:val="21"/>
                <w:szCs w:val="21"/>
                <w:highlight w:val="none"/>
                <w:vertAlign w:val="baseline"/>
                <w:lang w:val="en-US" w:eastAsia="zh-CN"/>
              </w:rPr>
              <w:t>最高限价：130万元/年</w:t>
            </w:r>
          </w:p>
        </w:tc>
      </w:tr>
      <w:tr w14:paraId="642453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4E1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5.4</w:t>
            </w:r>
          </w:p>
        </w:tc>
        <w:tc>
          <w:tcPr>
            <w:tcW w:w="6652" w:type="dxa"/>
            <w:tcBorders>
              <w:tl2br w:val="nil"/>
              <w:tr2bl w:val="nil"/>
            </w:tcBorders>
            <w:vAlign w:val="center"/>
          </w:tcPr>
          <w:p w14:paraId="05ED10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是否组织现场考察或者召开答疑会：否 </w:t>
            </w:r>
          </w:p>
          <w:p w14:paraId="46F93F8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组织现场考察或者召开答疑会相关要求：/</w:t>
            </w:r>
          </w:p>
        </w:tc>
      </w:tr>
      <w:tr w14:paraId="697593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3118B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6.1 </w:t>
            </w:r>
          </w:p>
        </w:tc>
        <w:tc>
          <w:tcPr>
            <w:tcW w:w="6652" w:type="dxa"/>
            <w:tcBorders>
              <w:tl2br w:val="nil"/>
              <w:tr2bl w:val="nil"/>
            </w:tcBorders>
            <w:vAlign w:val="center"/>
          </w:tcPr>
          <w:p w14:paraId="2010C4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是否需要提供样品</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lang w:val="en-US" w:eastAsia="zh-CN"/>
              </w:rPr>
              <w:t>演示</w:t>
            </w: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rPr>
              <w:t xml:space="preserve">：否 </w:t>
            </w:r>
          </w:p>
          <w:p w14:paraId="7E536D1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rPr>
              <w:t>提供样品（演示）要求包括：</w:t>
            </w:r>
            <w:r>
              <w:rPr>
                <w:rFonts w:hint="eastAsia" w:ascii="仿宋_GB2312" w:hAnsi="仿宋_GB2312" w:eastAsia="仿宋_GB2312" w:cs="仿宋_GB2312"/>
                <w:sz w:val="21"/>
                <w:szCs w:val="21"/>
                <w:highlight w:val="none"/>
                <w:vertAlign w:val="baseline"/>
                <w:lang w:val="en-US" w:eastAsia="zh-CN"/>
              </w:rPr>
              <w:t>/</w:t>
            </w:r>
          </w:p>
        </w:tc>
      </w:tr>
      <w:tr w14:paraId="62685B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1399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 xml:space="preserve">8.1 </w:t>
            </w:r>
          </w:p>
        </w:tc>
        <w:tc>
          <w:tcPr>
            <w:tcW w:w="6652" w:type="dxa"/>
            <w:tcBorders>
              <w:tl2br w:val="nil"/>
              <w:tr2bl w:val="nil"/>
            </w:tcBorders>
            <w:vAlign w:val="center"/>
          </w:tcPr>
          <w:p w14:paraId="44189F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如投标人对多个包进行投标，可以中标</w:t>
            </w:r>
            <w:r>
              <w:rPr>
                <w:rFonts w:hint="eastAsia" w:ascii="仿宋_GB2312" w:hAnsi="仿宋_GB2312" w:eastAsia="仿宋_GB2312" w:cs="仿宋_GB2312"/>
                <w:b/>
                <w:bCs/>
                <w:sz w:val="21"/>
                <w:szCs w:val="21"/>
                <w:highlight w:val="none"/>
                <w:u w:val="single"/>
                <w:vertAlign w:val="baseline"/>
              </w:rPr>
              <w:t>多</w:t>
            </w:r>
            <w:r>
              <w:rPr>
                <w:rFonts w:hint="eastAsia" w:ascii="仿宋_GB2312" w:hAnsi="仿宋_GB2312" w:eastAsia="仿宋_GB2312" w:cs="仿宋_GB2312"/>
                <w:sz w:val="21"/>
                <w:szCs w:val="21"/>
                <w:highlight w:val="none"/>
                <w:vertAlign w:val="baseline"/>
              </w:rPr>
              <w:t>包（本项目不适用）</w:t>
            </w:r>
          </w:p>
        </w:tc>
      </w:tr>
      <w:tr w14:paraId="6FFDED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8E08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35CAD1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投标（响应）保证金金额及要求：</w:t>
            </w:r>
          </w:p>
          <w:p w14:paraId="1317A8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□本项目无需缴纳投标保证金。</w:t>
            </w:r>
          </w:p>
          <w:p w14:paraId="15AD78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☑本项目需要缴纳投标保证金，具体要求：</w:t>
            </w:r>
          </w:p>
          <w:p w14:paraId="137DF3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保证金数额：人民币</w:t>
            </w:r>
            <w:r>
              <w:rPr>
                <w:rFonts w:hint="eastAsia" w:ascii="仿宋_GB2312" w:hAnsi="仿宋_GB2312" w:eastAsia="仿宋_GB2312" w:cs="仿宋_GB2312"/>
                <w:b/>
                <w:bCs/>
                <w:sz w:val="21"/>
                <w:szCs w:val="21"/>
                <w:highlight w:val="none"/>
                <w:u w:val="single"/>
                <w:vertAlign w:val="baseline"/>
              </w:rPr>
              <w:t xml:space="preserve"> </w:t>
            </w:r>
            <w:r>
              <w:rPr>
                <w:rFonts w:hint="eastAsia" w:ascii="仿宋_GB2312" w:hAnsi="仿宋_GB2312" w:eastAsia="仿宋_GB2312" w:cs="仿宋_GB2312"/>
                <w:b/>
                <w:bCs/>
                <w:sz w:val="21"/>
                <w:szCs w:val="21"/>
                <w:highlight w:val="none"/>
                <w:u w:val="single"/>
                <w:vertAlign w:val="baseline"/>
                <w:lang w:val="en-US" w:eastAsia="zh-CN"/>
              </w:rPr>
              <w:t>26000</w:t>
            </w:r>
            <w:r>
              <w:rPr>
                <w:rFonts w:hint="eastAsia" w:ascii="仿宋_GB2312" w:hAnsi="仿宋_GB2312" w:eastAsia="仿宋_GB2312" w:cs="仿宋_GB2312"/>
                <w:b/>
                <w:bCs/>
                <w:sz w:val="21"/>
                <w:szCs w:val="21"/>
                <w:highlight w:val="none"/>
                <w:u w:val="single"/>
                <w:vertAlign w:val="baseline"/>
              </w:rPr>
              <w:t xml:space="preserve"> </w:t>
            </w:r>
            <w:r>
              <w:rPr>
                <w:rFonts w:hint="eastAsia" w:ascii="仿宋_GB2312" w:hAnsi="仿宋_GB2312" w:eastAsia="仿宋_GB2312" w:cs="仿宋_GB2312"/>
                <w:b/>
                <w:bCs/>
                <w:sz w:val="21"/>
                <w:szCs w:val="21"/>
                <w:highlight w:val="none"/>
                <w:vertAlign w:val="baseline"/>
              </w:rPr>
              <w:t xml:space="preserve">元整 </w:t>
            </w:r>
          </w:p>
          <w:p w14:paraId="16ADDC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保证金形式：支票、汇票、本票、网上银行支付或者金融机构、担保机构出具的保函等政府采购法律法规中要求的非现金形式</w:t>
            </w:r>
          </w:p>
          <w:p w14:paraId="40E9D75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投标保证金递交方式：</w:t>
            </w:r>
          </w:p>
          <w:p w14:paraId="15C5DB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188238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w:t>
            </w:r>
          </w:p>
          <w:p w14:paraId="350A88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374F80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投标保证金到账（保函提交）截止时间同投标截止时间。</w:t>
            </w:r>
          </w:p>
          <w:p w14:paraId="3B6D84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以支票、汇票、本票、网上银行支付等形式提交投标保证金的，应在投标截止时间前到账，</w:t>
            </w:r>
            <w:r>
              <w:rPr>
                <w:rFonts w:hint="eastAsia" w:ascii="仿宋_GB2312" w:hAnsi="仿宋_GB2312" w:eastAsia="仿宋_GB2312" w:cs="仿宋_GB2312"/>
                <w:b/>
                <w:bCs/>
                <w:sz w:val="21"/>
                <w:szCs w:val="21"/>
                <w:highlight w:val="none"/>
                <w:vertAlign w:val="baseline"/>
                <w:lang w:val="en-US" w:eastAsia="zh-CN"/>
              </w:rPr>
              <w:t>投标保证金付款人必须与投标人名称一致。</w:t>
            </w:r>
          </w:p>
          <w:p w14:paraId="0748EC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投标保函提交方式：</w:t>
            </w:r>
            <w:r>
              <w:rPr>
                <w:rFonts w:hint="eastAsia" w:ascii="仿宋_GB2312" w:hAnsi="仿宋_GB2312" w:eastAsia="仿宋_GB2312" w:cs="仿宋_GB2312"/>
                <w:b w:val="0"/>
                <w:bCs w:val="0"/>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67CC297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由于到账时间晚于投标截止时间的，或者票据错误、印鉴不清等原因导致不能到账的，其投标无效。</w:t>
            </w:r>
          </w:p>
          <w:p w14:paraId="44ECB0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投标保证金（投标保函）有效期与投标有效期一致。</w:t>
            </w:r>
          </w:p>
          <w:p w14:paraId="5AB8103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b w:val="0"/>
                <w:bCs w:val="0"/>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0F392E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6" w:hRule="atLeast"/>
        </w:trPr>
        <w:tc>
          <w:tcPr>
            <w:tcW w:w="1870" w:type="dxa"/>
            <w:tcBorders>
              <w:tl2br w:val="nil"/>
              <w:tr2bl w:val="nil"/>
            </w:tcBorders>
            <w:vAlign w:val="center"/>
          </w:tcPr>
          <w:p w14:paraId="000795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12.1</w:t>
            </w:r>
          </w:p>
        </w:tc>
        <w:tc>
          <w:tcPr>
            <w:tcW w:w="6652" w:type="dxa"/>
            <w:tcBorders>
              <w:tl2br w:val="nil"/>
              <w:tr2bl w:val="nil"/>
            </w:tcBorders>
            <w:vAlign w:val="center"/>
          </w:tcPr>
          <w:p w14:paraId="3E5EF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投标有效期：从提交投标（响应）文件的截止之日起90日历天</w:t>
            </w:r>
          </w:p>
        </w:tc>
      </w:tr>
      <w:tr w14:paraId="52E355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9DFE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14.1</w:t>
            </w:r>
          </w:p>
        </w:tc>
        <w:tc>
          <w:tcPr>
            <w:tcW w:w="6652" w:type="dxa"/>
            <w:tcBorders>
              <w:tl2br w:val="nil"/>
              <w:tr2bl w:val="nil"/>
            </w:tcBorders>
            <w:vAlign w:val="center"/>
          </w:tcPr>
          <w:p w14:paraId="068D07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u w:val="singl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投标截止时间：</w:t>
            </w:r>
            <w:r>
              <w:rPr>
                <w:rFonts w:hint="eastAsia" w:ascii="仿宋_GB2312" w:hAnsi="仿宋_GB2312" w:eastAsia="仿宋_GB2312" w:cs="仿宋_GB2312"/>
                <w:b/>
                <w:bCs/>
                <w:sz w:val="21"/>
                <w:szCs w:val="21"/>
                <w:highlight w:val="none"/>
                <w:u w:val="single"/>
                <w:vertAlign w:val="baseline"/>
                <w:lang w:val="en-US" w:eastAsia="zh-CN"/>
              </w:rPr>
              <w:t>2026年 5 月 11 日 11</w:t>
            </w:r>
            <w:bookmarkStart w:id="72" w:name="_GoBack"/>
            <w:bookmarkEnd w:id="72"/>
            <w:r>
              <w:rPr>
                <w:rFonts w:hint="eastAsia" w:ascii="仿宋_GB2312" w:hAnsi="仿宋_GB2312" w:eastAsia="仿宋_GB2312" w:cs="仿宋_GB2312"/>
                <w:b/>
                <w:bCs/>
                <w:sz w:val="21"/>
                <w:szCs w:val="21"/>
                <w:highlight w:val="none"/>
                <w:u w:val="single"/>
                <w:vertAlign w:val="baseline"/>
                <w:lang w:val="en-US" w:eastAsia="zh-CN"/>
              </w:rPr>
              <w:t>:00（北京时间）</w:t>
            </w:r>
          </w:p>
          <w:p w14:paraId="471410C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投标人需在投标文件截止时间前，将加密投标文件上传至政采云平台（https://www.zcygov.cn/）项目采购系统中，逾期上传或错误方式投递送达将导致投标无效。</w:t>
            </w:r>
          </w:p>
        </w:tc>
      </w:tr>
      <w:tr w14:paraId="5973B0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7B6F9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15.1</w:t>
            </w:r>
          </w:p>
        </w:tc>
        <w:tc>
          <w:tcPr>
            <w:tcW w:w="6652" w:type="dxa"/>
            <w:tcBorders>
              <w:tl2br w:val="nil"/>
              <w:tr2bl w:val="nil"/>
            </w:tcBorders>
            <w:vAlign w:val="center"/>
          </w:tcPr>
          <w:p w14:paraId="142041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开标时间：同投标截止时间 </w:t>
            </w:r>
          </w:p>
          <w:p w14:paraId="6C7425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开标地点：政采云平台（https://www.zcygov.cn/）不见面开标系统</w:t>
            </w:r>
          </w:p>
        </w:tc>
      </w:tr>
      <w:tr w14:paraId="415871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1D58DE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19.1</w:t>
            </w:r>
          </w:p>
        </w:tc>
        <w:tc>
          <w:tcPr>
            <w:tcW w:w="6652" w:type="dxa"/>
            <w:tcBorders>
              <w:bottom w:val="single" w:color="auto" w:sz="4" w:space="0"/>
              <w:tl2br w:val="nil"/>
              <w:tr2bl w:val="nil"/>
            </w:tcBorders>
            <w:vAlign w:val="center"/>
          </w:tcPr>
          <w:p w14:paraId="75254C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53DD20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235316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22.4</w:t>
            </w:r>
          </w:p>
        </w:tc>
        <w:tc>
          <w:tcPr>
            <w:tcW w:w="6652" w:type="dxa"/>
            <w:tcBorders>
              <w:top w:val="single" w:color="auto" w:sz="4" w:space="0"/>
              <w:tl2br w:val="nil"/>
              <w:tr2bl w:val="nil"/>
            </w:tcBorders>
            <w:vAlign w:val="center"/>
          </w:tcPr>
          <w:p w14:paraId="1BE03EF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本项目是否允许分包：</w:t>
            </w:r>
          </w:p>
          <w:p w14:paraId="7A143B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68B4EB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1715F1E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74933E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62FF234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11FAEF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CA6EE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23.1</w:t>
            </w:r>
          </w:p>
        </w:tc>
        <w:tc>
          <w:tcPr>
            <w:tcW w:w="6652" w:type="dxa"/>
            <w:tcBorders>
              <w:tl2br w:val="nil"/>
              <w:tr2bl w:val="nil"/>
            </w:tcBorders>
            <w:vAlign w:val="center"/>
          </w:tcPr>
          <w:p w14:paraId="126D0F8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提交履约保证金的时间：合同签订后5个工作日内</w:t>
            </w:r>
          </w:p>
          <w:p w14:paraId="3C0358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履约保证金金额：合同服务费总金额的3% </w:t>
            </w:r>
          </w:p>
          <w:p w14:paraId="3D56665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履约保证金形式：支票或银行转帐方式支付。 </w:t>
            </w:r>
          </w:p>
        </w:tc>
      </w:tr>
      <w:tr w14:paraId="299D86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2BCD5E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1E79242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是否由中标人缴纳招标代理费：是 </w:t>
            </w:r>
          </w:p>
          <w:p w14:paraId="4C8E1FA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w:t>
            </w:r>
            <w:r>
              <w:rPr>
                <w:rFonts w:hint="eastAsia" w:ascii="仿宋_GB2312" w:hAnsi="仿宋_GB2312" w:eastAsia="仿宋_GB2312" w:cs="仿宋_GB2312"/>
                <w:b w:val="0"/>
                <w:bCs w:val="0"/>
                <w:sz w:val="21"/>
                <w:szCs w:val="21"/>
                <w:highlight w:val="none"/>
                <w:vertAlign w:val="baseline"/>
                <w:lang w:val="en-US" w:eastAsia="zh-CN"/>
              </w:rPr>
              <w:t>以采购包中标通知书中的中标金额作为采购代理服务费的计算基数。参照中华人民共和国国家发展计划委员会颁发的计价格〔2002〕1980号、发改办价格〔2003〕857号及发改价格〔2011〕534号文规定的</w:t>
            </w:r>
            <w:r>
              <w:rPr>
                <w:rFonts w:hint="eastAsia" w:ascii="仿宋_GB2312" w:hAnsi="仿宋_GB2312" w:eastAsia="仿宋_GB2312" w:cs="仿宋_GB2312"/>
                <w:b w:val="0"/>
                <w:bCs w:val="0"/>
                <w:sz w:val="21"/>
                <w:szCs w:val="21"/>
                <w:highlight w:val="none"/>
                <w:u w:val="single"/>
                <w:vertAlign w:val="baseline"/>
                <w:lang w:val="en-US" w:eastAsia="zh-CN"/>
              </w:rPr>
              <w:t>“服务类”</w:t>
            </w:r>
            <w:r>
              <w:rPr>
                <w:rFonts w:hint="eastAsia" w:ascii="仿宋_GB2312" w:hAnsi="仿宋_GB2312" w:eastAsia="仿宋_GB2312" w:cs="仿宋_GB2312"/>
                <w:b w:val="0"/>
                <w:bCs w:val="0"/>
                <w:sz w:val="21"/>
                <w:szCs w:val="21"/>
                <w:highlight w:val="none"/>
                <w:vertAlign w:val="baseline"/>
                <w:lang w:val="en-US" w:eastAsia="zh-CN"/>
              </w:rPr>
              <w:t>计费标准 下浮</w:t>
            </w:r>
            <w:r>
              <w:rPr>
                <w:rFonts w:hint="eastAsia" w:ascii="仿宋_GB2312" w:hAnsi="仿宋_GB2312" w:eastAsia="仿宋_GB2312" w:cs="仿宋_GB2312"/>
                <w:b w:val="0"/>
                <w:bCs w:val="0"/>
                <w:sz w:val="21"/>
                <w:szCs w:val="21"/>
                <w:highlight w:val="none"/>
                <w:u w:val="single"/>
                <w:vertAlign w:val="baseline"/>
                <w:lang w:val="en-US" w:eastAsia="zh-CN"/>
              </w:rPr>
              <w:t xml:space="preserve"> 40% </w:t>
            </w:r>
            <w:r>
              <w:rPr>
                <w:rFonts w:hint="eastAsia" w:ascii="仿宋_GB2312" w:hAnsi="仿宋_GB2312" w:eastAsia="仿宋_GB2312" w:cs="仿宋_GB2312"/>
                <w:b w:val="0"/>
                <w:bCs w:val="0"/>
                <w:sz w:val="21"/>
                <w:szCs w:val="21"/>
                <w:highlight w:val="none"/>
                <w:vertAlign w:val="baseline"/>
                <w:lang w:val="en-US" w:eastAsia="zh-CN"/>
              </w:rPr>
              <w:t xml:space="preserve">计算。  </w:t>
            </w:r>
          </w:p>
          <w:p w14:paraId="36B629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支付形式：网上银行支付或电汇，并在用途栏内注明项目名称或项目编</w:t>
            </w:r>
          </w:p>
          <w:p w14:paraId="46F57F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号。代理费到账后，经采购代理机构确认无误后开具增值税发票。 </w:t>
            </w:r>
          </w:p>
          <w:p w14:paraId="37FCF8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4003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招标代理服务费收款账户：</w:t>
            </w:r>
          </w:p>
          <w:p w14:paraId="6A8A6AC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38BF9E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57B50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516411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200F14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34058E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25</w:t>
            </w:r>
          </w:p>
        </w:tc>
        <w:tc>
          <w:tcPr>
            <w:tcW w:w="6652" w:type="dxa"/>
            <w:tcBorders>
              <w:top w:val="single" w:color="auto" w:sz="4" w:space="0"/>
              <w:tl2br w:val="nil"/>
              <w:tr2bl w:val="nil"/>
            </w:tcBorders>
            <w:vAlign w:val="center"/>
          </w:tcPr>
          <w:p w14:paraId="4F0B74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接收询问和质疑的联系事项：</w:t>
            </w:r>
          </w:p>
          <w:p w14:paraId="51F397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679855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提出询问方式：电话、信函、电子邮件等方式</w:t>
            </w:r>
          </w:p>
          <w:p w14:paraId="4EA3AE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联系部门、联系电话、通讯地址：见第一章《招标公告》中的采购代理机构信息和项目联系方式。</w:t>
            </w:r>
          </w:p>
          <w:p w14:paraId="6CEB551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66554F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040163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5C4289D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联系人、联系电话：郑倩如0991-3678303</w:t>
            </w:r>
          </w:p>
          <w:p w14:paraId="6E27B70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15F6551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电子邮箱：522439995@qq.com</w:t>
            </w:r>
          </w:p>
          <w:p w14:paraId="6E7119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8CDDF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B6C1D0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适用于本投标人须知的额外增加的变动：</w:t>
            </w:r>
          </w:p>
        </w:tc>
      </w:tr>
      <w:tr w14:paraId="185228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71500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核心产品：本项目不适用</w:t>
            </w:r>
          </w:p>
          <w:p w14:paraId="426CDA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为单一产品采购项目。</w:t>
            </w:r>
          </w:p>
          <w:p w14:paraId="49DB21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u w:val="singl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为非单一产品采购项目，核心产品为：</w:t>
            </w:r>
            <w:r>
              <w:rPr>
                <w:rFonts w:hint="eastAsia" w:ascii="仿宋_GB2312" w:hAnsi="仿宋_GB2312" w:eastAsia="仿宋_GB2312" w:cs="仿宋_GB2312"/>
                <w:b w:val="0"/>
                <w:bCs w:val="0"/>
                <w:sz w:val="21"/>
                <w:szCs w:val="21"/>
                <w:highlight w:val="none"/>
                <w:u w:val="single"/>
                <w:vertAlign w:val="baseline"/>
                <w:lang w:val="en-US" w:eastAsia="zh-CN"/>
              </w:rPr>
              <w:t xml:space="preserve">       </w:t>
            </w:r>
          </w:p>
          <w:p w14:paraId="2EAAF0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232D94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A6D2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715DD0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6B9E5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项目属性：货物</w:t>
            </w:r>
          </w:p>
        </w:tc>
      </w:tr>
      <w:tr w14:paraId="0F7753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4827E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适用于本投标人须知的额外增加的变动：</w:t>
            </w:r>
          </w:p>
          <w:p w14:paraId="5F1A4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1、关于本项目所有公告、公示在新疆政府采购网（http://www.ccgp-xinjiang.gov.cn/）发布。</w:t>
            </w:r>
          </w:p>
          <w:p w14:paraId="796B00C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2、请投标单位随时关注本项目的澄清、答疑、变更事项。</w:t>
            </w:r>
          </w:p>
          <w:p w14:paraId="28CACA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299C3B2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40A37A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6469E7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734FA9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BCAD2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2F2E12E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8、投标人进行远程电子开标的，签到、解密及开标结果确认的操作均在开标过程中适时开启，请投标人务必密切关注开标进程，并应在政采云平台按时完成相应操作，否则产生的后果由投标人自行承担。</w:t>
            </w:r>
          </w:p>
          <w:p w14:paraId="2F176E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r>
              <w:rPr>
                <w:rFonts w:hint="eastAsia" w:ascii="仿宋_GB2312" w:hAnsi="仿宋_GB2312" w:eastAsia="仿宋_GB2312" w:cs="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74E3F5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10、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61EF915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11、投标人须知前附表是对投标人须知正文部分对应条款的补充、细化，投标人阅读时应与正文部分一并阅读，投标人须知前附表与正文部分不一致处，应以投标人须知前附表为准。 </w:t>
            </w:r>
          </w:p>
          <w:p w14:paraId="330ADB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12、“☑”符号表示本采购文件选定的内容；“□”符号表示本采购文件未选定的内容；空格中的“/”表示没有具体内容。投标人投标时请按“☑符号”选定的内容和要求参加投标。</w:t>
            </w:r>
          </w:p>
          <w:p w14:paraId="2B7A98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13、与合同履行有关条款中注明的“甲方”、“买方”，在招标投标阶段按“采购人”理解；注明的“乙方”、“卖方”，按“投标人”理解。</w:t>
            </w:r>
          </w:p>
          <w:p w14:paraId="778162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14、投标人必须认真阅读采购文件中所有的事项、格式、条款和采购需求等。投标人没有按照采购文件要求提交全部资料，或者投标文件没有对采购文件在各方面都做出实质性响应的可能导致其投标无效或被拒绝。</w:t>
            </w:r>
          </w:p>
          <w:p w14:paraId="0236CD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p>
        </w:tc>
      </w:tr>
    </w:tbl>
    <w:p w14:paraId="403D3C1F">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24EE5601">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bookmarkStart w:id="9" w:name="_Toc27881"/>
      <w:r>
        <w:rPr>
          <w:rFonts w:hint="eastAsia" w:ascii="方正小标宋简体" w:hAnsi="方正小标宋简体" w:eastAsia="方正小标宋简体" w:cs="方正小标宋简体"/>
          <w:sz w:val="32"/>
          <w:szCs w:val="32"/>
          <w:highlight w:val="none"/>
        </w:rPr>
        <w:t>投标人须知</w:t>
      </w:r>
      <w:bookmarkEnd w:id="9"/>
    </w:p>
    <w:p w14:paraId="34B4E731">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仿宋_GB2312" w:hAnsi="仿宋_GB2312" w:eastAsia="仿宋_GB2312" w:cs="仿宋_GB2312"/>
          <w:b/>
          <w:bCs/>
          <w:sz w:val="24"/>
          <w:szCs w:val="24"/>
          <w:highlight w:val="none"/>
        </w:rPr>
      </w:pPr>
      <w:bookmarkStart w:id="10" w:name="_Toc20936"/>
      <w:r>
        <w:rPr>
          <w:rFonts w:hint="eastAsia" w:ascii="仿宋_GB2312" w:hAnsi="仿宋_GB2312" w:eastAsia="仿宋_GB2312" w:cs="仿宋_GB2312"/>
          <w:b/>
          <w:bCs/>
          <w:sz w:val="24"/>
          <w:szCs w:val="24"/>
          <w:highlight w:val="none"/>
        </w:rPr>
        <w:t>说 明</w:t>
      </w:r>
      <w:bookmarkEnd w:id="10"/>
    </w:p>
    <w:p w14:paraId="04CBA992">
      <w:pPr>
        <w:pStyle w:val="16"/>
        <w:rPr>
          <w:rFonts w:hint="eastAsia"/>
          <w:highlight w:val="none"/>
        </w:rPr>
      </w:pPr>
    </w:p>
    <w:p w14:paraId="1190F29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采购人、采购代理机构及投标人</w:t>
      </w:r>
    </w:p>
    <w:p w14:paraId="44DB32C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w:t>
      </w:r>
      <w:r>
        <w:rPr>
          <w:rFonts w:hint="eastAsia" w:ascii="仿宋_GB2312" w:hAnsi="仿宋_GB2312" w:eastAsia="仿宋_GB2312" w:cs="仿宋_GB2312"/>
          <w:b w:val="0"/>
          <w:bCs w:val="0"/>
          <w:sz w:val="24"/>
          <w:szCs w:val="24"/>
          <w:highlight w:val="none"/>
          <w:u w:val="single"/>
          <w:lang w:val="en-US" w:eastAsia="zh-CN"/>
        </w:rPr>
        <w:t>见投标须知前附表</w:t>
      </w:r>
      <w:r>
        <w:rPr>
          <w:rFonts w:hint="eastAsia" w:ascii="仿宋_GB2312" w:hAnsi="仿宋_GB2312" w:eastAsia="仿宋_GB2312" w:cs="仿宋_GB2312"/>
          <w:b w:val="0"/>
          <w:bCs w:val="0"/>
          <w:sz w:val="24"/>
          <w:szCs w:val="24"/>
          <w:highlight w:val="none"/>
          <w:u w:val="none"/>
          <w:lang w:val="en-US" w:eastAsia="zh-CN"/>
        </w:rPr>
        <w:t>，是采购活动当事人之一，负责项目的整体规划、技术方案可行性设计论证与实施，作为合同采购方（用户）的主体承担质疑回复、履行合同、验收与评价等义务。</w:t>
      </w:r>
    </w:p>
    <w:p w14:paraId="0A7BCF3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5EE6415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default"/>
          <w:highlight w:val="none"/>
          <w:lang w:val="en-US" w:eastAsia="zh-CN"/>
        </w:rPr>
      </w:pPr>
      <w:r>
        <w:rPr>
          <w:rFonts w:hint="eastAsia" w:ascii="仿宋_GB2312" w:hAnsi="仿宋_GB2312" w:eastAsia="仿宋_GB2312" w:cs="仿宋_GB2312"/>
          <w:b w:val="0"/>
          <w:bCs w:val="0"/>
          <w:sz w:val="24"/>
          <w:szCs w:val="24"/>
          <w:highlight w:val="none"/>
          <w:lang w:val="en-US" w:eastAsia="zh-CN"/>
        </w:rPr>
        <w:t>投标人（也称“供应商”、“申请人”、“乙方”）：指向采购人提供货物、工程或者服务的法人、其他组织或者自然人。</w:t>
      </w:r>
    </w:p>
    <w:p w14:paraId="143AA39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投标人须满足以下条件：</w:t>
      </w:r>
    </w:p>
    <w:p w14:paraId="5FC9506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具备《中华人民共和国政府采购法》第二十二条关于投标人条件的规定，遵守国家、本项目采购人本级和上级财政部门政府采购的有关规定。</w:t>
      </w:r>
    </w:p>
    <w:p w14:paraId="08A1CBB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以采购文件规定的方式获得了本项目的采购文件。</w:t>
      </w:r>
    </w:p>
    <w:p w14:paraId="37F1E70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中规定的其他资格要求。</w:t>
      </w:r>
    </w:p>
    <w:p w14:paraId="136EFEE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中未写明允许采购进口产品，如投标人所投产品为进口产品，其投标将作为</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 xml:space="preserve">被拒绝。 </w:t>
      </w:r>
    </w:p>
    <w:p w14:paraId="71E4DA25">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中小企业、监狱企业及残疾人福利性单位。</w:t>
      </w:r>
    </w:p>
    <w:p w14:paraId="27FFE628">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采购标的对应的中小企业划分标准所属行业见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36C5281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，未达到上述比例的投标将被认定为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。承接企业如为监狱企业或残疾人福利性单位的，视同为小型、微型企业。</w:t>
      </w:r>
    </w:p>
    <w:p w14:paraId="0C37A8F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22375F7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投标人提供的货物、工程或者服务符合下列情形的，享受中小企业扶持政策：</w:t>
      </w:r>
    </w:p>
    <w:p w14:paraId="5BA28ED3">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在货物采购项目中，货物由中小企业制造，即货物由中小企业生产且使用该中小企业商号或者注册商标；</w:t>
      </w:r>
    </w:p>
    <w:p w14:paraId="370C331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在工程采购项目中，工程由中小企业承建，即工程施工单位为中小企业；</w:t>
      </w:r>
    </w:p>
    <w:p w14:paraId="741A339C">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4923E65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在货物采购项目中，投标人提供的货物既有中小企业制造货物，也有大型企业制造货物的，不享受中小企业扶持政策。 </w:t>
      </w:r>
    </w:p>
    <w:p w14:paraId="64C78A1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3D68453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AA1BB0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024A6BE5">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安置的残疾人占本单位在职职工人数的比例不低于25%（含25%），并且安置的残疾人人数不少于10人（含10人）； </w:t>
      </w:r>
    </w:p>
    <w:p w14:paraId="117083A2">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依法与安置的每位残疾人签订了一年以上（含一年）的劳动合同或服务协议；</w:t>
      </w:r>
    </w:p>
    <w:p w14:paraId="61F88D54">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为安置的每位残疾人按月足额缴纳了基本养老保险、基本医疗保险、失业保险、工伤保险和生育保险等社会保险费；</w:t>
      </w:r>
    </w:p>
    <w:p w14:paraId="20454C1C">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35C9CFB1">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242F13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13157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240463B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政府采购节能产品、环境标志产品（如涉及）</w:t>
      </w:r>
    </w:p>
    <w:p w14:paraId="2C17F19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656895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5D39C08">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69AD7DA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34C09C1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支持乡村产业振兴管理（如涉及）</w:t>
      </w:r>
    </w:p>
    <w:p w14:paraId="18F4E01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1BC6EAC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正版软件（如涉及）</w:t>
      </w:r>
    </w:p>
    <w:p w14:paraId="4C544F6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335A3B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7600FC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供应商信用记录</w:t>
      </w:r>
    </w:p>
    <w:p w14:paraId="5C650FE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06339FC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网络安全专用产品（如涉及）</w:t>
      </w:r>
    </w:p>
    <w:p w14:paraId="7E7AEB6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220361DA">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支持本国产品</w:t>
      </w:r>
    </w:p>
    <w:p w14:paraId="72E8AA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仿宋_GB2312" w:hAnsi="仿宋_GB2312" w:eastAsia="仿宋_GB2312" w:cs="仿宋_GB2312"/>
          <w:b w:val="0"/>
          <w:bCs w:val="0"/>
          <w:kern w:val="2"/>
          <w:sz w:val="24"/>
          <w:szCs w:val="24"/>
          <w:highlight w:val="none"/>
          <w:u w:val="single"/>
          <w:lang w:val="en-US" w:eastAsia="zh-CN" w:bidi="ar-SA"/>
        </w:rPr>
        <w:t>见投标须知前附表。</w:t>
      </w:r>
    </w:p>
    <w:p w14:paraId="3519DB3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453D5F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972F33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中允许联合体投标，对联合体规定如下：</w:t>
      </w:r>
    </w:p>
    <w:p w14:paraId="13F8CCC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两个以上投标人可以组成一个投标联合体，以一个投标人的身份投标。  </w:t>
      </w:r>
    </w:p>
    <w:p w14:paraId="1EC6E0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571AF6F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采购人根据采购项目对投标人的特殊要求，联合体中至少应当有一方符合相关规定。</w:t>
      </w:r>
    </w:p>
    <w:p w14:paraId="54A4791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0C7913E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395AA9C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联合体中有同类资质的投标人按照联合体分工承担相同工作的，按照资质等级较低的投标人确定资质等级。</w:t>
      </w:r>
    </w:p>
    <w:p w14:paraId="606E312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对联合体投标的其他资格要求见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7080B38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12E71DD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5B7BC67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 xml:space="preserve"> 资金来源 </w:t>
      </w:r>
    </w:p>
    <w:p w14:paraId="48856D8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3B3B8DE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项目预算金额和最高限价见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6E0534F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投标人报价超过采购文件规定的预算金额或者最高限价的，其投标将被认定为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77167A8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投标费用</w:t>
      </w:r>
    </w:p>
    <w:p w14:paraId="3D69808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7EE949E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适用法律</w:t>
      </w:r>
    </w:p>
    <w:p w14:paraId="314F2CA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04FF040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5A80856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w:t>
      </w:r>
    </w:p>
    <w:p w14:paraId="53D8D69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采购文件构成</w:t>
      </w:r>
    </w:p>
    <w:p w14:paraId="4634D08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采购文件包括以下部分：</w:t>
      </w:r>
    </w:p>
    <w:p w14:paraId="58AD0EF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第一章 招标公告（投标邀请） </w:t>
      </w:r>
    </w:p>
    <w:p w14:paraId="57FDC39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第二章 投标须知前附表 </w:t>
      </w:r>
    </w:p>
    <w:p w14:paraId="74241E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第三章 投标人须知</w:t>
      </w:r>
    </w:p>
    <w:p w14:paraId="125C120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第四章 政府采购合同 </w:t>
      </w:r>
    </w:p>
    <w:p w14:paraId="61CE73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第五章 采购需求 </w:t>
      </w:r>
    </w:p>
    <w:p w14:paraId="62366A9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第六章 评标程序、评标方法和评标标准</w:t>
      </w:r>
    </w:p>
    <w:p w14:paraId="1BACED0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第七章 投标文件格式 </w:t>
      </w:r>
    </w:p>
    <w:p w14:paraId="549A1BD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0F6D64E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highlight w:val="none"/>
          <w:u w:val="none"/>
          <w:lang w:val="en-US" w:eastAsia="zh-CN"/>
        </w:rPr>
        <w:t>投标须知前附表</w:t>
      </w:r>
      <w:r>
        <w:rPr>
          <w:rFonts w:hint="eastAsia" w:ascii="仿宋_GB2312" w:hAnsi="仿宋_GB2312" w:eastAsia="仿宋_GB2312" w:cs="仿宋_GB2312"/>
          <w:b w:val="0"/>
          <w:bCs w:val="0"/>
          <w:sz w:val="24"/>
          <w:szCs w:val="24"/>
          <w:highlight w:val="none"/>
          <w:lang w:val="en-US" w:eastAsia="zh-CN"/>
        </w:rPr>
        <w:t>不涉及的内容，以编排在后的最后描述为准。</w:t>
      </w:r>
    </w:p>
    <w:p w14:paraId="35785C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现场考察或者答疑会及相关事项见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54F930F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采购人召开答疑会的，将在采购文件提供期限截止后以书面形式通知所有获取采购文件的潜在投标人。</w:t>
      </w:r>
    </w:p>
    <w:p w14:paraId="38608B3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样品（演示）</w:t>
      </w:r>
    </w:p>
    <w:p w14:paraId="40E186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如需提供样品（演示），对样品（演示）相关要求见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，对样品（演示）的评审方法及评审标准见采购文件第六章《评标程序、评标方法和评标标准》。</w:t>
      </w:r>
    </w:p>
    <w:p w14:paraId="37C7C79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采购文件规定投标人提交样品的，样品属于投标文件的组成部分。样品的生产、运输、安装、保全等一切费用由投标人自理。</w:t>
      </w:r>
    </w:p>
    <w:p w14:paraId="3CB80B9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投标截止时间前，投标人应将样品送达至指定地点。若需要现场演示的，投标人应提前做好演示准备（包括演示设备）。</w:t>
      </w:r>
    </w:p>
    <w:p w14:paraId="3A8A019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15DEC2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采购人组织现场考察的，所有投标人应按《投标人须知前附表》规定的时间、地点前往参加现场考察活动。投标人如不参加，其风险由投标人自行承担，采购人不承担任何责任。</w:t>
      </w:r>
    </w:p>
    <w:p w14:paraId="067A53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1A350EB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投标人现场考察发生的费用由其自理。</w:t>
      </w:r>
    </w:p>
    <w:p w14:paraId="6DC3110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对采购文件的澄清或修改</w:t>
      </w:r>
    </w:p>
    <w:p w14:paraId="6F0A18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5A6767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71D319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DD2AB7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7469E71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717564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6745AC8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highlight w:val="none"/>
          <w:lang w:val="en-US" w:eastAsia="zh-CN"/>
        </w:rPr>
      </w:pPr>
    </w:p>
    <w:p w14:paraId="1B0512DE">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1" w:name="_Toc9070"/>
      <w:r>
        <w:rPr>
          <w:rFonts w:hint="eastAsia" w:ascii="仿宋_GB2312" w:hAnsi="仿宋_GB2312" w:eastAsia="仿宋_GB2312" w:cs="仿宋_GB2312"/>
          <w:b/>
          <w:bCs/>
          <w:sz w:val="24"/>
          <w:szCs w:val="24"/>
          <w:highlight w:val="none"/>
          <w:lang w:val="en-US" w:eastAsia="zh-CN"/>
        </w:rPr>
        <w:t>投标文件的编制</w:t>
      </w:r>
      <w:bookmarkEnd w:id="11"/>
    </w:p>
    <w:p w14:paraId="653BAA1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u w:val="single"/>
          <w:lang w:val="en-US" w:eastAsia="zh-CN"/>
        </w:rPr>
      </w:pPr>
      <w:r>
        <w:rPr>
          <w:rFonts w:hint="eastAsia" w:ascii="仿宋_GB2312" w:hAnsi="仿宋_GB2312" w:eastAsia="仿宋_GB2312" w:cs="仿宋_GB2312"/>
          <w:b/>
          <w:bCs/>
          <w:sz w:val="24"/>
          <w:szCs w:val="24"/>
          <w:highlight w:val="none"/>
          <w:lang w:val="en-US" w:eastAsia="zh-CN"/>
        </w:rPr>
        <w:t>投标范围、投标文件中计量单位的使用及投标语言</w:t>
      </w:r>
    </w:p>
    <w:p w14:paraId="3F6BE52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投标人可对采购文件中一个或几个分包（标项）进行投标（响应），除非在</w:t>
      </w:r>
      <w:r>
        <w:rPr>
          <w:rFonts w:hint="eastAsia" w:ascii="仿宋_GB2312" w:hAnsi="仿宋_GB2312" w:eastAsia="仿宋_GB2312" w:cs="仿宋_GB2312"/>
          <w:b w:val="0"/>
          <w:bCs w:val="0"/>
          <w:sz w:val="24"/>
          <w:szCs w:val="24"/>
          <w:highlight w:val="none"/>
          <w:u w:val="single"/>
          <w:lang w:val="en-US" w:eastAsia="zh-CN"/>
        </w:rPr>
        <w:t>投标须知前附表中另有规定</w:t>
      </w:r>
      <w:r>
        <w:rPr>
          <w:rFonts w:hint="eastAsia" w:ascii="仿宋_GB2312" w:hAnsi="仿宋_GB2312" w:eastAsia="仿宋_GB2312" w:cs="仿宋_GB2312"/>
          <w:b w:val="0"/>
          <w:bCs w:val="0"/>
          <w:sz w:val="24"/>
          <w:szCs w:val="24"/>
          <w:highlight w:val="none"/>
          <w:lang w:val="en-US" w:eastAsia="zh-CN"/>
        </w:rPr>
        <w:t xml:space="preserve">。 </w:t>
      </w:r>
    </w:p>
    <w:p w14:paraId="24890D2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w:t>
      </w:r>
    </w:p>
    <w:p w14:paraId="6AC623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无论采购文件中是否要求，投标人所投货物或服务均应符合国家强制性标准。</w:t>
      </w:r>
    </w:p>
    <w:p w14:paraId="332B44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除采购文件有特殊要求外，本项目投标所使用的计量单位，应采用中华人民共和国法定计量单位。</w:t>
      </w:r>
    </w:p>
    <w:p w14:paraId="05B1340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0A75E9C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投标文件构成</w:t>
      </w:r>
    </w:p>
    <w:p w14:paraId="2F82BA8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投标人应当按照采购文件的要求编制投标文件。投标文件应由资格证明文件、报价文件、商务和技术文件四部分构成。投标文件的部分格式要求，见第七章《投标文件格式》。</w:t>
      </w:r>
    </w:p>
    <w:p w14:paraId="091213D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第五章《采购需求》及第六章《评标程序、评标方法和评标标准》中涉及的证明文件。</w:t>
      </w:r>
    </w:p>
    <w:p w14:paraId="1A75CD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B2C010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投标人认为应附的其他材料。</w:t>
      </w:r>
    </w:p>
    <w:p w14:paraId="66D9EE6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34E26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投标报价</w:t>
      </w:r>
    </w:p>
    <w:p w14:paraId="5361C4D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投标人所提供的货物和服务均应以人民币报价，除在采购文件另有规定外（如：报折扣、报优惠率等）。</w:t>
      </w:r>
    </w:p>
    <w:p w14:paraId="6EF95D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highlight w:val="none"/>
          <w:lang w:val="en-US" w:eastAsia="zh-CN"/>
        </w:rPr>
        <w:t>投标被拒绝</w:t>
      </w:r>
      <w:r>
        <w:rPr>
          <w:rFonts w:hint="eastAsia" w:ascii="仿宋_GB2312" w:hAnsi="仿宋_GB2312" w:eastAsia="仿宋_GB2312" w:cs="仿宋_GB2312"/>
          <w:b w:val="0"/>
          <w:bCs w:val="0"/>
          <w:sz w:val="24"/>
          <w:szCs w:val="24"/>
          <w:highlight w:val="none"/>
          <w:lang w:val="en-US" w:eastAsia="zh-CN"/>
        </w:rPr>
        <w:t>。</w:t>
      </w:r>
    </w:p>
    <w:p w14:paraId="2C47DB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b w:val="0"/>
          <w:bCs w:val="0"/>
          <w:kern w:val="2"/>
          <w:sz w:val="24"/>
          <w:szCs w:val="24"/>
          <w:highlight w:val="none"/>
          <w:lang w:val="en-US" w:eastAsia="zh-CN" w:bidi="ar-SA"/>
        </w:rPr>
        <w:t>处理。</w:t>
      </w:r>
    </w:p>
    <w:p w14:paraId="61A21E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 xml:space="preserve">。 </w:t>
      </w:r>
    </w:p>
    <w:p w14:paraId="3E50E3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50A5394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投标保证金</w:t>
      </w:r>
    </w:p>
    <w:p w14:paraId="2D75EE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中规定的金额及要求交纳投标保证金，并作为其投标的一部分，任何未提交或提交无效的投标保证金的投标，将按投标无效处理。</w:t>
      </w:r>
    </w:p>
    <w:p w14:paraId="506BAC6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交纳保证金的形式除</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19D129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717F270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7B100F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投标保证金（保函）有效期同投标有效期。</w:t>
      </w:r>
    </w:p>
    <w:p w14:paraId="0C5D4CB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联合体投标的，可以由联合体中的一方或者共同提交投标保证金，以一方名义提交投标保证金的，对联合体各方均具有约束力。</w:t>
      </w:r>
    </w:p>
    <w:p w14:paraId="3B8790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33C9464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6C7257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中标人的投标保证金，自采购合同签订之日起 5 个工作日内退还中标人。 </w:t>
      </w:r>
    </w:p>
    <w:p w14:paraId="3193BD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未中标投标人的投标保证金，自中标通知书发出之日起 5 个工作日内退还未中标人。</w:t>
      </w:r>
    </w:p>
    <w:p w14:paraId="1DB614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终止采购活动的项目已经收取投标保证金的，自终止采购活动后 5 个工作日内退还已收取的投标保证金。</w:t>
      </w:r>
    </w:p>
    <w:p w14:paraId="29B190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有下列情形之一的，采购人或采购代理机构可以不予退还投标保证金：</w:t>
      </w:r>
    </w:p>
    <w:p w14:paraId="2396424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在投标有效期内，投标人撤回投标的； </w:t>
      </w:r>
    </w:p>
    <w:p w14:paraId="75F3B62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中标人不按本采购文件的规定与采购人签订合同的； </w:t>
      </w:r>
    </w:p>
    <w:p w14:paraId="726408D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中标人不按本采购文件的规定提交履约保证金的； </w:t>
      </w:r>
    </w:p>
    <w:p w14:paraId="7FF59ED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存在的串通投标情形的； </w:t>
      </w:r>
    </w:p>
    <w:p w14:paraId="761E65C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存在提供虚假材料谋取中标、成交的；</w:t>
      </w:r>
    </w:p>
    <w:p w14:paraId="122C65D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中标后，无正当理由放弃中标资格的；</w:t>
      </w:r>
    </w:p>
    <w:p w14:paraId="46576698">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法律法规和采购文件规定的其他情形。 </w:t>
      </w:r>
    </w:p>
    <w:p w14:paraId="0820CA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投标有效期</w:t>
      </w:r>
    </w:p>
    <w:p w14:paraId="660B541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投标文件应在</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中规定的投标有效期内保持有效，投标有效期少于采购文件规定期限的，其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0E4AD35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46858B2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投标文件的制作</w:t>
      </w:r>
    </w:p>
    <w:p w14:paraId="29BEB90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3C075AD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投标人应使用电子招投标平台提供的投标客户端编制、标记、加密投标文件，成功加密后将生成指定格式的电子投标文件和电子备用投标文件</w:t>
      </w:r>
    </w:p>
    <w:p w14:paraId="14C3C4F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如有对多个采购包（标项）投标的，要对每个采购包（标项）独立制作电子投标文件。</w:t>
      </w:r>
    </w:p>
    <w:p w14:paraId="54C0063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投标人须对采购文件的对应要求给予唯一的实质性响应，否则将视为</w:t>
      </w:r>
      <w:r>
        <w:rPr>
          <w:rFonts w:hint="eastAsia" w:ascii="仿宋_GB2312" w:hAnsi="仿宋_GB2312" w:eastAsia="仿宋_GB2312" w:cs="仿宋_GB2312"/>
          <w:b/>
          <w:bCs/>
          <w:sz w:val="24"/>
          <w:szCs w:val="24"/>
          <w:highlight w:val="none"/>
          <w:lang w:val="en-US" w:eastAsia="zh-CN"/>
        </w:rPr>
        <w:t>不响应</w:t>
      </w:r>
      <w:r>
        <w:rPr>
          <w:rFonts w:hint="eastAsia" w:ascii="仿宋_GB2312" w:hAnsi="仿宋_GB2312" w:eastAsia="仿宋_GB2312" w:cs="仿宋_GB2312"/>
          <w:b w:val="0"/>
          <w:bCs w:val="0"/>
          <w:sz w:val="24"/>
          <w:szCs w:val="24"/>
          <w:highlight w:val="none"/>
          <w:lang w:val="en-US" w:eastAsia="zh-CN"/>
        </w:rPr>
        <w:t>。</w:t>
      </w:r>
    </w:p>
    <w:p w14:paraId="2747FD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采购文件中，凡标有“※”的地方均为实质性响应条款，投标人若有一项带“※”的条款未响应或不满足，将按无效投标处理。</w:t>
      </w:r>
    </w:p>
    <w:p w14:paraId="45B4D60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0D66582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highlight w:val="none"/>
          <w:lang w:val="en-US" w:eastAsia="zh-CN"/>
        </w:rPr>
      </w:pPr>
    </w:p>
    <w:p w14:paraId="1435ED89">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2" w:name="_Toc21719"/>
      <w:r>
        <w:rPr>
          <w:rFonts w:hint="eastAsia" w:ascii="仿宋_GB2312" w:hAnsi="仿宋_GB2312" w:eastAsia="仿宋_GB2312" w:cs="仿宋_GB2312"/>
          <w:b/>
          <w:bCs/>
          <w:sz w:val="24"/>
          <w:szCs w:val="24"/>
          <w:highlight w:val="none"/>
          <w:lang w:val="en-US" w:eastAsia="zh-CN"/>
        </w:rPr>
        <w:t>投标文件的提交</w:t>
      </w:r>
      <w:bookmarkEnd w:id="12"/>
    </w:p>
    <w:p w14:paraId="684833A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投标文件的提交</w:t>
      </w:r>
    </w:p>
    <w:p w14:paraId="71717EE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投标人应在</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7D5A28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代理机构对因不可抗力事件造成的投标文件的损坏、丢失的，不承担责任。</w:t>
      </w:r>
    </w:p>
    <w:p w14:paraId="30A85BC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出现下述情形之一，属于未成功提交投标文件，按无效</w:t>
      </w:r>
      <w:r>
        <w:rPr>
          <w:rFonts w:hint="eastAsia" w:ascii="仿宋_GB2312" w:hAnsi="仿宋_GB2312" w:eastAsia="仿宋_GB2312" w:cs="仿宋_GB2312"/>
          <w:b/>
          <w:bCs/>
          <w:sz w:val="24"/>
          <w:szCs w:val="24"/>
          <w:highlight w:val="none"/>
          <w:lang w:val="en-US" w:eastAsia="zh-CN"/>
        </w:rPr>
        <w:t>投标处理</w:t>
      </w:r>
      <w:r>
        <w:rPr>
          <w:rFonts w:hint="eastAsia" w:ascii="仿宋_GB2312" w:hAnsi="仿宋_GB2312" w:eastAsia="仿宋_GB2312" w:cs="仿宋_GB2312"/>
          <w:b w:val="0"/>
          <w:bCs w:val="0"/>
          <w:sz w:val="24"/>
          <w:szCs w:val="24"/>
          <w:highlight w:val="none"/>
          <w:lang w:val="en-US" w:eastAsia="zh-CN"/>
        </w:rPr>
        <w:t>：</w:t>
      </w:r>
    </w:p>
    <w:p w14:paraId="1847346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至提交投标文件截止时，投标文件未完整上传的。 </w:t>
      </w:r>
    </w:p>
    <w:p w14:paraId="254C7F4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投标文件未按投标格式中注明需签字盖章的要求进行签名（含电子签名）和加盖电子印章，或签名（含电子签名）或电子印章不完整的。</w:t>
      </w:r>
    </w:p>
    <w:p w14:paraId="036C376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投标文件损坏或格式不正确的。</w:t>
      </w:r>
    </w:p>
    <w:p w14:paraId="1A60A9F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投标文件的修改、撤回与撤销</w:t>
      </w:r>
    </w:p>
    <w:p w14:paraId="7844273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7E03D5EF">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在提交投标文件截止时间后，投标人不得补充、修改和更换投标文件。</w:t>
      </w:r>
      <w:r>
        <w:rPr>
          <w:rFonts w:hint="eastAsia" w:ascii="仿宋_GB2312" w:hAnsi="仿宋_GB2312" w:eastAsia="仿宋_GB2312" w:cs="仿宋_GB2312"/>
          <w:b/>
          <w:bCs/>
          <w:sz w:val="24"/>
          <w:szCs w:val="24"/>
          <w:highlight w:val="none"/>
          <w:lang w:val="en-US" w:eastAsia="zh-CN"/>
        </w:rPr>
        <w:t xml:space="preserve"> </w:t>
      </w:r>
    </w:p>
    <w:p w14:paraId="4221483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11C992B2">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3" w:name="_Toc15263"/>
      <w:r>
        <w:rPr>
          <w:rFonts w:hint="eastAsia" w:ascii="仿宋_GB2312" w:hAnsi="仿宋_GB2312" w:eastAsia="仿宋_GB2312" w:cs="仿宋_GB2312"/>
          <w:b/>
          <w:bCs/>
          <w:sz w:val="24"/>
          <w:szCs w:val="24"/>
          <w:highlight w:val="none"/>
          <w:lang w:val="en-US" w:eastAsia="zh-CN"/>
        </w:rPr>
        <w:t>开标、资格审查及评标</w:t>
      </w:r>
      <w:bookmarkEnd w:id="13"/>
    </w:p>
    <w:p w14:paraId="709D435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开标</w:t>
      </w:r>
    </w:p>
    <w:p w14:paraId="67FEB5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采购人和采购代理机构将按</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中规定的开标时间和地点组织公开开标并邀请所有投标人代表参加。</w:t>
      </w:r>
      <w:r>
        <w:rPr>
          <w:rFonts w:hint="eastAsia" w:ascii="仿宋_GB2312" w:hAnsi="仿宋_GB2312" w:eastAsia="仿宋_GB2312" w:cs="仿宋_GB2312"/>
          <w:b/>
          <w:bCs/>
          <w:sz w:val="24"/>
          <w:szCs w:val="24"/>
          <w:highlight w:val="none"/>
          <w:lang w:val="en-US" w:eastAsia="zh-CN"/>
        </w:rPr>
        <w:t>开标为远程电子开标</w:t>
      </w:r>
      <w:r>
        <w:rPr>
          <w:rFonts w:hint="eastAsia" w:ascii="仿宋_GB2312" w:hAnsi="仿宋_GB2312" w:eastAsia="仿宋_GB2312" w:cs="仿宋_GB2312"/>
          <w:b w:val="0"/>
          <w:bCs w:val="0"/>
          <w:sz w:val="24"/>
          <w:szCs w:val="24"/>
          <w:highlight w:val="none"/>
          <w:lang w:val="en-US" w:eastAsia="zh-CN"/>
        </w:rPr>
        <w:t>。</w:t>
      </w:r>
    </w:p>
    <w:p w14:paraId="4BBE3DF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采用远程电子开标的：</w:t>
      </w:r>
    </w:p>
    <w:p w14:paraId="777EA8A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开标程序在政采云平台进行，所有上传投标文件的投标人应登陆政采云平台参加开标。电子开标步骤均按照政采云平台的规定进行操作。</w:t>
      </w:r>
    </w:p>
    <w:p w14:paraId="7150DB9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3F79432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32076D5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4D92ABF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6A0E4B3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投标截止时间后，投标人不足3家的，不得开标。同时，本次采购活动结束。</w:t>
      </w:r>
    </w:p>
    <w:p w14:paraId="5040356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w:t>
      </w:r>
    </w:p>
    <w:p w14:paraId="0FDFFCB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53C0AD0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资格审查要求详见第六章《评标程序、评标方法和评标标准》。</w:t>
      </w:r>
    </w:p>
    <w:p w14:paraId="7D5B1D8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采购人或采购代理机构将按</w:t>
      </w:r>
      <w:r>
        <w:rPr>
          <w:rFonts w:hint="eastAsia" w:ascii="仿宋_GB2312" w:hAnsi="仿宋_GB2312" w:eastAsia="仿宋_GB2312" w:cs="仿宋_GB2312"/>
          <w:b w:val="0"/>
          <w:bCs w:val="0"/>
          <w:sz w:val="24"/>
          <w:szCs w:val="24"/>
          <w:highlight w:val="none"/>
          <w:u w:val="none"/>
          <w:lang w:val="en-US" w:eastAsia="zh-CN"/>
        </w:rPr>
        <w:t>第六章《评标程序、评标方法和评标标准》</w:t>
      </w:r>
      <w:r>
        <w:rPr>
          <w:rFonts w:hint="eastAsia" w:ascii="仿宋_GB2312" w:hAnsi="仿宋_GB2312" w:eastAsia="仿宋_GB2312" w:cs="仿宋_GB2312"/>
          <w:b w:val="0"/>
          <w:bCs w:val="0"/>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02DE643C">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评标委员会</w:t>
      </w:r>
    </w:p>
    <w:p w14:paraId="1798C64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评标委员会根据政府采购有关规定和本次招标采购项目的特点进行组建，并负责具体评标事务，独立履行职责。</w:t>
      </w:r>
    </w:p>
    <w:p w14:paraId="6338090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任何单位和个人都不得干扰、影响评标活动的正常进行。投标人在评标过程中所进行的试图影响评标结果的一切不符合法律或招标规定的活动，都可能导致其投标被拒绝。</w:t>
      </w:r>
    </w:p>
    <w:p w14:paraId="36051C1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评标委员会只根据投标文件本身的内容来判定投标文件的响应情况，而不寻求外部的证据。 </w:t>
      </w:r>
    </w:p>
    <w:p w14:paraId="251DE86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2240F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评标程序、评标方法和评标标准</w:t>
      </w:r>
    </w:p>
    <w:p w14:paraId="20338427">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详见第六章《评标程序、评标方法和评标标准》</w:t>
      </w:r>
    </w:p>
    <w:p w14:paraId="12992E4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6E4910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4" w:name="_Toc7787"/>
      <w:r>
        <w:rPr>
          <w:rFonts w:hint="eastAsia" w:ascii="仿宋_GB2312" w:hAnsi="仿宋_GB2312" w:eastAsia="仿宋_GB2312" w:cs="仿宋_GB2312"/>
          <w:b/>
          <w:bCs/>
          <w:sz w:val="24"/>
          <w:szCs w:val="24"/>
          <w:highlight w:val="none"/>
          <w:lang w:val="en-US" w:eastAsia="zh-CN"/>
        </w:rPr>
        <w:t>确定中标</w:t>
      </w:r>
      <w:bookmarkEnd w:id="14"/>
    </w:p>
    <w:p w14:paraId="4CE9ADF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确定中标人</w:t>
      </w:r>
    </w:p>
    <w:p w14:paraId="61F896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7F10637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中标公告与中标通知书</w:t>
      </w:r>
    </w:p>
    <w:p w14:paraId="6BD6B29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343A6C9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中标通知书对采购人和中标供应商均具有法律效力。中标通知书发出后，中标供应商放弃中标项目的，应当依法承担法律责任。</w:t>
      </w:r>
    </w:p>
    <w:p w14:paraId="2B172C9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所有在开标会上被接受的投标文件都将作为档案保存,不论中标与否，采购人均不退回投标文件。</w:t>
      </w:r>
    </w:p>
    <w:p w14:paraId="052FC7F1">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废标</w:t>
      </w:r>
    </w:p>
    <w:p w14:paraId="0F6E695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在招标采购中，出现下列情形之一的，应予废标：</w:t>
      </w:r>
    </w:p>
    <w:p w14:paraId="122B25B4">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符合专业条件的供应商或者对采购文件作实质响应的供应商不足三家的；</w:t>
      </w:r>
    </w:p>
    <w:p w14:paraId="4B04361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出现影响采购公正的违法、违规行为的；</w:t>
      </w:r>
    </w:p>
    <w:p w14:paraId="79F1B7C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投标人的报价均超过了采购预算，采购人不能支付的；</w:t>
      </w:r>
    </w:p>
    <w:p w14:paraId="4482274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因重大变故，采购任务取消的；</w:t>
      </w:r>
    </w:p>
    <w:p w14:paraId="1459E62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法律、法规规定的其他情形。</w:t>
      </w:r>
    </w:p>
    <w:p w14:paraId="610A75E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废标后，采购人将废标理由通知所有投标人。</w:t>
      </w:r>
    </w:p>
    <w:p w14:paraId="0ADD170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签订合同</w:t>
      </w:r>
    </w:p>
    <w:p w14:paraId="7E30329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2E0AC99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18BFC2B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联合体中标的，联合体各方应当共同与采购人签订合同，就中标项目向采购人承担连带责任。 </w:t>
      </w:r>
    </w:p>
    <w:p w14:paraId="7B9B447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。中标人就采购项目和分包项目向采购人负责，分包供应商就分包项目承担责任。</w:t>
      </w:r>
    </w:p>
    <w:p w14:paraId="6E5C5B9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履约保证金</w:t>
      </w:r>
    </w:p>
    <w:p w14:paraId="7D6B7E7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中标人应按照</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规定的金额、形式和时间向采购人缴纳履约保证金。</w:t>
      </w:r>
    </w:p>
    <w:p w14:paraId="728C82D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经采购人同意，中标人也可以自愿采用其他履约保证金的提供方式。</w:t>
      </w:r>
    </w:p>
    <w:p w14:paraId="26249AA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rPr>
      </w:pPr>
      <w:r>
        <w:rPr>
          <w:rFonts w:hint="eastAsia" w:ascii="仿宋_GB2312" w:hAnsi="仿宋_GB2312" w:eastAsia="仿宋_GB2312" w:cs="仿宋_GB2312"/>
          <w:b w:val="0"/>
          <w:bCs w:val="0"/>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267016E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代理服务费</w:t>
      </w:r>
    </w:p>
    <w:p w14:paraId="2FC266F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收费对象及缴纳时间见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。由中标人支付的，中标人须一次性向采购代理机构缴纳代理费，投标报价应包含代理费用。</w:t>
      </w:r>
    </w:p>
    <w:p w14:paraId="1BECE00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收费标准</w:t>
      </w:r>
    </w:p>
    <w:p w14:paraId="6EEBBF2E">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17"/>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628224A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3575DA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45FC896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57115E1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0157822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5E55386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32BF0A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04E3FB1A">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1AF877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4EA7F61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7BEEE3F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2F6663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7110E8B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041F2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21C0F81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330FEE1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BB2208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5DA5256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9D66E8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41808E6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44FA53E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DC853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08E69B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4584E0A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0FDBE7F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79A9F76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C4B3B9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FABF86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1F0A23A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40CA443A">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258D51D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0E089CA">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07DEFC5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4563731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2E282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109C42D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0C07E31">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1B3ED44A">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8CACDB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2FB5C15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77468A83">
      <w:pPr>
        <w:pStyle w:val="16"/>
        <w:ind w:left="0" w:leftChars="0" w:firstLine="0" w:firstLineChars="0"/>
        <w:rPr>
          <w:rFonts w:hint="eastAsia"/>
          <w:highlight w:val="none"/>
          <w:lang w:val="en-US" w:eastAsia="zh-CN"/>
        </w:rPr>
      </w:pPr>
    </w:p>
    <w:p w14:paraId="74CD8BA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询问与质疑</w:t>
      </w:r>
    </w:p>
    <w:p w14:paraId="5F811677">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询问</w:t>
      </w:r>
    </w:p>
    <w:p w14:paraId="1E551AE4">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中“采购人、采购代理机构的名称、地址和联系方式”。</w:t>
      </w:r>
    </w:p>
    <w:p w14:paraId="349347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w:t>
      </w:r>
    </w:p>
    <w:p w14:paraId="52C588C2">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7B5D3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供应商应知其权益受到损害之日是指：</w:t>
      </w:r>
    </w:p>
    <w:p w14:paraId="5F2A2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（1）对采购文件提出质疑的，为获取采购文件之日或者招标文件公告期限届满之日；</w:t>
      </w:r>
    </w:p>
    <w:p w14:paraId="5E9A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（2）对采购过程提出质疑的，为各采购程序环节结束之日；</w:t>
      </w:r>
    </w:p>
    <w:p w14:paraId="607F249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（3）对中标结果提出质疑的，为中标结果公告期限届满之日。 </w:t>
      </w:r>
    </w:p>
    <w:p w14:paraId="16F9CCC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A0944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6FE639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质疑函应当包括下列内容： </w:t>
      </w:r>
    </w:p>
    <w:p w14:paraId="6EA1D2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（1）投标人名称、地址、邮编、联系人及联系电话； </w:t>
      </w:r>
    </w:p>
    <w:p w14:paraId="668694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（2）质疑项目的名称、编号； </w:t>
      </w:r>
    </w:p>
    <w:p w14:paraId="6495EDC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（3）具体、明确的质疑事项和与质疑事项相关的请求； </w:t>
      </w:r>
    </w:p>
    <w:p w14:paraId="0345DE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（4）事实依据； </w:t>
      </w:r>
    </w:p>
    <w:p w14:paraId="1EB779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（5）必要的法律依据； </w:t>
      </w:r>
    </w:p>
    <w:p w14:paraId="2472CB6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（6）提出质疑的日期。</w:t>
      </w:r>
    </w:p>
    <w:p w14:paraId="68F02BE8">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EE473F4">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D70A13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其他</w:t>
      </w:r>
    </w:p>
    <w:p w14:paraId="6B09EF6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12C5BD7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3B3F8F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适用于本投标人须知的额外增加的变动详见</w:t>
      </w:r>
      <w:r>
        <w:rPr>
          <w:rFonts w:hint="eastAsia" w:ascii="仿宋_GB2312" w:hAnsi="仿宋_GB2312" w:eastAsia="仿宋_GB2312" w:cs="仿宋_GB2312"/>
          <w:b w:val="0"/>
          <w:bCs w:val="0"/>
          <w:sz w:val="24"/>
          <w:szCs w:val="24"/>
          <w:highlight w:val="none"/>
          <w:u w:val="single"/>
          <w:lang w:val="en-US" w:eastAsia="zh-CN"/>
        </w:rPr>
        <w:t>投标须知前附表</w:t>
      </w:r>
      <w:r>
        <w:rPr>
          <w:rFonts w:hint="eastAsia" w:ascii="仿宋_GB2312" w:hAnsi="仿宋_GB2312" w:eastAsia="仿宋_GB2312" w:cs="仿宋_GB2312"/>
          <w:b w:val="0"/>
          <w:bCs w:val="0"/>
          <w:sz w:val="24"/>
          <w:szCs w:val="24"/>
          <w:highlight w:val="none"/>
          <w:lang w:val="en-US" w:eastAsia="zh-CN"/>
        </w:rPr>
        <w:t>。</w:t>
      </w:r>
    </w:p>
    <w:p w14:paraId="2C408BFA">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73EF85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w:t>
      </w:r>
    </w:p>
    <w:p w14:paraId="72A97A3E">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127F01D1">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6" w:name="_Toc20159"/>
      <w:r>
        <w:rPr>
          <w:rFonts w:hint="eastAsia" w:ascii="方正小标宋简体" w:hAnsi="方正小标宋简体" w:eastAsia="方正小标宋简体" w:cs="方正小标宋简体"/>
          <w:sz w:val="32"/>
          <w:szCs w:val="32"/>
          <w:highlight w:val="none"/>
          <w:lang w:val="en-US" w:eastAsia="zh-CN"/>
        </w:rPr>
        <w:t>采购需求</w:t>
      </w:r>
      <w:bookmarkEnd w:id="16"/>
    </w:p>
    <w:p w14:paraId="54497BC1">
      <w:pPr>
        <w:spacing w:line="360" w:lineRule="auto"/>
        <w:ind w:right="210" w:rightChars="100" w:firstLine="480" w:firstLineChars="200"/>
        <w:rPr>
          <w:rFonts w:ascii="仿宋" w:hAnsi="仿宋" w:eastAsia="仿宋" w:cs="Arial"/>
          <w:color w:val="000000"/>
          <w:sz w:val="24"/>
          <w:szCs w:val="24"/>
          <w:highlight w:val="none"/>
        </w:rPr>
      </w:pPr>
      <w:r>
        <w:rPr>
          <w:rFonts w:hint="eastAsia" w:ascii="仿宋" w:hAnsi="仿宋" w:eastAsia="仿宋" w:cs="Arial"/>
          <w:color w:val="000000"/>
          <w:sz w:val="24"/>
          <w:szCs w:val="24"/>
          <w:highlight w:val="none"/>
        </w:rPr>
        <w:t>一、</w:t>
      </w:r>
      <w:r>
        <w:rPr>
          <w:rFonts w:hint="eastAsia" w:ascii="仿宋" w:hAnsi="仿宋" w:eastAsia="仿宋" w:cs="Arial"/>
          <w:b/>
          <w:color w:val="000000"/>
          <w:sz w:val="24"/>
          <w:szCs w:val="24"/>
          <w:highlight w:val="none"/>
        </w:rPr>
        <w:t>保安服务地域</w:t>
      </w:r>
      <w:bookmarkStart w:id="17" w:name="qihoosnap3"/>
      <w:bookmarkEnd w:id="17"/>
      <w:r>
        <w:rPr>
          <w:rFonts w:hint="eastAsia" w:ascii="仿宋" w:hAnsi="仿宋" w:eastAsia="仿宋" w:cs="Arial"/>
          <w:b/>
          <w:bCs/>
          <w:color w:val="000000"/>
          <w:sz w:val="24"/>
          <w:szCs w:val="24"/>
          <w:highlight w:val="none"/>
        </w:rPr>
        <w:t>范</w:t>
      </w:r>
      <w:r>
        <w:rPr>
          <w:rFonts w:hint="eastAsia" w:ascii="仿宋" w:hAnsi="仿宋" w:eastAsia="仿宋" w:cs="Arial"/>
          <w:b/>
          <w:color w:val="000000"/>
          <w:sz w:val="24"/>
          <w:szCs w:val="24"/>
          <w:highlight w:val="none"/>
        </w:rPr>
        <w:t xml:space="preserve">围及内容 </w:t>
      </w:r>
    </w:p>
    <w:p w14:paraId="371C2C7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医院及(家属区)的秩序维护，消防安全、治安防范，医院的人员、财产、设备设施的安全保卫，重点部位的值班，消防、治安及设施的巡查，突发事件的处置、看守工作及与安全工作有关的各项临时性任务等。 </w:t>
      </w:r>
    </w:p>
    <w:p w14:paraId="5D45761D">
      <w:pPr>
        <w:spacing w:line="360" w:lineRule="auto"/>
        <w:ind w:right="210" w:rightChars="100" w:firstLine="480" w:firstLineChars="200"/>
        <w:rPr>
          <w:rFonts w:hint="eastAsia" w:ascii="仿宋" w:hAnsi="仿宋" w:eastAsia="仿宋"/>
          <w:color w:val="000000"/>
          <w:sz w:val="24"/>
          <w:szCs w:val="24"/>
          <w:highlight w:val="none"/>
        </w:rPr>
      </w:pPr>
    </w:p>
    <w:p w14:paraId="32D4B5F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二、</w:t>
      </w:r>
      <w:r>
        <w:rPr>
          <w:rFonts w:hint="eastAsia" w:ascii="仿宋" w:hAnsi="仿宋" w:eastAsia="仿宋"/>
          <w:b/>
          <w:color w:val="000000"/>
          <w:sz w:val="24"/>
          <w:szCs w:val="24"/>
          <w:highlight w:val="none"/>
        </w:rPr>
        <w:t>管理方式及合同时间</w:t>
      </w:r>
      <w:r>
        <w:rPr>
          <w:rFonts w:hint="eastAsia" w:ascii="仿宋" w:hAnsi="仿宋" w:eastAsia="仿宋"/>
          <w:color w:val="000000"/>
          <w:sz w:val="24"/>
          <w:szCs w:val="24"/>
          <w:highlight w:val="none"/>
        </w:rPr>
        <w:t xml:space="preserve"> </w:t>
      </w:r>
    </w:p>
    <w:p w14:paraId="0EAD4FC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1、管理方式:保安岗位实行委托式管理，采购方(以下简称为甲方)保卫部按质量考评要求，每月对服务方(以下简称为乙方)进行一次质量考核，考评结果与支付保安服务费及合同履行相挂钩。</w:t>
      </w:r>
    </w:p>
    <w:p w14:paraId="3132A9DD">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2、合同时间:期限壹年。</w:t>
      </w:r>
    </w:p>
    <w:p w14:paraId="7AAA1BA8">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3、如乙方连续3个月考评不合格或年均考核5个月不合格，甲方有权提前解除合同。</w:t>
      </w:r>
    </w:p>
    <w:p w14:paraId="32FFA62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4、工作交接时间:双方在合同签订后，乙方必须在合同执行日前三个工作日内完成所有交接的准备工作，并确保能按期履行合同。 </w:t>
      </w:r>
    </w:p>
    <w:p w14:paraId="2C442685">
      <w:pPr>
        <w:spacing w:line="360" w:lineRule="auto"/>
        <w:ind w:right="210" w:rightChars="100" w:firstLine="480" w:firstLineChars="200"/>
        <w:rPr>
          <w:rFonts w:hint="eastAsia" w:ascii="仿宋" w:hAnsi="仿宋" w:eastAsia="仿宋"/>
          <w:color w:val="000000"/>
          <w:sz w:val="24"/>
          <w:szCs w:val="24"/>
          <w:highlight w:val="none"/>
        </w:rPr>
      </w:pPr>
    </w:p>
    <w:p w14:paraId="040C415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三、</w:t>
      </w:r>
      <w:r>
        <w:rPr>
          <w:rFonts w:hint="eastAsia" w:ascii="仿宋" w:hAnsi="仿宋" w:eastAsia="仿宋"/>
          <w:b/>
          <w:color w:val="000000"/>
          <w:sz w:val="24"/>
          <w:szCs w:val="24"/>
          <w:highlight w:val="none"/>
        </w:rPr>
        <w:t>安保岗位设置及人员配置情况</w:t>
      </w:r>
      <w:r>
        <w:rPr>
          <w:rFonts w:hint="eastAsia" w:ascii="仿宋" w:hAnsi="仿宋" w:eastAsia="仿宋"/>
          <w:color w:val="000000"/>
          <w:sz w:val="24"/>
          <w:szCs w:val="24"/>
          <w:highlight w:val="none"/>
        </w:rPr>
        <w:t xml:space="preserve"> </w:t>
      </w:r>
    </w:p>
    <w:p w14:paraId="33CF78D8">
      <w:pPr>
        <w:spacing w:line="360" w:lineRule="auto"/>
        <w:ind w:right="210" w:rightChars="100" w:firstLine="480" w:firstLineChars="200"/>
        <w:rPr>
          <w:rFonts w:hint="eastAsia" w:ascii="仿宋" w:hAnsi="仿宋" w:eastAsia="仿宋"/>
          <w:color w:val="000000"/>
          <w:sz w:val="24"/>
          <w:szCs w:val="24"/>
          <w:highlight w:val="none"/>
          <w:lang w:val="en-US" w:eastAsia="zh-CN"/>
        </w:rPr>
      </w:pPr>
      <w:r>
        <w:rPr>
          <w:rFonts w:hint="eastAsia" w:ascii="仿宋" w:hAnsi="仿宋" w:eastAsia="仿宋"/>
          <w:color w:val="000000"/>
          <w:sz w:val="24"/>
          <w:szCs w:val="24"/>
          <w:highlight w:val="none"/>
        </w:rPr>
        <w:t>1、管理人员:保安队长1人(常驻保安队)，班(组)长2人（由保安员兼任）</w:t>
      </w:r>
      <w:r>
        <w:rPr>
          <w:rFonts w:hint="eastAsia" w:ascii="仿宋" w:hAnsi="仿宋" w:eastAsia="仿宋"/>
          <w:color w:val="000000"/>
          <w:sz w:val="24"/>
          <w:szCs w:val="24"/>
          <w:highlight w:val="none"/>
          <w:lang w:eastAsia="zh-CN"/>
        </w:rPr>
        <w:t>。</w:t>
      </w:r>
    </w:p>
    <w:p w14:paraId="754BFDE3">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2、保安员:下设4个岗：北门安检岗、东门安检岗、巡逻岗和消防监控岗(两班倒)，甲方指定保卫部人员负责保安队监管。</w:t>
      </w:r>
    </w:p>
    <w:p w14:paraId="2B23B248">
      <w:pPr>
        <w:spacing w:line="360" w:lineRule="auto"/>
        <w:ind w:right="210" w:rightChars="100" w:firstLine="482" w:firstLineChars="200"/>
        <w:rPr>
          <w:rFonts w:hint="eastAsia" w:ascii="仿宋" w:hAnsi="仿宋" w:eastAsia="仿宋"/>
          <w:b/>
          <w:color w:val="000000"/>
          <w:sz w:val="24"/>
          <w:szCs w:val="24"/>
          <w:highlight w:val="none"/>
        </w:rPr>
      </w:pPr>
      <w:r>
        <w:rPr>
          <w:rFonts w:hint="eastAsia" w:ascii="仿宋" w:hAnsi="仿宋" w:eastAsia="仿宋"/>
          <w:b/>
          <w:color w:val="000000"/>
          <w:sz w:val="24"/>
          <w:szCs w:val="24"/>
          <w:highlight w:val="none"/>
        </w:rPr>
        <w:t>设定医院安保力量岗位人员</w:t>
      </w:r>
      <w:r>
        <w:rPr>
          <w:rFonts w:hint="eastAsia" w:ascii="仿宋" w:hAnsi="仿宋" w:eastAsia="仿宋"/>
          <w:b/>
          <w:color w:val="000000"/>
          <w:sz w:val="24"/>
          <w:szCs w:val="24"/>
          <w:highlight w:val="none"/>
          <w:lang w:val="en-US" w:eastAsia="zh-CN"/>
        </w:rPr>
        <w:t>24</w:t>
      </w:r>
      <w:r>
        <w:rPr>
          <w:rFonts w:hint="eastAsia" w:ascii="仿宋" w:hAnsi="仿宋" w:eastAsia="仿宋"/>
          <w:b/>
          <w:color w:val="000000"/>
          <w:sz w:val="24"/>
          <w:szCs w:val="24"/>
          <w:highlight w:val="none"/>
        </w:rPr>
        <w:t>人。根据医院发展情况安保力量可适当增减人员。</w:t>
      </w:r>
    </w:p>
    <w:p w14:paraId="022298C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3、岗位分布及值班时间 序号 岗位名称 时间 (小时) 月上班 小时数 人员(人) 岗位职责说明。</w:t>
      </w:r>
    </w:p>
    <w:p w14:paraId="58111B8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w:t>
      </w:r>
      <w:r>
        <w:rPr>
          <w:rFonts w:hint="eastAsia" w:ascii="仿宋" w:hAnsi="仿宋" w:eastAsia="仿宋"/>
          <w:b/>
          <w:color w:val="000000"/>
          <w:sz w:val="24"/>
          <w:szCs w:val="24"/>
          <w:highlight w:val="none"/>
        </w:rPr>
        <w:t>安检岗</w:t>
      </w:r>
      <w:r>
        <w:rPr>
          <w:rFonts w:hint="eastAsia" w:ascii="仿宋" w:hAnsi="仿宋" w:eastAsia="仿宋"/>
          <w:color w:val="000000"/>
          <w:sz w:val="24"/>
          <w:szCs w:val="24"/>
          <w:highlight w:val="none"/>
        </w:rPr>
        <w:t>，拟设置</w:t>
      </w:r>
      <w:r>
        <w:rPr>
          <w:rFonts w:hint="eastAsia" w:ascii="仿宋" w:hAnsi="仿宋" w:eastAsia="仿宋"/>
          <w:color w:val="000000"/>
          <w:sz w:val="24"/>
          <w:szCs w:val="24"/>
          <w:highlight w:val="none"/>
          <w:lang w:val="en-US" w:eastAsia="zh-CN"/>
        </w:rPr>
        <w:t>8</w:t>
      </w:r>
      <w:r>
        <w:rPr>
          <w:rFonts w:hint="eastAsia" w:ascii="仿宋" w:hAnsi="仿宋" w:eastAsia="仿宋"/>
          <w:color w:val="000000"/>
          <w:sz w:val="24"/>
          <w:szCs w:val="24"/>
          <w:highlight w:val="none"/>
        </w:rPr>
        <w:t>人，分白班</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人（两个安检通道）、夜班</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两个安检通道），岗位时间为12小时制，其职责：负责大门进入人员安检工作，发现可疑人员立即报告便民警务站；熟悉警用器械的操作与使用；会操作“手持安检仪”、“一键报警”系统和“无感知”设备；熟练消防微型站的消防设施，发现火灾会处置；着装整齐，姿态端庄，文明用语、礼貌待人；保持工作区的卫生干净、整洁；严禁睡岗和无故脱岗，严禁在上岗期间大声喧哗、听看电子设备、吸烟和吃东西等不文明行为。</w:t>
      </w:r>
    </w:p>
    <w:p w14:paraId="1162FC83">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（2）</w:t>
      </w:r>
      <w:r>
        <w:rPr>
          <w:rFonts w:hint="eastAsia" w:ascii="仿宋" w:hAnsi="仿宋" w:eastAsia="仿宋"/>
          <w:b/>
          <w:color w:val="000000"/>
          <w:sz w:val="24"/>
          <w:szCs w:val="24"/>
          <w:highlight w:val="none"/>
        </w:rPr>
        <w:t>院内巡逻队：</w:t>
      </w:r>
      <w:r>
        <w:rPr>
          <w:rFonts w:hint="eastAsia" w:ascii="仿宋" w:hAnsi="仿宋" w:eastAsia="仿宋"/>
          <w:bCs/>
          <w:color w:val="000000"/>
          <w:sz w:val="24"/>
          <w:szCs w:val="24"/>
          <w:highlight w:val="none"/>
        </w:rPr>
        <w:t>拟</w:t>
      </w:r>
      <w:r>
        <w:rPr>
          <w:rFonts w:hint="eastAsia" w:ascii="仿宋" w:hAnsi="仿宋" w:eastAsia="仿宋"/>
          <w:color w:val="000000"/>
          <w:sz w:val="24"/>
          <w:szCs w:val="24"/>
          <w:highlight w:val="none"/>
        </w:rPr>
        <w:t>设置</w:t>
      </w:r>
      <w:r>
        <w:rPr>
          <w:rFonts w:hint="eastAsia" w:ascii="仿宋" w:hAnsi="仿宋" w:eastAsia="仿宋"/>
          <w:color w:val="000000"/>
          <w:sz w:val="24"/>
          <w:szCs w:val="24"/>
          <w:highlight w:val="none"/>
          <w:lang w:val="en-US" w:eastAsia="zh-CN"/>
        </w:rPr>
        <w:t>8</w:t>
      </w:r>
      <w:r>
        <w:rPr>
          <w:rFonts w:hint="eastAsia" w:ascii="仿宋" w:hAnsi="仿宋" w:eastAsia="仿宋"/>
          <w:color w:val="000000"/>
          <w:sz w:val="24"/>
          <w:szCs w:val="24"/>
          <w:highlight w:val="none"/>
        </w:rPr>
        <w:t>人，分白班</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人、夜班</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人（1号楼巡逻队</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人、国家区域医疗中心楼</w:t>
      </w:r>
      <w:r>
        <w:rPr>
          <w:rFonts w:hint="eastAsia" w:ascii="仿宋" w:hAnsi="仿宋" w:eastAsia="仿宋"/>
          <w:color w:val="000000"/>
          <w:sz w:val="24"/>
          <w:szCs w:val="24"/>
          <w:highlight w:val="none"/>
          <w:lang w:val="en-US" w:eastAsia="zh-CN"/>
        </w:rPr>
        <w:t>4</w:t>
      </w:r>
      <w:r>
        <w:rPr>
          <w:rFonts w:hint="eastAsia" w:ascii="仿宋" w:hAnsi="仿宋" w:eastAsia="仿宋"/>
          <w:color w:val="000000"/>
          <w:sz w:val="24"/>
          <w:szCs w:val="24"/>
          <w:highlight w:val="none"/>
        </w:rPr>
        <w:t>人），其职责：按时交接班，不得迟到、早退；做好治安、消防巡查记录；巡查到位，不得漏点或巡查不到位，每2小时巡查1次，每班巡查不少于4次；熟练所有消防设施、“入侵报警系统”和“一键报警系统”的位置及复位；熟悉 “处置突发事件处置预案”和“灭火应急疏散预案”的处置流程；注重个人形象，文明用语、礼貌待人，完成领导交办的临时性任务。</w:t>
      </w:r>
    </w:p>
    <w:p w14:paraId="68324D2B">
      <w:pPr>
        <w:autoSpaceDE w:val="0"/>
        <w:autoSpaceDN w:val="0"/>
        <w:adjustRightInd w:val="0"/>
        <w:snapToGrid w:val="0"/>
        <w:spacing w:line="360" w:lineRule="auto"/>
        <w:ind w:right="210" w:rightChars="100" w:firstLine="480" w:firstLineChars="200"/>
        <w:rPr>
          <w:rFonts w:ascii="仿宋" w:hAnsi="仿宋" w:eastAsia="仿宋"/>
          <w:spacing w:val="6"/>
          <w:kern w:val="0"/>
          <w:sz w:val="24"/>
          <w:szCs w:val="24"/>
          <w:highlight w:val="none"/>
        </w:rPr>
      </w:pPr>
      <w:r>
        <w:rPr>
          <w:rFonts w:hint="eastAsia" w:ascii="仿宋" w:hAnsi="仿宋" w:eastAsia="仿宋"/>
          <w:color w:val="000000"/>
          <w:sz w:val="24"/>
          <w:szCs w:val="24"/>
          <w:highlight w:val="none"/>
        </w:rPr>
        <w:t>（3）</w:t>
      </w:r>
      <w:r>
        <w:rPr>
          <w:rFonts w:hint="eastAsia" w:ascii="仿宋" w:hAnsi="仿宋" w:eastAsia="仿宋"/>
          <w:b/>
          <w:color w:val="000000"/>
          <w:sz w:val="24"/>
          <w:szCs w:val="24"/>
          <w:highlight w:val="none"/>
        </w:rPr>
        <w:t>消防监控岗</w:t>
      </w:r>
      <w:r>
        <w:rPr>
          <w:rFonts w:hint="eastAsia" w:ascii="仿宋" w:hAnsi="仿宋" w:eastAsia="仿宋"/>
          <w:color w:val="000000"/>
          <w:sz w:val="24"/>
          <w:szCs w:val="24"/>
          <w:highlight w:val="none"/>
        </w:rPr>
        <w:t>：设置5人，</w:t>
      </w:r>
      <w:bookmarkStart w:id="18" w:name="OLE_LINK3"/>
      <w:bookmarkStart w:id="19" w:name="OLE_LINK4"/>
      <w:r>
        <w:rPr>
          <w:rFonts w:hint="eastAsia" w:ascii="仿宋" w:hAnsi="仿宋" w:eastAsia="仿宋"/>
          <w:color w:val="000000"/>
          <w:sz w:val="24"/>
          <w:szCs w:val="24"/>
          <w:highlight w:val="none"/>
        </w:rPr>
        <w:t>须持有国家消防操作员中级证</w:t>
      </w:r>
      <w:bookmarkEnd w:id="18"/>
      <w:bookmarkEnd w:id="19"/>
      <w:r>
        <w:rPr>
          <w:rFonts w:hint="eastAsia" w:ascii="仿宋" w:hAnsi="仿宋" w:eastAsia="仿宋"/>
          <w:color w:val="000000"/>
          <w:sz w:val="24"/>
          <w:szCs w:val="24"/>
          <w:highlight w:val="none"/>
        </w:rPr>
        <w:t>，其职责：1、</w:t>
      </w:r>
      <w:r>
        <w:rPr>
          <w:rFonts w:hint="eastAsia" w:ascii="仿宋" w:hAnsi="仿宋" w:eastAsia="仿宋" w:cs="黑体"/>
          <w:spacing w:val="6"/>
          <w:kern w:val="0"/>
          <w:sz w:val="24"/>
          <w:szCs w:val="24"/>
          <w:highlight w:val="none"/>
        </w:rPr>
        <w:t>熟悉本系统所采用消防设施系统基本原理、功能，熟悉视频监控系统及监控设备的基本原理、功能，熟练掌握操作技术，发生火警及突发情况能及时处置并发出指令。2、对消防监控室设备及通讯器材等要进行经常性的检查，定期做好各系统功能试验，以确保消防设施各系统运行状况良好。3、做好交接班工作，认真填写值班记录及系统运行登记表和控制器日检登记表。</w:t>
      </w:r>
    </w:p>
    <w:p w14:paraId="0A5DD3EE">
      <w:pPr>
        <w:spacing w:line="360" w:lineRule="auto"/>
        <w:ind w:right="210" w:rightChars="100" w:firstLine="482" w:firstLineChars="200"/>
        <w:rPr>
          <w:rFonts w:hint="eastAsia" w:ascii="仿宋" w:hAnsi="仿宋" w:eastAsia="仿宋"/>
          <w:b/>
          <w:bCs/>
          <w:color w:val="000000"/>
          <w:sz w:val="24"/>
          <w:szCs w:val="24"/>
          <w:highlight w:val="none"/>
        </w:rPr>
      </w:pPr>
    </w:p>
    <w:p w14:paraId="1E8DA28C">
      <w:pPr>
        <w:spacing w:line="360" w:lineRule="auto"/>
        <w:ind w:right="210" w:rightChars="100" w:firstLine="482" w:firstLineChars="200"/>
        <w:rPr>
          <w:rFonts w:ascii="仿宋" w:hAnsi="仿宋" w:eastAsia="仿宋"/>
          <w:b/>
          <w:bCs/>
          <w:color w:val="000000"/>
          <w:sz w:val="24"/>
          <w:szCs w:val="24"/>
          <w:highlight w:val="none"/>
        </w:rPr>
      </w:pPr>
      <w:r>
        <w:rPr>
          <w:rFonts w:hint="eastAsia" w:ascii="仿宋" w:hAnsi="仿宋" w:eastAsia="仿宋"/>
          <w:b/>
          <w:bCs/>
          <w:color w:val="000000"/>
          <w:sz w:val="24"/>
          <w:szCs w:val="24"/>
          <w:highlight w:val="none"/>
        </w:rPr>
        <w:t>四、安保工作人员的条件和要求</w:t>
      </w:r>
    </w:p>
    <w:p w14:paraId="1740B326">
      <w:pPr>
        <w:spacing w:line="360" w:lineRule="auto"/>
        <w:ind w:right="210" w:rightChars="100" w:firstLine="480" w:firstLineChars="200"/>
        <w:rPr>
          <w:rFonts w:hint="eastAsia" w:ascii="仿宋" w:hAnsi="仿宋" w:eastAsia="仿宋"/>
          <w:sz w:val="24"/>
          <w:szCs w:val="24"/>
          <w:highlight w:val="none"/>
        </w:rPr>
      </w:pPr>
      <w:r>
        <w:rPr>
          <w:rFonts w:hint="eastAsia" w:ascii="仿宋" w:hAnsi="仿宋" w:eastAsia="仿宋"/>
          <w:color w:val="000000"/>
          <w:sz w:val="24"/>
          <w:szCs w:val="24"/>
          <w:highlight w:val="none"/>
        </w:rPr>
        <w:t>1、</w:t>
      </w:r>
      <w:r>
        <w:rPr>
          <w:rFonts w:hint="eastAsia" w:ascii="仿宋" w:hAnsi="仿宋" w:eastAsia="仿宋"/>
          <w:b/>
          <w:color w:val="000000"/>
          <w:sz w:val="24"/>
          <w:szCs w:val="24"/>
          <w:highlight w:val="none"/>
        </w:rPr>
        <w:t>保安队长兼消防专干:</w:t>
      </w:r>
      <w:r>
        <w:rPr>
          <w:rFonts w:hint="eastAsia" w:ascii="仿宋" w:hAnsi="仿宋" w:eastAsia="仿宋"/>
          <w:sz w:val="24"/>
          <w:szCs w:val="24"/>
          <w:highlight w:val="none"/>
        </w:rPr>
        <w:t>要求高中以上，持有国家消防操作员中级证，会电脑操作、会制定应急预案、会组织指挥，懂消防设施的操作，具有一定的管理能力。（退伍军人、警校毕业者优先，须提供相关证件验证)。</w:t>
      </w:r>
    </w:p>
    <w:p w14:paraId="60938DA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w:t>
      </w:r>
      <w:r>
        <w:rPr>
          <w:rFonts w:hint="eastAsia" w:ascii="仿宋" w:hAnsi="仿宋" w:eastAsia="仿宋"/>
          <w:b/>
          <w:color w:val="000000"/>
          <w:sz w:val="24"/>
          <w:szCs w:val="24"/>
          <w:highlight w:val="none"/>
        </w:rPr>
        <w:t>保安队</w:t>
      </w:r>
      <w:r>
        <w:rPr>
          <w:rFonts w:hint="eastAsia" w:ascii="仿宋" w:hAnsi="仿宋" w:eastAsia="仿宋"/>
          <w:b/>
          <w:color w:val="000000"/>
          <w:sz w:val="24"/>
          <w:szCs w:val="24"/>
          <w:highlight w:val="none"/>
          <w:lang w:eastAsia="zh-CN"/>
        </w:rPr>
        <w:t>班</w:t>
      </w:r>
      <w:r>
        <w:rPr>
          <w:rFonts w:hint="eastAsia" w:ascii="仿宋" w:hAnsi="仿宋" w:eastAsia="仿宋"/>
          <w:b/>
          <w:color w:val="000000"/>
          <w:sz w:val="24"/>
          <w:szCs w:val="24"/>
          <w:highlight w:val="none"/>
        </w:rPr>
        <w:t>长:</w:t>
      </w:r>
      <w:r>
        <w:rPr>
          <w:rFonts w:hint="eastAsia" w:ascii="仿宋" w:hAnsi="仿宋" w:eastAsia="仿宋"/>
          <w:color w:val="000000"/>
          <w:sz w:val="24"/>
          <w:szCs w:val="24"/>
          <w:highlight w:val="none"/>
        </w:rPr>
        <w:t>接受乙方和甲方保卫部双重领导和管理。必须保持24小时驻场，处理与安全工作的相关事务。保安班长在队长领导下开展工作。</w:t>
      </w:r>
    </w:p>
    <w:p w14:paraId="15B7829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w:t>
      </w:r>
      <w:r>
        <w:rPr>
          <w:rFonts w:hint="eastAsia" w:ascii="仿宋" w:hAnsi="仿宋" w:eastAsia="仿宋"/>
          <w:b/>
          <w:color w:val="000000"/>
          <w:sz w:val="24"/>
          <w:szCs w:val="24"/>
          <w:highlight w:val="none"/>
        </w:rPr>
        <w:t>保安员年龄</w:t>
      </w:r>
      <w:r>
        <w:rPr>
          <w:rFonts w:hint="eastAsia" w:ascii="仿宋" w:hAnsi="仿宋" w:eastAsia="仿宋"/>
          <w:color w:val="000000"/>
          <w:sz w:val="24"/>
          <w:szCs w:val="24"/>
          <w:highlight w:val="none"/>
        </w:rPr>
        <w:t xml:space="preserve">:＜50岁，身高:身高160cm以上，五官端正，身体健康，无传染病，无残疾，无明显标记，具有高中或以上学历、持有效保安证才能上岗，并要求相对固定人员。 </w:t>
      </w:r>
    </w:p>
    <w:p w14:paraId="6821D11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4、遵纪守法，品行良好，无违法犯罪记录，优先聘用退伍军人和有在医院工作经历者 (提供录用人员审核相关资料)。</w:t>
      </w:r>
    </w:p>
    <w:p w14:paraId="550ED1A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5、少数民族人员必须能双语交流，女保安能上夜班。</w:t>
      </w:r>
    </w:p>
    <w:p w14:paraId="4DEC403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6、所有保安员上岗前必须经过公安部门筛查无犯罪或不良行为记录才能录用。 </w:t>
      </w:r>
    </w:p>
    <w:p w14:paraId="7EDFBBC4">
      <w:pPr>
        <w:spacing w:line="360" w:lineRule="auto"/>
        <w:ind w:right="210" w:rightChars="100" w:firstLine="482" w:firstLineChars="200"/>
        <w:rPr>
          <w:rFonts w:hint="eastAsia" w:ascii="仿宋" w:hAnsi="仿宋" w:eastAsia="仿宋"/>
          <w:b/>
          <w:bCs/>
          <w:color w:val="000000"/>
          <w:sz w:val="24"/>
          <w:szCs w:val="24"/>
          <w:highlight w:val="none"/>
        </w:rPr>
      </w:pPr>
    </w:p>
    <w:p w14:paraId="5582CA58">
      <w:pPr>
        <w:spacing w:line="360" w:lineRule="auto"/>
        <w:ind w:right="210" w:rightChars="100" w:firstLine="482" w:firstLineChars="200"/>
        <w:rPr>
          <w:rFonts w:ascii="仿宋" w:hAnsi="仿宋" w:eastAsia="仿宋"/>
          <w:b/>
          <w:color w:val="000000"/>
          <w:sz w:val="24"/>
          <w:szCs w:val="24"/>
          <w:highlight w:val="none"/>
        </w:rPr>
      </w:pPr>
      <w:r>
        <w:rPr>
          <w:rFonts w:hint="eastAsia" w:ascii="仿宋" w:hAnsi="仿宋" w:eastAsia="仿宋"/>
          <w:b/>
          <w:bCs/>
          <w:color w:val="000000"/>
          <w:sz w:val="24"/>
          <w:szCs w:val="24"/>
          <w:highlight w:val="none"/>
        </w:rPr>
        <w:t>五、</w:t>
      </w:r>
      <w:r>
        <w:rPr>
          <w:rFonts w:hint="eastAsia" w:ascii="仿宋" w:hAnsi="仿宋" w:eastAsia="仿宋"/>
          <w:b/>
          <w:color w:val="000000"/>
          <w:sz w:val="24"/>
          <w:szCs w:val="24"/>
          <w:highlight w:val="none"/>
        </w:rPr>
        <w:t xml:space="preserve">上岗要求 </w:t>
      </w:r>
    </w:p>
    <w:p w14:paraId="2CE9D30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1、必须遵守医院的相关规章制度和管理规定。</w:t>
      </w:r>
    </w:p>
    <w:p w14:paraId="5240519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2、按岗位要求着装统一，整齐，执勤时使用礼貌用语，做到文明执勤。 </w:t>
      </w:r>
    </w:p>
    <w:p w14:paraId="50D40F8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3、值班期间要认真负责，警惕性高，密切注意服务区域内消防治安动态，及时掌握服务区域内的情况。 </w:t>
      </w:r>
    </w:p>
    <w:p w14:paraId="695C461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4、值班期间要服从命令，听从指挥，不能聚众闲谈，看书报、睡觉、听收(录)音机或做与工作无关的事情，夜间巡逻严禁坐而不巡，确保服务区域的安全。时时处处体现医院保安的良好形象。</w:t>
      </w:r>
    </w:p>
    <w:p w14:paraId="39F5366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5、各班次做好交接班工作，并填写有关值班记录。</w:t>
      </w:r>
    </w:p>
    <w:p w14:paraId="2C6A5E9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6、当班人员有较强的责任心，队（班）长要带头做好工作并要多检查督促各个岗位。 </w:t>
      </w:r>
    </w:p>
    <w:p w14:paraId="2EC6BD0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7、爱护医院的财物，做到节能、节约。</w:t>
      </w:r>
    </w:p>
    <w:p w14:paraId="1EF7F5F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8、热情主动地为医院工作人员及患者服务。 </w:t>
      </w:r>
    </w:p>
    <w:p w14:paraId="2E1EF2BF">
      <w:pPr>
        <w:spacing w:line="360" w:lineRule="auto"/>
        <w:ind w:right="210" w:rightChars="100" w:firstLine="480" w:firstLineChars="200"/>
        <w:rPr>
          <w:rFonts w:hint="eastAsia" w:ascii="仿宋" w:hAnsi="仿宋" w:eastAsia="仿宋"/>
          <w:color w:val="000000"/>
          <w:sz w:val="24"/>
          <w:szCs w:val="24"/>
          <w:highlight w:val="none"/>
        </w:rPr>
      </w:pPr>
    </w:p>
    <w:p w14:paraId="68E000A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六、</w:t>
      </w:r>
      <w:r>
        <w:rPr>
          <w:rFonts w:hint="eastAsia" w:ascii="仿宋" w:hAnsi="仿宋" w:eastAsia="仿宋"/>
          <w:b/>
          <w:color w:val="000000"/>
          <w:sz w:val="24"/>
          <w:szCs w:val="24"/>
          <w:highlight w:val="none"/>
        </w:rPr>
        <w:t>岗位职责</w:t>
      </w:r>
      <w:r>
        <w:rPr>
          <w:rFonts w:hint="eastAsia" w:ascii="仿宋" w:hAnsi="仿宋" w:eastAsia="仿宋"/>
          <w:color w:val="000000"/>
          <w:sz w:val="24"/>
          <w:szCs w:val="24"/>
          <w:highlight w:val="none"/>
        </w:rPr>
        <w:t xml:space="preserve">(工作内容) </w:t>
      </w:r>
    </w:p>
    <w:p w14:paraId="11775868">
      <w:pPr>
        <w:spacing w:line="360" w:lineRule="auto"/>
        <w:ind w:right="210" w:rightChars="100" w:firstLine="482" w:firstLineChars="200"/>
        <w:rPr>
          <w:rFonts w:ascii="仿宋" w:hAnsi="仿宋" w:eastAsia="仿宋"/>
          <w:b/>
          <w:color w:val="000000"/>
          <w:sz w:val="24"/>
          <w:szCs w:val="24"/>
          <w:highlight w:val="none"/>
        </w:rPr>
      </w:pPr>
      <w:r>
        <w:rPr>
          <w:rFonts w:hint="eastAsia" w:ascii="仿宋" w:hAnsi="仿宋" w:eastAsia="仿宋"/>
          <w:b/>
          <w:color w:val="000000"/>
          <w:sz w:val="24"/>
          <w:szCs w:val="24"/>
          <w:highlight w:val="none"/>
        </w:rPr>
        <w:t xml:space="preserve">(一)保安队长职责 </w:t>
      </w:r>
    </w:p>
    <w:p w14:paraId="7B22711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1、负责甲方的安全事务包括日常的工作纪律检查和工作安排;</w:t>
      </w:r>
    </w:p>
    <w:p w14:paraId="4CB4F81D">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2、负责各项组织培训，如消防、法律、法规、保安相关业务知识等; </w:t>
      </w:r>
    </w:p>
    <w:p w14:paraId="22EF373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3、负责甲方区域内的消防定期安全检查，组织保安队员消防安全技能培训，学习消防知识及防</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措施;</w:t>
      </w:r>
    </w:p>
    <w:p w14:paraId="5439CE2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4、负责做好各种突发事件、群体事件的处理;并及时上报甲方保卫部; </w:t>
      </w:r>
    </w:p>
    <w:p w14:paraId="7BA2A43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5、做好每月、季度、半年、年终的工作计划及总结报告，各岗位每日巡查记录收汇</w:t>
      </w:r>
      <w:r>
        <w:rPr>
          <w:rFonts w:hint="eastAsia" w:ascii="仿宋" w:hAnsi="仿宋" w:eastAsia="仿宋"/>
          <w:color w:val="000000"/>
          <w:sz w:val="24"/>
          <w:szCs w:val="24"/>
          <w:highlight w:val="none"/>
          <w:lang w:eastAsia="zh-CN"/>
        </w:rPr>
        <w:t>，</w:t>
      </w:r>
      <w:r>
        <w:rPr>
          <w:rFonts w:hint="eastAsia" w:ascii="仿宋" w:hAnsi="仿宋" w:eastAsia="仿宋"/>
          <w:color w:val="000000"/>
          <w:sz w:val="24"/>
          <w:szCs w:val="24"/>
          <w:highlight w:val="none"/>
        </w:rPr>
        <w:t xml:space="preserve">交到甲方保卫部备案; </w:t>
      </w:r>
    </w:p>
    <w:p w14:paraId="14EFD76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6、负责每半月组织保安人员召开安全例会，学习上级安全</w:t>
      </w:r>
      <w:r>
        <w:rPr>
          <w:rFonts w:hint="eastAsia" w:ascii="仿宋" w:hAnsi="仿宋" w:eastAsia="仿宋"/>
          <w:bCs/>
          <w:color w:val="000000"/>
          <w:sz w:val="24"/>
          <w:szCs w:val="24"/>
          <w:highlight w:val="none"/>
        </w:rPr>
        <w:t>文件</w:t>
      </w:r>
      <w:r>
        <w:rPr>
          <w:rFonts w:hint="eastAsia" w:ascii="仿宋" w:hAnsi="仿宋" w:eastAsia="仿宋"/>
          <w:color w:val="000000"/>
          <w:sz w:val="24"/>
          <w:szCs w:val="24"/>
          <w:highlight w:val="none"/>
        </w:rPr>
        <w:t xml:space="preserve">、会议精神，分析近期安全工作形势，汇报近期安全值班工作情况，对平时工作中存在的问题提出改进意见，布置下一阶段的安全工作。 </w:t>
      </w:r>
    </w:p>
    <w:p w14:paraId="3605AED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(二)</w:t>
      </w:r>
      <w:r>
        <w:rPr>
          <w:rFonts w:hint="eastAsia" w:ascii="仿宋" w:hAnsi="仿宋" w:eastAsia="仿宋"/>
          <w:b/>
          <w:color w:val="000000"/>
          <w:sz w:val="24"/>
          <w:szCs w:val="24"/>
          <w:highlight w:val="none"/>
        </w:rPr>
        <w:t>保安员职责</w:t>
      </w:r>
      <w:r>
        <w:rPr>
          <w:rFonts w:hint="eastAsia" w:ascii="仿宋" w:hAnsi="仿宋" w:eastAsia="仿宋"/>
          <w:color w:val="000000"/>
          <w:sz w:val="24"/>
          <w:szCs w:val="24"/>
          <w:highlight w:val="none"/>
        </w:rPr>
        <w:t xml:space="preserve"> 根据甲方安全生产、消防、治安防</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 xml:space="preserve">的要求，担负甲方的消防安全、治安保卫任务。执行门卫、消防和治安巡逻、重点部位的守护，防止火灾事故及各类治安事故的发生，维护甲方正常诊疗秩序及员工、患者的生命财产安全。 </w:t>
      </w:r>
    </w:p>
    <w:p w14:paraId="05C21F6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w:t>
      </w:r>
      <w:r>
        <w:rPr>
          <w:rFonts w:hint="eastAsia" w:ascii="仿宋" w:hAnsi="仿宋" w:eastAsia="仿宋"/>
          <w:b/>
          <w:color w:val="000000"/>
          <w:sz w:val="24"/>
          <w:szCs w:val="24"/>
          <w:highlight w:val="none"/>
        </w:rPr>
        <w:t>医疗区、办公区岗位职责</w:t>
      </w:r>
    </w:p>
    <w:p w14:paraId="48C50108">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(1)熟知保安工作的性质、任务、职能，严格遵守医院及保卫部的各项规章制度和管理规定，时刻维护医院的良好形象。</w:t>
      </w:r>
    </w:p>
    <w:p w14:paraId="5688733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（2）熟悉管辖范围楼宇的分布情况，维持人员密集场所(尤其是收费、取药窗口和电梯门前)的排队秩序，做好防盗、防骗的宣传工作。</w:t>
      </w:r>
    </w:p>
    <w:p w14:paraId="1B987BC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（3）注意观察四周，发现需要帮助的对象时，应立即主动并热情地引导患者挂号及耐心解答患者及家属的询问。</w:t>
      </w:r>
    </w:p>
    <w:p w14:paraId="1DB6072F">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（4）劝止医疗区公共部分的吸烟行为，指引吸烟者到吸烟区。</w:t>
      </w:r>
    </w:p>
    <w:p w14:paraId="7713578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（5）防止乞讨者、拾废品者、精神患者、推销、医托、医药代表、派发虚假医疗广告人员的进入医疗区内活动。</w:t>
      </w:r>
    </w:p>
    <w:p w14:paraId="1A0DBD4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（6）禁止人员携带宠物和骑自行车人员进入门诊大楼。</w:t>
      </w:r>
    </w:p>
    <w:p w14:paraId="0F44804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（7）对喧哗吵闹的行为及躺在医疗区候诊椅上休息、睡觉的闲杂人员进行劝止。</w:t>
      </w:r>
    </w:p>
    <w:p w14:paraId="370E0D49">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（8）患者与医务人员发生纠纷时要及时赶到现场，了解事情起因，能自行处理的要及时处理，不能处理的要及时报告。</w:t>
      </w:r>
    </w:p>
    <w:p w14:paraId="70A0595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（9）每2小时进行一次治安、消防巡查，在固定点打点签到，并做好巡查登记，发现治安、消防隐患要及时上报。</w:t>
      </w:r>
    </w:p>
    <w:p w14:paraId="34D03B0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（10）按时开、关公共部分的灯、空调及管辖区域的门。 </w:t>
      </w:r>
    </w:p>
    <w:p w14:paraId="199D8DF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（11）诊室医务人员下班后，值班队员应查看各楼层诊室和收费室的门是否锁好，收费室内的设备是否齐全，发现问题及时通知相关科室，并做好记录。</w:t>
      </w:r>
    </w:p>
    <w:p w14:paraId="53D0E5B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（12）巡逻队员除巡查外，人员定岗在门诊大厅及急诊科候诊区，负责处理门急诊突发事件，定岗队员不得无故离开自己岗位。 </w:t>
      </w:r>
    </w:p>
    <w:p w14:paraId="28095B9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（13）当班队员执勤时如遇到水电、电梯故障和大面积的环境卫生问题时应通知相关部门处理。</w:t>
      </w:r>
    </w:p>
    <w:p w14:paraId="7CAE8AD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（14）值班队员午餐和晚餐、上厕所时间应错开，时间为半小时。</w:t>
      </w:r>
    </w:p>
    <w:p w14:paraId="79C786F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（15）按规定在指定岗位坐岗、倒班或休息，其余时间一律站岗或巡查。 </w:t>
      </w:r>
    </w:p>
    <w:p w14:paraId="49B1F10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（16）对进入医院办公区、医疗区的来访或办事人员，要文明执勤，并进行详细询问和登记。 </w:t>
      </w:r>
    </w:p>
    <w:p w14:paraId="541034A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（17）遇陌生人员携带大件物品出办公楼、医疗区时，应询问及检查清楚，携带物品人员的特征、时间、物品的特征、数量等情况加以核实。</w:t>
      </w:r>
    </w:p>
    <w:p w14:paraId="12121B0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18）办公区正常时间下班后，值班队员每天19:30分必须对各楼层进行仔细巡查;查看各办公室门是否锁好;登记办公室加班人员情况;是否还有闲杂人员逗留;关闭好各层楼的安全通道门，并于第二天早上办公区上班前打开所有安全通道门。</w:t>
      </w:r>
    </w:p>
    <w:p w14:paraId="546E245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（19）服从保卫部和消防监控中心值班队员的工作调动，在接到突发事件、案情、火警的出警，2分钟内到达现场处理;</w:t>
      </w:r>
    </w:p>
    <w:p w14:paraId="4F9968F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（20）认真完成医院领导交办的其他临时性工作。 </w:t>
      </w:r>
    </w:p>
    <w:p w14:paraId="60C02FF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w:t>
      </w:r>
      <w:r>
        <w:rPr>
          <w:rFonts w:hint="eastAsia" w:ascii="仿宋" w:hAnsi="仿宋" w:eastAsia="仿宋"/>
          <w:b/>
          <w:color w:val="000000"/>
          <w:sz w:val="24"/>
          <w:szCs w:val="24"/>
          <w:highlight w:val="none"/>
        </w:rPr>
        <w:t>巡逻队职责</w:t>
      </w:r>
    </w:p>
    <w:p w14:paraId="5C23CB7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（1）负责院内(医疗区、办公区、宿舍区，家属区)的巡逻，熟悉巡逻区域内的各类设施、物品，了解各区域的安全设施情况，做到腿勤、手勤、眼亮，对可疑情况及时发现、及时查明、及时处理、及时报告; </w:t>
      </w:r>
    </w:p>
    <w:p w14:paraId="6CB1C65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（2）保持高度警惕性，细心观察周围的事物和动态，对可疑情况和人员要立即予以询问、盘查，对现行违法犯罪要立即制止，并报保卫部和公安部门处理;</w:t>
      </w:r>
    </w:p>
    <w:p w14:paraId="45FA79F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（3）检查重点部位的窗和门锁，发现问题及时处理;</w:t>
      </w:r>
    </w:p>
    <w:p w14:paraId="04F4392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（4）检查公共区域的电源线路(目视检查，禁止手动检查)和水管管道有无损坏，发现问题立即报告后勤部门检修; </w:t>
      </w:r>
    </w:p>
    <w:p w14:paraId="1EAC46B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（5）巡逻中如有闻到异味，听到可疑响声，要立即查明情况并报告; </w:t>
      </w:r>
    </w:p>
    <w:p w14:paraId="09F5116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（6）责任区域内发生重大刑事案件、医疗纠纷、火灾、打架斗殴、跳楼、抢尸体等其它群体事件，应第一时间赶到现场，控制场面和维护现场秩序，并及时报告保卫部及公安部门，并协助公安部门做好善后处理; </w:t>
      </w:r>
    </w:p>
    <w:p w14:paraId="7FD9C3E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（7）发现危险物品，要立即查明情况并作安全处理，同时报告保卫部;</w:t>
      </w:r>
    </w:p>
    <w:p w14:paraId="171C446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（8）负责排查责任区的各类消防隐患，做好重点部位每日2小时一次防火巡查登记，发现火警火灾立即组织扑救并迅速报消防监控中心; </w:t>
      </w:r>
    </w:p>
    <w:p w14:paraId="2F10C94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（9）检查各部门的治安防</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 xml:space="preserve">情况，发现问题及时通知有关部门并报保卫部; </w:t>
      </w:r>
    </w:p>
    <w:p w14:paraId="32F054E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（10）负责清查、驱赶责任区</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围内的散发广告、医托、推销、捡拾垃圾等闲杂人员，严禁闲杂人员在院内游逛或过夜;</w:t>
      </w:r>
    </w:p>
    <w:p w14:paraId="4AC71E5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（11）维护管辖岗位的秩序，做好防盗防抢安全宣传工作;</w:t>
      </w:r>
    </w:p>
    <w:p w14:paraId="1A9BAF8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（12）负责院内公共区域空调、照明灯具等的开关，做好节约用电措施; </w:t>
      </w:r>
    </w:p>
    <w:p w14:paraId="6EB0931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（13）巡查家属内是否有饲养家禽和宠物的现象，如果有，要求其停止饲养家禽和看管好自己的宠物; </w:t>
      </w:r>
    </w:p>
    <w:p w14:paraId="3D4B1BD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（14）服从监控值班队员的工作调动，在接到突发事件、案情、火警的出警，2分钟内到达现场处理; </w:t>
      </w:r>
    </w:p>
    <w:p w14:paraId="0052478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（15）认真完成医院领导交办的其他临时性工作。</w:t>
      </w:r>
    </w:p>
    <w:p w14:paraId="7D25FEB2">
      <w:pPr>
        <w:spacing w:line="360" w:lineRule="auto"/>
        <w:ind w:right="210" w:rightChars="100" w:firstLine="482" w:firstLineChars="200"/>
        <w:rPr>
          <w:rFonts w:hint="eastAsia" w:ascii="仿宋" w:hAnsi="仿宋" w:eastAsia="仿宋"/>
          <w:b/>
          <w:bCs/>
          <w:color w:val="000000"/>
          <w:sz w:val="24"/>
          <w:szCs w:val="24"/>
          <w:highlight w:val="none"/>
        </w:rPr>
      </w:pPr>
    </w:p>
    <w:p w14:paraId="3FC8A4B0">
      <w:pPr>
        <w:spacing w:line="360" w:lineRule="auto"/>
        <w:ind w:right="210" w:rightChars="100" w:firstLine="482" w:firstLineChars="200"/>
        <w:rPr>
          <w:rFonts w:ascii="仿宋" w:hAnsi="仿宋" w:eastAsia="仿宋"/>
          <w:b/>
          <w:bCs/>
          <w:color w:val="000000"/>
          <w:sz w:val="24"/>
          <w:szCs w:val="24"/>
          <w:highlight w:val="none"/>
        </w:rPr>
      </w:pPr>
      <w:r>
        <w:rPr>
          <w:rFonts w:hint="eastAsia" w:ascii="仿宋" w:hAnsi="仿宋" w:eastAsia="仿宋"/>
          <w:b/>
          <w:bCs/>
          <w:color w:val="000000"/>
          <w:sz w:val="24"/>
          <w:szCs w:val="24"/>
          <w:highlight w:val="none"/>
        </w:rPr>
        <w:t xml:space="preserve">七、保安员管理制度 </w:t>
      </w:r>
    </w:p>
    <w:p w14:paraId="26A106F1">
      <w:pPr>
        <w:spacing w:line="360" w:lineRule="auto"/>
        <w:ind w:right="210" w:rightChars="100" w:firstLine="480" w:firstLineChars="200"/>
        <w:rPr>
          <w:rFonts w:ascii="仿宋" w:hAnsi="仿宋" w:eastAsia="仿宋"/>
          <w:b/>
          <w:color w:val="000000"/>
          <w:sz w:val="24"/>
          <w:szCs w:val="24"/>
          <w:highlight w:val="none"/>
        </w:rPr>
      </w:pPr>
      <w:r>
        <w:rPr>
          <w:rFonts w:hint="eastAsia" w:ascii="仿宋" w:hAnsi="仿宋" w:eastAsia="仿宋"/>
          <w:color w:val="000000"/>
          <w:sz w:val="24"/>
          <w:szCs w:val="24"/>
          <w:highlight w:val="none"/>
        </w:rPr>
        <w:t>（一）</w:t>
      </w:r>
      <w:r>
        <w:rPr>
          <w:rFonts w:hint="eastAsia" w:ascii="仿宋" w:hAnsi="仿宋" w:eastAsia="仿宋"/>
          <w:b/>
          <w:color w:val="000000"/>
          <w:sz w:val="24"/>
          <w:szCs w:val="24"/>
          <w:highlight w:val="none"/>
        </w:rPr>
        <w:t xml:space="preserve">交接班制度 </w:t>
      </w:r>
    </w:p>
    <w:p w14:paraId="6222BBB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1、按时交接班，接班人应提前十五分钟到达岗位。接班人员未到达前，当班人员不能提前离岗。 </w:t>
      </w:r>
    </w:p>
    <w:p w14:paraId="70C7082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2、交接班必须做到三清:</w:t>
      </w:r>
      <w:r>
        <w:rPr>
          <w:rFonts w:hint="eastAsia" w:ascii="仿宋" w:hAnsi="仿宋" w:eastAsia="仿宋"/>
          <w:bCs/>
          <w:color w:val="000000"/>
          <w:sz w:val="24"/>
          <w:szCs w:val="24"/>
          <w:highlight w:val="none"/>
        </w:rPr>
        <w:t>本</w:t>
      </w:r>
      <w:r>
        <w:rPr>
          <w:rFonts w:hint="eastAsia" w:ascii="仿宋" w:hAnsi="仿宋" w:eastAsia="仿宋"/>
          <w:color w:val="000000"/>
          <w:sz w:val="24"/>
          <w:szCs w:val="24"/>
          <w:highlight w:val="none"/>
        </w:rPr>
        <w:t>班情况清、交接的问题清、物品及器械清;三明:上班情况明、</w:t>
      </w:r>
      <w:r>
        <w:rPr>
          <w:rFonts w:hint="eastAsia" w:ascii="仿宋" w:hAnsi="仿宋" w:eastAsia="仿宋"/>
          <w:bCs/>
          <w:color w:val="000000"/>
          <w:sz w:val="24"/>
          <w:szCs w:val="24"/>
          <w:highlight w:val="none"/>
        </w:rPr>
        <w:t>本</w:t>
      </w:r>
      <w:r>
        <w:rPr>
          <w:rFonts w:hint="eastAsia" w:ascii="仿宋" w:hAnsi="仿宋" w:eastAsia="仿宋"/>
          <w:color w:val="000000"/>
          <w:sz w:val="24"/>
          <w:szCs w:val="24"/>
          <w:highlight w:val="none"/>
        </w:rPr>
        <w:t xml:space="preserve">班交接的事情明、物品和器械清点明。 </w:t>
      </w:r>
    </w:p>
    <w:p w14:paraId="0276E5E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3、当班人员发现的问题要及时处理，不能移交给下班的事情要继续在岗处理完，接班人协助完成。 </w:t>
      </w:r>
    </w:p>
    <w:p w14:paraId="3628BF7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4、交接时要做好记录并签名。</w:t>
      </w:r>
    </w:p>
    <w:p w14:paraId="1A3F699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(二)</w:t>
      </w:r>
      <w:r>
        <w:rPr>
          <w:rFonts w:hint="eastAsia" w:ascii="仿宋" w:hAnsi="仿宋" w:eastAsia="仿宋"/>
          <w:b/>
          <w:color w:val="000000"/>
          <w:sz w:val="24"/>
          <w:szCs w:val="24"/>
          <w:highlight w:val="none"/>
        </w:rPr>
        <w:t>着装规定</w:t>
      </w:r>
      <w:r>
        <w:rPr>
          <w:rFonts w:hint="eastAsia" w:ascii="仿宋" w:hAnsi="仿宋" w:eastAsia="仿宋"/>
          <w:color w:val="000000"/>
          <w:sz w:val="24"/>
          <w:szCs w:val="24"/>
          <w:highlight w:val="none"/>
        </w:rPr>
        <w:t xml:space="preserve"> </w:t>
      </w:r>
    </w:p>
    <w:p w14:paraId="13457BD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1、统一着装，要求举止文明、大方、得体，精神抖擞。 </w:t>
      </w:r>
    </w:p>
    <w:p w14:paraId="428C9FED">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2、不得外挂饰物，口袋内不宜装过多物品。 </w:t>
      </w:r>
    </w:p>
    <w:p w14:paraId="41BF450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3、禁止披衣、敞怀、挽袖、卷裤腿、戴歪帽、穿拖鞋或赤脚。 </w:t>
      </w:r>
    </w:p>
    <w:p w14:paraId="2BC807C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4、除不宜或者不需要着装的情形外，在工作时间必须着保安制服。</w:t>
      </w:r>
    </w:p>
    <w:p w14:paraId="1E85C97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5、着保安制服时，要按规定佩戴保安标志。 </w:t>
      </w:r>
    </w:p>
    <w:p w14:paraId="6D2989A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6、保安制服不准与便服混穿，不同季节的保安制服不准混穿。 </w:t>
      </w:r>
    </w:p>
    <w:p w14:paraId="06106F6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(三)</w:t>
      </w:r>
      <w:r>
        <w:rPr>
          <w:rFonts w:hint="eastAsia" w:ascii="仿宋" w:hAnsi="仿宋" w:eastAsia="仿宋"/>
          <w:b/>
          <w:color w:val="000000"/>
          <w:sz w:val="24"/>
          <w:szCs w:val="24"/>
          <w:highlight w:val="none"/>
        </w:rPr>
        <w:t>形象规定</w:t>
      </w:r>
      <w:r>
        <w:rPr>
          <w:rFonts w:hint="eastAsia" w:ascii="仿宋" w:hAnsi="仿宋" w:eastAsia="仿宋"/>
          <w:color w:val="000000"/>
          <w:sz w:val="24"/>
          <w:szCs w:val="24"/>
          <w:highlight w:val="none"/>
        </w:rPr>
        <w:t xml:space="preserve"> </w:t>
      </w:r>
    </w:p>
    <w:p w14:paraId="5EA44BF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1、经常注意检查和保持仪表整洁。</w:t>
      </w:r>
    </w:p>
    <w:p w14:paraId="162B30B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2、不准留长发、染发、蓄胡子、留长指甲、戴首饰;头发不得露于帽檐外，帽檐下头发长不得超过1.5厘米;鼻毛不得露出鼻孔。</w:t>
      </w:r>
    </w:p>
    <w:p w14:paraId="3BAD264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3、做到精神振作、姿态良好、抬头挺胸;不准弯腰驼背、东倒西歪、前倾后靠、伸懒腰;不袖手、背手、叉腰或将手插入口袋中;执勤中不准吸烟、吃零食、不勾肩搭背；做到站如松、坐如钟、动如风。</w:t>
      </w:r>
    </w:p>
    <w:p w14:paraId="74D6A0E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4、不准哼歌、吹口哨、玩手机、看书报。 </w:t>
      </w:r>
    </w:p>
    <w:p w14:paraId="36198D9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5、不得随地吐痰，乱丢杂物。</w:t>
      </w:r>
    </w:p>
    <w:p w14:paraId="3DB1740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6、不挖耳、抠鼻孔，不敲桌椅、跺脚或玩弄其他物品。 </w:t>
      </w:r>
    </w:p>
    <w:p w14:paraId="73C045F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7、做到“微笑服务”，待客友善、热诚，文明礼貌用语。 </w:t>
      </w:r>
    </w:p>
    <w:p w14:paraId="013BFF9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8、巡逻时2人成列，3人成行。</w:t>
      </w:r>
    </w:p>
    <w:p w14:paraId="47102E49">
      <w:pPr>
        <w:spacing w:line="360" w:lineRule="auto"/>
        <w:ind w:right="210" w:rightChars="100" w:firstLine="482" w:firstLineChars="200"/>
        <w:rPr>
          <w:rFonts w:ascii="仿宋" w:hAnsi="仿宋" w:eastAsia="仿宋"/>
          <w:b/>
          <w:bCs/>
          <w:color w:val="000000"/>
          <w:sz w:val="24"/>
          <w:szCs w:val="24"/>
          <w:highlight w:val="none"/>
        </w:rPr>
      </w:pPr>
      <w:r>
        <w:rPr>
          <w:rFonts w:hint="eastAsia" w:ascii="仿宋" w:hAnsi="仿宋" w:eastAsia="仿宋"/>
          <w:b/>
          <w:bCs/>
          <w:color w:val="000000"/>
          <w:sz w:val="24"/>
          <w:szCs w:val="24"/>
          <w:highlight w:val="none"/>
        </w:rPr>
        <w:t xml:space="preserve">(四)岗位纪律 </w:t>
      </w:r>
    </w:p>
    <w:p w14:paraId="14FB0B6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1、严格在法律规定的</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 xml:space="preserve">围内开展保安服务工作，不准超越职责权限。 </w:t>
      </w:r>
    </w:p>
    <w:p w14:paraId="5B1D417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2、严格履行岗位职责，不准做与保安服务无关的事情。 </w:t>
      </w:r>
    </w:p>
    <w:p w14:paraId="774EEFC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3、不准刁难群众。 </w:t>
      </w:r>
    </w:p>
    <w:p w14:paraId="6302313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4、不准脱岗、空岗、睡岗，不准迟到、早退。</w:t>
      </w:r>
    </w:p>
    <w:p w14:paraId="6DEDA52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5、遵守医院内部的各项规章制度，对医院内部的机密事项，不准随意打听、记录、传播。</w:t>
      </w:r>
    </w:p>
    <w:p w14:paraId="2E90462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6、要爱护公物。 </w:t>
      </w:r>
    </w:p>
    <w:p w14:paraId="4EBE903F">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7、有重要情况要妥善处置并及时上报。不准迟报、漏报、隐瞒不报。 </w:t>
      </w:r>
    </w:p>
    <w:p w14:paraId="61B5CF4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8、热情主动地为医院工作人员及患者服务。 </w:t>
      </w:r>
    </w:p>
    <w:p w14:paraId="790FAA84">
      <w:pPr>
        <w:spacing w:line="360" w:lineRule="auto"/>
        <w:ind w:right="210" w:rightChars="100" w:firstLine="482" w:firstLineChars="200"/>
        <w:rPr>
          <w:rFonts w:ascii="仿宋" w:hAnsi="仿宋" w:eastAsia="仿宋"/>
          <w:color w:val="000000"/>
          <w:sz w:val="24"/>
          <w:szCs w:val="24"/>
          <w:highlight w:val="none"/>
        </w:rPr>
      </w:pPr>
      <w:r>
        <w:rPr>
          <w:rFonts w:hint="eastAsia" w:ascii="仿宋" w:hAnsi="仿宋" w:eastAsia="仿宋"/>
          <w:b/>
          <w:color w:val="000000"/>
          <w:sz w:val="24"/>
          <w:szCs w:val="24"/>
          <w:highlight w:val="none"/>
        </w:rPr>
        <w:t>(五)培训制度</w:t>
      </w:r>
      <w:r>
        <w:rPr>
          <w:rFonts w:hint="eastAsia" w:ascii="仿宋" w:hAnsi="仿宋" w:eastAsia="仿宋"/>
          <w:color w:val="000000"/>
          <w:sz w:val="24"/>
          <w:szCs w:val="24"/>
          <w:highlight w:val="none"/>
        </w:rPr>
        <w:t xml:space="preserve"> </w:t>
      </w:r>
    </w:p>
    <w:p w14:paraId="55F93AC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w:t>
      </w:r>
      <w:r>
        <w:rPr>
          <w:rFonts w:hint="eastAsia" w:ascii="仿宋" w:hAnsi="仿宋" w:eastAsia="仿宋"/>
          <w:b/>
          <w:color w:val="000000"/>
          <w:sz w:val="24"/>
          <w:szCs w:val="24"/>
          <w:highlight w:val="none"/>
        </w:rPr>
        <w:t>培训内容</w:t>
      </w:r>
      <w:r>
        <w:rPr>
          <w:rFonts w:hint="eastAsia" w:ascii="仿宋" w:hAnsi="仿宋" w:eastAsia="仿宋"/>
          <w:color w:val="000000"/>
          <w:sz w:val="24"/>
          <w:szCs w:val="24"/>
          <w:highlight w:val="none"/>
        </w:rPr>
        <w:t xml:space="preserve"> </w:t>
      </w:r>
    </w:p>
    <w:p w14:paraId="6E3F0BB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（1）组织学习相关规定法律法规知识，公安部及省、市有关保安服务行业的有关规定及《保安员岗位职责》、《保安员奖惩制度》等。 </w:t>
      </w:r>
    </w:p>
    <w:p w14:paraId="39879D1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（2）军训、治安消防技能训练等。 </w:t>
      </w:r>
    </w:p>
    <w:p w14:paraId="05C70D6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2、</w:t>
      </w:r>
      <w:r>
        <w:rPr>
          <w:rFonts w:hint="eastAsia" w:ascii="仿宋" w:hAnsi="仿宋" w:eastAsia="仿宋"/>
          <w:b/>
          <w:color w:val="000000"/>
          <w:sz w:val="24"/>
          <w:szCs w:val="24"/>
          <w:highlight w:val="none"/>
        </w:rPr>
        <w:t>培训规定</w:t>
      </w:r>
      <w:r>
        <w:rPr>
          <w:rFonts w:hint="eastAsia" w:ascii="仿宋" w:hAnsi="仿宋" w:eastAsia="仿宋"/>
          <w:color w:val="000000"/>
          <w:sz w:val="24"/>
          <w:szCs w:val="24"/>
          <w:highlight w:val="none"/>
        </w:rPr>
        <w:t xml:space="preserve"> </w:t>
      </w:r>
    </w:p>
    <w:p w14:paraId="21DA5AC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（1）按计划、有步骤、有重点的进行培训。 </w:t>
      </w:r>
    </w:p>
    <w:p w14:paraId="64184B1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（2）保安员必须在试用期内学完培训内容，能够熟记各自岗位的职责及规程，能够熟悉医院与其相关的有关规定，考核合格后方可上岗。 </w:t>
      </w:r>
    </w:p>
    <w:p w14:paraId="18321D3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（3）要求全体保安员认真的参加培训，填写《培训记录》，考核成绩作为评优的成绩之一，不参加或培训不认真的按有关规定处理。 </w:t>
      </w:r>
    </w:p>
    <w:p w14:paraId="278200F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（4）培训考核不合格的按辞退处理。 </w:t>
      </w:r>
    </w:p>
    <w:p w14:paraId="6CAF813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3、</w:t>
      </w:r>
      <w:r>
        <w:rPr>
          <w:rFonts w:hint="eastAsia" w:ascii="仿宋" w:hAnsi="仿宋" w:eastAsia="仿宋"/>
          <w:b/>
          <w:color w:val="000000"/>
          <w:sz w:val="24"/>
          <w:szCs w:val="24"/>
          <w:highlight w:val="none"/>
        </w:rPr>
        <w:t>培训时间</w:t>
      </w:r>
      <w:r>
        <w:rPr>
          <w:rFonts w:hint="eastAsia" w:ascii="仿宋" w:hAnsi="仿宋" w:eastAsia="仿宋"/>
          <w:color w:val="000000"/>
          <w:sz w:val="24"/>
          <w:szCs w:val="24"/>
          <w:highlight w:val="none"/>
        </w:rPr>
        <w:t xml:space="preserve">：每周不少于3小时。 </w:t>
      </w:r>
    </w:p>
    <w:p w14:paraId="23B398CD">
      <w:pPr>
        <w:spacing w:line="360" w:lineRule="auto"/>
        <w:ind w:right="210" w:rightChars="100" w:firstLine="482" w:firstLineChars="200"/>
        <w:rPr>
          <w:rFonts w:hint="eastAsia" w:ascii="仿宋" w:hAnsi="仿宋" w:eastAsia="仿宋"/>
          <w:b/>
          <w:color w:val="000000"/>
          <w:sz w:val="24"/>
          <w:szCs w:val="24"/>
          <w:highlight w:val="none"/>
        </w:rPr>
      </w:pPr>
    </w:p>
    <w:p w14:paraId="6CEE6881">
      <w:pPr>
        <w:spacing w:line="360" w:lineRule="auto"/>
        <w:ind w:right="210" w:rightChars="100" w:firstLine="482" w:firstLineChars="200"/>
        <w:rPr>
          <w:rFonts w:ascii="仿宋" w:hAnsi="仿宋" w:eastAsia="仿宋"/>
          <w:color w:val="000000"/>
          <w:sz w:val="24"/>
          <w:szCs w:val="24"/>
          <w:highlight w:val="none"/>
        </w:rPr>
      </w:pPr>
      <w:r>
        <w:rPr>
          <w:rFonts w:hint="eastAsia" w:ascii="仿宋" w:hAnsi="仿宋" w:eastAsia="仿宋"/>
          <w:b/>
          <w:color w:val="000000"/>
          <w:sz w:val="24"/>
          <w:szCs w:val="24"/>
          <w:highlight w:val="none"/>
        </w:rPr>
        <w:t>八、总体要求</w:t>
      </w:r>
      <w:r>
        <w:rPr>
          <w:rFonts w:hint="eastAsia" w:ascii="仿宋" w:hAnsi="仿宋" w:eastAsia="仿宋"/>
          <w:color w:val="000000"/>
          <w:sz w:val="24"/>
          <w:szCs w:val="24"/>
          <w:highlight w:val="none"/>
        </w:rPr>
        <w:t xml:space="preserve"> </w:t>
      </w:r>
    </w:p>
    <w:p w14:paraId="38C4901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1、乙方须设立24小时支援与服务电话，及时提供服务和处理有关事宜，保证</w:t>
      </w:r>
      <w:r>
        <w:rPr>
          <w:rFonts w:hint="eastAsia" w:ascii="仿宋" w:hAnsi="仿宋" w:eastAsia="仿宋"/>
          <w:bCs/>
          <w:color w:val="000000"/>
          <w:sz w:val="24"/>
          <w:szCs w:val="24"/>
          <w:highlight w:val="none"/>
        </w:rPr>
        <w:t>本</w:t>
      </w:r>
      <w:r>
        <w:rPr>
          <w:rFonts w:hint="eastAsia" w:ascii="仿宋" w:hAnsi="仿宋" w:eastAsia="仿宋"/>
          <w:color w:val="000000"/>
          <w:sz w:val="24"/>
          <w:szCs w:val="24"/>
          <w:highlight w:val="none"/>
        </w:rPr>
        <w:t xml:space="preserve">派驻点遇紧急情况需保安支援时，100%满足要求; </w:t>
      </w:r>
    </w:p>
    <w:p w14:paraId="010DC72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2、甲方对岗位设置具有决定权，遇到突发事件、重大疫情或紧急情况乙方派驻的人员必须服从甲方保卫部统一调度，甲方保卫部对乙方的服务质量进行监督和考评。 </w:t>
      </w:r>
    </w:p>
    <w:p w14:paraId="70F58A2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3、乙方对所录用的保安员要严格政审，保证所录用的保安员没有违法犯罪记录，热爱保安事业，健康状况良好、无精神病史，并将录用情况书面提供给甲方保卫部。 </w:t>
      </w:r>
    </w:p>
    <w:p w14:paraId="68C0ADD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4、乙方保安员应遵纪守法，认真履行岗位职责，文明执勤，在岗期间不允许窜岗，正常上下班时办公楼保安需向甲方领导敬礼。按岗位要求统一着装，注意仪表仪容，使用文明礼貌用语，说普通话。 </w:t>
      </w:r>
    </w:p>
    <w:p w14:paraId="6A0BB6A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乙方须根据《新疆保安服务管理条例实施细则》实施管理，并按要求自备制服(结合甲方情况制定制服)、对讲机、电筒等。首次交接时，甲方可将现有装备移交给乙方使用，乙方应对移交装备进行维护和保养，确保装备完好率，如发生损坏、丢失，由乙方负责赔偿。 </w:t>
      </w:r>
    </w:p>
    <w:p w14:paraId="7B3AF49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6、乙方对其人员实行准军事化管理，每周不少于3小时的业务培训和素质教育，做好培训记录，相关业务培训所发生的费用由乙方负责。因管理不善，保安员内部所发生的一切问题，全部责任由乙方承担。同时，保安人员在执行任务中受到人身伤害，由乙方负全责。 </w:t>
      </w:r>
    </w:p>
    <w:p w14:paraId="129A5F8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7、实行优质服务，优质管理，为甲方提供文明礼貌、主动热情周到的服务，最大限度满足甲方服务质量的要求。 </w:t>
      </w:r>
    </w:p>
    <w:p w14:paraId="13ACF6AD">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8、如乙方员工有监守自盗行为，一经发现核实，按财产损失价值5倍处罚服务公司，乙方须开除当事员工。如发生火灾、治安、交通、刑事等事故，经核实，是因乙方管理疏忽、玩忽职守、处理不当所造成的，按事故责任进行赔偿。必要时追诉乙方的刑事责任。 </w:t>
      </w:r>
    </w:p>
    <w:p w14:paraId="3C549C89">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9、乙方应保证保安管理服务调查的满意度达到90%-95%以上。 </w:t>
      </w:r>
    </w:p>
    <w:p w14:paraId="3EBD9DE8">
      <w:pPr>
        <w:spacing w:line="360" w:lineRule="auto"/>
        <w:ind w:right="210" w:rightChars="100" w:firstLine="482" w:firstLineChars="200"/>
        <w:rPr>
          <w:rFonts w:hint="eastAsia" w:ascii="仿宋" w:hAnsi="仿宋" w:eastAsia="仿宋"/>
          <w:b/>
          <w:color w:val="000000"/>
          <w:sz w:val="24"/>
          <w:szCs w:val="24"/>
          <w:highlight w:val="none"/>
        </w:rPr>
      </w:pPr>
    </w:p>
    <w:p w14:paraId="64560E2A">
      <w:pPr>
        <w:spacing w:line="360" w:lineRule="auto"/>
        <w:ind w:right="210" w:rightChars="100" w:firstLine="482" w:firstLineChars="200"/>
        <w:rPr>
          <w:rFonts w:ascii="仿宋" w:hAnsi="仿宋" w:eastAsia="仿宋"/>
          <w:color w:val="000000"/>
          <w:sz w:val="24"/>
          <w:szCs w:val="24"/>
          <w:highlight w:val="none"/>
        </w:rPr>
      </w:pPr>
      <w:r>
        <w:rPr>
          <w:rFonts w:hint="eastAsia" w:ascii="仿宋" w:hAnsi="仿宋" w:eastAsia="仿宋"/>
          <w:b/>
          <w:color w:val="000000"/>
          <w:sz w:val="24"/>
          <w:szCs w:val="24"/>
          <w:highlight w:val="none"/>
        </w:rPr>
        <w:t>九、服务要求</w:t>
      </w:r>
      <w:r>
        <w:rPr>
          <w:rFonts w:hint="eastAsia" w:ascii="仿宋" w:hAnsi="仿宋" w:eastAsia="仿宋"/>
          <w:color w:val="000000"/>
          <w:sz w:val="24"/>
          <w:szCs w:val="24"/>
          <w:highlight w:val="none"/>
        </w:rPr>
        <w:t xml:space="preserve"> </w:t>
      </w:r>
    </w:p>
    <w:p w14:paraId="7440A80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1、甲方确定值勤岗位及要求后，由乙方根据甲方提供的岗位职责进行完善，报甲方保卫部批准后组织实施。乙方全天候24小时对甲方各区域进行治安巡查、消防监控及参与突发事件的处理(主要为甲方</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 xml:space="preserve">围内火灾的发现、报警、初起火灾的救援、治安突发、群体性、重大疫情应急病区的警戒及看守、自然灾害等事件)。 </w:t>
      </w:r>
    </w:p>
    <w:p w14:paraId="252DE43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2、维护甲方的正常医疗秩序，保障甲方内所有人员的人身和财产安全，保护甲方的设施和设备及各类财产不受损失，预防各类政治、刑事案件、治安事件和火灾事故的发生。 </w:t>
      </w:r>
    </w:p>
    <w:p w14:paraId="59A6A084">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3、配合公安机关、甲方保卫部做好信息的收集工作，防止各类敌对势力的破坏和渗透，对发现的可疑情况和线索应及时向甲方保卫部报告。 </w:t>
      </w:r>
    </w:p>
    <w:p w14:paraId="2E85056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4、负责甲方财务收费款及重要设备的安全，确保不发生任何事故。 </w:t>
      </w:r>
    </w:p>
    <w:p w14:paraId="6BBA4CAC">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5、组织人员对院内安全存在的隐患进行查找，及时报告不安全因素，并配合甲方保卫部进行整改。 </w:t>
      </w:r>
    </w:p>
    <w:p w14:paraId="40076447">
      <w:pPr>
        <w:spacing w:line="360" w:lineRule="auto"/>
        <w:ind w:right="210" w:rightChars="100" w:firstLine="480" w:firstLineChars="200"/>
        <w:rPr>
          <w:rFonts w:ascii="仿宋" w:hAnsi="仿宋" w:eastAsia="仿宋"/>
          <w:strike/>
          <w:color w:val="000000"/>
          <w:sz w:val="24"/>
          <w:szCs w:val="24"/>
          <w:highlight w:val="none"/>
        </w:rPr>
      </w:pPr>
      <w:r>
        <w:rPr>
          <w:rFonts w:hint="eastAsia" w:ascii="仿宋" w:hAnsi="仿宋" w:eastAsia="仿宋"/>
          <w:color w:val="000000"/>
          <w:sz w:val="24"/>
          <w:szCs w:val="24"/>
          <w:highlight w:val="none"/>
        </w:rPr>
        <w:t>6、全体保安员均为义务消防员，乙方应对保安员进行岗前培训，特别是消防技能的培训，使保安员具有一定的业务素质。</w:t>
      </w:r>
    </w:p>
    <w:p w14:paraId="027C6D7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7、全体保安员均为应急救援队员，乙方应对保安员进行培训，特别是快速反应应急救援培训，当发生火灾、恶性治安案件、重大疫情应急病区的警戒及其它自然灾害突发事件时，3分钟内须有保安员赶到现场掌控局面。 </w:t>
      </w:r>
    </w:p>
    <w:p w14:paraId="7C2A083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8、乙方建立完善的各项应急救援方案(火警、爆炸、投毒、群体性事件、其它破坏、盗窃、电梯困人解救等)，并根据突发治安事件的规模和严重程度、事发时间(白天和夜间)制定大、中、小型突发治安事件应急保卫小组的组织方式或应急预案启动方法、处理流程等并按要求进行演练，确保各类突发事件得到快速、妥善处理。防止甲方区域内重大火灾、治安、交通、刑事等事件发生。 </w:t>
      </w:r>
    </w:p>
    <w:p w14:paraId="39B8C64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9、乙方应建立完善的管理制度。包括保安队管理制度、接报警制度、消防管理制度、车辆管理制度、值班巡逻制度、交接班制度、奖惩制度、军事训练制度、会议制度、安全汇报制度及向甲方保卫部提供一份详细年度计划。 </w:t>
      </w:r>
    </w:p>
    <w:p w14:paraId="31D3213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10、积极配合甲方做好与安全相关的宣传工作(服务公司必须保证每年有一次对甲方开展安全宣传教育的活动)。 </w:t>
      </w:r>
    </w:p>
    <w:p w14:paraId="75BCD94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11、乙方每周把甲方所发生的一些重要情况如实以书面形式汇报到甲方保卫部，每月、季度、半年、年终分别做好事件记录及总结，并交到甲方保卫部备案。 </w:t>
      </w:r>
    </w:p>
    <w:p w14:paraId="1F8414A5">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12、具体岗位设置由甲方最后确定。岗位一经确定，乙方应按时按量安排保安完成任务，不得随意减少岗位，因服务改造和岗位调整，甲方可根据岗位实际需要在允许的</w:t>
      </w:r>
      <w:r>
        <w:rPr>
          <w:rFonts w:hint="eastAsia" w:ascii="仿宋" w:hAnsi="仿宋" w:eastAsia="仿宋"/>
          <w:bCs/>
          <w:color w:val="000000"/>
          <w:sz w:val="24"/>
          <w:szCs w:val="24"/>
          <w:highlight w:val="none"/>
        </w:rPr>
        <w:t>范</w:t>
      </w:r>
      <w:r>
        <w:rPr>
          <w:rFonts w:hint="eastAsia" w:ascii="仿宋" w:hAnsi="仿宋" w:eastAsia="仿宋"/>
          <w:color w:val="000000"/>
          <w:sz w:val="24"/>
          <w:szCs w:val="24"/>
          <w:highlight w:val="none"/>
        </w:rPr>
        <w:t xml:space="preserve">围内增减保安员数量，每个保安员增减的承包年费用按中标单位的中标总价除以中标时所报保安员总人数的平均价计算。其他临时性任务，乙方应根据甲方保卫部需要派人完成，甲方不再另行支付费用。  </w:t>
      </w:r>
    </w:p>
    <w:p w14:paraId="41EC8DB6">
      <w:pPr>
        <w:spacing w:line="360" w:lineRule="auto"/>
        <w:ind w:right="210" w:rightChars="100" w:firstLine="482" w:firstLineChars="200"/>
        <w:rPr>
          <w:rFonts w:hint="eastAsia" w:ascii="仿宋" w:hAnsi="仿宋" w:eastAsia="仿宋"/>
          <w:b/>
          <w:color w:val="000000"/>
          <w:sz w:val="24"/>
          <w:szCs w:val="24"/>
          <w:highlight w:val="none"/>
        </w:rPr>
      </w:pPr>
    </w:p>
    <w:p w14:paraId="723FFE48">
      <w:pPr>
        <w:spacing w:line="360" w:lineRule="auto"/>
        <w:ind w:right="210" w:rightChars="100" w:firstLine="482" w:firstLineChars="200"/>
        <w:rPr>
          <w:rFonts w:ascii="仿宋" w:hAnsi="仿宋" w:eastAsia="仿宋"/>
          <w:color w:val="000000"/>
          <w:sz w:val="24"/>
          <w:szCs w:val="24"/>
          <w:highlight w:val="none"/>
        </w:rPr>
      </w:pPr>
      <w:r>
        <w:rPr>
          <w:rFonts w:hint="eastAsia" w:ascii="仿宋" w:hAnsi="仿宋" w:eastAsia="仿宋"/>
          <w:b/>
          <w:color w:val="000000"/>
          <w:sz w:val="24"/>
          <w:szCs w:val="24"/>
          <w:highlight w:val="none"/>
        </w:rPr>
        <w:t xml:space="preserve">十、服务质量监控 </w:t>
      </w:r>
    </w:p>
    <w:p w14:paraId="21521541">
      <w:pPr>
        <w:spacing w:line="360" w:lineRule="auto"/>
        <w:ind w:right="210" w:rightChars="100" w:firstLine="480" w:firstLineChars="200"/>
        <w:rPr>
          <w:rFonts w:ascii="仿宋" w:hAnsi="仿宋" w:eastAsia="仿宋"/>
          <w:b/>
          <w:color w:val="000000"/>
          <w:sz w:val="24"/>
          <w:szCs w:val="24"/>
          <w:highlight w:val="none"/>
        </w:rPr>
      </w:pPr>
      <w:r>
        <w:rPr>
          <w:rFonts w:hint="eastAsia" w:ascii="仿宋" w:hAnsi="仿宋" w:eastAsia="仿宋"/>
          <w:color w:val="000000"/>
          <w:sz w:val="24"/>
          <w:szCs w:val="24"/>
          <w:highlight w:val="none"/>
        </w:rPr>
        <w:t>1.</w:t>
      </w:r>
      <w:r>
        <w:rPr>
          <w:rFonts w:hint="eastAsia" w:ascii="仿宋" w:hAnsi="仿宋" w:eastAsia="仿宋"/>
          <w:b/>
          <w:color w:val="000000"/>
          <w:sz w:val="24"/>
          <w:szCs w:val="24"/>
          <w:highlight w:val="none"/>
        </w:rPr>
        <w:t xml:space="preserve">管理服务总体目标监控 </w:t>
      </w:r>
    </w:p>
    <w:p w14:paraId="78174FF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（1）树立服务第一的思想，为甲方创造安全、舒适、文明的医疗环境及居住环境。 </w:t>
      </w:r>
    </w:p>
    <w:p w14:paraId="06563532">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实行优质服务，优质管理，为甲方提供礼貌、主动、热情、周到的服务，最大限度满足其服务要求。甲方成立项目质量管理小组，每季度组织由乙方参与的服务满意度调查，向甲方职工随机发放80份调查表(保安服务满意调查表见附件二)，调查表回收率达到90%以上(含90%)，调查满意度达90%-95%，不扣服务费;乙方在履行合同中出现客户满意度在80%--85%(含80%)，扣服务费1000元;乙方在履行合同中凡出现客户满意度在79%以下(含79%)，扣服务费2000元。 </w:t>
      </w:r>
    </w:p>
    <w:p w14:paraId="6D7D1506">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（3）乙方对突发事件处理的及时率为100%，接报警处理率达100%，回复率达100%。 </w:t>
      </w:r>
    </w:p>
    <w:p w14:paraId="7F962D7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（4）甲方质量管理小组每月对中标人的服务质量按《北京儿童医院新疆医院</w:t>
      </w:r>
      <w:r>
        <w:rPr>
          <w:rFonts w:hint="eastAsia" w:ascii="仿宋" w:hAnsi="仿宋" w:eastAsia="仿宋"/>
          <w:bCs/>
          <w:color w:val="000000"/>
          <w:sz w:val="24"/>
          <w:szCs w:val="24"/>
          <w:highlight w:val="none"/>
        </w:rPr>
        <w:t>保安</w:t>
      </w:r>
      <w:r>
        <w:rPr>
          <w:rFonts w:hint="eastAsia" w:ascii="仿宋" w:hAnsi="仿宋" w:eastAsia="仿宋"/>
          <w:color w:val="000000"/>
          <w:sz w:val="24"/>
          <w:szCs w:val="24"/>
          <w:highlight w:val="none"/>
        </w:rPr>
        <w:t xml:space="preserve">服务质量考核表》(见附件一)进行考核，考评结果与保安服务费挂钩，具体考核如下:①得分85≥分的，免扣;②80≥得分＜85分的，扣下月保安服务费的1%;③75≥得分＜80分的，扣下月保安服务费的3%;④得分＜75分的，警告，扣下月保安服务费的5%。 </w:t>
      </w:r>
    </w:p>
    <w:p w14:paraId="7B712D4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（5）乙方必须保证派驻保安员的稳定性，如保安员有调离或离职，提前一周告知甲方，调离或离职人员离开之前，跟班人员必须有一个星期的跟班熟悉时间。 </w:t>
      </w:r>
    </w:p>
    <w:p w14:paraId="06B705FA">
      <w:pPr>
        <w:spacing w:line="360" w:lineRule="auto"/>
        <w:ind w:right="210" w:rightChars="100" w:firstLine="482" w:firstLineChars="200"/>
        <w:rPr>
          <w:rFonts w:ascii="仿宋" w:hAnsi="仿宋" w:eastAsia="仿宋"/>
          <w:b/>
          <w:color w:val="000000"/>
          <w:sz w:val="24"/>
          <w:szCs w:val="24"/>
          <w:highlight w:val="none"/>
        </w:rPr>
      </w:pPr>
      <w:r>
        <w:rPr>
          <w:rFonts w:hint="eastAsia" w:ascii="仿宋" w:hAnsi="仿宋" w:eastAsia="仿宋"/>
          <w:b/>
          <w:color w:val="000000"/>
          <w:sz w:val="24"/>
          <w:szCs w:val="24"/>
          <w:highlight w:val="none"/>
        </w:rPr>
        <w:t xml:space="preserve">2.管理服务责任与监控方式 </w:t>
      </w:r>
    </w:p>
    <w:p w14:paraId="2152C7A7">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（1）由甲方保卫部对乙方的工作进行监督检查和协调沟通。 </w:t>
      </w:r>
    </w:p>
    <w:p w14:paraId="0A64851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（2）乙方项目经理需主动与甲方保卫部联络，定时征求意见并改进工作。 </w:t>
      </w:r>
    </w:p>
    <w:p w14:paraId="1D77ED93">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（3）如甲方范围内发生公有财物被盗案件，系由于乙方保安员失职、渎职所造成的，乙方须赔偿相应损失。 </w:t>
      </w:r>
    </w:p>
    <w:p w14:paraId="22DD4FA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甲方工作人员、住院病人、就医者人身伤亡和财产损失是由于乙方监管不力造成的，如果损失人提出赔偿而且经公安、司法程序确定或其它相关法律规定必须承担相应责任或做出赔偿的，由乙方承担相应责任和负责赔偿。 </w:t>
      </w:r>
    </w:p>
    <w:p w14:paraId="0FFF7DB7">
      <w:pPr>
        <w:spacing w:line="360" w:lineRule="auto"/>
        <w:ind w:right="210" w:rightChars="100" w:firstLine="482" w:firstLineChars="200"/>
        <w:rPr>
          <w:rFonts w:hint="eastAsia" w:ascii="仿宋" w:hAnsi="仿宋" w:eastAsia="仿宋"/>
          <w:b/>
          <w:color w:val="000000"/>
          <w:sz w:val="24"/>
          <w:szCs w:val="24"/>
          <w:highlight w:val="none"/>
        </w:rPr>
      </w:pPr>
    </w:p>
    <w:p w14:paraId="0697E958">
      <w:pPr>
        <w:spacing w:line="360" w:lineRule="auto"/>
        <w:ind w:right="210" w:rightChars="100" w:firstLine="482" w:firstLineChars="200"/>
        <w:rPr>
          <w:rFonts w:ascii="仿宋" w:hAnsi="仿宋" w:eastAsia="仿宋"/>
          <w:color w:val="000000"/>
          <w:sz w:val="24"/>
          <w:szCs w:val="24"/>
          <w:highlight w:val="none"/>
        </w:rPr>
      </w:pPr>
      <w:r>
        <w:rPr>
          <w:rFonts w:hint="eastAsia" w:ascii="仿宋" w:hAnsi="仿宋" w:eastAsia="仿宋"/>
          <w:b/>
          <w:color w:val="000000"/>
          <w:sz w:val="24"/>
          <w:szCs w:val="24"/>
          <w:highlight w:val="none"/>
        </w:rPr>
        <w:t xml:space="preserve">十一、其他事项 </w:t>
      </w:r>
    </w:p>
    <w:p w14:paraId="3853586D">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乙方应严格执行《中华人民共和国劳动合同法》和地方有关劳动用工的相关法规，承担所录用保安员的工资和社会保险等费用，否则由此引发的劳动纠纷由乙方承担，甲方不承担连带关系和责任。保安员发生违反计划生育行为的，由乙方自行解决并承担所有责任。</w:t>
      </w:r>
    </w:p>
    <w:p w14:paraId="37BBEFCE">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2.建议乙方对甲方现有保安员优先录用，以保持工作的延续性和工作质量，同时，给予相宜的待遇，保持稳定。 </w:t>
      </w:r>
    </w:p>
    <w:p w14:paraId="3F8F130D">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3.乙方不得将委托管理项目转包给第三方管理，不允许分包或转包管理责任和管理事宜。 </w:t>
      </w:r>
    </w:p>
    <w:p w14:paraId="65CEF48B">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4.甲方如有重要检查、重要嘉宾参观以及其它重要活动时提前通知，乙方应根据甲方保卫部要求加强保安服务。若遇火警、地震、大风等特殊情况，要立即组织应急小组配合甲方进行抢险。 </w:t>
      </w:r>
    </w:p>
    <w:p w14:paraId="0A83407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5.甲方协助乙方对保安员进行工作所需疾病预防知识的培训和服务指导。 </w:t>
      </w:r>
    </w:p>
    <w:p w14:paraId="77624B70">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十二、</w:t>
      </w:r>
      <w:r>
        <w:rPr>
          <w:rFonts w:hint="eastAsia" w:ascii="仿宋" w:hAnsi="仿宋" w:eastAsia="仿宋"/>
          <w:b/>
          <w:color w:val="000000"/>
          <w:sz w:val="24"/>
          <w:szCs w:val="24"/>
          <w:highlight w:val="none"/>
        </w:rPr>
        <w:t xml:space="preserve">履约保证金 </w:t>
      </w:r>
    </w:p>
    <w:p w14:paraId="321E7B38">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1、乙方应在合同签订后5个工作日内，向甲方交付合同服务费总金额的</w:t>
      </w:r>
      <w:r>
        <w:rPr>
          <w:rFonts w:hint="eastAsia" w:ascii="仿宋" w:hAnsi="仿宋" w:eastAsia="仿宋"/>
          <w:b/>
          <w:bCs/>
          <w:color w:val="000000"/>
          <w:sz w:val="24"/>
          <w:szCs w:val="24"/>
          <w:highlight w:val="none"/>
        </w:rPr>
        <w:t>3%</w:t>
      </w:r>
      <w:r>
        <w:rPr>
          <w:rFonts w:hint="eastAsia" w:ascii="仿宋" w:hAnsi="仿宋" w:eastAsia="仿宋"/>
          <w:color w:val="000000"/>
          <w:sz w:val="24"/>
          <w:szCs w:val="24"/>
          <w:highlight w:val="none"/>
        </w:rPr>
        <w:t xml:space="preserve">作为履约保证金，履约保证金以支票或银行转帐方式支付。 </w:t>
      </w:r>
    </w:p>
    <w:p w14:paraId="0BC59D31">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2、若乙方在签订合同后,开始保安服务之日起30日内未向物业所在地的公安机关备案，甲方有权终止合同。 </w:t>
      </w:r>
    </w:p>
    <w:p w14:paraId="7211546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3、在解除或终止合同时，乙方在办理退场交接手续时必须保证稳定安全交接，如到期后离场产生骚乱的，甲方有权没收履约保证金，造成采购人经济或声誉损失的，除没收履约保证金外，甲方将追究法律责任。 </w:t>
      </w:r>
    </w:p>
    <w:p w14:paraId="5179CA57">
      <w:pPr>
        <w:spacing w:line="360" w:lineRule="auto"/>
        <w:ind w:right="210" w:rightChars="100" w:firstLine="480" w:firstLineChars="200"/>
        <w:rPr>
          <w:rFonts w:hint="eastAsia" w:ascii="仿宋" w:hAnsi="仿宋" w:eastAsia="仿宋"/>
          <w:color w:val="000000"/>
          <w:sz w:val="24"/>
          <w:szCs w:val="24"/>
          <w:highlight w:val="none"/>
        </w:rPr>
      </w:pPr>
      <w:r>
        <w:rPr>
          <w:rFonts w:hint="eastAsia" w:ascii="仿宋" w:hAnsi="仿宋" w:eastAsia="仿宋"/>
          <w:color w:val="000000"/>
          <w:sz w:val="24"/>
          <w:szCs w:val="24"/>
          <w:highlight w:val="none"/>
        </w:rPr>
        <w:t xml:space="preserve">4、若乙方没有违约行为，履约保证金在合同期满，稳定交接后15个工作日内一次无息返还。 </w:t>
      </w:r>
    </w:p>
    <w:p w14:paraId="1812205E">
      <w:pPr>
        <w:spacing w:line="360" w:lineRule="auto"/>
        <w:ind w:right="210" w:rightChars="100" w:firstLine="480" w:firstLineChars="200"/>
        <w:rPr>
          <w:rFonts w:hint="eastAsia" w:ascii="仿宋" w:hAnsi="仿宋" w:eastAsia="仿宋"/>
          <w:color w:val="000000"/>
          <w:sz w:val="24"/>
          <w:szCs w:val="24"/>
          <w:highlight w:val="none"/>
        </w:rPr>
      </w:pPr>
    </w:p>
    <w:p w14:paraId="47A7280A">
      <w:pPr>
        <w:spacing w:line="360" w:lineRule="auto"/>
        <w:ind w:right="210" w:rightChars="100" w:firstLine="480" w:firstLineChars="200"/>
        <w:rPr>
          <w:rFonts w:ascii="仿宋" w:hAnsi="仿宋" w:eastAsia="仿宋"/>
          <w:color w:val="000000"/>
          <w:sz w:val="24"/>
          <w:szCs w:val="24"/>
          <w:highlight w:val="none"/>
        </w:rPr>
      </w:pPr>
      <w:r>
        <w:rPr>
          <w:rFonts w:hint="eastAsia" w:ascii="仿宋" w:hAnsi="仿宋" w:eastAsia="仿宋"/>
          <w:color w:val="000000"/>
          <w:sz w:val="24"/>
          <w:szCs w:val="24"/>
          <w:highlight w:val="none"/>
        </w:rPr>
        <w:t>十三、</w:t>
      </w:r>
      <w:r>
        <w:rPr>
          <w:rFonts w:hint="eastAsia" w:ascii="仿宋" w:hAnsi="仿宋" w:eastAsia="仿宋"/>
          <w:b/>
          <w:color w:val="000000"/>
          <w:sz w:val="24"/>
          <w:szCs w:val="24"/>
          <w:highlight w:val="none"/>
        </w:rPr>
        <w:t>付款方式</w:t>
      </w:r>
      <w:r>
        <w:rPr>
          <w:rFonts w:hint="eastAsia" w:ascii="仿宋" w:hAnsi="仿宋" w:eastAsia="仿宋"/>
          <w:color w:val="000000"/>
          <w:sz w:val="24"/>
          <w:szCs w:val="24"/>
          <w:highlight w:val="none"/>
        </w:rPr>
        <w:t xml:space="preserve"> </w:t>
      </w:r>
    </w:p>
    <w:p w14:paraId="18B43EB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2"/>
          <w:szCs w:val="22"/>
          <w:highlight w:val="none"/>
          <w:lang w:val="en-US" w:eastAsia="zh-CN"/>
        </w:rPr>
      </w:pPr>
      <w:r>
        <w:rPr>
          <w:rFonts w:hint="eastAsia" w:ascii="仿宋" w:hAnsi="仿宋" w:eastAsia="仿宋"/>
          <w:color w:val="000000"/>
          <w:sz w:val="24"/>
          <w:szCs w:val="24"/>
          <w:highlight w:val="none"/>
        </w:rPr>
        <w:t>乙方于每月5日前向甲方提交上月提供服务于本项目所有员工的工资收入清单、服务质量考核表及发票等相关资料，甲方以月付方式在每月25日前通过银行划帐至乙方帐户，支付上月的委托管理服务费。</w:t>
      </w:r>
    </w:p>
    <w:p w14:paraId="15ECB9F3">
      <w:pPr>
        <w:spacing w:line="560" w:lineRule="exact"/>
        <w:ind w:right="210" w:rightChars="100"/>
        <w:jc w:val="center"/>
        <w:rPr>
          <w:rFonts w:ascii="宋体" w:hAnsi="宋体" w:cs="宋体"/>
          <w:b/>
          <w:bCs/>
          <w:kern w:val="0"/>
          <w:sz w:val="36"/>
          <w:szCs w:val="36"/>
          <w:highlight w:val="none"/>
        </w:rPr>
      </w:pPr>
      <w:r>
        <w:rPr>
          <w:rFonts w:hint="eastAsia" w:ascii="仿宋" w:hAnsi="仿宋" w:eastAsia="仿宋" w:cs="仿宋"/>
          <w:highlight w:val="none"/>
          <w:lang w:val="en-US" w:eastAsia="zh-CN"/>
        </w:rPr>
        <w:br w:type="page"/>
      </w:r>
      <w:r>
        <w:rPr>
          <w:rFonts w:hint="eastAsia" w:ascii="宋体" w:hAnsi="宋体" w:cs="宋体"/>
          <w:b/>
          <w:bCs/>
          <w:kern w:val="0"/>
          <w:sz w:val="36"/>
          <w:szCs w:val="36"/>
          <w:highlight w:val="none"/>
        </w:rPr>
        <w:t>北京儿童医院新疆医院第三方公司（保安公司、消防公司、车场管理公司）考核办法</w:t>
      </w:r>
    </w:p>
    <w:p w14:paraId="3DD38B57">
      <w:pPr>
        <w:spacing w:line="560" w:lineRule="exact"/>
        <w:ind w:right="210" w:rightChars="100" w:firstLine="480" w:firstLineChars="200"/>
        <w:jc w:val="center"/>
        <w:rPr>
          <w:rFonts w:ascii="仿宋" w:hAnsi="仿宋" w:eastAsia="仿宋"/>
          <w:sz w:val="24"/>
          <w:szCs w:val="24"/>
          <w:highlight w:val="none"/>
        </w:rPr>
      </w:pPr>
    </w:p>
    <w:p w14:paraId="11788A25">
      <w:pPr>
        <w:spacing w:line="560" w:lineRule="exact"/>
        <w:ind w:right="210" w:rightChars="100" w:firstLine="560" w:firstLineChars="200"/>
        <w:rPr>
          <w:rFonts w:ascii="仿宋" w:hAnsi="仿宋" w:eastAsia="仿宋"/>
          <w:sz w:val="28"/>
          <w:szCs w:val="28"/>
          <w:highlight w:val="none"/>
        </w:rPr>
      </w:pPr>
      <w:r>
        <w:rPr>
          <w:rFonts w:hint="eastAsia" w:ascii="仿宋" w:hAnsi="仿宋" w:eastAsia="仿宋"/>
          <w:sz w:val="28"/>
          <w:szCs w:val="28"/>
          <w:highlight w:val="none"/>
        </w:rPr>
        <w:t>为提高第三方服务公司工作质量，调动职工积极性，奖优罚劣，确保公司所有人员工作规范、安全、高效运行，结合工作实际，特制定北京儿童医院新疆医院第三方服务公司量化考核办法。</w:t>
      </w:r>
    </w:p>
    <w:p w14:paraId="7D2A49C3">
      <w:pPr>
        <w:spacing w:line="560" w:lineRule="exact"/>
        <w:ind w:right="210" w:rightChars="100" w:firstLine="562" w:firstLineChars="200"/>
        <w:rPr>
          <w:rFonts w:ascii="仿宋" w:hAnsi="仿宋" w:eastAsia="仿宋"/>
          <w:b/>
          <w:sz w:val="28"/>
          <w:szCs w:val="28"/>
          <w:highlight w:val="none"/>
        </w:rPr>
      </w:pPr>
      <w:r>
        <w:rPr>
          <w:rFonts w:hint="eastAsia" w:ascii="仿宋" w:hAnsi="仿宋" w:eastAsia="仿宋"/>
          <w:b/>
          <w:sz w:val="28"/>
          <w:szCs w:val="28"/>
          <w:highlight w:val="none"/>
        </w:rPr>
        <w:t>一、</w:t>
      </w:r>
      <w:r>
        <w:rPr>
          <w:rFonts w:hint="eastAsia" w:ascii="仿宋" w:hAnsi="仿宋" w:eastAsia="仿宋" w:cs="宋体"/>
          <w:b/>
          <w:bCs/>
          <w:kern w:val="0"/>
          <w:sz w:val="28"/>
          <w:szCs w:val="28"/>
          <w:highlight w:val="none"/>
        </w:rPr>
        <w:t>考评组成员</w:t>
      </w:r>
      <w:r>
        <w:rPr>
          <w:rFonts w:hint="eastAsia" w:ascii="仿宋" w:hAnsi="仿宋" w:eastAsia="仿宋"/>
          <w:b/>
          <w:sz w:val="28"/>
          <w:szCs w:val="28"/>
          <w:highlight w:val="none"/>
        </w:rPr>
        <w:t>:</w:t>
      </w:r>
      <w:r>
        <w:rPr>
          <w:rFonts w:hint="eastAsia" w:ascii="仿宋" w:hAnsi="仿宋" w:eastAsia="仿宋"/>
          <w:sz w:val="28"/>
          <w:szCs w:val="28"/>
          <w:highlight w:val="none"/>
        </w:rPr>
        <w:t>欧德科、邵秀菊、孟强、王蒲乔、哈力木拉提·提力瓦力地</w:t>
      </w:r>
    </w:p>
    <w:p w14:paraId="03E5D26D">
      <w:pPr>
        <w:spacing w:line="560" w:lineRule="exact"/>
        <w:ind w:right="210" w:rightChars="100" w:firstLine="562" w:firstLineChars="200"/>
        <w:rPr>
          <w:rFonts w:ascii="仿宋" w:hAnsi="仿宋" w:eastAsia="仿宋"/>
          <w:sz w:val="28"/>
          <w:szCs w:val="28"/>
          <w:highlight w:val="none"/>
        </w:rPr>
      </w:pPr>
      <w:r>
        <w:rPr>
          <w:rFonts w:hint="eastAsia" w:ascii="仿宋" w:hAnsi="仿宋" w:eastAsia="仿宋"/>
          <w:b/>
          <w:sz w:val="28"/>
          <w:szCs w:val="28"/>
          <w:highlight w:val="none"/>
        </w:rPr>
        <w:t>二、</w:t>
      </w:r>
      <w:r>
        <w:rPr>
          <w:rFonts w:hint="eastAsia" w:ascii="仿宋" w:hAnsi="仿宋" w:eastAsia="仿宋" w:cs="宋体"/>
          <w:b/>
          <w:bCs/>
          <w:kern w:val="0"/>
          <w:sz w:val="28"/>
          <w:szCs w:val="28"/>
          <w:highlight w:val="none"/>
        </w:rPr>
        <w:t>考核评分标准</w:t>
      </w:r>
      <w:r>
        <w:rPr>
          <w:rFonts w:hint="eastAsia" w:ascii="仿宋" w:hAnsi="仿宋" w:eastAsia="仿宋"/>
          <w:sz w:val="28"/>
          <w:szCs w:val="28"/>
          <w:highlight w:val="none"/>
        </w:rPr>
        <w:t>：</w:t>
      </w:r>
    </w:p>
    <w:p w14:paraId="41648BC7">
      <w:pPr>
        <w:spacing w:line="560" w:lineRule="exact"/>
        <w:ind w:right="210" w:rightChars="100" w:firstLine="560" w:firstLineChars="200"/>
        <w:rPr>
          <w:rFonts w:ascii="仿宋" w:hAnsi="仿宋" w:eastAsia="仿宋"/>
          <w:sz w:val="28"/>
          <w:szCs w:val="28"/>
          <w:highlight w:val="none"/>
        </w:rPr>
      </w:pPr>
      <w:r>
        <w:rPr>
          <w:rFonts w:hint="eastAsia" w:ascii="仿宋" w:hAnsi="仿宋" w:eastAsia="仿宋"/>
          <w:sz w:val="28"/>
          <w:szCs w:val="28"/>
          <w:highlight w:val="none"/>
        </w:rPr>
        <w:t>1、按照《量化考核评分标准》，月考核分三个档次，优秀：95分-100分；优良：90分-95分；一般：80分以下（不合格）；保卫部结合公司月工作情况，打分考核，按照对应档次予以考核，考核中两次不合格，再加倍考核基础上，公司法人主动到医院诫勉谈话，也作为公司信誉记录。</w:t>
      </w:r>
    </w:p>
    <w:p w14:paraId="4811B278">
      <w:pPr>
        <w:spacing w:line="560" w:lineRule="exact"/>
        <w:ind w:right="210" w:rightChars="100" w:firstLine="560" w:firstLineChars="200"/>
        <w:rPr>
          <w:rFonts w:ascii="仿宋" w:hAnsi="仿宋" w:eastAsia="仿宋"/>
          <w:sz w:val="28"/>
          <w:szCs w:val="28"/>
          <w:highlight w:val="none"/>
        </w:rPr>
      </w:pPr>
      <w:r>
        <w:rPr>
          <w:rFonts w:hint="eastAsia" w:ascii="仿宋" w:hAnsi="仿宋" w:eastAsia="仿宋"/>
          <w:sz w:val="28"/>
          <w:szCs w:val="28"/>
          <w:highlight w:val="none"/>
        </w:rPr>
        <w:t>2、公司量化考核分值标准：100元/分—1000元/分，情节严重加倍处罚。</w:t>
      </w:r>
    </w:p>
    <w:p w14:paraId="28B3C58E">
      <w:pPr>
        <w:spacing w:line="560" w:lineRule="exact"/>
        <w:ind w:right="210" w:rightChars="100" w:firstLine="562" w:firstLineChars="200"/>
        <w:rPr>
          <w:rFonts w:ascii="仿宋" w:hAnsi="仿宋" w:eastAsia="仿宋"/>
          <w:b/>
          <w:sz w:val="28"/>
          <w:szCs w:val="28"/>
          <w:highlight w:val="none"/>
        </w:rPr>
      </w:pPr>
      <w:r>
        <w:rPr>
          <w:rFonts w:hint="eastAsia" w:ascii="仿宋" w:hAnsi="仿宋" w:eastAsia="仿宋"/>
          <w:b/>
          <w:sz w:val="28"/>
          <w:szCs w:val="28"/>
          <w:highlight w:val="none"/>
        </w:rPr>
        <w:t>三、</w:t>
      </w:r>
      <w:r>
        <w:rPr>
          <w:rFonts w:hint="eastAsia" w:ascii="仿宋" w:hAnsi="仿宋" w:eastAsia="仿宋" w:cs="宋体"/>
          <w:b/>
          <w:bCs/>
          <w:kern w:val="0"/>
          <w:sz w:val="28"/>
          <w:szCs w:val="28"/>
          <w:highlight w:val="none"/>
        </w:rPr>
        <w:t>考核办法</w:t>
      </w:r>
      <w:r>
        <w:rPr>
          <w:rFonts w:hint="eastAsia" w:ascii="仿宋" w:hAnsi="仿宋" w:eastAsia="仿宋"/>
          <w:b/>
          <w:sz w:val="28"/>
          <w:szCs w:val="28"/>
          <w:highlight w:val="none"/>
        </w:rPr>
        <w:t>：</w:t>
      </w:r>
    </w:p>
    <w:p w14:paraId="60190854">
      <w:pPr>
        <w:spacing w:line="560" w:lineRule="exact"/>
        <w:ind w:right="210" w:rightChars="100" w:firstLine="560" w:firstLineChars="200"/>
        <w:rPr>
          <w:rFonts w:ascii="仿宋" w:hAnsi="仿宋" w:eastAsia="仿宋"/>
          <w:sz w:val="28"/>
          <w:szCs w:val="28"/>
          <w:highlight w:val="none"/>
        </w:rPr>
      </w:pPr>
      <w:r>
        <w:rPr>
          <w:rFonts w:hint="eastAsia" w:ascii="仿宋" w:hAnsi="仿宋" w:eastAsia="仿宋"/>
          <w:sz w:val="28"/>
          <w:szCs w:val="28"/>
          <w:highlight w:val="none"/>
        </w:rPr>
        <w:t>保卫部对公司人员日检查、周巡逻人员打点和月视频录像考核汇总情况，累加总分为公司该月考核成绩，对等档次予以考核。</w:t>
      </w:r>
    </w:p>
    <w:p w14:paraId="396B2782">
      <w:pPr>
        <w:spacing w:line="560" w:lineRule="exact"/>
        <w:ind w:right="210" w:rightChars="100" w:firstLine="560" w:firstLineChars="200"/>
        <w:rPr>
          <w:rFonts w:hint="eastAsia" w:ascii="仿宋" w:hAnsi="仿宋" w:eastAsia="仿宋" w:cs="宋体"/>
          <w:b/>
          <w:bCs/>
          <w:kern w:val="0"/>
          <w:sz w:val="28"/>
          <w:szCs w:val="28"/>
          <w:highlight w:val="none"/>
        </w:rPr>
      </w:pPr>
      <w:r>
        <w:rPr>
          <w:rFonts w:hint="eastAsia" w:ascii="仿宋" w:hAnsi="仿宋" w:eastAsia="仿宋"/>
          <w:sz w:val="28"/>
          <w:szCs w:val="28"/>
          <w:highlight w:val="none"/>
        </w:rPr>
        <w:t>附：</w:t>
      </w:r>
      <w:r>
        <w:rPr>
          <w:rFonts w:hint="eastAsia" w:ascii="仿宋" w:hAnsi="仿宋" w:eastAsia="仿宋" w:cs="宋体"/>
          <w:b/>
          <w:bCs/>
          <w:kern w:val="0"/>
          <w:sz w:val="28"/>
          <w:szCs w:val="28"/>
          <w:highlight w:val="none"/>
        </w:rPr>
        <w:t>北京儿童医院新疆医院第三方公司（保安公司、消防公司、车场管理公司）考核细则</w:t>
      </w:r>
    </w:p>
    <w:tbl>
      <w:tblPr>
        <w:tblStyle w:val="17"/>
        <w:tblW w:w="85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903"/>
        <w:gridCol w:w="825"/>
        <w:gridCol w:w="5135"/>
        <w:gridCol w:w="941"/>
      </w:tblGrid>
      <w:tr w14:paraId="5055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556" w:type="dxa"/>
            <w:gridSpan w:val="5"/>
            <w:tcBorders>
              <w:bottom w:val="nil"/>
            </w:tcBorders>
            <w:noWrap w:val="0"/>
            <w:vAlign w:val="center"/>
          </w:tcPr>
          <w:p w14:paraId="35B52EBD">
            <w:pPr>
              <w:widowControl/>
              <w:spacing w:line="300" w:lineRule="exact"/>
              <w:ind w:right="210" w:rightChars="100"/>
              <w:jc w:val="center"/>
              <w:rPr>
                <w:rFonts w:ascii="宋体" w:hAnsi="宋体" w:cs="宋体"/>
                <w:b w:val="0"/>
                <w:bCs w:val="0"/>
                <w:kern w:val="0"/>
                <w:sz w:val="28"/>
                <w:szCs w:val="28"/>
                <w:highlight w:val="none"/>
              </w:rPr>
            </w:pPr>
            <w:r>
              <w:rPr>
                <w:rFonts w:hint="eastAsia" w:ascii="宋体" w:hAnsi="宋体" w:cs="宋体"/>
                <w:b w:val="0"/>
                <w:bCs w:val="0"/>
                <w:kern w:val="0"/>
                <w:sz w:val="28"/>
                <w:szCs w:val="28"/>
                <w:highlight w:val="none"/>
              </w:rPr>
              <w:t>北京儿童医院新疆医院第三方公司考核细则</w:t>
            </w:r>
          </w:p>
        </w:tc>
      </w:tr>
      <w:tr w14:paraId="4C62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52" w:type="dxa"/>
            <w:noWrap w:val="0"/>
            <w:vAlign w:val="center"/>
          </w:tcPr>
          <w:p w14:paraId="45F8C85F">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序号</w:t>
            </w:r>
          </w:p>
        </w:tc>
        <w:tc>
          <w:tcPr>
            <w:tcW w:w="903" w:type="dxa"/>
            <w:noWrap w:val="0"/>
            <w:vAlign w:val="center"/>
          </w:tcPr>
          <w:p w14:paraId="0D2D7BBC">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分类</w:t>
            </w:r>
          </w:p>
        </w:tc>
        <w:tc>
          <w:tcPr>
            <w:tcW w:w="825" w:type="dxa"/>
            <w:noWrap w:val="0"/>
            <w:vAlign w:val="center"/>
          </w:tcPr>
          <w:p w14:paraId="0B249105">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总分值</w:t>
            </w:r>
          </w:p>
        </w:tc>
        <w:tc>
          <w:tcPr>
            <w:tcW w:w="5135" w:type="dxa"/>
            <w:noWrap w:val="0"/>
            <w:vAlign w:val="center"/>
          </w:tcPr>
          <w:p w14:paraId="318CF1D5">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工作质量及考核标准</w:t>
            </w:r>
          </w:p>
        </w:tc>
        <w:tc>
          <w:tcPr>
            <w:tcW w:w="941" w:type="dxa"/>
            <w:noWrap w:val="0"/>
            <w:vAlign w:val="center"/>
          </w:tcPr>
          <w:p w14:paraId="0A757870">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单项分值</w:t>
            </w:r>
          </w:p>
        </w:tc>
      </w:tr>
      <w:tr w14:paraId="691F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52" w:type="dxa"/>
            <w:noWrap w:val="0"/>
            <w:vAlign w:val="center"/>
          </w:tcPr>
          <w:p w14:paraId="551306E7">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c>
          <w:tcPr>
            <w:tcW w:w="903" w:type="dxa"/>
            <w:vMerge w:val="restart"/>
            <w:tcBorders>
              <w:top w:val="nil"/>
            </w:tcBorders>
            <w:noWrap w:val="0"/>
            <w:vAlign w:val="center"/>
          </w:tcPr>
          <w:p w14:paraId="03A26D20">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上级通报</w:t>
            </w:r>
          </w:p>
        </w:tc>
        <w:tc>
          <w:tcPr>
            <w:tcW w:w="825" w:type="dxa"/>
            <w:vMerge w:val="restart"/>
            <w:noWrap w:val="0"/>
            <w:vAlign w:val="center"/>
          </w:tcPr>
          <w:p w14:paraId="46584166">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20</w:t>
            </w:r>
          </w:p>
        </w:tc>
        <w:tc>
          <w:tcPr>
            <w:tcW w:w="5135" w:type="dxa"/>
            <w:noWrap w:val="0"/>
            <w:vAlign w:val="center"/>
          </w:tcPr>
          <w:p w14:paraId="4395309A">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被自治区（含卫健委、应急部门）、市级通报</w:t>
            </w:r>
          </w:p>
        </w:tc>
        <w:tc>
          <w:tcPr>
            <w:tcW w:w="941" w:type="dxa"/>
            <w:noWrap/>
            <w:vAlign w:val="center"/>
          </w:tcPr>
          <w:p w14:paraId="2C8AEA91">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10</w:t>
            </w:r>
          </w:p>
        </w:tc>
      </w:tr>
      <w:tr w14:paraId="0BAF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52" w:type="dxa"/>
            <w:noWrap w:val="0"/>
            <w:vAlign w:val="center"/>
          </w:tcPr>
          <w:p w14:paraId="6BC2EA12">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2</w:t>
            </w:r>
          </w:p>
        </w:tc>
        <w:tc>
          <w:tcPr>
            <w:tcW w:w="903" w:type="dxa"/>
            <w:vMerge w:val="continue"/>
            <w:tcBorders>
              <w:top w:val="nil"/>
            </w:tcBorders>
            <w:noWrap w:val="0"/>
            <w:vAlign w:val="center"/>
          </w:tcPr>
          <w:p w14:paraId="3BCFBEC1">
            <w:pPr>
              <w:widowControl/>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17A00877">
            <w:pPr>
              <w:widowControl/>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3F4B7291">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被沙依巴克区（含卫</w:t>
            </w:r>
            <w:r>
              <w:rPr>
                <w:rFonts w:hint="eastAsia" w:ascii="仿宋" w:hAnsi="仿宋" w:eastAsia="仿宋"/>
                <w:b w:val="0"/>
                <w:bCs w:val="0"/>
                <w:sz w:val="22"/>
                <w:szCs w:val="22"/>
                <w:highlight w:val="none"/>
                <w:lang w:eastAsia="zh-CN"/>
              </w:rPr>
              <w:t>健</w:t>
            </w:r>
            <w:r>
              <w:rPr>
                <w:rFonts w:hint="eastAsia" w:ascii="仿宋" w:hAnsi="仿宋" w:eastAsia="仿宋"/>
                <w:b w:val="0"/>
                <w:bCs w:val="0"/>
                <w:sz w:val="22"/>
                <w:szCs w:val="22"/>
                <w:highlight w:val="none"/>
              </w:rPr>
              <w:t>委）级通报</w:t>
            </w:r>
          </w:p>
        </w:tc>
        <w:tc>
          <w:tcPr>
            <w:tcW w:w="941" w:type="dxa"/>
            <w:noWrap/>
            <w:vAlign w:val="center"/>
          </w:tcPr>
          <w:p w14:paraId="4254E011">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6</w:t>
            </w:r>
          </w:p>
        </w:tc>
      </w:tr>
      <w:tr w14:paraId="1FB1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52" w:type="dxa"/>
            <w:noWrap w:val="0"/>
            <w:vAlign w:val="center"/>
          </w:tcPr>
          <w:p w14:paraId="23242DFE">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3</w:t>
            </w:r>
          </w:p>
        </w:tc>
        <w:tc>
          <w:tcPr>
            <w:tcW w:w="903" w:type="dxa"/>
            <w:vMerge w:val="continue"/>
            <w:tcBorders>
              <w:top w:val="nil"/>
            </w:tcBorders>
            <w:noWrap w:val="0"/>
            <w:vAlign w:val="center"/>
          </w:tcPr>
          <w:p w14:paraId="46877665">
            <w:pPr>
              <w:widowControl/>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4D453DCC">
            <w:pPr>
              <w:widowControl/>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3D841A40">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被管委会、社区、医院通报</w:t>
            </w:r>
          </w:p>
        </w:tc>
        <w:tc>
          <w:tcPr>
            <w:tcW w:w="941" w:type="dxa"/>
            <w:noWrap/>
            <w:vAlign w:val="center"/>
          </w:tcPr>
          <w:p w14:paraId="63B535BC">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490C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52" w:type="dxa"/>
            <w:noWrap w:val="0"/>
            <w:vAlign w:val="center"/>
          </w:tcPr>
          <w:p w14:paraId="6983DD09">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4</w:t>
            </w:r>
          </w:p>
        </w:tc>
        <w:tc>
          <w:tcPr>
            <w:tcW w:w="903" w:type="dxa"/>
            <w:vMerge w:val="restart"/>
            <w:noWrap w:val="0"/>
            <w:vAlign w:val="center"/>
          </w:tcPr>
          <w:p w14:paraId="2781A759">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考勤要求</w:t>
            </w:r>
          </w:p>
        </w:tc>
        <w:tc>
          <w:tcPr>
            <w:tcW w:w="825" w:type="dxa"/>
            <w:vMerge w:val="restart"/>
            <w:noWrap w:val="0"/>
            <w:vAlign w:val="center"/>
          </w:tcPr>
          <w:p w14:paraId="5286FF42">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6</w:t>
            </w:r>
          </w:p>
        </w:tc>
        <w:tc>
          <w:tcPr>
            <w:tcW w:w="5135" w:type="dxa"/>
            <w:noWrap w:val="0"/>
            <w:vAlign w:val="center"/>
          </w:tcPr>
          <w:p w14:paraId="78BE5E9F">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迟到、早退</w:t>
            </w:r>
            <w:r>
              <w:rPr>
                <w:rFonts w:ascii="仿宋" w:hAnsi="仿宋" w:eastAsia="仿宋" w:cs="宋体"/>
                <w:b w:val="0"/>
                <w:bCs w:val="0"/>
                <w:kern w:val="0"/>
                <w:sz w:val="22"/>
                <w:szCs w:val="22"/>
                <w:highlight w:val="none"/>
              </w:rPr>
              <w:t>30</w:t>
            </w:r>
            <w:r>
              <w:rPr>
                <w:rFonts w:hint="eastAsia" w:ascii="仿宋" w:hAnsi="仿宋" w:eastAsia="仿宋" w:cs="宋体"/>
                <w:b w:val="0"/>
                <w:bCs w:val="0"/>
                <w:kern w:val="0"/>
                <w:sz w:val="22"/>
                <w:szCs w:val="22"/>
                <w:highlight w:val="none"/>
              </w:rPr>
              <w:t>分钟以上</w:t>
            </w:r>
          </w:p>
        </w:tc>
        <w:tc>
          <w:tcPr>
            <w:tcW w:w="941" w:type="dxa"/>
            <w:noWrap/>
            <w:vAlign w:val="center"/>
          </w:tcPr>
          <w:p w14:paraId="3836A2DF">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3</w:t>
            </w:r>
          </w:p>
        </w:tc>
      </w:tr>
      <w:tr w14:paraId="56DD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52" w:type="dxa"/>
            <w:tcBorders>
              <w:top w:val="nil"/>
            </w:tcBorders>
            <w:noWrap w:val="0"/>
            <w:vAlign w:val="center"/>
          </w:tcPr>
          <w:p w14:paraId="54F848A6">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5</w:t>
            </w:r>
          </w:p>
        </w:tc>
        <w:tc>
          <w:tcPr>
            <w:tcW w:w="903" w:type="dxa"/>
            <w:vMerge w:val="continue"/>
            <w:noWrap w:val="0"/>
            <w:vAlign w:val="center"/>
          </w:tcPr>
          <w:p w14:paraId="74199096">
            <w:pPr>
              <w:widowControl/>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18FBDA6A">
            <w:pPr>
              <w:widowControl/>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7E381AEC">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迟到、早退</w:t>
            </w:r>
            <w:r>
              <w:rPr>
                <w:rFonts w:ascii="仿宋" w:hAnsi="仿宋" w:eastAsia="仿宋" w:cs="宋体"/>
                <w:b w:val="0"/>
                <w:bCs w:val="0"/>
                <w:kern w:val="0"/>
                <w:sz w:val="22"/>
                <w:szCs w:val="22"/>
                <w:highlight w:val="none"/>
              </w:rPr>
              <w:t>10</w:t>
            </w:r>
            <w:r>
              <w:rPr>
                <w:rFonts w:hint="eastAsia" w:ascii="仿宋" w:hAnsi="仿宋" w:eastAsia="仿宋" w:cs="宋体"/>
                <w:b w:val="0"/>
                <w:bCs w:val="0"/>
                <w:kern w:val="0"/>
                <w:sz w:val="22"/>
                <w:szCs w:val="22"/>
                <w:highlight w:val="none"/>
              </w:rPr>
              <w:t>分钟以上</w:t>
            </w:r>
            <w:r>
              <w:rPr>
                <w:rFonts w:ascii="仿宋" w:hAnsi="仿宋" w:eastAsia="仿宋" w:cs="宋体"/>
                <w:b w:val="0"/>
                <w:bCs w:val="0"/>
                <w:kern w:val="0"/>
                <w:sz w:val="22"/>
                <w:szCs w:val="22"/>
                <w:highlight w:val="none"/>
              </w:rPr>
              <w:t>30</w:t>
            </w:r>
            <w:r>
              <w:rPr>
                <w:rFonts w:hint="eastAsia" w:ascii="仿宋" w:hAnsi="仿宋" w:eastAsia="仿宋" w:cs="宋体"/>
                <w:b w:val="0"/>
                <w:bCs w:val="0"/>
                <w:kern w:val="0"/>
                <w:sz w:val="22"/>
                <w:szCs w:val="22"/>
                <w:highlight w:val="none"/>
              </w:rPr>
              <w:t>分钟以下</w:t>
            </w:r>
          </w:p>
        </w:tc>
        <w:tc>
          <w:tcPr>
            <w:tcW w:w="941" w:type="dxa"/>
            <w:noWrap/>
            <w:vAlign w:val="center"/>
          </w:tcPr>
          <w:p w14:paraId="01B6672D">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2</w:t>
            </w:r>
          </w:p>
        </w:tc>
      </w:tr>
      <w:tr w14:paraId="1EC4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52" w:type="dxa"/>
            <w:noWrap w:val="0"/>
            <w:vAlign w:val="center"/>
          </w:tcPr>
          <w:p w14:paraId="60C63C4D">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6</w:t>
            </w:r>
          </w:p>
        </w:tc>
        <w:tc>
          <w:tcPr>
            <w:tcW w:w="903" w:type="dxa"/>
            <w:vMerge w:val="continue"/>
            <w:noWrap w:val="0"/>
            <w:vAlign w:val="center"/>
          </w:tcPr>
          <w:p w14:paraId="2D346E13">
            <w:pPr>
              <w:widowControl/>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20D8A86F">
            <w:pPr>
              <w:widowControl/>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044E328B">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迟到、早退</w:t>
            </w:r>
            <w:r>
              <w:rPr>
                <w:rFonts w:ascii="仿宋" w:hAnsi="仿宋" w:eastAsia="仿宋" w:cs="宋体"/>
                <w:b w:val="0"/>
                <w:bCs w:val="0"/>
                <w:kern w:val="0"/>
                <w:sz w:val="22"/>
                <w:szCs w:val="22"/>
                <w:highlight w:val="none"/>
              </w:rPr>
              <w:t>10</w:t>
            </w:r>
            <w:r>
              <w:rPr>
                <w:rFonts w:hint="eastAsia" w:ascii="仿宋" w:hAnsi="仿宋" w:eastAsia="仿宋" w:cs="宋体"/>
                <w:b w:val="0"/>
                <w:bCs w:val="0"/>
                <w:kern w:val="0"/>
                <w:sz w:val="22"/>
                <w:szCs w:val="22"/>
                <w:highlight w:val="none"/>
              </w:rPr>
              <w:t>分钟以内</w:t>
            </w:r>
          </w:p>
        </w:tc>
        <w:tc>
          <w:tcPr>
            <w:tcW w:w="941" w:type="dxa"/>
            <w:noWrap/>
            <w:vAlign w:val="center"/>
          </w:tcPr>
          <w:p w14:paraId="6DBC96DE">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r>
      <w:tr w14:paraId="1319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52" w:type="dxa"/>
            <w:noWrap w:val="0"/>
            <w:vAlign w:val="center"/>
          </w:tcPr>
          <w:p w14:paraId="1295E0BD">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7</w:t>
            </w:r>
          </w:p>
        </w:tc>
        <w:tc>
          <w:tcPr>
            <w:tcW w:w="903" w:type="dxa"/>
            <w:vMerge w:val="restart"/>
            <w:noWrap w:val="0"/>
            <w:vAlign w:val="center"/>
          </w:tcPr>
          <w:p w14:paraId="4095FB05">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履职情况</w:t>
            </w:r>
          </w:p>
        </w:tc>
        <w:tc>
          <w:tcPr>
            <w:tcW w:w="825" w:type="dxa"/>
            <w:vMerge w:val="restart"/>
            <w:noWrap w:val="0"/>
            <w:vAlign w:val="center"/>
          </w:tcPr>
          <w:p w14:paraId="38A67F10">
            <w:pPr>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70</w:t>
            </w:r>
          </w:p>
        </w:tc>
        <w:tc>
          <w:tcPr>
            <w:tcW w:w="5135" w:type="dxa"/>
            <w:noWrap w:val="0"/>
            <w:vAlign w:val="center"/>
          </w:tcPr>
          <w:p w14:paraId="0DF78C9A">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违法乱纪</w:t>
            </w:r>
          </w:p>
        </w:tc>
        <w:tc>
          <w:tcPr>
            <w:tcW w:w="941" w:type="dxa"/>
            <w:noWrap/>
            <w:vAlign w:val="center"/>
          </w:tcPr>
          <w:p w14:paraId="6B85F8B0">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10</w:t>
            </w:r>
          </w:p>
        </w:tc>
      </w:tr>
      <w:tr w14:paraId="45BA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52" w:type="dxa"/>
            <w:tcBorders>
              <w:top w:val="nil"/>
            </w:tcBorders>
            <w:noWrap w:val="0"/>
            <w:vAlign w:val="center"/>
          </w:tcPr>
          <w:p w14:paraId="5DDF9B19">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8</w:t>
            </w:r>
          </w:p>
        </w:tc>
        <w:tc>
          <w:tcPr>
            <w:tcW w:w="903" w:type="dxa"/>
            <w:vMerge w:val="continue"/>
            <w:noWrap w:val="0"/>
            <w:vAlign w:val="center"/>
          </w:tcPr>
          <w:p w14:paraId="17AC91F0">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2FC58C93">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2C8A1BFA">
            <w:pPr>
              <w:widowControl/>
              <w:spacing w:line="300" w:lineRule="exact"/>
              <w:ind w:right="210" w:rightChars="100"/>
              <w:jc w:val="left"/>
              <w:rPr>
                <w:rFonts w:ascii="仿宋" w:hAnsi="仿宋" w:eastAsia="仿宋" w:cs="宋体"/>
                <w:b w:val="0"/>
                <w:bCs w:val="0"/>
                <w:color w:val="C00000"/>
                <w:kern w:val="0"/>
                <w:sz w:val="22"/>
                <w:szCs w:val="22"/>
                <w:highlight w:val="none"/>
              </w:rPr>
            </w:pPr>
            <w:r>
              <w:rPr>
                <w:rFonts w:hint="eastAsia" w:ascii="仿宋" w:hAnsi="仿宋" w:eastAsia="仿宋" w:cs="宋体"/>
                <w:b w:val="0"/>
                <w:bCs w:val="0"/>
                <w:color w:val="000000"/>
                <w:kern w:val="0"/>
                <w:sz w:val="22"/>
                <w:szCs w:val="22"/>
                <w:highlight w:val="none"/>
              </w:rPr>
              <w:t>疫情防控中履职不尽责、工作不到位</w:t>
            </w:r>
          </w:p>
        </w:tc>
        <w:tc>
          <w:tcPr>
            <w:tcW w:w="941" w:type="dxa"/>
            <w:noWrap/>
            <w:vAlign w:val="center"/>
          </w:tcPr>
          <w:p w14:paraId="32523C83">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8</w:t>
            </w:r>
          </w:p>
        </w:tc>
      </w:tr>
      <w:tr w14:paraId="05BE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52" w:type="dxa"/>
            <w:noWrap w:val="0"/>
            <w:vAlign w:val="center"/>
          </w:tcPr>
          <w:p w14:paraId="5B222AAC">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9</w:t>
            </w:r>
          </w:p>
        </w:tc>
        <w:tc>
          <w:tcPr>
            <w:tcW w:w="903" w:type="dxa"/>
            <w:vMerge w:val="continue"/>
            <w:noWrap w:val="0"/>
            <w:vAlign w:val="center"/>
          </w:tcPr>
          <w:p w14:paraId="4EA060D3">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0E379508">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3E5F0C46">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1"/>
                <w:szCs w:val="22"/>
                <w:highlight w:val="none"/>
              </w:rPr>
              <w:t>内外勾结、监守自盗</w:t>
            </w:r>
          </w:p>
        </w:tc>
        <w:tc>
          <w:tcPr>
            <w:tcW w:w="941" w:type="dxa"/>
            <w:noWrap/>
            <w:vAlign w:val="center"/>
          </w:tcPr>
          <w:p w14:paraId="5D45E935">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25BD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752" w:type="dxa"/>
            <w:noWrap w:val="0"/>
            <w:vAlign w:val="center"/>
          </w:tcPr>
          <w:p w14:paraId="016DE60F">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10</w:t>
            </w:r>
          </w:p>
        </w:tc>
        <w:tc>
          <w:tcPr>
            <w:tcW w:w="903" w:type="dxa"/>
            <w:vMerge w:val="continue"/>
            <w:noWrap w:val="0"/>
            <w:vAlign w:val="center"/>
          </w:tcPr>
          <w:p w14:paraId="6474643E">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0B1AB85E">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2719B583">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殴打</w:t>
            </w:r>
            <w:bookmarkStart w:id="20" w:name="OLE_LINK1"/>
            <w:bookmarkStart w:id="21" w:name="OLE_LINK2"/>
            <w:r>
              <w:rPr>
                <w:rFonts w:hint="eastAsia" w:ascii="仿宋" w:hAnsi="仿宋" w:eastAsia="仿宋" w:cs="宋体"/>
                <w:b w:val="0"/>
                <w:bCs w:val="0"/>
                <w:kern w:val="0"/>
                <w:sz w:val="22"/>
                <w:szCs w:val="22"/>
                <w:highlight w:val="none"/>
              </w:rPr>
              <w:t>过检人员（含医务人员）</w:t>
            </w:r>
            <w:bookmarkEnd w:id="20"/>
            <w:bookmarkEnd w:id="21"/>
          </w:p>
        </w:tc>
        <w:tc>
          <w:tcPr>
            <w:tcW w:w="941" w:type="dxa"/>
            <w:noWrap/>
            <w:vAlign w:val="center"/>
          </w:tcPr>
          <w:p w14:paraId="702CC3D7">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2C0E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752" w:type="dxa"/>
            <w:noWrap w:val="0"/>
            <w:vAlign w:val="center"/>
          </w:tcPr>
          <w:p w14:paraId="202010A9">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11</w:t>
            </w:r>
          </w:p>
        </w:tc>
        <w:tc>
          <w:tcPr>
            <w:tcW w:w="903" w:type="dxa"/>
            <w:vMerge w:val="continue"/>
            <w:noWrap w:val="0"/>
            <w:vAlign w:val="center"/>
          </w:tcPr>
          <w:p w14:paraId="4DE8B57E">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2AEE3975">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3282D05F">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顶撞、不服从上级领导</w:t>
            </w:r>
          </w:p>
        </w:tc>
        <w:tc>
          <w:tcPr>
            <w:tcW w:w="941" w:type="dxa"/>
            <w:noWrap/>
            <w:vAlign w:val="center"/>
          </w:tcPr>
          <w:p w14:paraId="6AA032B2">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0A8A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2" w:type="dxa"/>
            <w:noWrap w:val="0"/>
            <w:vAlign w:val="center"/>
          </w:tcPr>
          <w:p w14:paraId="33341336">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12</w:t>
            </w:r>
          </w:p>
        </w:tc>
        <w:tc>
          <w:tcPr>
            <w:tcW w:w="903" w:type="dxa"/>
            <w:vMerge w:val="continue"/>
            <w:noWrap w:val="0"/>
            <w:vAlign w:val="center"/>
          </w:tcPr>
          <w:p w14:paraId="22627D1F">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7AF13D7E">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1C8DA121">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酒后上岗</w:t>
            </w:r>
          </w:p>
        </w:tc>
        <w:tc>
          <w:tcPr>
            <w:tcW w:w="941" w:type="dxa"/>
            <w:noWrap/>
            <w:vAlign w:val="center"/>
          </w:tcPr>
          <w:p w14:paraId="2EC84F58">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6DEB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52" w:type="dxa"/>
            <w:noWrap w:val="0"/>
            <w:vAlign w:val="center"/>
          </w:tcPr>
          <w:p w14:paraId="703F75B5">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13</w:t>
            </w:r>
          </w:p>
        </w:tc>
        <w:tc>
          <w:tcPr>
            <w:tcW w:w="903" w:type="dxa"/>
            <w:vMerge w:val="continue"/>
            <w:noWrap w:val="0"/>
            <w:vAlign w:val="center"/>
          </w:tcPr>
          <w:p w14:paraId="5EDF71CB">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7BD49471">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550602C3">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临岗人员不符合维稳要求</w:t>
            </w:r>
          </w:p>
        </w:tc>
        <w:tc>
          <w:tcPr>
            <w:tcW w:w="941" w:type="dxa"/>
            <w:noWrap/>
            <w:vAlign w:val="center"/>
          </w:tcPr>
          <w:p w14:paraId="5E2E689C">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4</w:t>
            </w:r>
          </w:p>
        </w:tc>
      </w:tr>
      <w:tr w14:paraId="0C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52" w:type="dxa"/>
            <w:noWrap w:val="0"/>
            <w:vAlign w:val="center"/>
          </w:tcPr>
          <w:p w14:paraId="6FBC4D88">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14</w:t>
            </w:r>
          </w:p>
        </w:tc>
        <w:tc>
          <w:tcPr>
            <w:tcW w:w="903" w:type="dxa"/>
            <w:vMerge w:val="continue"/>
            <w:noWrap w:val="0"/>
            <w:vAlign w:val="center"/>
          </w:tcPr>
          <w:p w14:paraId="7BC830D5">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02ECE269">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00E92B82">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在岗期间脱岗、睡岗、串岗</w:t>
            </w:r>
          </w:p>
        </w:tc>
        <w:tc>
          <w:tcPr>
            <w:tcW w:w="941" w:type="dxa"/>
            <w:noWrap/>
            <w:vAlign w:val="center"/>
          </w:tcPr>
          <w:p w14:paraId="1FD3981E">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3</w:t>
            </w:r>
          </w:p>
        </w:tc>
      </w:tr>
      <w:tr w14:paraId="05B8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52" w:type="dxa"/>
            <w:noWrap w:val="0"/>
            <w:vAlign w:val="center"/>
          </w:tcPr>
          <w:p w14:paraId="31BD244B">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15</w:t>
            </w:r>
          </w:p>
        </w:tc>
        <w:tc>
          <w:tcPr>
            <w:tcW w:w="903" w:type="dxa"/>
            <w:vMerge w:val="continue"/>
            <w:noWrap w:val="0"/>
            <w:vAlign w:val="center"/>
          </w:tcPr>
          <w:p w14:paraId="7144E492">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4F6A51AC">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79385762">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故意损坏安检设备及岗位物品</w:t>
            </w:r>
          </w:p>
        </w:tc>
        <w:tc>
          <w:tcPr>
            <w:tcW w:w="941" w:type="dxa"/>
            <w:noWrap/>
            <w:vAlign w:val="center"/>
          </w:tcPr>
          <w:p w14:paraId="6771AA5B">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3</w:t>
            </w:r>
          </w:p>
        </w:tc>
      </w:tr>
      <w:tr w14:paraId="1795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52" w:type="dxa"/>
            <w:noWrap w:val="0"/>
            <w:vAlign w:val="center"/>
          </w:tcPr>
          <w:p w14:paraId="48F5C0DE">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16</w:t>
            </w:r>
          </w:p>
        </w:tc>
        <w:tc>
          <w:tcPr>
            <w:tcW w:w="903" w:type="dxa"/>
            <w:vMerge w:val="continue"/>
            <w:noWrap w:val="0"/>
            <w:vAlign w:val="center"/>
          </w:tcPr>
          <w:p w14:paraId="116C8C7F">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02025212">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677E1C75">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内部闹不团结，造谣生事，打架斗殴</w:t>
            </w:r>
          </w:p>
        </w:tc>
        <w:tc>
          <w:tcPr>
            <w:tcW w:w="941" w:type="dxa"/>
            <w:noWrap/>
            <w:vAlign w:val="center"/>
          </w:tcPr>
          <w:p w14:paraId="29627D65">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3</w:t>
            </w:r>
          </w:p>
        </w:tc>
      </w:tr>
      <w:tr w14:paraId="4AB5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52" w:type="dxa"/>
            <w:noWrap w:val="0"/>
            <w:vAlign w:val="center"/>
          </w:tcPr>
          <w:p w14:paraId="20D1F5FA">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17</w:t>
            </w:r>
          </w:p>
        </w:tc>
        <w:tc>
          <w:tcPr>
            <w:tcW w:w="903" w:type="dxa"/>
            <w:vMerge w:val="continue"/>
            <w:noWrap w:val="0"/>
            <w:vAlign w:val="center"/>
          </w:tcPr>
          <w:p w14:paraId="3102F0F2">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4458FAE7">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7CAC4C37">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捡到物品不上交</w:t>
            </w:r>
          </w:p>
        </w:tc>
        <w:tc>
          <w:tcPr>
            <w:tcW w:w="941" w:type="dxa"/>
            <w:noWrap/>
            <w:vAlign w:val="center"/>
          </w:tcPr>
          <w:p w14:paraId="2F236212">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3</w:t>
            </w:r>
          </w:p>
        </w:tc>
      </w:tr>
      <w:tr w14:paraId="4284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752" w:type="dxa"/>
            <w:noWrap w:val="0"/>
            <w:vAlign w:val="center"/>
          </w:tcPr>
          <w:p w14:paraId="109D8640">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18</w:t>
            </w:r>
          </w:p>
        </w:tc>
        <w:tc>
          <w:tcPr>
            <w:tcW w:w="903" w:type="dxa"/>
            <w:vMerge w:val="continue"/>
            <w:noWrap w:val="0"/>
            <w:vAlign w:val="center"/>
          </w:tcPr>
          <w:p w14:paraId="74707096">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1B1427B4">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40C88210">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未按规定人数上岗，影响工作质量</w:t>
            </w:r>
          </w:p>
        </w:tc>
        <w:tc>
          <w:tcPr>
            <w:tcW w:w="941" w:type="dxa"/>
            <w:noWrap/>
            <w:vAlign w:val="center"/>
          </w:tcPr>
          <w:p w14:paraId="7FC61FD7">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2</w:t>
            </w:r>
          </w:p>
        </w:tc>
      </w:tr>
      <w:tr w14:paraId="7AD8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52" w:type="dxa"/>
            <w:noWrap w:val="0"/>
            <w:vAlign w:val="center"/>
          </w:tcPr>
          <w:p w14:paraId="3403B012">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19</w:t>
            </w:r>
          </w:p>
        </w:tc>
        <w:tc>
          <w:tcPr>
            <w:tcW w:w="903" w:type="dxa"/>
            <w:vMerge w:val="continue"/>
            <w:noWrap w:val="0"/>
            <w:vAlign w:val="center"/>
          </w:tcPr>
          <w:p w14:paraId="7D72B7FF">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11E53630">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72118176">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辱骂过检人员（含医务人员）</w:t>
            </w:r>
          </w:p>
        </w:tc>
        <w:tc>
          <w:tcPr>
            <w:tcW w:w="941" w:type="dxa"/>
            <w:noWrap/>
            <w:vAlign w:val="center"/>
          </w:tcPr>
          <w:p w14:paraId="5521E13F">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2</w:t>
            </w:r>
          </w:p>
        </w:tc>
      </w:tr>
      <w:tr w14:paraId="5683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52" w:type="dxa"/>
            <w:noWrap w:val="0"/>
            <w:vAlign w:val="center"/>
          </w:tcPr>
          <w:p w14:paraId="25596A3B">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20</w:t>
            </w:r>
          </w:p>
        </w:tc>
        <w:tc>
          <w:tcPr>
            <w:tcW w:w="903" w:type="dxa"/>
            <w:vMerge w:val="continue"/>
            <w:noWrap w:val="0"/>
            <w:vAlign w:val="center"/>
          </w:tcPr>
          <w:p w14:paraId="3323D425">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709528DE">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639F279C">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近身检查不到位</w:t>
            </w:r>
          </w:p>
        </w:tc>
        <w:tc>
          <w:tcPr>
            <w:tcW w:w="941" w:type="dxa"/>
            <w:noWrap/>
            <w:vAlign w:val="center"/>
          </w:tcPr>
          <w:p w14:paraId="748E94E7">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w:t>
            </w:r>
          </w:p>
        </w:tc>
      </w:tr>
      <w:tr w14:paraId="7401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52" w:type="dxa"/>
            <w:noWrap w:val="0"/>
            <w:vAlign w:val="center"/>
          </w:tcPr>
          <w:p w14:paraId="3B349E7C">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21</w:t>
            </w:r>
          </w:p>
        </w:tc>
        <w:tc>
          <w:tcPr>
            <w:tcW w:w="903" w:type="dxa"/>
            <w:vMerge w:val="continue"/>
            <w:noWrap w:val="0"/>
            <w:vAlign w:val="center"/>
          </w:tcPr>
          <w:p w14:paraId="1867AF94">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2EB72603">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06249DDF">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医护人员发生争执不及时制止</w:t>
            </w:r>
          </w:p>
        </w:tc>
        <w:tc>
          <w:tcPr>
            <w:tcW w:w="941" w:type="dxa"/>
            <w:noWrap/>
            <w:vAlign w:val="center"/>
          </w:tcPr>
          <w:p w14:paraId="261CDCAD">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w:t>
            </w:r>
          </w:p>
        </w:tc>
      </w:tr>
      <w:tr w14:paraId="2320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52" w:type="dxa"/>
            <w:noWrap w:val="0"/>
            <w:vAlign w:val="center"/>
          </w:tcPr>
          <w:p w14:paraId="6B045B75">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22</w:t>
            </w:r>
          </w:p>
        </w:tc>
        <w:tc>
          <w:tcPr>
            <w:tcW w:w="903" w:type="dxa"/>
            <w:vMerge w:val="continue"/>
            <w:noWrap w:val="0"/>
            <w:vAlign w:val="center"/>
          </w:tcPr>
          <w:p w14:paraId="0827A479">
            <w:pPr>
              <w:spacing w:line="300" w:lineRule="exact"/>
              <w:ind w:right="210" w:rightChars="100"/>
              <w:jc w:val="left"/>
              <w:rPr>
                <w:rFonts w:ascii="仿宋" w:hAnsi="仿宋" w:eastAsia="仿宋" w:cs="宋体"/>
                <w:b w:val="0"/>
                <w:bCs w:val="0"/>
                <w:kern w:val="0"/>
                <w:sz w:val="22"/>
                <w:szCs w:val="22"/>
                <w:highlight w:val="none"/>
              </w:rPr>
            </w:pPr>
          </w:p>
        </w:tc>
        <w:tc>
          <w:tcPr>
            <w:tcW w:w="825" w:type="dxa"/>
            <w:vMerge w:val="continue"/>
            <w:noWrap w:val="0"/>
            <w:vAlign w:val="center"/>
          </w:tcPr>
          <w:p w14:paraId="0CAAA42E">
            <w:pPr>
              <w:spacing w:line="300" w:lineRule="exact"/>
              <w:ind w:right="210" w:rightChars="100"/>
              <w:jc w:val="left"/>
              <w:rPr>
                <w:rFonts w:ascii="仿宋" w:hAnsi="仿宋" w:eastAsia="仿宋" w:cs="宋体"/>
                <w:b w:val="0"/>
                <w:bCs w:val="0"/>
                <w:kern w:val="0"/>
                <w:sz w:val="22"/>
                <w:szCs w:val="22"/>
                <w:highlight w:val="none"/>
              </w:rPr>
            </w:pPr>
          </w:p>
        </w:tc>
        <w:tc>
          <w:tcPr>
            <w:tcW w:w="5135" w:type="dxa"/>
            <w:noWrap w:val="0"/>
            <w:vAlign w:val="center"/>
          </w:tcPr>
          <w:p w14:paraId="7EA4DCD9">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消极怠工，精神懒散</w:t>
            </w:r>
          </w:p>
        </w:tc>
        <w:tc>
          <w:tcPr>
            <w:tcW w:w="941" w:type="dxa"/>
            <w:noWrap/>
            <w:vAlign w:val="center"/>
          </w:tcPr>
          <w:p w14:paraId="3C402930">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2</w:t>
            </w:r>
          </w:p>
        </w:tc>
      </w:tr>
      <w:tr w14:paraId="2A8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52" w:type="dxa"/>
            <w:noWrap w:val="0"/>
            <w:vAlign w:val="center"/>
          </w:tcPr>
          <w:p w14:paraId="5337782C">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23</w:t>
            </w:r>
          </w:p>
        </w:tc>
        <w:tc>
          <w:tcPr>
            <w:tcW w:w="903" w:type="dxa"/>
            <w:vMerge w:val="continue"/>
            <w:noWrap w:val="0"/>
            <w:vAlign w:val="center"/>
          </w:tcPr>
          <w:p w14:paraId="0DB29C92">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4E44E3ED">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7A7A5E94">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上岗人员工作不到位、不作为、乱作为</w:t>
            </w:r>
          </w:p>
        </w:tc>
        <w:tc>
          <w:tcPr>
            <w:tcW w:w="941" w:type="dxa"/>
            <w:noWrap/>
            <w:vAlign w:val="center"/>
          </w:tcPr>
          <w:p w14:paraId="47D110DF">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2</w:t>
            </w:r>
          </w:p>
        </w:tc>
      </w:tr>
      <w:tr w14:paraId="711B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52" w:type="dxa"/>
            <w:noWrap w:val="0"/>
            <w:vAlign w:val="center"/>
          </w:tcPr>
          <w:p w14:paraId="3285DF13">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24</w:t>
            </w:r>
          </w:p>
        </w:tc>
        <w:tc>
          <w:tcPr>
            <w:tcW w:w="903" w:type="dxa"/>
            <w:vMerge w:val="continue"/>
            <w:noWrap w:val="0"/>
            <w:vAlign w:val="center"/>
          </w:tcPr>
          <w:p w14:paraId="6221DA12">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2CC8E850">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62A10D71">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每月换岗人数不得超过总人数的15%</w:t>
            </w:r>
          </w:p>
        </w:tc>
        <w:tc>
          <w:tcPr>
            <w:tcW w:w="941" w:type="dxa"/>
            <w:noWrap/>
            <w:vAlign w:val="center"/>
          </w:tcPr>
          <w:p w14:paraId="155720D6">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2</w:t>
            </w:r>
          </w:p>
        </w:tc>
      </w:tr>
      <w:tr w14:paraId="590C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752" w:type="dxa"/>
            <w:noWrap w:val="0"/>
            <w:vAlign w:val="center"/>
          </w:tcPr>
          <w:p w14:paraId="17C5ABA2">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25</w:t>
            </w:r>
          </w:p>
        </w:tc>
        <w:tc>
          <w:tcPr>
            <w:tcW w:w="903" w:type="dxa"/>
            <w:vMerge w:val="continue"/>
            <w:noWrap w:val="0"/>
            <w:vAlign w:val="center"/>
          </w:tcPr>
          <w:p w14:paraId="64F7669A">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5702D89F">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72E22A84">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无故不参加会议</w:t>
            </w:r>
          </w:p>
        </w:tc>
        <w:tc>
          <w:tcPr>
            <w:tcW w:w="941" w:type="dxa"/>
            <w:noWrap/>
            <w:vAlign w:val="center"/>
          </w:tcPr>
          <w:p w14:paraId="2B3C423F">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r>
      <w:tr w14:paraId="7002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52" w:type="dxa"/>
            <w:noWrap w:val="0"/>
            <w:vAlign w:val="center"/>
          </w:tcPr>
          <w:p w14:paraId="76835CBE">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26</w:t>
            </w:r>
          </w:p>
        </w:tc>
        <w:tc>
          <w:tcPr>
            <w:tcW w:w="903" w:type="dxa"/>
            <w:vMerge w:val="continue"/>
            <w:noWrap w:val="0"/>
            <w:vAlign w:val="center"/>
          </w:tcPr>
          <w:p w14:paraId="083C8B07">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35E4322B">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0E2804D1">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安检设备故障不及时上报</w:t>
            </w:r>
          </w:p>
        </w:tc>
        <w:tc>
          <w:tcPr>
            <w:tcW w:w="941" w:type="dxa"/>
            <w:noWrap/>
            <w:vAlign w:val="center"/>
          </w:tcPr>
          <w:p w14:paraId="220FBE47">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1</w:t>
            </w:r>
          </w:p>
        </w:tc>
      </w:tr>
      <w:tr w14:paraId="0695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52" w:type="dxa"/>
            <w:noWrap w:val="0"/>
            <w:vAlign w:val="center"/>
          </w:tcPr>
          <w:p w14:paraId="0804F7AE">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27</w:t>
            </w:r>
          </w:p>
        </w:tc>
        <w:tc>
          <w:tcPr>
            <w:tcW w:w="903" w:type="dxa"/>
            <w:vMerge w:val="continue"/>
            <w:noWrap w:val="0"/>
            <w:vAlign w:val="center"/>
          </w:tcPr>
          <w:p w14:paraId="43911F69">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2D38D95C">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7E4B6A3D">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未经上级领导批准，私自顶岗、换岗</w:t>
            </w:r>
          </w:p>
        </w:tc>
        <w:tc>
          <w:tcPr>
            <w:tcW w:w="941" w:type="dxa"/>
            <w:noWrap/>
            <w:vAlign w:val="center"/>
          </w:tcPr>
          <w:p w14:paraId="1CA7E0F1">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r>
      <w:tr w14:paraId="7DA6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52" w:type="dxa"/>
            <w:noWrap w:val="0"/>
            <w:vAlign w:val="center"/>
          </w:tcPr>
          <w:p w14:paraId="33C7DD01">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28</w:t>
            </w:r>
          </w:p>
        </w:tc>
        <w:tc>
          <w:tcPr>
            <w:tcW w:w="903" w:type="dxa"/>
            <w:vMerge w:val="continue"/>
            <w:noWrap w:val="0"/>
            <w:vAlign w:val="center"/>
          </w:tcPr>
          <w:p w14:paraId="0147C6DD">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6945FA40">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64527792">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在岗期间不文明执勤</w:t>
            </w:r>
          </w:p>
        </w:tc>
        <w:tc>
          <w:tcPr>
            <w:tcW w:w="941" w:type="dxa"/>
            <w:noWrap/>
            <w:vAlign w:val="center"/>
          </w:tcPr>
          <w:p w14:paraId="20539E03">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r>
      <w:tr w14:paraId="2447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52" w:type="dxa"/>
            <w:noWrap w:val="0"/>
            <w:vAlign w:val="center"/>
          </w:tcPr>
          <w:p w14:paraId="2A0FD3D3">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29</w:t>
            </w:r>
          </w:p>
        </w:tc>
        <w:tc>
          <w:tcPr>
            <w:tcW w:w="903" w:type="dxa"/>
            <w:vMerge w:val="continue"/>
            <w:noWrap w:val="0"/>
            <w:vAlign w:val="center"/>
          </w:tcPr>
          <w:p w14:paraId="2613D3AC">
            <w:pPr>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6EE4D696">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4CFB8114">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b w:val="0"/>
                <w:bCs w:val="0"/>
                <w:sz w:val="22"/>
                <w:szCs w:val="22"/>
                <w:highlight w:val="none"/>
              </w:rPr>
              <w:t>在岗闲谈，吃东西、看书报、听收音机、玩手机、扎堆聊天，</w:t>
            </w:r>
            <w:r>
              <w:rPr>
                <w:rFonts w:hint="eastAsia" w:ascii="仿宋" w:hAnsi="仿宋" w:eastAsia="仿宋" w:cs="宋体"/>
                <w:b w:val="0"/>
                <w:bCs w:val="0"/>
                <w:kern w:val="0"/>
                <w:sz w:val="22"/>
                <w:szCs w:val="22"/>
                <w:highlight w:val="none"/>
              </w:rPr>
              <w:t>在岗吸烟，做与工作无关的事情。</w:t>
            </w:r>
          </w:p>
        </w:tc>
        <w:tc>
          <w:tcPr>
            <w:tcW w:w="941" w:type="dxa"/>
            <w:noWrap/>
            <w:vAlign w:val="center"/>
          </w:tcPr>
          <w:p w14:paraId="51B52908">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1</w:t>
            </w:r>
          </w:p>
        </w:tc>
      </w:tr>
      <w:tr w14:paraId="10FA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52" w:type="dxa"/>
            <w:noWrap w:val="0"/>
            <w:vAlign w:val="center"/>
          </w:tcPr>
          <w:p w14:paraId="7962F8D6">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30</w:t>
            </w:r>
          </w:p>
        </w:tc>
        <w:tc>
          <w:tcPr>
            <w:tcW w:w="903" w:type="dxa"/>
            <w:vMerge w:val="continue"/>
            <w:noWrap w:val="0"/>
            <w:vAlign w:val="center"/>
          </w:tcPr>
          <w:p w14:paraId="365AFC39">
            <w:pPr>
              <w:widowControl/>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6870775E">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17A60DA6">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未按规定向监控指挥中心报备</w:t>
            </w:r>
          </w:p>
        </w:tc>
        <w:tc>
          <w:tcPr>
            <w:tcW w:w="941" w:type="dxa"/>
            <w:noWrap/>
            <w:vAlign w:val="center"/>
          </w:tcPr>
          <w:p w14:paraId="4B73E421">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0.5</w:t>
            </w:r>
          </w:p>
        </w:tc>
      </w:tr>
      <w:tr w14:paraId="3F98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52" w:type="dxa"/>
            <w:noWrap w:val="0"/>
            <w:vAlign w:val="center"/>
          </w:tcPr>
          <w:p w14:paraId="3700CA21">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31</w:t>
            </w:r>
          </w:p>
        </w:tc>
        <w:tc>
          <w:tcPr>
            <w:tcW w:w="903" w:type="dxa"/>
            <w:vMerge w:val="continue"/>
            <w:noWrap w:val="0"/>
            <w:vAlign w:val="center"/>
          </w:tcPr>
          <w:p w14:paraId="2DBA7B33">
            <w:pPr>
              <w:widowControl/>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0998FB7C">
            <w:pPr>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081C653F">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1"/>
                <w:szCs w:val="22"/>
                <w:highlight w:val="none"/>
              </w:rPr>
              <w:t>不认真填写交接班记录</w:t>
            </w:r>
          </w:p>
        </w:tc>
        <w:tc>
          <w:tcPr>
            <w:tcW w:w="941" w:type="dxa"/>
            <w:noWrap/>
            <w:vAlign w:val="center"/>
          </w:tcPr>
          <w:p w14:paraId="471F3B3C">
            <w:pPr>
              <w:widowControl/>
              <w:spacing w:line="300" w:lineRule="exact"/>
              <w:ind w:right="210" w:rightChars="100"/>
              <w:jc w:val="left"/>
              <w:rPr>
                <w:rFonts w:ascii="仿宋" w:hAnsi="仿宋" w:eastAsia="仿宋" w:cs="宋体"/>
                <w:b w:val="0"/>
                <w:bCs w:val="0"/>
                <w:kern w:val="0"/>
                <w:sz w:val="22"/>
                <w:szCs w:val="22"/>
                <w:highlight w:val="none"/>
              </w:rPr>
            </w:pPr>
            <w:r>
              <w:rPr>
                <w:rFonts w:ascii="仿宋" w:hAnsi="仿宋" w:eastAsia="仿宋" w:cs="宋体"/>
                <w:b w:val="0"/>
                <w:bCs w:val="0"/>
                <w:kern w:val="0"/>
                <w:sz w:val="22"/>
                <w:szCs w:val="22"/>
                <w:highlight w:val="none"/>
              </w:rPr>
              <w:t>0.5</w:t>
            </w:r>
          </w:p>
        </w:tc>
      </w:tr>
      <w:tr w14:paraId="7A62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52" w:type="dxa"/>
            <w:noWrap w:val="0"/>
            <w:vAlign w:val="center"/>
          </w:tcPr>
          <w:p w14:paraId="1B8AD867">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31</w:t>
            </w:r>
          </w:p>
        </w:tc>
        <w:tc>
          <w:tcPr>
            <w:tcW w:w="903" w:type="dxa"/>
            <w:vMerge w:val="restart"/>
            <w:noWrap w:val="0"/>
            <w:vAlign w:val="center"/>
          </w:tcPr>
          <w:p w14:paraId="1B7E5267">
            <w:pPr>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岗位要求</w:t>
            </w:r>
          </w:p>
        </w:tc>
        <w:tc>
          <w:tcPr>
            <w:tcW w:w="825" w:type="dxa"/>
            <w:vMerge w:val="restart"/>
            <w:noWrap w:val="0"/>
            <w:vAlign w:val="center"/>
          </w:tcPr>
          <w:p w14:paraId="4521951E">
            <w:pPr>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4</w:t>
            </w:r>
          </w:p>
        </w:tc>
        <w:tc>
          <w:tcPr>
            <w:tcW w:w="5135" w:type="dxa"/>
            <w:noWrap w:val="0"/>
            <w:vAlign w:val="center"/>
          </w:tcPr>
          <w:p w14:paraId="73C730A1">
            <w:pPr>
              <w:widowControl/>
              <w:spacing w:line="300" w:lineRule="exact"/>
              <w:ind w:right="210" w:rightChars="100"/>
              <w:jc w:val="left"/>
              <w:rPr>
                <w:rFonts w:ascii="仿宋" w:hAnsi="仿宋" w:eastAsia="仿宋"/>
                <w:b w:val="0"/>
                <w:bCs w:val="0"/>
                <w:sz w:val="22"/>
                <w:szCs w:val="22"/>
                <w:highlight w:val="none"/>
              </w:rPr>
            </w:pPr>
            <w:r>
              <w:rPr>
                <w:rFonts w:hint="eastAsia" w:ascii="仿宋" w:hAnsi="仿宋" w:eastAsia="仿宋" w:cs="宋体"/>
                <w:b w:val="0"/>
                <w:bCs w:val="0"/>
                <w:kern w:val="0"/>
                <w:sz w:val="21"/>
                <w:szCs w:val="22"/>
                <w:highlight w:val="none"/>
              </w:rPr>
              <w:t>不遵守仪容仪表管理规定</w:t>
            </w:r>
          </w:p>
        </w:tc>
        <w:tc>
          <w:tcPr>
            <w:tcW w:w="941" w:type="dxa"/>
            <w:noWrap/>
            <w:vAlign w:val="center"/>
          </w:tcPr>
          <w:p w14:paraId="6A27E8E4">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1</w:t>
            </w:r>
          </w:p>
        </w:tc>
      </w:tr>
      <w:tr w14:paraId="18DB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52" w:type="dxa"/>
            <w:noWrap w:val="0"/>
            <w:vAlign w:val="center"/>
          </w:tcPr>
          <w:p w14:paraId="70933180">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32</w:t>
            </w:r>
          </w:p>
        </w:tc>
        <w:tc>
          <w:tcPr>
            <w:tcW w:w="903" w:type="dxa"/>
            <w:vMerge w:val="continue"/>
            <w:noWrap w:val="0"/>
            <w:vAlign w:val="center"/>
          </w:tcPr>
          <w:p w14:paraId="73B7B5D1">
            <w:pPr>
              <w:widowControl/>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1A218007">
            <w:pPr>
              <w:widowControl/>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02FFB5FA">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不遵守请销假制度</w:t>
            </w:r>
          </w:p>
        </w:tc>
        <w:tc>
          <w:tcPr>
            <w:tcW w:w="941" w:type="dxa"/>
            <w:noWrap/>
            <w:vAlign w:val="center"/>
          </w:tcPr>
          <w:p w14:paraId="381A41BD">
            <w:pPr>
              <w:widowControl/>
              <w:spacing w:line="300" w:lineRule="exact"/>
              <w:ind w:right="210" w:rightChars="100"/>
              <w:jc w:val="left"/>
              <w:rPr>
                <w:rFonts w:ascii="仿宋" w:hAnsi="仿宋" w:eastAsia="仿宋" w:cs="宋体"/>
                <w:b w:val="0"/>
                <w:bCs w:val="0"/>
                <w:kern w:val="0"/>
                <w:sz w:val="21"/>
                <w:szCs w:val="22"/>
                <w:highlight w:val="none"/>
              </w:rPr>
            </w:pPr>
            <w:r>
              <w:rPr>
                <w:rFonts w:ascii="仿宋" w:hAnsi="仿宋" w:eastAsia="仿宋" w:cs="宋体"/>
                <w:b w:val="0"/>
                <w:bCs w:val="0"/>
                <w:kern w:val="0"/>
                <w:sz w:val="21"/>
                <w:szCs w:val="22"/>
                <w:highlight w:val="none"/>
              </w:rPr>
              <w:t>1</w:t>
            </w:r>
          </w:p>
        </w:tc>
      </w:tr>
      <w:tr w14:paraId="1270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52" w:type="dxa"/>
            <w:noWrap w:val="0"/>
            <w:vAlign w:val="center"/>
          </w:tcPr>
          <w:p w14:paraId="31808209">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33</w:t>
            </w:r>
          </w:p>
        </w:tc>
        <w:tc>
          <w:tcPr>
            <w:tcW w:w="903" w:type="dxa"/>
            <w:vMerge w:val="continue"/>
            <w:noWrap w:val="0"/>
            <w:vAlign w:val="center"/>
          </w:tcPr>
          <w:p w14:paraId="7294E30E">
            <w:pPr>
              <w:widowControl/>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0B8DFB45">
            <w:pPr>
              <w:widowControl/>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2A7B582A">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不使用文明用语</w:t>
            </w:r>
          </w:p>
        </w:tc>
        <w:tc>
          <w:tcPr>
            <w:tcW w:w="941" w:type="dxa"/>
            <w:noWrap/>
            <w:vAlign w:val="center"/>
          </w:tcPr>
          <w:p w14:paraId="1FC1E7A8">
            <w:pPr>
              <w:widowControl/>
              <w:spacing w:line="300" w:lineRule="exact"/>
              <w:ind w:right="210" w:rightChars="100"/>
              <w:jc w:val="left"/>
              <w:rPr>
                <w:rFonts w:ascii="仿宋" w:hAnsi="仿宋" w:eastAsia="仿宋" w:cs="宋体"/>
                <w:b w:val="0"/>
                <w:bCs w:val="0"/>
                <w:kern w:val="0"/>
                <w:sz w:val="22"/>
                <w:szCs w:val="22"/>
                <w:highlight w:val="none"/>
              </w:rPr>
            </w:pPr>
            <w:r>
              <w:rPr>
                <w:rFonts w:hint="eastAsia" w:ascii="仿宋" w:hAnsi="仿宋" w:eastAsia="仿宋" w:cs="宋体"/>
                <w:b w:val="0"/>
                <w:bCs w:val="0"/>
                <w:kern w:val="0"/>
                <w:sz w:val="22"/>
                <w:szCs w:val="22"/>
                <w:highlight w:val="none"/>
              </w:rPr>
              <w:t>0.5</w:t>
            </w:r>
          </w:p>
        </w:tc>
      </w:tr>
      <w:tr w14:paraId="606D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52" w:type="dxa"/>
            <w:noWrap w:val="0"/>
            <w:vAlign w:val="center"/>
          </w:tcPr>
          <w:p w14:paraId="655B2767">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34</w:t>
            </w:r>
          </w:p>
        </w:tc>
        <w:tc>
          <w:tcPr>
            <w:tcW w:w="903" w:type="dxa"/>
            <w:vMerge w:val="continue"/>
            <w:noWrap w:val="0"/>
            <w:vAlign w:val="center"/>
          </w:tcPr>
          <w:p w14:paraId="799C850C">
            <w:pPr>
              <w:widowControl/>
              <w:spacing w:line="300" w:lineRule="exact"/>
              <w:ind w:right="210" w:rightChars="100"/>
              <w:jc w:val="left"/>
              <w:rPr>
                <w:rFonts w:ascii="仿宋" w:hAnsi="仿宋" w:eastAsia="仿宋" w:cs="宋体"/>
                <w:b w:val="0"/>
                <w:bCs w:val="0"/>
                <w:kern w:val="0"/>
                <w:sz w:val="21"/>
                <w:szCs w:val="22"/>
                <w:highlight w:val="none"/>
              </w:rPr>
            </w:pPr>
          </w:p>
        </w:tc>
        <w:tc>
          <w:tcPr>
            <w:tcW w:w="825" w:type="dxa"/>
            <w:vMerge w:val="continue"/>
            <w:noWrap w:val="0"/>
            <w:vAlign w:val="center"/>
          </w:tcPr>
          <w:p w14:paraId="715F6508">
            <w:pPr>
              <w:widowControl/>
              <w:spacing w:line="300" w:lineRule="exact"/>
              <w:ind w:right="210" w:rightChars="100"/>
              <w:jc w:val="left"/>
              <w:rPr>
                <w:rFonts w:ascii="仿宋" w:hAnsi="仿宋" w:eastAsia="仿宋" w:cs="宋体"/>
                <w:b w:val="0"/>
                <w:bCs w:val="0"/>
                <w:kern w:val="0"/>
                <w:sz w:val="21"/>
                <w:szCs w:val="22"/>
                <w:highlight w:val="none"/>
              </w:rPr>
            </w:pPr>
          </w:p>
        </w:tc>
        <w:tc>
          <w:tcPr>
            <w:tcW w:w="5135" w:type="dxa"/>
            <w:noWrap w:val="0"/>
            <w:vAlign w:val="center"/>
          </w:tcPr>
          <w:p w14:paraId="27642EA4">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2"/>
                <w:szCs w:val="22"/>
                <w:highlight w:val="none"/>
              </w:rPr>
              <w:t>岗位、办公室卫生不到位、</w:t>
            </w:r>
            <w:r>
              <w:rPr>
                <w:rFonts w:hint="eastAsia" w:ascii="仿宋" w:hAnsi="仿宋" w:eastAsia="仿宋"/>
                <w:b w:val="0"/>
                <w:bCs w:val="0"/>
                <w:sz w:val="22"/>
                <w:szCs w:val="22"/>
                <w:highlight w:val="none"/>
              </w:rPr>
              <w:t>物品摆放不到位</w:t>
            </w:r>
          </w:p>
        </w:tc>
        <w:tc>
          <w:tcPr>
            <w:tcW w:w="941" w:type="dxa"/>
            <w:noWrap/>
            <w:vAlign w:val="center"/>
          </w:tcPr>
          <w:p w14:paraId="16A06FBD">
            <w:pPr>
              <w:widowControl/>
              <w:spacing w:line="300" w:lineRule="exact"/>
              <w:ind w:right="210" w:rightChars="100"/>
              <w:jc w:val="left"/>
              <w:rPr>
                <w:rFonts w:ascii="仿宋" w:hAnsi="仿宋" w:eastAsia="仿宋" w:cs="宋体"/>
                <w:b w:val="0"/>
                <w:bCs w:val="0"/>
                <w:kern w:val="0"/>
                <w:sz w:val="21"/>
                <w:szCs w:val="22"/>
                <w:highlight w:val="none"/>
              </w:rPr>
            </w:pPr>
            <w:r>
              <w:rPr>
                <w:rFonts w:hint="eastAsia" w:ascii="仿宋" w:hAnsi="仿宋" w:eastAsia="仿宋" w:cs="宋体"/>
                <w:b w:val="0"/>
                <w:bCs w:val="0"/>
                <w:kern w:val="0"/>
                <w:sz w:val="21"/>
                <w:szCs w:val="22"/>
                <w:highlight w:val="none"/>
              </w:rPr>
              <w:t>0.5</w:t>
            </w:r>
          </w:p>
        </w:tc>
      </w:tr>
    </w:tbl>
    <w:p w14:paraId="5442FB35">
      <w:pPr>
        <w:rPr>
          <w:rFonts w:hint="eastAsia"/>
          <w:highlight w:val="none"/>
          <w:lang w:val="en-US" w:eastAsia="zh-CN"/>
        </w:rPr>
      </w:pPr>
      <w:r>
        <w:rPr>
          <w:rFonts w:hint="eastAsia"/>
          <w:highlight w:val="none"/>
          <w:lang w:val="en-US" w:eastAsia="zh-CN"/>
        </w:rPr>
        <w:br w:type="page"/>
      </w:r>
    </w:p>
    <w:p w14:paraId="02CE8B5D">
      <w:pPr>
        <w:pStyle w:val="13"/>
        <w:rPr>
          <w:rFonts w:hint="eastAsia"/>
          <w:highlight w:val="none"/>
          <w:lang w:val="en-US" w:eastAsia="zh-CN"/>
        </w:rPr>
      </w:pPr>
    </w:p>
    <w:p w14:paraId="2DAB58BD">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2"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2"/>
    </w:p>
    <w:p w14:paraId="52D1522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E1626DB">
      <w:pPr>
        <w:keepNext w:val="0"/>
        <w:keepLines w:val="0"/>
        <w:pageBreakBefore w:val="0"/>
        <w:widowControl w:val="0"/>
        <w:numPr>
          <w:ilvl w:val="0"/>
          <w:numId w:val="9"/>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highlight w:val="none"/>
          <w:lang w:val="en-US" w:eastAsia="zh-CN"/>
        </w:rPr>
      </w:pPr>
      <w:bookmarkStart w:id="23" w:name="_Toc27440"/>
      <w:r>
        <w:rPr>
          <w:rFonts w:hint="eastAsia" w:ascii="仿宋_GB2312" w:hAnsi="仿宋_GB2312" w:eastAsia="仿宋_GB2312" w:cs="仿宋_GB2312"/>
          <w:b/>
          <w:bCs/>
          <w:sz w:val="24"/>
          <w:szCs w:val="24"/>
          <w:highlight w:val="none"/>
          <w:lang w:val="en-US" w:eastAsia="zh-CN"/>
        </w:rPr>
        <w:t>评标方法</w:t>
      </w:r>
      <w:bookmarkEnd w:id="23"/>
      <w:r>
        <w:rPr>
          <w:rFonts w:hint="eastAsia" w:ascii="仿宋_GB2312" w:hAnsi="仿宋_GB2312" w:eastAsia="仿宋_GB2312" w:cs="仿宋_GB2312"/>
          <w:b/>
          <w:bCs/>
          <w:sz w:val="24"/>
          <w:szCs w:val="24"/>
          <w:highlight w:val="none"/>
          <w:lang w:val="en-US" w:eastAsia="zh-CN"/>
        </w:rPr>
        <w:t xml:space="preserve"> </w:t>
      </w:r>
    </w:p>
    <w:p w14:paraId="0AD6603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567202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4" w:name="_Toc12617"/>
      <w:r>
        <w:rPr>
          <w:rFonts w:hint="eastAsia" w:ascii="仿宋_GB2312" w:hAnsi="仿宋_GB2312" w:eastAsia="仿宋_GB2312" w:cs="仿宋_GB2312"/>
          <w:b/>
          <w:bCs/>
          <w:sz w:val="24"/>
          <w:szCs w:val="24"/>
          <w:highlight w:val="none"/>
          <w:lang w:val="en-US" w:eastAsia="zh-CN"/>
        </w:rPr>
        <w:t>评标原则</w:t>
      </w:r>
      <w:bookmarkEnd w:id="24"/>
    </w:p>
    <w:p w14:paraId="61F20F32">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4EDB302D">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EB2B2B3">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评标应遵守下列评标纪律：</w:t>
      </w:r>
    </w:p>
    <w:p w14:paraId="44700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（1）评标情况不得私自外泄，有关信息由采购人、代理机构统一对外发布。</w:t>
      </w:r>
    </w:p>
    <w:p w14:paraId="28EB502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（2）对采购人或代理机构或投标人提供的要求保密的资料，不得摘记翻印和外传。</w:t>
      </w:r>
    </w:p>
    <w:p w14:paraId="02752CC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4D6207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（4）全体评委应按照采购文件规定进行评标，一切认定事项应查有实据且不得弄虚作假。</w:t>
      </w:r>
    </w:p>
    <w:p w14:paraId="31E2AA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14DB4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（6）法律法规及采购文件规定的其他情形。</w:t>
      </w:r>
    </w:p>
    <w:p w14:paraId="169777C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对违反评标纪律的评委，将取消其评委资格，对评标工作造成严重损失者将予以通报批评乃至追究法律责任。</w:t>
      </w:r>
    </w:p>
    <w:p w14:paraId="15CA7BCE">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资格性审查</w:t>
      </w:r>
    </w:p>
    <w:p w14:paraId="1558F8BC">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处理，不进入符合性审查。</w:t>
      </w:r>
    </w:p>
    <w:p w14:paraId="08B59F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419F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0E5789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1831" w:type="dxa"/>
            <w:vAlign w:val="center"/>
          </w:tcPr>
          <w:p w14:paraId="7FED4D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933" w:type="dxa"/>
            <w:vAlign w:val="center"/>
          </w:tcPr>
          <w:p w14:paraId="7B57F39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5628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6CB83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1831" w:type="dxa"/>
            <w:vAlign w:val="center"/>
          </w:tcPr>
          <w:p w14:paraId="6D8B2D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具有独立承担民事责任的能力</w:t>
            </w:r>
          </w:p>
        </w:tc>
        <w:tc>
          <w:tcPr>
            <w:tcW w:w="5933" w:type="dxa"/>
            <w:vAlign w:val="center"/>
          </w:tcPr>
          <w:p w14:paraId="71E9BF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3CDB88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118D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2D894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1831" w:type="dxa"/>
            <w:vAlign w:val="center"/>
          </w:tcPr>
          <w:p w14:paraId="7F68D1F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具有良好的商业信誉和健全的财务会计制度</w:t>
            </w:r>
          </w:p>
        </w:tc>
        <w:tc>
          <w:tcPr>
            <w:tcW w:w="5933" w:type="dxa"/>
            <w:vAlign w:val="center"/>
          </w:tcPr>
          <w:p w14:paraId="7A3AAD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仿宋_GB2312" w:hAnsi="仿宋_GB2312" w:eastAsia="仿宋_GB2312" w:cs="仿宋_GB2312"/>
                <w:b/>
                <w:bCs/>
                <w:sz w:val="21"/>
                <w:szCs w:val="21"/>
                <w:highlight w:val="none"/>
                <w:vertAlign w:val="baseline"/>
                <w:lang w:val="en-US" w:eastAsia="zh-CN"/>
              </w:rPr>
              <w:t>2024年度或2025年度</w:t>
            </w:r>
            <w:r>
              <w:rPr>
                <w:rFonts w:hint="eastAsia" w:ascii="仿宋_GB2312" w:hAnsi="仿宋_GB2312" w:eastAsia="仿宋_GB2312" w:cs="仿宋_GB2312"/>
                <w:b w:val="0"/>
                <w:bCs w:val="0"/>
                <w:sz w:val="21"/>
                <w:szCs w:val="21"/>
                <w:highlight w:val="none"/>
                <w:vertAlign w:val="baseline"/>
                <w:lang w:val="en-US" w:eastAsia="zh-CN"/>
              </w:rPr>
              <w:t>由第三方会计师事务所出具的财务审计报告扫描件加盖电子公章（</w:t>
            </w:r>
            <w:r>
              <w:rPr>
                <w:rFonts w:hint="eastAsia" w:ascii="仿宋_GB2312" w:hAnsi="仿宋_GB2312" w:eastAsia="仿宋_GB2312" w:cs="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423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718BD5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1831" w:type="dxa"/>
            <w:vAlign w:val="center"/>
          </w:tcPr>
          <w:p w14:paraId="326B6B5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具有履行合同所必需的设备和专业技术能力</w:t>
            </w:r>
          </w:p>
        </w:tc>
        <w:tc>
          <w:tcPr>
            <w:tcW w:w="5933" w:type="dxa"/>
            <w:vAlign w:val="center"/>
          </w:tcPr>
          <w:p w14:paraId="7F05EA8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须提供具备履行合同所必需的设备和专业技术能力的资格声明书加盖电子公章</w:t>
            </w:r>
          </w:p>
        </w:tc>
      </w:tr>
      <w:tr w14:paraId="1D90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5ACCFF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1831" w:type="dxa"/>
            <w:vAlign w:val="center"/>
          </w:tcPr>
          <w:p w14:paraId="09CA78C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C813C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5AF381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2DD0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jc w:val="center"/>
        </w:trPr>
        <w:tc>
          <w:tcPr>
            <w:tcW w:w="758" w:type="dxa"/>
            <w:vAlign w:val="center"/>
          </w:tcPr>
          <w:p w14:paraId="2578160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1831" w:type="dxa"/>
            <w:vAlign w:val="center"/>
          </w:tcPr>
          <w:p w14:paraId="17D2F0E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35B502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5FA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0FEF4CD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1831" w:type="dxa"/>
            <w:vAlign w:val="center"/>
          </w:tcPr>
          <w:p w14:paraId="3CF9DF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法律、行政法规规定的其他条件</w:t>
            </w:r>
          </w:p>
        </w:tc>
        <w:tc>
          <w:tcPr>
            <w:tcW w:w="5933" w:type="dxa"/>
            <w:vAlign w:val="center"/>
          </w:tcPr>
          <w:p w14:paraId="3314EA9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不存在违反国家法律、法规规定的其他情形</w:t>
            </w:r>
          </w:p>
        </w:tc>
      </w:tr>
      <w:tr w14:paraId="6151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370C76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1831" w:type="dxa"/>
            <w:vAlign w:val="center"/>
          </w:tcPr>
          <w:p w14:paraId="6E9A2FA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w:t>
            </w:r>
          </w:p>
        </w:tc>
        <w:tc>
          <w:tcPr>
            <w:tcW w:w="5933" w:type="dxa"/>
            <w:vAlign w:val="center"/>
          </w:tcPr>
          <w:p w14:paraId="4CB85DF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按照采购文件的规定提交投标保证金</w:t>
            </w:r>
          </w:p>
        </w:tc>
      </w:tr>
      <w:tr w14:paraId="18AD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58" w:type="dxa"/>
            <w:vAlign w:val="center"/>
          </w:tcPr>
          <w:p w14:paraId="68205BE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1831" w:type="dxa"/>
            <w:vAlign w:val="center"/>
          </w:tcPr>
          <w:p w14:paraId="116B8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落实政府采购政策的资格要求</w:t>
            </w:r>
          </w:p>
        </w:tc>
        <w:tc>
          <w:tcPr>
            <w:tcW w:w="5933" w:type="dxa"/>
            <w:vAlign w:val="center"/>
          </w:tcPr>
          <w:p w14:paraId="0D513F2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default" w:ascii="仿宋_GB2312" w:hAnsi="仿宋_GB2312" w:eastAsia="仿宋_GB2312" w:cs="仿宋_GB2312"/>
                <w:b w:val="0"/>
                <w:bCs w:val="0"/>
                <w:sz w:val="21"/>
                <w:szCs w:val="21"/>
                <w:highlight w:val="none"/>
                <w:vertAlign w:val="baseline"/>
                <w:lang w:val="en-US" w:eastAsia="zh-CN"/>
              </w:rPr>
              <w:t>本项目专门面向</w:t>
            </w:r>
            <w:r>
              <w:rPr>
                <w:rFonts w:hint="eastAsia" w:ascii="仿宋_GB2312" w:hAnsi="仿宋_GB2312" w:eastAsia="仿宋_GB2312" w:cs="仿宋_GB2312"/>
                <w:b w:val="0"/>
                <w:bCs w:val="0"/>
                <w:sz w:val="21"/>
                <w:szCs w:val="21"/>
                <w:highlight w:val="none"/>
                <w:vertAlign w:val="baseline"/>
                <w:lang w:val="en-US" w:eastAsia="zh-CN"/>
              </w:rPr>
              <w:t>中小</w:t>
            </w:r>
            <w:r>
              <w:rPr>
                <w:rFonts w:hint="default" w:ascii="仿宋_GB2312" w:hAnsi="仿宋_GB2312" w:eastAsia="仿宋_GB2312" w:cs="仿宋_GB2312"/>
                <w:b w:val="0"/>
                <w:bCs w:val="0"/>
                <w:sz w:val="21"/>
                <w:szCs w:val="21"/>
                <w:highlight w:val="none"/>
                <w:vertAlign w:val="baseline"/>
                <w:lang w:val="en-US" w:eastAsia="zh-CN"/>
              </w:rPr>
              <w:t>企业，</w:t>
            </w:r>
            <w:r>
              <w:rPr>
                <w:rFonts w:hint="eastAsia" w:ascii="仿宋_GB2312" w:hAnsi="仿宋_GB2312" w:eastAsia="仿宋_GB2312" w:cs="仿宋_GB2312"/>
                <w:b w:val="0"/>
                <w:bCs w:val="0"/>
                <w:sz w:val="21"/>
                <w:szCs w:val="21"/>
                <w:highlight w:val="none"/>
                <w:vertAlign w:val="baseline"/>
                <w:lang w:val="en-US" w:eastAsia="zh-CN"/>
              </w:rPr>
              <w:t>服务</w:t>
            </w:r>
            <w:r>
              <w:rPr>
                <w:rFonts w:hint="default" w:ascii="仿宋_GB2312" w:hAnsi="仿宋_GB2312" w:eastAsia="仿宋_GB2312" w:cs="仿宋_GB2312"/>
                <w:b w:val="0"/>
                <w:bCs w:val="0"/>
                <w:sz w:val="21"/>
                <w:szCs w:val="21"/>
                <w:highlight w:val="none"/>
                <w:vertAlign w:val="baseline"/>
                <w:lang w:val="en-US" w:eastAsia="zh-CN"/>
              </w:rPr>
              <w:t>的</w:t>
            </w:r>
            <w:r>
              <w:rPr>
                <w:rFonts w:hint="eastAsia" w:ascii="仿宋_GB2312" w:hAnsi="仿宋_GB2312" w:eastAsia="仿宋_GB2312" w:cs="仿宋_GB2312"/>
                <w:b w:val="0"/>
                <w:bCs w:val="0"/>
                <w:sz w:val="21"/>
                <w:szCs w:val="21"/>
                <w:highlight w:val="none"/>
                <w:vertAlign w:val="baseline"/>
                <w:lang w:val="en-US" w:eastAsia="zh-CN"/>
              </w:rPr>
              <w:t>承接商</w:t>
            </w:r>
            <w:r>
              <w:rPr>
                <w:rFonts w:hint="default" w:ascii="仿宋_GB2312" w:hAnsi="仿宋_GB2312" w:eastAsia="仿宋_GB2312" w:cs="仿宋_GB2312"/>
                <w:b w:val="0"/>
                <w:bCs w:val="0"/>
                <w:sz w:val="21"/>
                <w:szCs w:val="21"/>
                <w:highlight w:val="none"/>
                <w:vertAlign w:val="baseline"/>
                <w:lang w:val="en-US" w:eastAsia="zh-CN"/>
              </w:rPr>
              <w:t>应符合《政府采购促进中小企业发展管理办法》(财库〔2020〕46号) 第四条规定的情形，投标人提供《政府采购促进中小企业发展管理办法》(财库〔2020〕46号)规定的《中小企业声明函》</w:t>
            </w:r>
          </w:p>
        </w:tc>
      </w:tr>
      <w:tr w14:paraId="5AC2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58" w:type="dxa"/>
            <w:vAlign w:val="center"/>
          </w:tcPr>
          <w:p w14:paraId="0B57056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1831" w:type="dxa"/>
            <w:vAlign w:val="center"/>
          </w:tcPr>
          <w:p w14:paraId="27B9C88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本项目的特定资格要求（1）</w:t>
            </w:r>
          </w:p>
        </w:tc>
        <w:tc>
          <w:tcPr>
            <w:tcW w:w="5933" w:type="dxa"/>
            <w:vAlign w:val="center"/>
          </w:tcPr>
          <w:p w14:paraId="129E26A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仿宋_GB2312" w:hAnsi="仿宋_GB2312" w:eastAsia="仿宋_GB2312" w:cs="仿宋_GB2312"/>
                <w:b/>
                <w:bCs/>
                <w:color w:val="auto"/>
                <w:sz w:val="21"/>
                <w:szCs w:val="21"/>
                <w:highlight w:val="none"/>
                <w:vertAlign w:val="baseline"/>
                <w:lang w:val="en-US" w:eastAsia="zh-CN"/>
              </w:rPr>
              <w:t>查询结果网页截图或信用报告</w:t>
            </w:r>
            <w:r>
              <w:rPr>
                <w:rFonts w:hint="eastAsia" w:ascii="仿宋_GB2312" w:hAnsi="仿宋_GB2312" w:eastAsia="仿宋_GB2312" w:cs="仿宋_GB2312"/>
                <w:b w:val="0"/>
                <w:bCs w:val="0"/>
                <w:sz w:val="21"/>
                <w:szCs w:val="21"/>
                <w:highlight w:val="none"/>
                <w:vertAlign w:val="baseline"/>
                <w:lang w:val="en-US" w:eastAsia="zh-CN"/>
              </w:rPr>
              <w:t>等。如相关失信记录已失效，供应商需提供相关证明资料）。</w:t>
            </w:r>
          </w:p>
          <w:p w14:paraId="5C866EA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4631467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25AA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77E0155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1831" w:type="dxa"/>
            <w:vAlign w:val="center"/>
          </w:tcPr>
          <w:p w14:paraId="580CDF5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本项目的特定资格要求（2）</w:t>
            </w:r>
          </w:p>
        </w:tc>
        <w:tc>
          <w:tcPr>
            <w:tcW w:w="5933" w:type="dxa"/>
            <w:vAlign w:val="center"/>
          </w:tcPr>
          <w:p w14:paraId="0CF811F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07C6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5EEA7EA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11</w:t>
            </w:r>
          </w:p>
        </w:tc>
        <w:tc>
          <w:tcPr>
            <w:tcW w:w="1831" w:type="dxa"/>
            <w:vAlign w:val="center"/>
          </w:tcPr>
          <w:p w14:paraId="1A338B4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本项目的特定资格要求（3）</w:t>
            </w:r>
          </w:p>
        </w:tc>
        <w:tc>
          <w:tcPr>
            <w:tcW w:w="5933" w:type="dxa"/>
            <w:vAlign w:val="center"/>
          </w:tcPr>
          <w:p w14:paraId="54BFA3F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（3）投标人须具备公安机关颁发的《保安服务许可证》。</w:t>
            </w:r>
          </w:p>
        </w:tc>
      </w:tr>
    </w:tbl>
    <w:p w14:paraId="607358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lang w:val="en-US" w:eastAsia="zh-CN"/>
        </w:rPr>
      </w:pPr>
    </w:p>
    <w:p w14:paraId="1EC4D5DF">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符合性审查</w:t>
      </w:r>
    </w:p>
    <w:p w14:paraId="39C0CC72">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48929A1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符合性审查要求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6932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38FFFFB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132" w:type="dxa"/>
            <w:vAlign w:val="center"/>
          </w:tcPr>
          <w:p w14:paraId="67D9A90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573" w:type="dxa"/>
            <w:vAlign w:val="center"/>
          </w:tcPr>
          <w:p w14:paraId="244416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14:paraId="7129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228AC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132" w:type="dxa"/>
            <w:vAlign w:val="center"/>
          </w:tcPr>
          <w:p w14:paraId="6CBBDFA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授权委托书</w:t>
            </w:r>
          </w:p>
        </w:tc>
        <w:tc>
          <w:tcPr>
            <w:tcW w:w="5573" w:type="dxa"/>
            <w:vAlign w:val="center"/>
          </w:tcPr>
          <w:p w14:paraId="5875FEA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01D6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4CAE073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132" w:type="dxa"/>
            <w:vAlign w:val="center"/>
          </w:tcPr>
          <w:p w14:paraId="42FAE51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投标完整性</w:t>
            </w:r>
          </w:p>
        </w:tc>
        <w:tc>
          <w:tcPr>
            <w:tcW w:w="5573" w:type="dxa"/>
            <w:vAlign w:val="center"/>
          </w:tcPr>
          <w:p w14:paraId="28CBCF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未将一个采购包/标项中的内容拆开投标</w:t>
            </w:r>
          </w:p>
        </w:tc>
      </w:tr>
      <w:tr w14:paraId="4CC0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08229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132" w:type="dxa"/>
            <w:vAlign w:val="center"/>
          </w:tcPr>
          <w:p w14:paraId="7610762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投标报价</w:t>
            </w:r>
          </w:p>
        </w:tc>
        <w:tc>
          <w:tcPr>
            <w:tcW w:w="5573" w:type="dxa"/>
            <w:vAlign w:val="center"/>
          </w:tcPr>
          <w:p w14:paraId="63DB8A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7272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D25B0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132" w:type="dxa"/>
            <w:vAlign w:val="center"/>
          </w:tcPr>
          <w:p w14:paraId="4DCA4C3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报价唯一性</w:t>
            </w:r>
          </w:p>
        </w:tc>
        <w:tc>
          <w:tcPr>
            <w:tcW w:w="5573" w:type="dxa"/>
            <w:vAlign w:val="center"/>
          </w:tcPr>
          <w:p w14:paraId="7A93D1C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投标文件未出现可选择性或可调整的报价（采购文件另有规定的除外）</w:t>
            </w:r>
          </w:p>
        </w:tc>
      </w:tr>
      <w:tr w14:paraId="28C3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1A08B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132" w:type="dxa"/>
            <w:vAlign w:val="center"/>
          </w:tcPr>
          <w:p w14:paraId="5CEAC93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投标有效期</w:t>
            </w:r>
          </w:p>
        </w:tc>
        <w:tc>
          <w:tcPr>
            <w:tcW w:w="5573" w:type="dxa"/>
            <w:vAlign w:val="center"/>
          </w:tcPr>
          <w:p w14:paraId="4B37B22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投标文件中承诺的投标有效期满足采购文件中载明的投标有效期的</w:t>
            </w:r>
          </w:p>
        </w:tc>
      </w:tr>
      <w:tr w14:paraId="798D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152E3DB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132" w:type="dxa"/>
            <w:vAlign w:val="center"/>
          </w:tcPr>
          <w:p w14:paraId="5F83BC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签署、盖章</w:t>
            </w:r>
          </w:p>
        </w:tc>
        <w:tc>
          <w:tcPr>
            <w:tcW w:w="5573" w:type="dxa"/>
            <w:vAlign w:val="center"/>
          </w:tcPr>
          <w:p w14:paraId="4B9275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按照采购文件要求签署、盖章的</w:t>
            </w:r>
          </w:p>
        </w:tc>
      </w:tr>
      <w:tr w14:paraId="42EC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13CD3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132" w:type="dxa"/>
            <w:vAlign w:val="center"/>
          </w:tcPr>
          <w:p w14:paraId="47988D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采购需求的响应</w:t>
            </w:r>
          </w:p>
        </w:tc>
        <w:tc>
          <w:tcPr>
            <w:tcW w:w="5573" w:type="dxa"/>
            <w:vAlign w:val="center"/>
          </w:tcPr>
          <w:p w14:paraId="55273DB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投标文件满足采购文件中※号条款要求的</w:t>
            </w:r>
          </w:p>
        </w:tc>
      </w:tr>
      <w:tr w14:paraId="7ADF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17" w:type="dxa"/>
            <w:vAlign w:val="center"/>
          </w:tcPr>
          <w:p w14:paraId="2123762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132" w:type="dxa"/>
            <w:vAlign w:val="center"/>
          </w:tcPr>
          <w:p w14:paraId="5ACEA02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报价合理性</w:t>
            </w:r>
          </w:p>
        </w:tc>
        <w:tc>
          <w:tcPr>
            <w:tcW w:w="5573" w:type="dxa"/>
            <w:vAlign w:val="center"/>
          </w:tcPr>
          <w:p w14:paraId="4E16B26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0576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vAlign w:val="center"/>
          </w:tcPr>
          <w:p w14:paraId="5C949A8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132" w:type="dxa"/>
            <w:vAlign w:val="center"/>
          </w:tcPr>
          <w:p w14:paraId="2013C3B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附加条件</w:t>
            </w:r>
          </w:p>
        </w:tc>
        <w:tc>
          <w:tcPr>
            <w:tcW w:w="5573" w:type="dxa"/>
            <w:vAlign w:val="center"/>
          </w:tcPr>
          <w:p w14:paraId="16F0A9D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投标文件未含有采购人不能接受的附加条件的</w:t>
            </w:r>
          </w:p>
        </w:tc>
      </w:tr>
      <w:tr w14:paraId="7AA6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9DEEDE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2132" w:type="dxa"/>
            <w:vAlign w:val="center"/>
          </w:tcPr>
          <w:p w14:paraId="50992A0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其他</w:t>
            </w:r>
          </w:p>
        </w:tc>
        <w:tc>
          <w:tcPr>
            <w:tcW w:w="5573" w:type="dxa"/>
            <w:vAlign w:val="center"/>
          </w:tcPr>
          <w:p w14:paraId="10B70BD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投标文件中不存在违反国家法律、法规和采购文件规定的其他无效情形</w:t>
            </w:r>
          </w:p>
        </w:tc>
      </w:tr>
    </w:tbl>
    <w:p w14:paraId="1B12FE7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3563545">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5" w:name="_Toc23924"/>
      <w:r>
        <w:rPr>
          <w:rFonts w:hint="eastAsia" w:ascii="仿宋_GB2312" w:hAnsi="仿宋_GB2312" w:eastAsia="仿宋_GB2312" w:cs="仿宋_GB2312"/>
          <w:b/>
          <w:bCs/>
          <w:sz w:val="24"/>
          <w:szCs w:val="24"/>
          <w:highlight w:val="none"/>
          <w:lang w:val="en-US" w:eastAsia="zh-CN"/>
        </w:rPr>
        <w:t>投标文件有关事项的澄清或者说明</w:t>
      </w:r>
      <w:bookmarkEnd w:id="25"/>
    </w:p>
    <w:p w14:paraId="5C32306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214E3494">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A048F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A6354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51A4287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（3）投标（响应）报价低于采购项目最高限价45%的，即投标（响应）报价＜采购项目最高限价×45%；</w:t>
      </w:r>
    </w:p>
    <w:p w14:paraId="3A6EF4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（4）评审委员会基于专业判断，认为供应商报价过低，有可能影响产品质量或者不能诚信履约的其他情形。</w:t>
      </w:r>
    </w:p>
    <w:p w14:paraId="139756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59C5A8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63F532A">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5A3068E3">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评标委员会不接受投标人主动提出的澄清、说明或补正。</w:t>
      </w:r>
    </w:p>
    <w:p w14:paraId="4580B9B6">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评标委员会对投标人提交的澄清、说明或补正有疑问的，可以要求投标人进一步澄清、说明或补正。</w:t>
      </w:r>
    </w:p>
    <w:p w14:paraId="6545CBFA">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对报价的计算错误按以下原则修正：</w:t>
      </w:r>
    </w:p>
    <w:p w14:paraId="2CED8850">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投标文件中开标一览表内容与投标文件中相应内容不一致的，以开标一览表为准；</w:t>
      </w:r>
    </w:p>
    <w:p w14:paraId="41E7E27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大写金额和小写金额不一致的，以大写金额为准；</w:t>
      </w:r>
    </w:p>
    <w:p w14:paraId="174000F0">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单价金额小数点或者百分比有明显错位的，以开标一览表的总价为准，并修改单价。</w:t>
      </w:r>
    </w:p>
    <w:p w14:paraId="5D26586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highlight w:val="none"/>
          <w:lang w:val="en-US" w:eastAsia="zh-CN"/>
        </w:rPr>
        <w:t>无效投标</w:t>
      </w:r>
      <w:r>
        <w:rPr>
          <w:rFonts w:hint="eastAsia" w:ascii="仿宋_GB2312" w:hAnsi="仿宋_GB2312" w:eastAsia="仿宋_GB2312" w:cs="仿宋_GB2312"/>
          <w:b w:val="0"/>
          <w:bCs w:val="0"/>
          <w:sz w:val="24"/>
          <w:szCs w:val="24"/>
          <w:highlight w:val="none"/>
          <w:lang w:val="en-US" w:eastAsia="zh-CN"/>
        </w:rPr>
        <w:t>处理。</w:t>
      </w:r>
    </w:p>
    <w:p w14:paraId="28DB8E8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0B431F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highlight w:val="none"/>
          <w:lang w:val="en-US" w:eastAsia="zh-CN"/>
        </w:rPr>
        <w:t>投标无效</w:t>
      </w:r>
      <w:r>
        <w:rPr>
          <w:rFonts w:hint="eastAsia" w:ascii="仿宋_GB2312" w:hAnsi="仿宋_GB2312" w:eastAsia="仿宋_GB2312" w:cs="仿宋_GB2312"/>
          <w:b w:val="0"/>
          <w:bCs w:val="0"/>
          <w:sz w:val="24"/>
          <w:szCs w:val="24"/>
          <w:highlight w:val="none"/>
          <w:lang w:val="en-US" w:eastAsia="zh-CN"/>
        </w:rPr>
        <w:t>。</w:t>
      </w:r>
    </w:p>
    <w:p w14:paraId="02E710B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26" w:name="_Toc22049"/>
      <w:r>
        <w:rPr>
          <w:rFonts w:hint="eastAsia" w:ascii="仿宋_GB2312" w:hAnsi="仿宋_GB2312" w:eastAsia="仿宋_GB2312" w:cs="仿宋_GB2312"/>
          <w:b/>
          <w:bCs/>
          <w:sz w:val="24"/>
          <w:szCs w:val="24"/>
          <w:highlight w:val="none"/>
          <w:lang w:val="en-US" w:eastAsia="zh-CN"/>
        </w:rPr>
        <w:t>详细评审</w:t>
      </w:r>
      <w:bookmarkEnd w:id="26"/>
    </w:p>
    <w:p w14:paraId="0B94EEA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5B1A253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p>
    <w:p w14:paraId="2ADDE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详细评审标准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45D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39EE0B4F">
            <w:pPr>
              <w:spacing w:line="240" w:lineRule="auto"/>
              <w:ind w:left="0" w:leftChars="0" w:right="638" w:rightChars="304"/>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评分因素</w:t>
            </w:r>
          </w:p>
        </w:tc>
        <w:tc>
          <w:tcPr>
            <w:tcW w:w="843" w:type="dxa"/>
            <w:vAlign w:val="center"/>
          </w:tcPr>
          <w:p w14:paraId="1A1600FF">
            <w:pPr>
              <w:spacing w:line="240" w:lineRule="auto"/>
              <w:ind w:left="0" w:leftChars="0" w:right="0" w:rightChars="0"/>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分值</w:t>
            </w:r>
          </w:p>
        </w:tc>
        <w:tc>
          <w:tcPr>
            <w:tcW w:w="5611" w:type="dxa"/>
            <w:vAlign w:val="center"/>
          </w:tcPr>
          <w:p w14:paraId="7149DF12">
            <w:pPr>
              <w:spacing w:line="240" w:lineRule="auto"/>
              <w:ind w:left="0" w:leftChars="0" w:right="-31" w:rightChars="-15"/>
              <w:jc w:val="center"/>
              <w:rPr>
                <w:rFonts w:hint="eastAsia" w:ascii="仿宋_GB2312" w:hAnsi="仿宋_GB2312" w:eastAsia="仿宋_GB2312" w:cs="仿宋_GB2312"/>
                <w:b/>
                <w:bCs w:val="0"/>
                <w:color w:val="auto"/>
                <w:sz w:val="21"/>
                <w:szCs w:val="21"/>
                <w:highlight w:val="none"/>
                <w:vertAlign w:val="baseline"/>
              </w:rPr>
            </w:pPr>
            <w:r>
              <w:rPr>
                <w:rFonts w:hint="eastAsia" w:ascii="仿宋_GB2312" w:hAnsi="仿宋_GB2312" w:eastAsia="仿宋_GB2312" w:cs="仿宋_GB2312"/>
                <w:b/>
                <w:bCs w:val="0"/>
                <w:color w:val="auto"/>
                <w:kern w:val="0"/>
                <w:sz w:val="21"/>
                <w:szCs w:val="21"/>
                <w:highlight w:val="none"/>
              </w:rPr>
              <w:t>评分细则</w:t>
            </w:r>
          </w:p>
        </w:tc>
      </w:tr>
      <w:tr w14:paraId="0D09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2068" w:type="dxa"/>
            <w:gridSpan w:val="2"/>
            <w:vAlign w:val="center"/>
          </w:tcPr>
          <w:p w14:paraId="40CE24B3">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分值构成</w:t>
            </w:r>
          </w:p>
        </w:tc>
        <w:tc>
          <w:tcPr>
            <w:tcW w:w="6454" w:type="dxa"/>
            <w:gridSpan w:val="2"/>
            <w:vAlign w:val="center"/>
          </w:tcPr>
          <w:p w14:paraId="6D570403">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商务技术部分90.0分</w:t>
            </w:r>
          </w:p>
          <w:p w14:paraId="3A5A8AD7">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报价得分10.0分</w:t>
            </w:r>
          </w:p>
        </w:tc>
      </w:tr>
      <w:tr w14:paraId="0895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2068" w:type="dxa"/>
            <w:gridSpan w:val="2"/>
            <w:vAlign w:val="center"/>
          </w:tcPr>
          <w:p w14:paraId="11AEAC08">
            <w:pPr>
              <w:pStyle w:val="11"/>
              <w:spacing w:line="240" w:lineRule="auto"/>
              <w:ind w:right="8" w:rightChars="0"/>
              <w:jc w:val="center"/>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报价部分（10 分）</w:t>
            </w:r>
          </w:p>
        </w:tc>
        <w:tc>
          <w:tcPr>
            <w:tcW w:w="843" w:type="dxa"/>
            <w:vAlign w:val="center"/>
          </w:tcPr>
          <w:p w14:paraId="077C900C">
            <w:pPr>
              <w:pStyle w:val="11"/>
              <w:spacing w:line="240" w:lineRule="auto"/>
              <w:ind w:right="0" w:rightChars="0"/>
              <w:jc w:val="center"/>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10</w:t>
            </w:r>
          </w:p>
        </w:tc>
        <w:tc>
          <w:tcPr>
            <w:tcW w:w="5611" w:type="dxa"/>
          </w:tcPr>
          <w:p w14:paraId="59E5478F">
            <w:pPr>
              <w:pStyle w:val="11"/>
              <w:spacing w:line="240" w:lineRule="auto"/>
              <w:ind w:right="-31" w:rightChars="-15"/>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投标报价得分=（评标基准价/投标报价）×价格分值</w:t>
            </w:r>
          </w:p>
          <w:p w14:paraId="641A6EAC">
            <w:pPr>
              <w:pStyle w:val="11"/>
              <w:spacing w:line="240" w:lineRule="auto"/>
              <w:ind w:right="-31" w:rightChars="-15"/>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满足采购文件要求且投标价格最低的有效投标报价为评标基准价。因落实政府采购政策进行价格调整的，以调整后的价格计算评标基准价和投标报价。</w:t>
            </w:r>
          </w:p>
        </w:tc>
      </w:tr>
      <w:tr w14:paraId="164A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624DD3FD">
            <w:pPr>
              <w:pStyle w:val="11"/>
              <w:spacing w:line="240" w:lineRule="auto"/>
              <w:ind w:right="-19" w:rightChars="-9"/>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商务技术部分</w:t>
            </w:r>
          </w:p>
          <w:p w14:paraId="38A79898">
            <w:pPr>
              <w:pStyle w:val="11"/>
              <w:spacing w:line="240" w:lineRule="auto"/>
              <w:ind w:right="-19" w:rightChars="-9"/>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（90分）</w:t>
            </w:r>
          </w:p>
        </w:tc>
        <w:tc>
          <w:tcPr>
            <w:tcW w:w="994" w:type="dxa"/>
            <w:tcBorders>
              <w:left w:val="single" w:color="000000" w:sz="4" w:space="0"/>
            </w:tcBorders>
            <w:vAlign w:val="center"/>
          </w:tcPr>
          <w:p w14:paraId="35DBA3D8">
            <w:pPr>
              <w:keepNext w:val="0"/>
              <w:keepLines w:val="0"/>
              <w:pageBreakBefore w:val="0"/>
              <w:kinsoku/>
              <w:wordWrap/>
              <w:overflowPunct/>
              <w:topLinePunct w:val="0"/>
              <w:bidi w:val="0"/>
              <w:spacing w:before="0" w:line="240" w:lineRule="auto"/>
              <w:ind w:left="0" w:leftChars="0" w:right="0" w:rightChars="0"/>
              <w:jc w:val="center"/>
              <w:textAlignment w:val="auto"/>
              <w:rPr>
                <w:rFonts w:hint="eastAsia" w:ascii="仿宋_GB2312" w:hAnsi="仿宋_GB2312" w:eastAsia="仿宋_GB2312" w:cs="仿宋_GB2312"/>
                <w:sz w:val="21"/>
                <w:szCs w:val="21"/>
                <w:highlight w:val="none"/>
                <w:vertAlign w:val="baseline"/>
              </w:rPr>
            </w:pPr>
            <w:r>
              <w:rPr>
                <w:rFonts w:hint="eastAsia" w:ascii="仿宋" w:hAnsi="仿宋" w:eastAsia="仿宋" w:cs="仿宋"/>
                <w:b w:val="0"/>
                <w:bCs w:val="0"/>
                <w:smallCaps w:val="0"/>
                <w:color w:val="auto"/>
                <w:spacing w:val="0"/>
                <w:kern w:val="0"/>
                <w:position w:val="0"/>
                <w:sz w:val="24"/>
                <w:szCs w:val="24"/>
                <w:highlight w:val="none"/>
                <w:vertAlign w:val="baseline"/>
                <w:lang w:val="en-US" w:eastAsia="zh-CN" w:bidi="ar-SA"/>
              </w:rPr>
              <w:t>业绩</w:t>
            </w:r>
          </w:p>
        </w:tc>
        <w:tc>
          <w:tcPr>
            <w:tcW w:w="843" w:type="dxa"/>
            <w:vAlign w:val="center"/>
          </w:tcPr>
          <w:p w14:paraId="0AF2588A">
            <w:pPr>
              <w:keepNext w:val="0"/>
              <w:keepLines w:val="0"/>
              <w:pageBreakBefore w:val="0"/>
              <w:kinsoku/>
              <w:wordWrap/>
              <w:overflowPunct/>
              <w:topLinePunct w:val="0"/>
              <w:bidi w:val="0"/>
              <w:spacing w:before="0" w:line="240" w:lineRule="auto"/>
              <w:ind w:left="0" w:leftChars="0"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 w:hAnsi="仿宋" w:eastAsia="仿宋" w:cs="仿宋"/>
                <w:smallCaps w:val="0"/>
                <w:color w:val="auto"/>
                <w:spacing w:val="0"/>
                <w:position w:val="0"/>
                <w:sz w:val="24"/>
                <w:szCs w:val="24"/>
                <w:highlight w:val="none"/>
                <w:lang w:val="en-US" w:eastAsia="zh-CN"/>
              </w:rPr>
              <w:t>10</w:t>
            </w:r>
          </w:p>
        </w:tc>
        <w:tc>
          <w:tcPr>
            <w:tcW w:w="5611" w:type="dxa"/>
            <w:vAlign w:val="center"/>
          </w:tcPr>
          <w:p w14:paraId="1FF595DC">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投标人自 2023年 5 月 1 日至投标截止日止（以合同签订合同时间为准）独立承担的类似项目，每提供 1 份有效的业绩资料得2分，满分10分。</w:t>
            </w:r>
          </w:p>
          <w:p w14:paraId="625A8E7D">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注：1.须提供中标通知书和合同（含：首页、服务内容信息页、合同金额页、签字盖章页）。复印件加盖公章，时间以合同签订日期为准。不符合上述要求或未按要求提供有效证明文件的业绩在评审时将不予承认。</w:t>
            </w:r>
          </w:p>
          <w:p w14:paraId="3B75007A">
            <w:pPr>
              <w:keepNext w:val="0"/>
              <w:keepLines w:val="0"/>
              <w:pageBreakBefore w:val="0"/>
              <w:kinsoku/>
              <w:wordWrap/>
              <w:overflowPunct/>
              <w:topLinePunct w:val="0"/>
              <w:bidi w:val="0"/>
              <w:spacing w:before="0" w:line="240" w:lineRule="auto"/>
              <w:ind w:left="0" w:leftChars="0" w:right="0" w:rightChars="0"/>
              <w:textAlignment w:val="auto"/>
              <w:rPr>
                <w:rFonts w:hint="eastAsia" w:ascii="仿宋_GB2312" w:hAnsi="仿宋_GB2312" w:eastAsia="仿宋_GB2312" w:cs="仿宋_GB2312"/>
                <w:sz w:val="21"/>
                <w:szCs w:val="21"/>
                <w:highlight w:val="none"/>
                <w:vertAlign w:val="baseline"/>
              </w:rPr>
            </w:pPr>
            <w:r>
              <w:rPr>
                <w:rFonts w:hint="eastAsia" w:ascii="仿宋" w:hAnsi="仿宋" w:eastAsia="仿宋" w:cs="仿宋"/>
                <w:color w:val="auto"/>
                <w:kern w:val="0"/>
                <w:sz w:val="24"/>
                <w:szCs w:val="24"/>
                <w:highlight w:val="none"/>
                <w:vertAlign w:val="baseline"/>
                <w:lang w:val="en-US" w:eastAsia="zh-CN" w:bidi="zh-CN"/>
              </w:rPr>
              <w:t>2.投标人提供虚假合同的，按虚假投标处理。</w:t>
            </w:r>
          </w:p>
        </w:tc>
      </w:tr>
      <w:tr w14:paraId="4A4A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3" w:hRule="atLeast"/>
          <w:jc w:val="center"/>
        </w:trPr>
        <w:tc>
          <w:tcPr>
            <w:tcW w:w="1074" w:type="dxa"/>
            <w:vMerge w:val="continue"/>
            <w:tcBorders>
              <w:right w:val="single" w:color="000000" w:sz="4" w:space="0"/>
            </w:tcBorders>
            <w:vAlign w:val="center"/>
          </w:tcPr>
          <w:p w14:paraId="230E69B6">
            <w:pPr>
              <w:pStyle w:val="11"/>
              <w:spacing w:line="240" w:lineRule="auto"/>
              <w:ind w:right="-19" w:rightChars="-9"/>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5ED0B0F0">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服务人员配置方案</w:t>
            </w:r>
          </w:p>
        </w:tc>
        <w:tc>
          <w:tcPr>
            <w:tcW w:w="843" w:type="dxa"/>
            <w:shd w:val="clear" w:color="auto" w:fill="auto"/>
            <w:vAlign w:val="center"/>
          </w:tcPr>
          <w:p w14:paraId="6455883F">
            <w:pPr>
              <w:keepNext w:val="0"/>
              <w:keepLines w:val="0"/>
              <w:pageBreakBefore w:val="0"/>
              <w:kinsoku/>
              <w:wordWrap/>
              <w:overflowPunct/>
              <w:topLinePunct w:val="0"/>
              <w:bidi w:val="0"/>
              <w:spacing w:before="0" w:line="240" w:lineRule="auto"/>
              <w:ind w:left="0" w:leftChars="0" w:right="0" w:rightChars="0"/>
              <w:jc w:val="center"/>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18</w:t>
            </w:r>
          </w:p>
        </w:tc>
        <w:tc>
          <w:tcPr>
            <w:tcW w:w="5611" w:type="dxa"/>
            <w:shd w:val="clear" w:color="auto" w:fill="auto"/>
            <w:vAlign w:val="center"/>
          </w:tcPr>
          <w:p w14:paraId="7E4A940A">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根据投标人提供的人员配置方案（包括但不限于①岗位设置、②各岗位配置人数、③岗位职责内容等）进行打分。</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完全包含以上内容且满足要求得18分，每缺一项扣6分，每有1处内容存在不足的扣2分，扣完为止。</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存在不足是指以下任意一项类似缺陷或瑕疵：①内容生搬硬造，没有结合项目实际做到具体问题具体分析或只有理论却没有具体说明要如何做；②涉及内容无重点，或存在矛盾，或项目名称、实施地点、政策、规范、标准与本项目存在偏差。</w:t>
            </w:r>
          </w:p>
        </w:tc>
      </w:tr>
      <w:tr w14:paraId="23E0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1074" w:type="dxa"/>
            <w:vMerge w:val="continue"/>
            <w:tcBorders>
              <w:right w:val="single" w:color="000000" w:sz="4" w:space="0"/>
            </w:tcBorders>
            <w:vAlign w:val="center"/>
          </w:tcPr>
          <w:p w14:paraId="43487754">
            <w:pPr>
              <w:pStyle w:val="11"/>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63A4BB1B">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管理制度</w:t>
            </w:r>
          </w:p>
        </w:tc>
        <w:tc>
          <w:tcPr>
            <w:tcW w:w="843" w:type="dxa"/>
            <w:shd w:val="clear" w:color="auto" w:fill="auto"/>
            <w:vAlign w:val="center"/>
          </w:tcPr>
          <w:p w14:paraId="43D4CDEF">
            <w:pPr>
              <w:keepNext w:val="0"/>
              <w:keepLines w:val="0"/>
              <w:pageBreakBefore w:val="0"/>
              <w:kinsoku/>
              <w:wordWrap/>
              <w:overflowPunct/>
              <w:topLinePunct w:val="0"/>
              <w:bidi w:val="0"/>
              <w:spacing w:before="0" w:line="240" w:lineRule="auto"/>
              <w:ind w:left="0" w:leftChars="0" w:right="0" w:rightChars="0"/>
              <w:jc w:val="center"/>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16</w:t>
            </w:r>
          </w:p>
        </w:tc>
        <w:tc>
          <w:tcPr>
            <w:tcW w:w="5611" w:type="dxa"/>
            <w:shd w:val="clear" w:color="auto" w:fill="auto"/>
            <w:vAlign w:val="top"/>
          </w:tcPr>
          <w:p w14:paraId="389FF59C">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根据投标人提供的管理制度（包括但不限于①交接班制度、②着装规定、③形象规定、④岗位纪律等）进行打分。</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完全包含以上内容且满足要求得16分，每缺一项扣4分，每有1处内容存在不足的扣2分，扣完为止。</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存在不足是指以下任意一项类似缺陷或瑕疵：①内容生搬硬造，没有结合项目实际做到具体问题具体分析或只有理论却没有具体说明要如何做；②涉及内容无重点，或存在矛盾，或项目名称、实施地点、政策、规范、标准与本项目存在偏差。</w:t>
            </w:r>
          </w:p>
        </w:tc>
      </w:tr>
      <w:tr w14:paraId="2D77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1074" w:type="dxa"/>
            <w:tcBorders>
              <w:right w:val="single" w:color="000000" w:sz="4" w:space="0"/>
            </w:tcBorders>
            <w:vAlign w:val="center"/>
          </w:tcPr>
          <w:p w14:paraId="3B8B5665">
            <w:pPr>
              <w:pStyle w:val="11"/>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72F5F483">
            <w:pPr>
              <w:keepNext w:val="0"/>
              <w:keepLines w:val="0"/>
              <w:pageBreakBefore w:val="0"/>
              <w:kinsoku/>
              <w:wordWrap/>
              <w:overflowPunct/>
              <w:topLinePunct w:val="0"/>
              <w:bidi w:val="0"/>
              <w:spacing w:before="0" w:line="240" w:lineRule="auto"/>
              <w:ind w:left="0" w:leftChars="0" w:right="0" w:rightChars="0"/>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服务质量保障措施</w:t>
            </w:r>
          </w:p>
        </w:tc>
        <w:tc>
          <w:tcPr>
            <w:tcW w:w="843" w:type="dxa"/>
            <w:shd w:val="clear" w:color="auto" w:fill="auto"/>
            <w:vAlign w:val="center"/>
          </w:tcPr>
          <w:p w14:paraId="19ECFF6D">
            <w:pPr>
              <w:keepNext w:val="0"/>
              <w:keepLines w:val="0"/>
              <w:pageBreakBefore w:val="0"/>
              <w:kinsoku/>
              <w:wordWrap/>
              <w:overflowPunct/>
              <w:topLinePunct w:val="0"/>
              <w:bidi w:val="0"/>
              <w:spacing w:before="0" w:line="240" w:lineRule="auto"/>
              <w:ind w:left="0" w:leftChars="0" w:right="0" w:rightChars="0"/>
              <w:jc w:val="center"/>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8</w:t>
            </w:r>
          </w:p>
        </w:tc>
        <w:tc>
          <w:tcPr>
            <w:tcW w:w="5611" w:type="dxa"/>
            <w:shd w:val="clear" w:color="auto" w:fill="auto"/>
            <w:vAlign w:val="top"/>
          </w:tcPr>
          <w:p w14:paraId="3447D477">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根据投标人提供的</w:t>
            </w:r>
            <w:r>
              <w:rPr>
                <w:rFonts w:hint="default" w:ascii="仿宋" w:hAnsi="仿宋" w:eastAsia="仿宋" w:cs="仿宋"/>
                <w:color w:val="auto"/>
                <w:kern w:val="0"/>
                <w:sz w:val="24"/>
                <w:szCs w:val="24"/>
                <w:highlight w:val="none"/>
                <w:vertAlign w:val="baseline"/>
                <w:lang w:val="en-US" w:eastAsia="zh-CN" w:bidi="zh-CN"/>
              </w:rPr>
              <w:t>服务质量保障措施</w:t>
            </w:r>
            <w:r>
              <w:rPr>
                <w:rFonts w:hint="eastAsia" w:ascii="仿宋" w:hAnsi="仿宋" w:eastAsia="仿宋" w:cs="仿宋"/>
                <w:color w:val="auto"/>
                <w:kern w:val="0"/>
                <w:sz w:val="24"/>
                <w:szCs w:val="24"/>
                <w:highlight w:val="none"/>
                <w:vertAlign w:val="baseline"/>
                <w:lang w:val="en-US" w:eastAsia="zh-CN" w:bidi="zh-CN"/>
              </w:rPr>
              <w:t>（包括但不限于</w:t>
            </w:r>
            <w:r>
              <w:rPr>
                <w:rFonts w:hint="default" w:ascii="仿宋" w:hAnsi="仿宋" w:eastAsia="仿宋" w:cs="仿宋"/>
                <w:color w:val="auto"/>
                <w:kern w:val="0"/>
                <w:sz w:val="24"/>
                <w:szCs w:val="24"/>
                <w:highlight w:val="none"/>
                <w:vertAlign w:val="baseline"/>
                <w:lang w:val="en-US" w:eastAsia="zh-CN" w:bidi="zh-CN"/>
              </w:rPr>
              <w:t>①服务保障措施</w:t>
            </w:r>
            <w:r>
              <w:rPr>
                <w:rFonts w:hint="eastAsia" w:ascii="仿宋" w:hAnsi="仿宋" w:eastAsia="仿宋" w:cs="仿宋"/>
                <w:color w:val="auto"/>
                <w:kern w:val="0"/>
                <w:sz w:val="24"/>
                <w:szCs w:val="24"/>
                <w:highlight w:val="none"/>
                <w:vertAlign w:val="baseline"/>
                <w:lang w:val="en-US" w:eastAsia="zh-CN" w:bidi="zh-CN"/>
              </w:rPr>
              <w:t>②</w:t>
            </w:r>
            <w:r>
              <w:rPr>
                <w:rFonts w:hint="default" w:ascii="仿宋" w:hAnsi="仿宋" w:eastAsia="仿宋" w:cs="仿宋"/>
                <w:color w:val="auto"/>
                <w:kern w:val="0"/>
                <w:sz w:val="24"/>
                <w:szCs w:val="24"/>
                <w:highlight w:val="none"/>
                <w:vertAlign w:val="baseline"/>
                <w:lang w:val="en-US" w:eastAsia="zh-CN" w:bidi="zh-CN"/>
              </w:rPr>
              <w:t>服务全过程装备保障</w:t>
            </w:r>
            <w:r>
              <w:rPr>
                <w:rFonts w:hint="eastAsia" w:ascii="仿宋" w:hAnsi="仿宋" w:eastAsia="仿宋" w:cs="仿宋"/>
                <w:color w:val="auto"/>
                <w:kern w:val="0"/>
                <w:sz w:val="24"/>
                <w:szCs w:val="24"/>
                <w:highlight w:val="none"/>
                <w:vertAlign w:val="baseline"/>
                <w:lang w:val="en-US" w:eastAsia="zh-CN" w:bidi="zh-CN"/>
              </w:rPr>
              <w:t>）进行打分。</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完全包含以上内容且满足要求得8分，每缺一项扣4分，每有1处内容存在不足的扣2分，扣完为止。</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存在不足是指以下任意一项类似缺陷或瑕疵：①内容生搬硬造，没有结合项目实际做到具体问题具体分析或只有理论却没有具体说明要如何做；②涉及内容无重点，或存在矛盾，或项目名称、实施地点、政策、规范、标准与本项目存在偏差。</w:t>
            </w:r>
          </w:p>
        </w:tc>
      </w:tr>
      <w:tr w14:paraId="6F06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tcBorders>
              <w:right w:val="single" w:color="000000" w:sz="4" w:space="0"/>
            </w:tcBorders>
            <w:vAlign w:val="center"/>
          </w:tcPr>
          <w:p w14:paraId="52EFFDE2">
            <w:pPr>
              <w:pStyle w:val="11"/>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627CB532">
            <w:pPr>
              <w:keepNext w:val="0"/>
              <w:keepLines w:val="0"/>
              <w:pageBreakBefore w:val="0"/>
              <w:kinsoku/>
              <w:wordWrap/>
              <w:overflowPunct/>
              <w:topLinePunct w:val="0"/>
              <w:bidi w:val="0"/>
              <w:spacing w:before="0" w:line="240" w:lineRule="auto"/>
              <w:ind w:left="0" w:leftChars="0" w:right="0" w:rightChars="0"/>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培训方案</w:t>
            </w:r>
          </w:p>
        </w:tc>
        <w:tc>
          <w:tcPr>
            <w:tcW w:w="843" w:type="dxa"/>
            <w:shd w:val="clear" w:color="auto" w:fill="auto"/>
            <w:vAlign w:val="center"/>
          </w:tcPr>
          <w:p w14:paraId="3ABBDB86">
            <w:pPr>
              <w:keepNext w:val="0"/>
              <w:keepLines w:val="0"/>
              <w:pageBreakBefore w:val="0"/>
              <w:kinsoku/>
              <w:wordWrap/>
              <w:overflowPunct/>
              <w:topLinePunct w:val="0"/>
              <w:bidi w:val="0"/>
              <w:spacing w:before="0" w:line="240" w:lineRule="auto"/>
              <w:ind w:left="0" w:leftChars="0" w:right="0" w:rightChars="0"/>
              <w:jc w:val="center"/>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15</w:t>
            </w:r>
          </w:p>
        </w:tc>
        <w:tc>
          <w:tcPr>
            <w:tcW w:w="5611" w:type="dxa"/>
            <w:shd w:val="clear" w:color="auto" w:fill="auto"/>
            <w:vAlign w:val="top"/>
          </w:tcPr>
          <w:p w14:paraId="6A5EAC19">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根据投标人提供的培训方案（包括但不限于①培训内容、②培训规定、③培训时间等）进行打分。</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完全包含以上内容且满足要求得15分，每缺一项扣5分，每有1处内容存在不足的扣2.5分，扣完为止。</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存在不足是指以下任意一项类似缺陷或瑕疵：①内容生搬硬造，没有结合项目实际做到具体问题具体分析或只有理论却没有具体说明要如何做；②涉及内容无重点，或存在矛盾，或项目名称、实施地点、政策、规范、标准与本项目存在偏差。</w:t>
            </w:r>
          </w:p>
        </w:tc>
      </w:tr>
      <w:tr w14:paraId="77FA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tcBorders>
              <w:right w:val="single" w:color="000000" w:sz="4" w:space="0"/>
            </w:tcBorders>
            <w:vAlign w:val="center"/>
          </w:tcPr>
          <w:p w14:paraId="48409986">
            <w:pPr>
              <w:pStyle w:val="11"/>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58653E4C">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default" w:ascii="仿宋" w:hAnsi="仿宋" w:eastAsia="仿宋" w:cs="仿宋"/>
                <w:color w:val="auto"/>
                <w:kern w:val="0"/>
                <w:sz w:val="24"/>
                <w:szCs w:val="24"/>
                <w:highlight w:val="none"/>
                <w:vertAlign w:val="baseline"/>
                <w:lang w:val="en-US" w:eastAsia="zh-CN" w:bidi="zh-CN"/>
              </w:rPr>
              <w:t>突发事件处理预案</w:t>
            </w:r>
          </w:p>
        </w:tc>
        <w:tc>
          <w:tcPr>
            <w:tcW w:w="843" w:type="dxa"/>
            <w:shd w:val="clear" w:color="auto" w:fill="auto"/>
            <w:vAlign w:val="center"/>
          </w:tcPr>
          <w:p w14:paraId="51541447">
            <w:pPr>
              <w:keepNext w:val="0"/>
              <w:keepLines w:val="0"/>
              <w:pageBreakBefore w:val="0"/>
              <w:kinsoku/>
              <w:wordWrap/>
              <w:overflowPunct/>
              <w:topLinePunct w:val="0"/>
              <w:bidi w:val="0"/>
              <w:spacing w:before="0" w:line="240" w:lineRule="auto"/>
              <w:ind w:left="0" w:leftChars="0" w:right="0" w:rightChars="0"/>
              <w:jc w:val="center"/>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15</w:t>
            </w:r>
          </w:p>
        </w:tc>
        <w:tc>
          <w:tcPr>
            <w:tcW w:w="5611" w:type="dxa"/>
            <w:shd w:val="clear" w:color="auto" w:fill="auto"/>
            <w:vAlign w:val="center"/>
          </w:tcPr>
          <w:p w14:paraId="2B2879B2">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针对本项目提供突发事件（包含各类应急事件处置预案周边突发事件处理预案案、公共管理类事件、火灾类事故、自然灾害类、设备事故类）；内容包括但不限于： ①突发事件应急处理小组及人员分工； ②突发事件防范措施，可能突发的事件及处理方法； ③突发事件应急措施；</w:t>
            </w:r>
          </w:p>
          <w:p w14:paraId="25F6A152">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以上3个方面每个方面5分，每个方面每有一处缺陷扣2.5分（缺陷是指阐述的内容不能结合项目的实际特点；表述不全面、不详细）。</w:t>
            </w:r>
          </w:p>
        </w:tc>
      </w:tr>
      <w:tr w14:paraId="7E55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tcBorders>
              <w:right w:val="single" w:color="000000" w:sz="4" w:space="0"/>
            </w:tcBorders>
            <w:vAlign w:val="center"/>
          </w:tcPr>
          <w:p w14:paraId="5601975C">
            <w:pPr>
              <w:pStyle w:val="11"/>
              <w:spacing w:line="240" w:lineRule="auto"/>
              <w:ind w:right="638" w:rightChars="304"/>
              <w:jc w:val="center"/>
              <w:rPr>
                <w:rFonts w:hint="eastAsia" w:ascii="仿宋_GB2312" w:hAnsi="仿宋_GB2312" w:eastAsia="仿宋_GB2312" w:cs="仿宋_GB2312"/>
                <w:sz w:val="21"/>
                <w:szCs w:val="21"/>
                <w:highlight w:val="none"/>
                <w:vertAlign w:val="baseline"/>
              </w:rPr>
            </w:pPr>
          </w:p>
        </w:tc>
        <w:tc>
          <w:tcPr>
            <w:tcW w:w="994" w:type="dxa"/>
            <w:tcBorders>
              <w:left w:val="single" w:color="000000" w:sz="4" w:space="0"/>
            </w:tcBorders>
            <w:shd w:val="clear" w:color="auto" w:fill="auto"/>
            <w:vAlign w:val="center"/>
          </w:tcPr>
          <w:p w14:paraId="5A2BDD6C">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考核方案</w:t>
            </w:r>
          </w:p>
        </w:tc>
        <w:tc>
          <w:tcPr>
            <w:tcW w:w="843" w:type="dxa"/>
            <w:shd w:val="clear" w:color="auto" w:fill="auto"/>
            <w:vAlign w:val="center"/>
          </w:tcPr>
          <w:p w14:paraId="34D745E1">
            <w:pPr>
              <w:keepNext w:val="0"/>
              <w:keepLines w:val="0"/>
              <w:pageBreakBefore w:val="0"/>
              <w:kinsoku/>
              <w:wordWrap/>
              <w:overflowPunct/>
              <w:topLinePunct w:val="0"/>
              <w:bidi w:val="0"/>
              <w:spacing w:before="0" w:line="240" w:lineRule="auto"/>
              <w:ind w:left="0" w:leftChars="0" w:right="0" w:rightChars="0"/>
              <w:textAlignment w:val="auto"/>
              <w:rPr>
                <w:rFonts w:hint="default"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8</w:t>
            </w:r>
          </w:p>
        </w:tc>
        <w:tc>
          <w:tcPr>
            <w:tcW w:w="5611" w:type="dxa"/>
            <w:shd w:val="clear" w:color="auto" w:fill="auto"/>
            <w:vAlign w:val="center"/>
          </w:tcPr>
          <w:p w14:paraId="1EDF94ED">
            <w:pPr>
              <w:keepNext w:val="0"/>
              <w:keepLines w:val="0"/>
              <w:pageBreakBefore w:val="0"/>
              <w:kinsoku/>
              <w:wordWrap/>
              <w:overflowPunct/>
              <w:topLinePunct w:val="0"/>
              <w:bidi w:val="0"/>
              <w:spacing w:before="0" w:line="240" w:lineRule="auto"/>
              <w:ind w:left="0" w:leftChars="0" w:right="0" w:rightChars="0"/>
              <w:textAlignment w:val="auto"/>
              <w:rPr>
                <w:rFonts w:hint="eastAsia" w:ascii="仿宋" w:hAnsi="仿宋" w:eastAsia="仿宋" w:cs="仿宋"/>
                <w:color w:val="auto"/>
                <w:kern w:val="0"/>
                <w:sz w:val="24"/>
                <w:szCs w:val="24"/>
                <w:highlight w:val="none"/>
                <w:vertAlign w:val="baseline"/>
                <w:lang w:val="en-US" w:eastAsia="zh-CN" w:bidi="zh-CN"/>
              </w:rPr>
            </w:pPr>
            <w:r>
              <w:rPr>
                <w:rFonts w:hint="eastAsia" w:ascii="仿宋" w:hAnsi="仿宋" w:eastAsia="仿宋" w:cs="仿宋"/>
                <w:color w:val="auto"/>
                <w:kern w:val="0"/>
                <w:sz w:val="24"/>
                <w:szCs w:val="24"/>
                <w:highlight w:val="none"/>
                <w:vertAlign w:val="baseline"/>
                <w:lang w:val="en-US" w:eastAsia="zh-CN" w:bidi="zh-CN"/>
              </w:rPr>
              <w:t>根据投标人提供的考核方案（包括但不限于配合采购人验收考核的人员及方式、考核结果整改机制等）进行打分。</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完全包含以上内容且满足要求得8分，每缺一项扣4分，每有1处内容存在不足的扣2分，扣完为止。</w:t>
            </w:r>
            <w:r>
              <w:rPr>
                <w:rFonts w:hint="eastAsia" w:ascii="仿宋" w:hAnsi="仿宋" w:eastAsia="仿宋" w:cs="仿宋"/>
                <w:color w:val="auto"/>
                <w:kern w:val="0"/>
                <w:sz w:val="24"/>
                <w:szCs w:val="24"/>
                <w:highlight w:val="none"/>
                <w:vertAlign w:val="baseline"/>
                <w:lang w:val="en-US" w:eastAsia="zh-CN" w:bidi="zh-CN"/>
              </w:rPr>
              <w:br w:type="textWrapping"/>
            </w:r>
            <w:r>
              <w:rPr>
                <w:rFonts w:hint="eastAsia" w:ascii="仿宋" w:hAnsi="仿宋" w:eastAsia="仿宋" w:cs="仿宋"/>
                <w:color w:val="auto"/>
                <w:kern w:val="0"/>
                <w:sz w:val="24"/>
                <w:szCs w:val="24"/>
                <w:highlight w:val="none"/>
                <w:vertAlign w:val="baseline"/>
                <w:lang w:val="en-US" w:eastAsia="zh-CN" w:bidi="zh-CN"/>
              </w:rPr>
              <w:t>存在不足是指以下任意一项类似缺陷或瑕疵：①内容生搬硬造，没有结合项目实际做到具体问题具体分析或只有理论却没有具体说明要如何做；②涉及内容无重点，或存在矛盾，或项目名称、实施地点、政策、规范、标准与本项目存在偏差。</w:t>
            </w:r>
          </w:p>
        </w:tc>
      </w:tr>
    </w:tbl>
    <w:p w14:paraId="1D3F49E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lang w:val="en-US" w:eastAsia="zh-CN"/>
        </w:rPr>
      </w:pPr>
    </w:p>
    <w:p w14:paraId="7486B50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6F1B7C0A">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落实中小企业政府采购政策的价格调整：</w:t>
      </w:r>
    </w:p>
    <w:p w14:paraId="4F87A2F4">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highlight w:val="none"/>
          <w:u w:val="single"/>
          <w:lang w:val="en-US" w:eastAsia="zh-CN"/>
        </w:rPr>
        <w:t xml:space="preserve"> 10 % </w:t>
      </w:r>
      <w:r>
        <w:rPr>
          <w:rFonts w:hint="eastAsia" w:ascii="仿宋_GB2312" w:hAnsi="仿宋_GB2312" w:eastAsia="仿宋_GB2312" w:cs="仿宋_GB2312"/>
          <w:b w:val="0"/>
          <w:bCs w:val="0"/>
          <w:sz w:val="24"/>
          <w:szCs w:val="24"/>
          <w:highlight w:val="none"/>
          <w:lang w:val="en-US" w:eastAsia="zh-CN"/>
        </w:rPr>
        <w:t>后参与评审。对于同时属于小微企业、监狱企业或残疾人福利性单位的，不重复进行投标报价扣除。</w:t>
      </w:r>
    </w:p>
    <w:p w14:paraId="636C7833">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highlight w:val="none"/>
          <w:u w:val="single"/>
          <w:lang w:val="en-US" w:eastAsia="zh-CN"/>
        </w:rPr>
        <w:t xml:space="preserve"> 30 %</w:t>
      </w:r>
      <w:r>
        <w:rPr>
          <w:rFonts w:hint="eastAsia" w:ascii="仿宋_GB2312" w:hAnsi="仿宋_GB2312" w:eastAsia="仿宋_GB2312" w:cs="仿宋_GB2312"/>
          <w:b w:val="0"/>
          <w:bCs w:val="0"/>
          <w:sz w:val="24"/>
          <w:szCs w:val="24"/>
          <w:highlight w:val="none"/>
          <w:lang w:val="en-US" w:eastAsia="zh-CN"/>
        </w:rPr>
        <w:t>以上的联合体或者大中型企业的报价给予</w:t>
      </w:r>
      <w:r>
        <w:rPr>
          <w:rFonts w:hint="eastAsia" w:ascii="仿宋_GB2312" w:hAnsi="仿宋_GB2312" w:eastAsia="仿宋_GB2312" w:cs="仿宋_GB2312"/>
          <w:b w:val="0"/>
          <w:bCs w:val="0"/>
          <w:sz w:val="24"/>
          <w:szCs w:val="24"/>
          <w:highlight w:val="none"/>
          <w:u w:val="single"/>
          <w:lang w:val="en-US" w:eastAsia="zh-CN"/>
        </w:rPr>
        <w:t xml:space="preserve"> 4% </w:t>
      </w:r>
      <w:r>
        <w:rPr>
          <w:rFonts w:hint="eastAsia" w:ascii="仿宋_GB2312" w:hAnsi="仿宋_GB2312" w:eastAsia="仿宋_GB2312" w:cs="仿宋_GB2312"/>
          <w:b w:val="0"/>
          <w:bCs w:val="0"/>
          <w:sz w:val="24"/>
          <w:szCs w:val="24"/>
          <w:highlight w:val="none"/>
          <w:lang w:val="en-US" w:eastAsia="zh-CN"/>
        </w:rPr>
        <w:t>的扣除，用扣除后的价格参加评审。</w:t>
      </w:r>
    </w:p>
    <w:p w14:paraId="53A9D5A6">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07B7FB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价格扣除比例对小型企业和微型企业同等对待，不作区分。</w:t>
      </w:r>
    </w:p>
    <w:p w14:paraId="6FC3FDE9">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5824E7E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0BD7C925">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残疾人福利性单位按采购文件要求提供了《残疾人福利性单位声明函》（见附件）的，视同小微企业。</w:t>
      </w:r>
    </w:p>
    <w:p w14:paraId="281BE9A9">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0ABB728B">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落实对本国产品的支持政策的价格调整：</w:t>
      </w:r>
    </w:p>
    <w:p w14:paraId="5EE3A14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3EBFBF9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2B7EA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DA511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65E4E71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D18EE8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1E238809">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highlight w:val="none"/>
          <w:u w:val="single"/>
          <w:lang w:val="en-US" w:eastAsia="zh-CN"/>
        </w:rPr>
        <w:t>综合得分相同时排名优先。</w:t>
      </w:r>
    </w:p>
    <w:p w14:paraId="00A0F0E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single"/>
          <w:lang w:val="en-US" w:eastAsia="zh-CN"/>
        </w:rPr>
      </w:pPr>
      <w:r>
        <w:rPr>
          <w:rFonts w:hint="eastAsia" w:ascii="仿宋_GB2312" w:hAnsi="仿宋_GB2312" w:eastAsia="仿宋_GB2312" w:cs="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highlight w:val="none"/>
          <w:u w:val="none"/>
          <w:lang w:val="en-US" w:eastAsia="zh-CN"/>
        </w:rPr>
        <w:t>无效投标</w:t>
      </w:r>
      <w:r>
        <w:rPr>
          <w:rFonts w:hint="eastAsia" w:ascii="仿宋_GB2312" w:hAnsi="仿宋_GB2312" w:eastAsia="仿宋_GB2312" w:cs="仿宋_GB2312"/>
          <w:b w:val="0"/>
          <w:bCs w:val="0"/>
          <w:sz w:val="24"/>
          <w:szCs w:val="24"/>
          <w:highlight w:val="none"/>
          <w:u w:val="none"/>
          <w:lang w:val="en-US" w:eastAsia="zh-CN"/>
        </w:rPr>
        <w:t>被拒绝。</w:t>
      </w:r>
    </w:p>
    <w:p w14:paraId="403D105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highlight w:val="none"/>
          <w:u w:val="single"/>
          <w:lang w:val="en-US" w:eastAsia="zh-CN"/>
        </w:rPr>
        <w:t>综合得分相同时排名优先 。</w:t>
      </w:r>
    </w:p>
    <w:p w14:paraId="73453DC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同品牌处理办法：</w:t>
      </w:r>
    </w:p>
    <w:p w14:paraId="57DABE97">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如采用最低评标办法，则：</w:t>
      </w:r>
      <w:r>
        <w:rPr>
          <w:rFonts w:hint="eastAsia" w:ascii="仿宋_GB2312" w:hAnsi="仿宋_GB2312" w:eastAsia="仿宋_GB2312" w:cs="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13FED72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如采用综合评标法，则：</w:t>
      </w:r>
      <w:r>
        <w:rPr>
          <w:rFonts w:hint="eastAsia" w:ascii="仿宋_GB2312" w:hAnsi="仿宋_GB2312" w:eastAsia="仿宋_GB2312" w:cs="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421855A1">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highlight w:val="none"/>
          <w:u w:val="single"/>
          <w:lang w:val="en-US" w:eastAsia="zh-CN"/>
        </w:rPr>
        <w:t>投标人须知前附表</w:t>
      </w:r>
      <w:r>
        <w:rPr>
          <w:rFonts w:hint="eastAsia" w:ascii="仿宋_GB2312" w:hAnsi="仿宋_GB2312" w:eastAsia="仿宋_GB2312" w:cs="仿宋_GB2312"/>
          <w:b w:val="0"/>
          <w:bCs w:val="0"/>
          <w:sz w:val="24"/>
          <w:szCs w:val="24"/>
          <w:highlight w:val="none"/>
          <w:u w:val="none"/>
          <w:lang w:val="en-US" w:eastAsia="zh-CN"/>
        </w:rPr>
        <w:t xml:space="preserve">中载明核心产品，多家投标人提供的所有核心产品品牌均相同的，按前两条规定处理。 </w:t>
      </w:r>
    </w:p>
    <w:p w14:paraId="7D3D8AA5">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确定中标候选人名单</w:t>
      </w:r>
    </w:p>
    <w:p w14:paraId="05F6F3D7">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2E1206B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4BC877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67415A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仿宋_GB2312" w:hAnsi="仿宋_GB2312" w:eastAsia="仿宋_GB2312" w:cs="仿宋_GB2312"/>
          <w:b w:val="0"/>
          <w:bCs w:val="0"/>
          <w:sz w:val="24"/>
          <w:szCs w:val="24"/>
          <w:highlight w:val="none"/>
          <w:u w:val="single"/>
          <w:lang w:val="en-US" w:eastAsia="zh-CN"/>
        </w:rPr>
        <w:t xml:space="preserve"> 3 </w:t>
      </w:r>
      <w:r>
        <w:rPr>
          <w:rFonts w:hint="eastAsia" w:ascii="仿宋_GB2312" w:hAnsi="仿宋_GB2312" w:eastAsia="仿宋_GB2312" w:cs="仿宋_GB2312"/>
          <w:b w:val="0"/>
          <w:bCs w:val="0"/>
          <w:sz w:val="24"/>
          <w:szCs w:val="24"/>
          <w:highlight w:val="none"/>
          <w:u w:val="none"/>
          <w:lang w:val="en-US" w:eastAsia="zh-CN"/>
        </w:rPr>
        <w:t>名中标候选人。</w:t>
      </w:r>
    </w:p>
    <w:p w14:paraId="65F81873">
      <w:pPr>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br w:type="page"/>
      </w:r>
    </w:p>
    <w:p w14:paraId="201CBFBF">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7" w:name="_Toc31337"/>
      <w:r>
        <w:rPr>
          <w:rFonts w:hint="eastAsia" w:ascii="方正小标宋简体" w:hAnsi="方正小标宋简体" w:eastAsia="方正小标宋简体" w:cs="方正小标宋简体"/>
          <w:sz w:val="32"/>
          <w:szCs w:val="32"/>
          <w:highlight w:val="none"/>
          <w:lang w:val="en-US" w:eastAsia="zh-CN"/>
        </w:rPr>
        <w:t>投标文件格式</w:t>
      </w:r>
      <w:bookmarkEnd w:id="27"/>
    </w:p>
    <w:p w14:paraId="5445D9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u w:val="none"/>
          <w:lang w:val="en-US" w:eastAsia="zh-CN"/>
        </w:rPr>
      </w:pPr>
    </w:p>
    <w:p w14:paraId="188980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u w:val="none"/>
          <w:lang w:val="en-US" w:eastAsia="zh-CN"/>
        </w:rPr>
      </w:pPr>
      <w:r>
        <w:rPr>
          <w:rFonts w:hint="eastAsia" w:ascii="仿宋_GB2312" w:hAnsi="仿宋_GB2312" w:eastAsia="仿宋_GB2312" w:cs="仿宋_GB2312"/>
          <w:b/>
          <w:bCs/>
          <w:sz w:val="24"/>
          <w:szCs w:val="24"/>
          <w:highlight w:val="none"/>
          <w:u w:val="none"/>
          <w:lang w:val="en-US" w:eastAsia="zh-CN"/>
        </w:rPr>
        <w:t>投标人编制文件须知</w:t>
      </w:r>
    </w:p>
    <w:p w14:paraId="36D2504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7680AF6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各投标人提交文件中涉及商业机密的，应明确标明，采购人及最终用户将给予保密处理，否则视为公开资料。</w:t>
      </w:r>
    </w:p>
    <w:p w14:paraId="70DB5523">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全部声明和问题的回答及所附材料必须是真实的、准确的和完整的。</w:t>
      </w:r>
    </w:p>
    <w:p w14:paraId="618E992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1516E37D">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2D422A4D">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22742027">
      <w:pPr>
        <w:rPr>
          <w:rFonts w:hint="eastAsia" w:ascii="仿宋_GB2312" w:hAnsi="仿宋_GB2312" w:eastAsia="仿宋_GB2312" w:cs="仿宋_GB2312"/>
          <w:b w:val="0"/>
          <w:bCs w:val="0"/>
          <w:sz w:val="24"/>
          <w:szCs w:val="24"/>
          <w:highlight w:val="none"/>
          <w:u w:val="none"/>
          <w:lang w:val="en-US" w:eastAsia="zh-CN"/>
        </w:rPr>
      </w:pPr>
      <w:r>
        <w:rPr>
          <w:rFonts w:hint="eastAsia" w:ascii="仿宋_GB2312" w:hAnsi="仿宋_GB2312" w:eastAsia="仿宋_GB2312" w:cs="仿宋_GB2312"/>
          <w:b w:val="0"/>
          <w:bCs w:val="0"/>
          <w:sz w:val="24"/>
          <w:szCs w:val="24"/>
          <w:highlight w:val="none"/>
          <w:u w:val="none"/>
          <w:lang w:val="en-US" w:eastAsia="zh-CN"/>
        </w:rPr>
        <w:br w:type="page"/>
      </w:r>
    </w:p>
    <w:p w14:paraId="13CE916F">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1B7606E7">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8"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8"/>
    </w:p>
    <w:p w14:paraId="692AD6BD">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5B85638C">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14559853">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372D8760">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727DC509">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684DCF14">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2C1C60A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BF951D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80A2E6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71E0AF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637DFB3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662F52E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40F3C4C9">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79B23B5">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1E3324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2048A8C6">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66052C42">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3B34E29">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539F8D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554E837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30B933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法人或者其他组织的营业执照等证明文件或自然人的身份证明扫描件并加盖本单位公章;</w:t>
      </w:r>
    </w:p>
    <w:p w14:paraId="38C27D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0B06A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1CAACBB">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C90C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3195C49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5509E3C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9" w:name="_Toc16703"/>
      <w:r>
        <w:rPr>
          <w:rFonts w:hint="eastAsia" w:ascii="仿宋_GB2312" w:hAnsi="仿宋_GB2312" w:eastAsia="仿宋_GB2312" w:cs="仿宋_GB2312"/>
          <w:color w:val="000000"/>
          <w:kern w:val="0"/>
          <w:sz w:val="24"/>
          <w:highlight w:val="none"/>
          <w:u w:val="none"/>
          <w:lang w:bidi="ar"/>
        </w:rPr>
        <w:t>1、扫描件并加盖本单位公章</w:t>
      </w:r>
      <w:bookmarkEnd w:id="29"/>
      <w:r>
        <w:rPr>
          <w:rFonts w:hint="eastAsia" w:ascii="仿宋_GB2312" w:hAnsi="仿宋_GB2312" w:eastAsia="仿宋_GB2312" w:cs="仿宋_GB2312"/>
          <w:color w:val="000000"/>
          <w:kern w:val="0"/>
          <w:sz w:val="24"/>
          <w:highlight w:val="none"/>
          <w:u w:val="none"/>
          <w:lang w:eastAsia="zh-CN" w:bidi="ar"/>
        </w:rPr>
        <w:t>。</w:t>
      </w:r>
    </w:p>
    <w:p w14:paraId="6D41D1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D8FD2C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0"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0"/>
    </w:p>
    <w:p w14:paraId="36493A4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AC247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36B171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A983A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2BF1BF45">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1" w:name="_Toc7512"/>
      <w:r>
        <w:rPr>
          <w:rFonts w:hint="eastAsia" w:ascii="仿宋_GB2312" w:hAnsi="仿宋_GB2312" w:eastAsia="仿宋_GB2312" w:cs="仿宋_GB2312"/>
          <w:color w:val="000000"/>
          <w:kern w:val="0"/>
          <w:sz w:val="24"/>
          <w:highlight w:val="none"/>
          <w:u w:val="none"/>
          <w:lang w:bidi="ar"/>
        </w:rPr>
        <w:t>1、</w:t>
      </w:r>
      <w:bookmarkEnd w:id="31"/>
      <w:r>
        <w:rPr>
          <w:rFonts w:hint="eastAsia" w:ascii="仿宋_GB2312" w:hAnsi="仿宋_GB2312" w:eastAsia="仿宋_GB2312" w:cs="仿宋_GB2312"/>
          <w:color w:val="000000"/>
          <w:kern w:val="0"/>
          <w:sz w:val="24"/>
          <w:highlight w:val="none"/>
          <w:u w:val="none"/>
          <w:lang w:bidi="ar"/>
        </w:rPr>
        <w:t>扫描件并加盖本单位公章</w:t>
      </w:r>
      <w:r>
        <w:rPr>
          <w:rFonts w:hint="eastAsia" w:ascii="仿宋_GB2312" w:hAnsi="仿宋_GB2312" w:eastAsia="仿宋_GB2312" w:cs="仿宋_GB2312"/>
          <w:color w:val="000000"/>
          <w:kern w:val="0"/>
          <w:sz w:val="24"/>
          <w:highlight w:val="none"/>
          <w:u w:val="none"/>
          <w:lang w:eastAsia="zh-CN" w:bidi="ar"/>
        </w:rPr>
        <w:t>。</w:t>
      </w:r>
    </w:p>
    <w:p w14:paraId="3B3E458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1AB362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2"/>
    </w:p>
    <w:p w14:paraId="5A3ED3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2DB965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F48396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3006"/>
      <w:r>
        <w:rPr>
          <w:rFonts w:hint="eastAsia" w:ascii="仿宋_GB2312" w:hAnsi="仿宋_GB2312" w:eastAsia="仿宋_GB2312" w:cs="仿宋_GB2312"/>
          <w:color w:val="000000"/>
          <w:kern w:val="0"/>
          <w:sz w:val="24"/>
          <w:highlight w:val="none"/>
          <w:u w:val="none"/>
          <w:lang w:bidi="ar"/>
        </w:rPr>
        <w:t>1、</w:t>
      </w:r>
      <w:bookmarkEnd w:id="33"/>
      <w:r>
        <w:rPr>
          <w:rFonts w:hint="eastAsia" w:ascii="仿宋_GB2312" w:hAnsi="仿宋_GB2312" w:eastAsia="仿宋_GB2312" w:cs="仿宋_GB2312"/>
          <w:color w:val="000000"/>
          <w:kern w:val="0"/>
          <w:sz w:val="24"/>
          <w:highlight w:val="none"/>
          <w:u w:val="none"/>
          <w:lang w:bidi="ar"/>
        </w:rPr>
        <w:t>扫描件并加盖本单位公章</w:t>
      </w:r>
    </w:p>
    <w:p w14:paraId="2B4B96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E9A158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4"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4"/>
    </w:p>
    <w:p w14:paraId="3ECA9A2B">
      <w:pPr>
        <w:rPr>
          <w:rFonts w:hint="eastAsia" w:ascii="仿宋_GB2312" w:hAnsi="仿宋_GB2312" w:eastAsia="仿宋_GB2312" w:cs="仿宋_GB2312"/>
          <w:color w:val="000000"/>
          <w:kern w:val="0"/>
          <w:sz w:val="24"/>
          <w:highlight w:val="none"/>
          <w:u w:val="none"/>
          <w:lang w:bidi="ar"/>
        </w:rPr>
      </w:pPr>
    </w:p>
    <w:p w14:paraId="737ECC30">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2AE5CE9E">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4C751070">
      <w:pPr>
        <w:rPr>
          <w:rFonts w:hint="eastAsia" w:ascii="仿宋_GB2312" w:hAnsi="仿宋_GB2312" w:eastAsia="仿宋_GB2312" w:cs="仿宋_GB2312"/>
          <w:color w:val="000000"/>
          <w:kern w:val="0"/>
          <w:sz w:val="24"/>
          <w:highlight w:val="none"/>
          <w:u w:val="none"/>
          <w:lang w:bidi="ar"/>
        </w:rPr>
      </w:pPr>
    </w:p>
    <w:p w14:paraId="06D29E20">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3C46A4B1">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6CC8DDE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B81E9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717DCE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0888E4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395744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22F8E9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F5899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0B550E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41EC2D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398FA7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2D729D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B51D2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4B46C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5EA328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7A170D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25DE726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65F3C2BA">
      <w:pPr>
        <w:rPr>
          <w:rFonts w:hint="eastAsia" w:ascii="仿宋_GB2312" w:hAnsi="仿宋_GB2312" w:eastAsia="仿宋_GB2312" w:cs="仿宋_GB2312"/>
          <w:color w:val="000000"/>
          <w:kern w:val="0"/>
          <w:sz w:val="24"/>
          <w:szCs w:val="24"/>
          <w:highlight w:val="none"/>
          <w:lang w:val="en-US" w:eastAsia="zh-CN" w:bidi="ar"/>
        </w:rPr>
      </w:pPr>
    </w:p>
    <w:p w14:paraId="2740684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81E5F7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333AA3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2B0DD3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0D10BC4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461690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CA1E7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7AA65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6FF4F45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296B66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5533B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7A23A2E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31C7B2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7F39E2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42501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A9CD55F">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9379097">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0"/>
          <w:rFonts w:hint="eastAsia" w:ascii="仿宋_GB2312" w:hAnsi="仿宋_GB2312" w:eastAsia="仿宋_GB2312" w:cs="仿宋_GB2312"/>
          <w:i w:val="0"/>
          <w:iCs w:val="0"/>
          <w:caps w:val="0"/>
          <w:color w:val="000000"/>
          <w:spacing w:val="0"/>
          <w:sz w:val="24"/>
          <w:szCs w:val="24"/>
          <w:highlight w:val="none"/>
        </w:rPr>
      </w:pPr>
      <w:r>
        <w:rPr>
          <w:rStyle w:val="20"/>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586D70F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0"/>
          <w:rFonts w:hint="eastAsia" w:ascii="仿宋_GB2312" w:hAnsi="仿宋_GB2312" w:eastAsia="仿宋_GB2312" w:cs="仿宋_GB2312"/>
          <w:i w:val="0"/>
          <w:iCs w:val="0"/>
          <w:caps w:val="0"/>
          <w:color w:val="000000"/>
          <w:spacing w:val="0"/>
          <w:sz w:val="24"/>
          <w:szCs w:val="24"/>
          <w:highlight w:val="none"/>
        </w:rPr>
      </w:pPr>
      <w:r>
        <w:rPr>
          <w:rStyle w:val="20"/>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77C086E9">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0"/>
          <w:rFonts w:hint="eastAsia" w:ascii="仿宋_GB2312" w:hAnsi="仿宋_GB2312" w:eastAsia="仿宋_GB2312" w:cs="仿宋_GB2312"/>
          <w:i w:val="0"/>
          <w:iCs w:val="0"/>
          <w:caps w:val="0"/>
          <w:color w:val="000000"/>
          <w:spacing w:val="0"/>
          <w:sz w:val="32"/>
          <w:szCs w:val="32"/>
          <w:highlight w:val="none"/>
        </w:rPr>
      </w:pPr>
    </w:p>
    <w:p w14:paraId="1C9FFB59">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0"/>
          <w:rFonts w:hint="eastAsia" w:ascii="仿宋_GB2312" w:hAnsi="仿宋_GB2312" w:eastAsia="仿宋_GB2312" w:cs="仿宋_GB2312"/>
          <w:i w:val="0"/>
          <w:iCs w:val="0"/>
          <w:caps w:val="0"/>
          <w:color w:val="000000"/>
          <w:spacing w:val="0"/>
          <w:sz w:val="32"/>
          <w:szCs w:val="32"/>
          <w:highlight w:val="none"/>
        </w:rPr>
        <w:t>中小企业声明函</w:t>
      </w:r>
      <w:r>
        <w:rPr>
          <w:rStyle w:val="20"/>
          <w:rFonts w:hint="eastAsia" w:ascii="仿宋_GB2312" w:hAnsi="仿宋_GB2312" w:eastAsia="仿宋_GB2312" w:cs="仿宋_GB2312"/>
          <w:i w:val="0"/>
          <w:iCs w:val="0"/>
          <w:caps w:val="0"/>
          <w:color w:val="000000"/>
          <w:spacing w:val="0"/>
          <w:sz w:val="32"/>
          <w:szCs w:val="32"/>
          <w:highlight w:val="none"/>
          <w:lang w:eastAsia="zh-CN"/>
        </w:rPr>
        <w:t>（</w:t>
      </w:r>
      <w:r>
        <w:rPr>
          <w:rStyle w:val="20"/>
          <w:rFonts w:hint="eastAsia" w:ascii="仿宋_GB2312" w:hAnsi="仿宋_GB2312" w:eastAsia="仿宋_GB2312" w:cs="仿宋_GB2312"/>
          <w:i w:val="0"/>
          <w:iCs w:val="0"/>
          <w:caps w:val="0"/>
          <w:color w:val="000000"/>
          <w:spacing w:val="0"/>
          <w:sz w:val="32"/>
          <w:szCs w:val="32"/>
          <w:highlight w:val="none"/>
        </w:rPr>
        <w:t>货物</w:t>
      </w:r>
      <w:r>
        <w:rPr>
          <w:rStyle w:val="20"/>
          <w:rFonts w:hint="eastAsia" w:ascii="仿宋_GB2312" w:hAnsi="仿宋_GB2312" w:eastAsia="仿宋_GB2312" w:cs="仿宋_GB2312"/>
          <w:i w:val="0"/>
          <w:iCs w:val="0"/>
          <w:caps w:val="0"/>
          <w:color w:val="000000"/>
          <w:spacing w:val="0"/>
          <w:sz w:val="32"/>
          <w:szCs w:val="32"/>
          <w:highlight w:val="none"/>
          <w:lang w:eastAsia="zh-CN"/>
        </w:rPr>
        <w:t>）</w:t>
      </w:r>
    </w:p>
    <w:p w14:paraId="636C003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6317A58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3CA2EA4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429B2422">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3A7C61E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30A82C0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3FF06ABB">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540BBD46">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2F21C6CC">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1CCA47A0">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7A35BAD0">
      <w:pPr>
        <w:rPr>
          <w:rFonts w:hint="eastAsia" w:ascii="仿宋_GB2312" w:hAnsi="仿宋_GB2312" w:eastAsia="仿宋_GB2312" w:cs="仿宋_GB2312"/>
          <w:b w:val="0"/>
          <w:bCs w:val="0"/>
          <w:color w:val="000000"/>
          <w:kern w:val="0"/>
          <w:sz w:val="21"/>
          <w:szCs w:val="21"/>
          <w:highlight w:val="none"/>
          <w:lang w:val="en-US" w:eastAsia="zh-CN" w:bidi="ar"/>
        </w:rPr>
      </w:pPr>
    </w:p>
    <w:p w14:paraId="22109BB8">
      <w:pPr>
        <w:rPr>
          <w:rFonts w:hint="eastAsia" w:ascii="仿宋_GB2312" w:hAnsi="仿宋_GB2312" w:eastAsia="仿宋_GB2312" w:cs="仿宋_GB2312"/>
          <w:b w:val="0"/>
          <w:bCs w:val="0"/>
          <w:color w:val="000000"/>
          <w:kern w:val="0"/>
          <w:sz w:val="21"/>
          <w:szCs w:val="21"/>
          <w:highlight w:val="none"/>
          <w:lang w:val="en-US" w:eastAsia="zh-CN" w:bidi="ar"/>
        </w:rPr>
      </w:pPr>
    </w:p>
    <w:p w14:paraId="3930DDB0">
      <w:pPr>
        <w:rPr>
          <w:rFonts w:hint="eastAsia" w:ascii="仿宋_GB2312" w:hAnsi="仿宋_GB2312" w:eastAsia="仿宋_GB2312" w:cs="仿宋_GB2312"/>
          <w:b w:val="0"/>
          <w:bCs w:val="0"/>
          <w:color w:val="000000"/>
          <w:kern w:val="0"/>
          <w:sz w:val="21"/>
          <w:szCs w:val="21"/>
          <w:highlight w:val="none"/>
          <w:lang w:val="en-US" w:eastAsia="zh-CN" w:bidi="ar"/>
        </w:rPr>
      </w:pPr>
    </w:p>
    <w:p w14:paraId="2F793807">
      <w:pPr>
        <w:rPr>
          <w:rFonts w:hint="eastAsia" w:ascii="仿宋_GB2312" w:hAnsi="仿宋_GB2312" w:eastAsia="仿宋_GB2312" w:cs="仿宋_GB2312"/>
          <w:b w:val="0"/>
          <w:bCs w:val="0"/>
          <w:color w:val="000000"/>
          <w:kern w:val="0"/>
          <w:sz w:val="21"/>
          <w:szCs w:val="21"/>
          <w:highlight w:val="none"/>
          <w:lang w:val="en-US" w:eastAsia="zh-CN" w:bidi="ar"/>
        </w:rPr>
      </w:pPr>
    </w:p>
    <w:p w14:paraId="17E70F22">
      <w:pPr>
        <w:rPr>
          <w:rFonts w:hint="eastAsia" w:ascii="仿宋_GB2312" w:hAnsi="仿宋_GB2312" w:eastAsia="仿宋_GB2312" w:cs="仿宋_GB2312"/>
          <w:b w:val="0"/>
          <w:bCs w:val="0"/>
          <w:color w:val="000000"/>
          <w:kern w:val="0"/>
          <w:sz w:val="21"/>
          <w:szCs w:val="21"/>
          <w:highlight w:val="none"/>
          <w:lang w:val="en-US" w:eastAsia="zh-CN" w:bidi="ar"/>
        </w:rPr>
      </w:pPr>
    </w:p>
    <w:p w14:paraId="6717A24E">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02184DB6">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180CFF6">
      <w:pPr>
        <w:rPr>
          <w:rFonts w:hint="eastAsia" w:ascii="仿宋_GB2312" w:hAnsi="仿宋_GB2312" w:eastAsia="仿宋_GB2312" w:cs="仿宋_GB2312"/>
          <w:b w:val="0"/>
          <w:bCs w:val="0"/>
          <w:color w:val="000000"/>
          <w:kern w:val="0"/>
          <w:sz w:val="24"/>
          <w:szCs w:val="24"/>
          <w:highlight w:val="none"/>
          <w:lang w:val="en-US" w:eastAsia="zh-CN" w:bidi="ar"/>
        </w:rPr>
      </w:pPr>
    </w:p>
    <w:p w14:paraId="55B8A0D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中小企业声明函格式文件由供应商根据需要选用（承建本项目工程为中小企业或者承接本项目服务为中小企业时提交本函，所属行业应符合采购文件中明确的本项目所属行业）</w:t>
      </w:r>
    </w:p>
    <w:p w14:paraId="61CF620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B9FEDF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中小企业声明函（工程、服务）</w:t>
      </w:r>
    </w:p>
    <w:p w14:paraId="7272F69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079297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14:paraId="16DB5F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5762BB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14:paraId="4A9A12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349C0C1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14:paraId="7BD8CB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14:paraId="231E08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14:paraId="572F2B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14:paraId="3647D1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14:paraId="475E715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14:paraId="63B716D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14:paraId="0D5A541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4767BBD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1F6979CA">
      <w:pPr>
        <w:rPr>
          <w:rFonts w:hint="eastAsia" w:ascii="仿宋_GB2312" w:hAnsi="仿宋_GB2312" w:eastAsia="仿宋_GB2312" w:cs="仿宋_GB2312"/>
          <w:b w:val="0"/>
          <w:bCs w:val="0"/>
          <w:color w:val="000000"/>
          <w:kern w:val="0"/>
          <w:sz w:val="21"/>
          <w:szCs w:val="21"/>
          <w:highlight w:val="none"/>
          <w:lang w:val="en-US" w:eastAsia="zh-CN" w:bidi="ar"/>
        </w:rPr>
      </w:pPr>
    </w:p>
    <w:p w14:paraId="668F1DD3">
      <w:pPr>
        <w:rPr>
          <w:rFonts w:hint="eastAsia" w:ascii="仿宋_GB2312" w:hAnsi="仿宋_GB2312" w:eastAsia="仿宋_GB2312" w:cs="仿宋_GB2312"/>
          <w:b w:val="0"/>
          <w:bCs w:val="0"/>
          <w:color w:val="000000"/>
          <w:kern w:val="0"/>
          <w:sz w:val="21"/>
          <w:szCs w:val="21"/>
          <w:highlight w:val="none"/>
          <w:lang w:val="en-US" w:eastAsia="zh-CN" w:bidi="ar"/>
        </w:rPr>
      </w:pPr>
    </w:p>
    <w:p w14:paraId="3FE29A01">
      <w:pPr>
        <w:rPr>
          <w:rFonts w:hint="eastAsia" w:ascii="仿宋_GB2312" w:hAnsi="仿宋_GB2312" w:eastAsia="仿宋_GB2312" w:cs="仿宋_GB2312"/>
          <w:b w:val="0"/>
          <w:bCs w:val="0"/>
          <w:color w:val="000000"/>
          <w:kern w:val="0"/>
          <w:sz w:val="21"/>
          <w:szCs w:val="21"/>
          <w:highlight w:val="none"/>
          <w:lang w:val="en-US" w:eastAsia="zh-CN" w:bidi="ar"/>
        </w:rPr>
      </w:pPr>
    </w:p>
    <w:p w14:paraId="0167ADC5">
      <w:pPr>
        <w:rPr>
          <w:rFonts w:hint="eastAsia" w:ascii="仿宋_GB2312" w:hAnsi="仿宋_GB2312" w:eastAsia="仿宋_GB2312" w:cs="仿宋_GB2312"/>
          <w:b w:val="0"/>
          <w:bCs w:val="0"/>
          <w:color w:val="000000"/>
          <w:kern w:val="0"/>
          <w:sz w:val="21"/>
          <w:szCs w:val="21"/>
          <w:highlight w:val="none"/>
          <w:lang w:val="en-US" w:eastAsia="zh-CN" w:bidi="ar"/>
        </w:rPr>
      </w:pPr>
    </w:p>
    <w:p w14:paraId="5A9074E0">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7488FFA5">
      <w:pP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br w:type="page"/>
      </w:r>
    </w:p>
    <w:p w14:paraId="222F2D08">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1EC13262">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4A693C6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6E007B4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3D4EC84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7BFFFA5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3E257B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EDF8C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C91F7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78A9B2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18238678">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855F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636DE7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794E38A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517D2A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24B707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5CA0E8E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A6BCE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D34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83B1E3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5CAB44E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2445A3A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1A8DB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7209E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4512AE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0A9F4B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046461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DC617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2E0CD5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527EF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0C6054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4747384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4059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194E3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0BA3FBF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8AF187A">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47EB3DB2">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4436C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CC722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231DA41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11201F3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3A54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0613F4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35A381B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2B7060C">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6E26066D">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1F3ED35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0602C40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54E081C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67CC6E5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869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D4CBB1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670A522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FA3B3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0A8EAA4C">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900236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445F53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ECFE4B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5822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A23042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29B0701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C17502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45901DC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6A7C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AEB07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47E9633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D8572F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7D22A01E">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19322718">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0B78DBE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6170089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A09F0BD">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32D27820">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F504A06">
      <w:pPr>
        <w:pStyle w:val="16"/>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158194DD">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592C739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948D66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D410E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F5B9908">
      <w:pPr>
        <w:pStyle w:val="16"/>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09B0FEF2">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5738F72B">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60359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CCFFE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E4882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A51ED38">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1400B0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AA5815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37073D2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337ED4">
      <w:pPr>
        <w:pStyle w:val="16"/>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08078D1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76F11285">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7373D06C">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772685FC">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473E2EB1">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66F5361B">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1EB8F8B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21F88917">
      <w:pPr>
        <w:pStyle w:val="16"/>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D03196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5C73439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76D670D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6F04B1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4ECD914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742D97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4AD9B9D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33B9EB8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1E48401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642E9C2E">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7DBD0E06">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282F74E0">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545DB4D">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303AC09D">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0FEFBFF1">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20061012">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2E79F493">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47AB9EFF">
      <w:pPr>
        <w:pStyle w:val="15"/>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588D7AF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5B0C85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D565F7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63206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6463A8C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564DE8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C69AD98">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39F48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3D4E57C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507F8B5">
      <w:pPr>
        <w:pStyle w:val="16"/>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3D91C297">
      <w:pPr>
        <w:pStyle w:val="16"/>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21D09636">
      <w:pPr>
        <w:pStyle w:val="16"/>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52FDF797">
      <w:pPr>
        <w:pStyle w:val="16"/>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0265886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4428458E">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2E178E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1EF5610D">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86E567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48225DC">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73C47A6">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523EF29">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3821FC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538A88E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222BBB36">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6693A94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0C0EA67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C94D7D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778278B">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008E07C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606C7D0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7C185FA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F5E46B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709083B">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71BFB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04265777">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545AE6C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6657B70E">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5C36D394">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B61F5A8">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26AEDD3">
      <w:pPr>
        <w:spacing w:line="360" w:lineRule="auto"/>
        <w:rPr>
          <w:rFonts w:hint="eastAsia" w:ascii="仿宋_GB2312" w:hAnsi="仿宋_GB2312" w:eastAsia="仿宋_GB2312" w:cs="仿宋_GB2312"/>
          <w:sz w:val="24"/>
          <w:szCs w:val="24"/>
          <w:highlight w:val="none"/>
        </w:rPr>
      </w:pPr>
    </w:p>
    <w:p w14:paraId="6E72D00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3028C1F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15893B3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76E719D3">
      <w:pPr>
        <w:spacing w:line="360" w:lineRule="auto"/>
        <w:ind w:firstLine="480" w:firstLineChars="200"/>
        <w:rPr>
          <w:rFonts w:hint="eastAsia" w:ascii="仿宋_GB2312" w:hAnsi="仿宋_GB2312" w:eastAsia="仿宋_GB2312" w:cs="仿宋_GB2312"/>
          <w:sz w:val="24"/>
          <w:szCs w:val="24"/>
          <w:highlight w:val="none"/>
        </w:rPr>
      </w:pPr>
    </w:p>
    <w:p w14:paraId="799A5228">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37BF0E5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1EC7D85E">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710974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3493F4C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0756357">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5E95C82F">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4D3C083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067615B">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64FD764">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C3B58DF">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08264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339A90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1E25149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0134BB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21148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53464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78920B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5CA32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72344F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7646A8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7091E44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688C8C0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4E67D9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B24E5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77765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3588DC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A3B6B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35A48B8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661F2D38">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91D9D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8"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8"/>
      <w:r>
        <w:rPr>
          <w:rFonts w:hint="eastAsia" w:ascii="仿宋_GB2312" w:hAnsi="仿宋_GB2312" w:eastAsia="仿宋_GB2312" w:cs="仿宋_GB2312"/>
          <w:color w:val="000000"/>
          <w:kern w:val="0"/>
          <w:sz w:val="24"/>
          <w:szCs w:val="24"/>
          <w:highlight w:val="none"/>
          <w:lang w:val="en-US" w:eastAsia="zh-CN" w:bidi="ar"/>
        </w:rPr>
        <w:t xml:space="preserve"> </w:t>
      </w:r>
    </w:p>
    <w:p w14:paraId="09AB0DC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3C5AED9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D7282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428E04E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6B9DC15F">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70240E5E">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18F6943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415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3EFC44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D23DF0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A9CCF9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41F07AF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8A95F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9C9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30A517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7AEA1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7027A5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780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1E4EF0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20A662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571EF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2A0DF5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46048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9"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9"/>
    </w:p>
    <w:p w14:paraId="389CC9F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37AC9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3E4DD6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110045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09FC149">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74B737D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4C6A10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3D6609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0019AC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1AB70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5F0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AD9AE0B">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01D63342">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75F5156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38F2BD5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1260F6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1FF96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62A28B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22DB173">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31D5AD7">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75221316">
      <w:pPr>
        <w:outlineLvl w:val="1"/>
        <w:rPr>
          <w:rFonts w:hint="default" w:ascii="仿宋_GB2312" w:hAnsi="仿宋_GB2312" w:eastAsia="仿宋_GB2312" w:cs="仿宋_GB2312"/>
          <w:sz w:val="24"/>
          <w:szCs w:val="24"/>
          <w:highlight w:val="none"/>
          <w:lang w:val="en-US" w:eastAsia="zh-CN"/>
        </w:rPr>
      </w:pPr>
      <w:bookmarkStart w:id="40" w:name="_Toc23107"/>
      <w:r>
        <w:rPr>
          <w:rFonts w:hint="eastAsia" w:ascii="仿宋_GB2312" w:hAnsi="仿宋_GB2312" w:eastAsia="仿宋_GB2312" w:cs="仿宋_GB2312"/>
          <w:sz w:val="24"/>
          <w:szCs w:val="24"/>
          <w:highlight w:val="none"/>
          <w:lang w:val="en-US" w:eastAsia="zh-CN"/>
        </w:rPr>
        <w:t>7  开标一览表</w:t>
      </w:r>
      <w:bookmarkEnd w:id="40"/>
      <w:r>
        <w:rPr>
          <w:rFonts w:hint="eastAsia" w:ascii="仿宋_GB2312" w:hAnsi="仿宋_GB2312" w:eastAsia="仿宋_GB2312" w:cs="仿宋_GB2312"/>
          <w:sz w:val="24"/>
          <w:szCs w:val="24"/>
          <w:highlight w:val="none"/>
          <w:lang w:val="en-US" w:eastAsia="zh-CN"/>
        </w:rPr>
        <w:t>及分项报价表</w:t>
      </w:r>
    </w:p>
    <w:p w14:paraId="751EC349">
      <w:pPr>
        <w:rPr>
          <w:rFonts w:hint="eastAsia" w:ascii="仿宋_GB2312" w:hAnsi="仿宋_GB2312" w:eastAsia="仿宋_GB2312" w:cs="仿宋_GB2312"/>
          <w:highlight w:val="none"/>
          <w:lang w:val="en-US" w:eastAsia="zh-CN"/>
        </w:rPr>
      </w:pPr>
    </w:p>
    <w:p w14:paraId="5934BBBE">
      <w:pPr>
        <w:jc w:val="center"/>
        <w:rPr>
          <w:rFonts w:hint="eastAsia" w:ascii="仿宋_GB2312" w:hAnsi="仿宋_GB2312" w:eastAsia="仿宋_GB2312" w:cs="仿宋_GB2312"/>
          <w:b/>
          <w:bCs/>
          <w:sz w:val="32"/>
          <w:szCs w:val="32"/>
          <w:highlight w:val="none"/>
          <w:lang w:val="en-US" w:eastAsia="zh-CN"/>
        </w:rPr>
      </w:pPr>
    </w:p>
    <w:p w14:paraId="70BE738C">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72A4FD5C">
      <w:pPr>
        <w:rPr>
          <w:rFonts w:hint="eastAsia" w:ascii="仿宋_GB2312" w:hAnsi="仿宋_GB2312" w:eastAsia="仿宋_GB2312" w:cs="仿宋_GB2312"/>
          <w:highlight w:val="none"/>
          <w:lang w:val="en-US" w:eastAsia="zh-CN"/>
        </w:rPr>
      </w:pPr>
    </w:p>
    <w:p w14:paraId="0B152CC0">
      <w:pPr>
        <w:rPr>
          <w:rFonts w:hint="eastAsia" w:ascii="仿宋_GB2312" w:hAnsi="仿宋_GB2312" w:eastAsia="仿宋_GB2312" w:cs="仿宋_GB2312"/>
          <w:highlight w:val="none"/>
          <w:lang w:val="en-US" w:eastAsia="zh-CN"/>
        </w:rPr>
      </w:pPr>
    </w:p>
    <w:p w14:paraId="7862A129">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223"/>
        <w:gridCol w:w="2131"/>
        <w:gridCol w:w="2131"/>
      </w:tblGrid>
      <w:tr w14:paraId="1D0F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14:paraId="4DC54A79">
            <w:pPr>
              <w:pStyle w:val="16"/>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序号</w:t>
            </w:r>
          </w:p>
        </w:tc>
        <w:tc>
          <w:tcPr>
            <w:tcW w:w="3223" w:type="dxa"/>
            <w:vMerge w:val="restart"/>
            <w:vAlign w:val="center"/>
          </w:tcPr>
          <w:p w14:paraId="614A1DB8">
            <w:pPr>
              <w:pStyle w:val="16"/>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投标人名称</w:t>
            </w:r>
          </w:p>
        </w:tc>
        <w:tc>
          <w:tcPr>
            <w:tcW w:w="4262" w:type="dxa"/>
            <w:gridSpan w:val="2"/>
            <w:vAlign w:val="center"/>
          </w:tcPr>
          <w:p w14:paraId="0618B4A2">
            <w:pPr>
              <w:pStyle w:val="16"/>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投标报价（元）</w:t>
            </w:r>
          </w:p>
        </w:tc>
      </w:tr>
      <w:tr w14:paraId="17F3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14:paraId="7ACB17CE">
            <w:pPr>
              <w:pStyle w:val="16"/>
              <w:jc w:val="center"/>
              <w:rPr>
                <w:rFonts w:hint="eastAsia" w:ascii="仿宋_GB2312" w:hAnsi="仿宋_GB2312" w:eastAsia="仿宋_GB2312" w:cs="仿宋_GB2312"/>
                <w:b/>
                <w:bCs/>
                <w:highlight w:val="none"/>
                <w:vertAlign w:val="baseline"/>
                <w:lang w:val="en-US" w:eastAsia="zh-CN"/>
              </w:rPr>
            </w:pPr>
          </w:p>
        </w:tc>
        <w:tc>
          <w:tcPr>
            <w:tcW w:w="3223" w:type="dxa"/>
            <w:vMerge w:val="continue"/>
            <w:vAlign w:val="center"/>
          </w:tcPr>
          <w:p w14:paraId="00C15D83">
            <w:pPr>
              <w:pStyle w:val="16"/>
              <w:jc w:val="center"/>
              <w:rPr>
                <w:rFonts w:hint="eastAsia" w:ascii="仿宋_GB2312" w:hAnsi="仿宋_GB2312" w:eastAsia="仿宋_GB2312" w:cs="仿宋_GB2312"/>
                <w:b/>
                <w:bCs/>
                <w:highlight w:val="none"/>
                <w:vertAlign w:val="baseline"/>
                <w:lang w:val="en-US" w:eastAsia="zh-CN"/>
              </w:rPr>
            </w:pPr>
          </w:p>
        </w:tc>
        <w:tc>
          <w:tcPr>
            <w:tcW w:w="2131" w:type="dxa"/>
            <w:vAlign w:val="center"/>
          </w:tcPr>
          <w:p w14:paraId="64A422A7">
            <w:pPr>
              <w:pStyle w:val="16"/>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大写</w:t>
            </w:r>
          </w:p>
        </w:tc>
        <w:tc>
          <w:tcPr>
            <w:tcW w:w="2131" w:type="dxa"/>
            <w:vAlign w:val="center"/>
          </w:tcPr>
          <w:p w14:paraId="7DB61D83">
            <w:pPr>
              <w:pStyle w:val="16"/>
              <w:ind w:left="0" w:leftChars="0" w:firstLine="0" w:firstLineChars="0"/>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小写</w:t>
            </w:r>
          </w:p>
        </w:tc>
      </w:tr>
      <w:tr w14:paraId="19B4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37" w:type="dxa"/>
            <w:vAlign w:val="center"/>
          </w:tcPr>
          <w:p w14:paraId="62A29ECB">
            <w:pPr>
              <w:pStyle w:val="16"/>
              <w:jc w:val="center"/>
              <w:rPr>
                <w:rFonts w:hint="eastAsia" w:ascii="仿宋_GB2312" w:hAnsi="仿宋_GB2312" w:eastAsia="仿宋_GB2312" w:cs="仿宋_GB2312"/>
                <w:highlight w:val="none"/>
                <w:vertAlign w:val="baseline"/>
                <w:lang w:val="en-US" w:eastAsia="zh-CN"/>
              </w:rPr>
            </w:pPr>
          </w:p>
        </w:tc>
        <w:tc>
          <w:tcPr>
            <w:tcW w:w="3223" w:type="dxa"/>
            <w:vAlign w:val="center"/>
          </w:tcPr>
          <w:p w14:paraId="53AAC130">
            <w:pPr>
              <w:pStyle w:val="16"/>
              <w:jc w:val="center"/>
              <w:rPr>
                <w:rFonts w:hint="eastAsia" w:ascii="仿宋_GB2312" w:hAnsi="仿宋_GB2312" w:eastAsia="仿宋_GB2312" w:cs="仿宋_GB2312"/>
                <w:highlight w:val="none"/>
                <w:vertAlign w:val="baseline"/>
                <w:lang w:val="en-US" w:eastAsia="zh-CN"/>
              </w:rPr>
            </w:pPr>
          </w:p>
        </w:tc>
        <w:tc>
          <w:tcPr>
            <w:tcW w:w="2131" w:type="dxa"/>
            <w:vAlign w:val="center"/>
          </w:tcPr>
          <w:p w14:paraId="717E0995">
            <w:pPr>
              <w:pStyle w:val="16"/>
              <w:jc w:val="center"/>
              <w:rPr>
                <w:rFonts w:hint="eastAsia" w:ascii="仿宋_GB2312" w:hAnsi="仿宋_GB2312" w:eastAsia="仿宋_GB2312" w:cs="仿宋_GB2312"/>
                <w:highlight w:val="none"/>
                <w:vertAlign w:val="baseline"/>
                <w:lang w:val="en-US" w:eastAsia="zh-CN"/>
              </w:rPr>
            </w:pPr>
          </w:p>
        </w:tc>
        <w:tc>
          <w:tcPr>
            <w:tcW w:w="2131" w:type="dxa"/>
            <w:vAlign w:val="center"/>
          </w:tcPr>
          <w:p w14:paraId="2A9B5326">
            <w:pPr>
              <w:pStyle w:val="16"/>
              <w:jc w:val="center"/>
              <w:rPr>
                <w:rFonts w:hint="eastAsia" w:ascii="仿宋_GB2312" w:hAnsi="仿宋_GB2312" w:eastAsia="仿宋_GB2312" w:cs="仿宋_GB2312"/>
                <w:highlight w:val="none"/>
                <w:vertAlign w:val="baseline"/>
                <w:lang w:val="en-US" w:eastAsia="zh-CN"/>
              </w:rPr>
            </w:pPr>
          </w:p>
        </w:tc>
      </w:tr>
      <w:tr w14:paraId="1F5E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6D8D1D25">
            <w:pPr>
              <w:pStyle w:val="16"/>
              <w:ind w:left="0" w:leftChars="0" w:firstLine="0" w:firstLineChars="0"/>
              <w:jc w:val="both"/>
              <w:rPr>
                <w:rFonts w:hint="default"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备注：</w:t>
            </w:r>
          </w:p>
        </w:tc>
      </w:tr>
    </w:tbl>
    <w:p w14:paraId="6ABB09F7">
      <w:pPr>
        <w:pStyle w:val="16"/>
        <w:ind w:left="0" w:leftChars="0" w:firstLine="0" w:firstLineChars="0"/>
        <w:rPr>
          <w:rFonts w:hint="eastAsia" w:ascii="仿宋_GB2312" w:hAnsi="仿宋_GB2312" w:eastAsia="仿宋_GB2312" w:cs="仿宋_GB2312"/>
          <w:highlight w:val="none"/>
          <w:lang w:val="en-US" w:eastAsia="zh-CN"/>
        </w:rPr>
      </w:pPr>
    </w:p>
    <w:p w14:paraId="1A2C8751">
      <w:pPr>
        <w:pStyle w:val="15"/>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39D26AA3">
      <w:pPr>
        <w:pStyle w:val="15"/>
        <w:outlineLvl w:val="1"/>
        <w:rPr>
          <w:rFonts w:hint="eastAsia" w:ascii="仿宋_GB2312" w:hAnsi="仿宋_GB2312" w:eastAsia="仿宋_GB2312" w:cs="仿宋_GB2312"/>
          <w:highlight w:val="none"/>
          <w:lang w:val="en-US" w:eastAsia="zh-CN"/>
        </w:rPr>
      </w:pPr>
      <w:bookmarkStart w:id="41" w:name="_Toc31128"/>
      <w:r>
        <w:rPr>
          <w:rFonts w:hint="eastAsia" w:ascii="仿宋_GB2312" w:hAnsi="仿宋_GB2312" w:eastAsia="仿宋_GB2312" w:cs="仿宋_GB2312"/>
          <w:highlight w:val="none"/>
          <w:lang w:val="en-US" w:eastAsia="zh-CN"/>
        </w:rPr>
        <w:t>2.本表必须按包（标项）分别填写。</w:t>
      </w:r>
      <w:bookmarkEnd w:id="41"/>
    </w:p>
    <w:p w14:paraId="01BDC24E">
      <w:pPr>
        <w:pStyle w:val="15"/>
        <w:rPr>
          <w:rFonts w:hint="eastAsia" w:ascii="仿宋_GB2312" w:hAnsi="仿宋_GB2312" w:eastAsia="仿宋_GB2312" w:cs="仿宋_GB2312"/>
          <w:highlight w:val="none"/>
          <w:lang w:val="en-US" w:eastAsia="zh-CN"/>
        </w:rPr>
      </w:pPr>
    </w:p>
    <w:p w14:paraId="29411792">
      <w:pPr>
        <w:pStyle w:val="15"/>
        <w:rPr>
          <w:rFonts w:hint="eastAsia" w:ascii="仿宋_GB2312" w:hAnsi="仿宋_GB2312" w:eastAsia="仿宋_GB2312" w:cs="仿宋_GB2312"/>
          <w:highlight w:val="none"/>
          <w:lang w:val="en-US" w:eastAsia="zh-CN"/>
        </w:rPr>
      </w:pPr>
    </w:p>
    <w:p w14:paraId="67502654">
      <w:pPr>
        <w:pStyle w:val="15"/>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2BF05689">
      <w:pPr>
        <w:pStyle w:val="15"/>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572B1391">
      <w:pPr>
        <w:pStyle w:val="13"/>
        <w:rPr>
          <w:rFonts w:hint="eastAsia" w:ascii="仿宋_GB2312" w:hAnsi="仿宋_GB2312" w:eastAsia="仿宋_GB2312" w:cs="仿宋_GB2312"/>
          <w:highlight w:val="none"/>
          <w:lang w:val="en-US" w:eastAsia="zh-CN"/>
        </w:rPr>
      </w:pPr>
    </w:p>
    <w:p w14:paraId="1E662CF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6D3F813E">
      <w:pPr>
        <w:pStyle w:val="16"/>
        <w:ind w:left="0" w:leftChars="0" w:firstLine="0" w:firstLineChars="0"/>
        <w:outlineLvl w:val="1"/>
        <w:rPr>
          <w:rFonts w:hint="eastAsia" w:ascii="仿宋_GB2312" w:hAnsi="仿宋_GB2312" w:eastAsia="仿宋_GB2312" w:cs="仿宋_GB2312"/>
          <w:sz w:val="24"/>
          <w:szCs w:val="24"/>
          <w:highlight w:val="none"/>
          <w:lang w:val="en-US" w:eastAsia="zh-CN"/>
        </w:rPr>
      </w:pPr>
    </w:p>
    <w:p w14:paraId="1D9E6392">
      <w:pPr>
        <w:pStyle w:val="16"/>
        <w:ind w:left="0" w:leftChars="0" w:firstLine="0" w:firstLineChars="0"/>
        <w:jc w:val="center"/>
        <w:rPr>
          <w:rFonts w:hint="eastAsia" w:ascii="仿宋_GB2312" w:hAnsi="仿宋_GB2312" w:eastAsia="仿宋_GB2312" w:cs="仿宋_GB2312"/>
          <w:b/>
          <w:bCs/>
          <w:sz w:val="32"/>
          <w:szCs w:val="32"/>
          <w:highlight w:val="none"/>
          <w:lang w:val="en-US" w:eastAsia="zh-CN"/>
        </w:rPr>
      </w:pPr>
      <w:bookmarkStart w:id="42" w:name="_Toc6119"/>
    </w:p>
    <w:p w14:paraId="66D6971A">
      <w:pPr>
        <w:pStyle w:val="16"/>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投标分项报价表（服务）</w:t>
      </w:r>
    </w:p>
    <w:p w14:paraId="3D882A79">
      <w:pPr>
        <w:pStyle w:val="16"/>
        <w:ind w:left="0" w:leftChars="0" w:firstLine="0" w:firstLineChars="0"/>
        <w:jc w:val="center"/>
        <w:rPr>
          <w:rFonts w:hint="eastAsia" w:ascii="仿宋_GB2312" w:hAnsi="仿宋_GB2312" w:eastAsia="仿宋_GB2312" w:cs="仿宋_GB2312"/>
          <w:highlight w:val="none"/>
          <w:lang w:val="en-US" w:eastAsia="zh-CN"/>
        </w:rPr>
      </w:pPr>
    </w:p>
    <w:p w14:paraId="4F9CC239">
      <w:pPr>
        <w:pStyle w:val="16"/>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E3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55E528A4">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85" w:type="dxa"/>
            <w:vAlign w:val="center"/>
          </w:tcPr>
          <w:p w14:paraId="12EDD71F">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服务名称</w:t>
            </w:r>
          </w:p>
        </w:tc>
        <w:tc>
          <w:tcPr>
            <w:tcW w:w="1483" w:type="dxa"/>
            <w:vAlign w:val="center"/>
          </w:tcPr>
          <w:p w14:paraId="64752248">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服务范围</w:t>
            </w:r>
          </w:p>
        </w:tc>
        <w:tc>
          <w:tcPr>
            <w:tcW w:w="1401" w:type="dxa"/>
            <w:vAlign w:val="center"/>
          </w:tcPr>
          <w:p w14:paraId="2B811ED8">
            <w:pPr>
              <w:pStyle w:val="15"/>
              <w:ind w:left="0" w:leftChars="0" w:firstLine="0" w:firstLineChars="0"/>
              <w:jc w:val="center"/>
              <w:rPr>
                <w:rFonts w:hint="default" w:ascii="仿宋_GB2312" w:hAnsi="仿宋_GB2312" w:eastAsia="仿宋_GB2312" w:cs="仿宋_GB2312"/>
                <w:sz w:val="21"/>
                <w:szCs w:val="21"/>
                <w:highlight w:val="none"/>
                <w:vertAlign w:val="baseline"/>
                <w:lang w:val="en-US" w:eastAsia="zh-CN"/>
              </w:rPr>
            </w:pPr>
            <w:r>
              <w:rPr>
                <w:rFonts w:hint="default" w:ascii="仿宋_GB2312" w:hAnsi="仿宋_GB2312" w:eastAsia="仿宋_GB2312" w:cs="仿宋_GB2312"/>
                <w:sz w:val="21"/>
                <w:szCs w:val="21"/>
                <w:highlight w:val="none"/>
                <w:vertAlign w:val="baseline"/>
                <w:lang w:val="en-US" w:eastAsia="zh-CN"/>
              </w:rPr>
              <w:t>服务标准</w:t>
            </w:r>
          </w:p>
        </w:tc>
        <w:tc>
          <w:tcPr>
            <w:tcW w:w="1201" w:type="dxa"/>
            <w:vAlign w:val="center"/>
          </w:tcPr>
          <w:p w14:paraId="741B0B62">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单价</w:t>
            </w:r>
          </w:p>
        </w:tc>
        <w:tc>
          <w:tcPr>
            <w:tcW w:w="1260" w:type="dxa"/>
            <w:vAlign w:val="center"/>
          </w:tcPr>
          <w:p w14:paraId="351FF1ED">
            <w:pPr>
              <w:pStyle w:val="15"/>
              <w:ind w:left="0" w:leftChars="0" w:firstLine="0" w:firstLineChars="0"/>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数量/单位</w:t>
            </w:r>
          </w:p>
        </w:tc>
        <w:tc>
          <w:tcPr>
            <w:tcW w:w="1075" w:type="dxa"/>
            <w:vAlign w:val="center"/>
          </w:tcPr>
          <w:p w14:paraId="4322FAFF">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合价（元）</w:t>
            </w:r>
          </w:p>
        </w:tc>
        <w:tc>
          <w:tcPr>
            <w:tcW w:w="1417" w:type="dxa"/>
            <w:vAlign w:val="center"/>
          </w:tcPr>
          <w:p w14:paraId="78496405">
            <w:pPr>
              <w:pStyle w:val="15"/>
              <w:ind w:left="0" w:leftChars="0" w:firstLine="0" w:firstLineChars="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备注/说明</w:t>
            </w:r>
          </w:p>
        </w:tc>
      </w:tr>
      <w:tr w14:paraId="233F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9D6EF4C">
            <w:pPr>
              <w:pStyle w:val="15"/>
              <w:jc w:val="center"/>
              <w:rPr>
                <w:rFonts w:hint="eastAsia" w:ascii="仿宋_GB2312" w:hAnsi="仿宋_GB2312" w:eastAsia="仿宋_GB2312" w:cs="仿宋_GB2312"/>
                <w:sz w:val="21"/>
                <w:szCs w:val="21"/>
                <w:highlight w:val="none"/>
                <w:vertAlign w:val="baseline"/>
                <w:lang w:val="en-US" w:eastAsia="zh-CN"/>
              </w:rPr>
            </w:pPr>
          </w:p>
        </w:tc>
        <w:tc>
          <w:tcPr>
            <w:tcW w:w="1385" w:type="dxa"/>
            <w:vAlign w:val="center"/>
          </w:tcPr>
          <w:p w14:paraId="249280F5">
            <w:pPr>
              <w:pStyle w:val="15"/>
              <w:jc w:val="center"/>
              <w:rPr>
                <w:rFonts w:hint="eastAsia" w:ascii="仿宋_GB2312" w:hAnsi="仿宋_GB2312" w:eastAsia="仿宋_GB2312" w:cs="仿宋_GB2312"/>
                <w:sz w:val="21"/>
                <w:szCs w:val="21"/>
                <w:highlight w:val="none"/>
                <w:vertAlign w:val="baseline"/>
                <w:lang w:val="en-US" w:eastAsia="zh-CN"/>
              </w:rPr>
            </w:pPr>
          </w:p>
        </w:tc>
        <w:tc>
          <w:tcPr>
            <w:tcW w:w="1483" w:type="dxa"/>
            <w:vAlign w:val="center"/>
          </w:tcPr>
          <w:p w14:paraId="548242DA">
            <w:pPr>
              <w:pStyle w:val="15"/>
              <w:jc w:val="center"/>
              <w:rPr>
                <w:rFonts w:hint="eastAsia" w:ascii="仿宋_GB2312" w:hAnsi="仿宋_GB2312" w:eastAsia="仿宋_GB2312" w:cs="仿宋_GB2312"/>
                <w:sz w:val="21"/>
                <w:szCs w:val="21"/>
                <w:highlight w:val="none"/>
                <w:vertAlign w:val="baseline"/>
                <w:lang w:val="en-US" w:eastAsia="zh-CN"/>
              </w:rPr>
            </w:pPr>
          </w:p>
        </w:tc>
        <w:tc>
          <w:tcPr>
            <w:tcW w:w="1401" w:type="dxa"/>
            <w:vAlign w:val="center"/>
          </w:tcPr>
          <w:p w14:paraId="1E402467">
            <w:pPr>
              <w:pStyle w:val="15"/>
              <w:jc w:val="center"/>
              <w:rPr>
                <w:rFonts w:hint="eastAsia" w:ascii="仿宋_GB2312" w:hAnsi="仿宋_GB2312" w:eastAsia="仿宋_GB2312" w:cs="仿宋_GB2312"/>
                <w:sz w:val="21"/>
                <w:szCs w:val="21"/>
                <w:highlight w:val="none"/>
                <w:vertAlign w:val="baseline"/>
                <w:lang w:val="en-US" w:eastAsia="zh-CN"/>
              </w:rPr>
            </w:pPr>
          </w:p>
        </w:tc>
        <w:tc>
          <w:tcPr>
            <w:tcW w:w="1201" w:type="dxa"/>
            <w:vAlign w:val="center"/>
          </w:tcPr>
          <w:p w14:paraId="6C3CDBFF">
            <w:pPr>
              <w:pStyle w:val="15"/>
              <w:jc w:val="center"/>
              <w:rPr>
                <w:rFonts w:hint="eastAsia" w:ascii="仿宋_GB2312" w:hAnsi="仿宋_GB2312" w:eastAsia="仿宋_GB2312" w:cs="仿宋_GB2312"/>
                <w:sz w:val="21"/>
                <w:szCs w:val="21"/>
                <w:highlight w:val="none"/>
                <w:vertAlign w:val="baseline"/>
                <w:lang w:val="en-US" w:eastAsia="zh-CN"/>
              </w:rPr>
            </w:pPr>
          </w:p>
        </w:tc>
        <w:tc>
          <w:tcPr>
            <w:tcW w:w="1260" w:type="dxa"/>
            <w:vAlign w:val="center"/>
          </w:tcPr>
          <w:p w14:paraId="6F879766">
            <w:pPr>
              <w:pStyle w:val="15"/>
              <w:jc w:val="center"/>
              <w:rPr>
                <w:rFonts w:hint="eastAsia" w:ascii="仿宋_GB2312" w:hAnsi="仿宋_GB2312" w:eastAsia="仿宋_GB2312" w:cs="仿宋_GB2312"/>
                <w:sz w:val="21"/>
                <w:szCs w:val="21"/>
                <w:highlight w:val="none"/>
                <w:vertAlign w:val="baseline"/>
                <w:lang w:val="en-US" w:eastAsia="zh-CN"/>
              </w:rPr>
            </w:pPr>
          </w:p>
        </w:tc>
        <w:tc>
          <w:tcPr>
            <w:tcW w:w="1075" w:type="dxa"/>
            <w:vAlign w:val="center"/>
          </w:tcPr>
          <w:p w14:paraId="3BAA0E96">
            <w:pPr>
              <w:pStyle w:val="15"/>
              <w:jc w:val="center"/>
              <w:rPr>
                <w:rFonts w:hint="eastAsia" w:ascii="仿宋_GB2312" w:hAnsi="仿宋_GB2312" w:eastAsia="仿宋_GB2312" w:cs="仿宋_GB2312"/>
                <w:sz w:val="21"/>
                <w:szCs w:val="21"/>
                <w:highlight w:val="none"/>
                <w:vertAlign w:val="baseline"/>
                <w:lang w:val="en-US" w:eastAsia="zh-CN"/>
              </w:rPr>
            </w:pPr>
          </w:p>
        </w:tc>
        <w:tc>
          <w:tcPr>
            <w:tcW w:w="1417" w:type="dxa"/>
            <w:vAlign w:val="center"/>
          </w:tcPr>
          <w:p w14:paraId="57CEF5B8">
            <w:pPr>
              <w:pStyle w:val="15"/>
              <w:jc w:val="center"/>
              <w:rPr>
                <w:rFonts w:hint="eastAsia" w:ascii="仿宋_GB2312" w:hAnsi="仿宋_GB2312" w:eastAsia="仿宋_GB2312" w:cs="仿宋_GB2312"/>
                <w:sz w:val="21"/>
                <w:szCs w:val="21"/>
                <w:highlight w:val="none"/>
                <w:vertAlign w:val="baseline"/>
                <w:lang w:val="en-US" w:eastAsia="zh-CN"/>
              </w:rPr>
            </w:pPr>
          </w:p>
        </w:tc>
      </w:tr>
      <w:tr w14:paraId="16A5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8BF1FD4">
            <w:pPr>
              <w:pStyle w:val="15"/>
              <w:jc w:val="center"/>
              <w:rPr>
                <w:rFonts w:hint="eastAsia" w:ascii="仿宋_GB2312" w:hAnsi="仿宋_GB2312" w:eastAsia="仿宋_GB2312" w:cs="仿宋_GB2312"/>
                <w:sz w:val="21"/>
                <w:szCs w:val="21"/>
                <w:highlight w:val="none"/>
                <w:vertAlign w:val="baseline"/>
                <w:lang w:val="en-US" w:eastAsia="zh-CN"/>
              </w:rPr>
            </w:pPr>
          </w:p>
        </w:tc>
        <w:tc>
          <w:tcPr>
            <w:tcW w:w="1385" w:type="dxa"/>
            <w:vAlign w:val="center"/>
          </w:tcPr>
          <w:p w14:paraId="694F292C">
            <w:pPr>
              <w:pStyle w:val="15"/>
              <w:jc w:val="center"/>
              <w:rPr>
                <w:rFonts w:hint="eastAsia" w:ascii="仿宋_GB2312" w:hAnsi="仿宋_GB2312" w:eastAsia="仿宋_GB2312" w:cs="仿宋_GB2312"/>
                <w:sz w:val="21"/>
                <w:szCs w:val="21"/>
                <w:highlight w:val="none"/>
                <w:vertAlign w:val="baseline"/>
                <w:lang w:val="en-US" w:eastAsia="zh-CN"/>
              </w:rPr>
            </w:pPr>
          </w:p>
        </w:tc>
        <w:tc>
          <w:tcPr>
            <w:tcW w:w="1483" w:type="dxa"/>
            <w:vAlign w:val="center"/>
          </w:tcPr>
          <w:p w14:paraId="3789385B">
            <w:pPr>
              <w:pStyle w:val="15"/>
              <w:jc w:val="center"/>
              <w:rPr>
                <w:rFonts w:hint="eastAsia" w:ascii="仿宋_GB2312" w:hAnsi="仿宋_GB2312" w:eastAsia="仿宋_GB2312" w:cs="仿宋_GB2312"/>
                <w:sz w:val="21"/>
                <w:szCs w:val="21"/>
                <w:highlight w:val="none"/>
                <w:vertAlign w:val="baseline"/>
                <w:lang w:val="en-US" w:eastAsia="zh-CN"/>
              </w:rPr>
            </w:pPr>
          </w:p>
        </w:tc>
        <w:tc>
          <w:tcPr>
            <w:tcW w:w="1401" w:type="dxa"/>
            <w:vAlign w:val="center"/>
          </w:tcPr>
          <w:p w14:paraId="22CDD4D9">
            <w:pPr>
              <w:pStyle w:val="15"/>
              <w:jc w:val="center"/>
              <w:rPr>
                <w:rFonts w:hint="eastAsia" w:ascii="仿宋_GB2312" w:hAnsi="仿宋_GB2312" w:eastAsia="仿宋_GB2312" w:cs="仿宋_GB2312"/>
                <w:sz w:val="21"/>
                <w:szCs w:val="21"/>
                <w:highlight w:val="none"/>
                <w:vertAlign w:val="baseline"/>
                <w:lang w:val="en-US" w:eastAsia="zh-CN"/>
              </w:rPr>
            </w:pPr>
          </w:p>
        </w:tc>
        <w:tc>
          <w:tcPr>
            <w:tcW w:w="1201" w:type="dxa"/>
            <w:vAlign w:val="center"/>
          </w:tcPr>
          <w:p w14:paraId="08E160A6">
            <w:pPr>
              <w:pStyle w:val="15"/>
              <w:jc w:val="center"/>
              <w:rPr>
                <w:rFonts w:hint="eastAsia" w:ascii="仿宋_GB2312" w:hAnsi="仿宋_GB2312" w:eastAsia="仿宋_GB2312" w:cs="仿宋_GB2312"/>
                <w:sz w:val="21"/>
                <w:szCs w:val="21"/>
                <w:highlight w:val="none"/>
                <w:vertAlign w:val="baseline"/>
                <w:lang w:val="en-US" w:eastAsia="zh-CN"/>
              </w:rPr>
            </w:pPr>
          </w:p>
        </w:tc>
        <w:tc>
          <w:tcPr>
            <w:tcW w:w="1260" w:type="dxa"/>
            <w:vAlign w:val="center"/>
          </w:tcPr>
          <w:p w14:paraId="0066993B">
            <w:pPr>
              <w:pStyle w:val="15"/>
              <w:jc w:val="center"/>
              <w:rPr>
                <w:rFonts w:hint="eastAsia" w:ascii="仿宋_GB2312" w:hAnsi="仿宋_GB2312" w:eastAsia="仿宋_GB2312" w:cs="仿宋_GB2312"/>
                <w:sz w:val="21"/>
                <w:szCs w:val="21"/>
                <w:highlight w:val="none"/>
                <w:vertAlign w:val="baseline"/>
                <w:lang w:val="en-US" w:eastAsia="zh-CN"/>
              </w:rPr>
            </w:pPr>
          </w:p>
        </w:tc>
        <w:tc>
          <w:tcPr>
            <w:tcW w:w="1075" w:type="dxa"/>
            <w:vAlign w:val="center"/>
          </w:tcPr>
          <w:p w14:paraId="3031B820">
            <w:pPr>
              <w:pStyle w:val="15"/>
              <w:jc w:val="center"/>
              <w:rPr>
                <w:rFonts w:hint="eastAsia" w:ascii="仿宋_GB2312" w:hAnsi="仿宋_GB2312" w:eastAsia="仿宋_GB2312" w:cs="仿宋_GB2312"/>
                <w:sz w:val="21"/>
                <w:szCs w:val="21"/>
                <w:highlight w:val="none"/>
                <w:vertAlign w:val="baseline"/>
                <w:lang w:val="en-US" w:eastAsia="zh-CN"/>
              </w:rPr>
            </w:pPr>
          </w:p>
        </w:tc>
        <w:tc>
          <w:tcPr>
            <w:tcW w:w="1417" w:type="dxa"/>
            <w:vAlign w:val="center"/>
          </w:tcPr>
          <w:p w14:paraId="23A9685B">
            <w:pPr>
              <w:pStyle w:val="15"/>
              <w:jc w:val="center"/>
              <w:rPr>
                <w:rFonts w:hint="eastAsia" w:ascii="仿宋_GB2312" w:hAnsi="仿宋_GB2312" w:eastAsia="仿宋_GB2312" w:cs="仿宋_GB2312"/>
                <w:sz w:val="21"/>
                <w:szCs w:val="21"/>
                <w:highlight w:val="none"/>
                <w:vertAlign w:val="baseline"/>
                <w:lang w:val="en-US" w:eastAsia="zh-CN"/>
              </w:rPr>
            </w:pPr>
          </w:p>
        </w:tc>
      </w:tr>
      <w:tr w14:paraId="4548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B0992F9">
            <w:pPr>
              <w:pStyle w:val="15"/>
              <w:jc w:val="center"/>
              <w:rPr>
                <w:rFonts w:hint="eastAsia" w:ascii="仿宋_GB2312" w:hAnsi="仿宋_GB2312" w:eastAsia="仿宋_GB2312" w:cs="仿宋_GB2312"/>
                <w:sz w:val="21"/>
                <w:szCs w:val="21"/>
                <w:highlight w:val="none"/>
                <w:vertAlign w:val="baseline"/>
                <w:lang w:val="en-US" w:eastAsia="zh-CN"/>
              </w:rPr>
            </w:pPr>
          </w:p>
        </w:tc>
        <w:tc>
          <w:tcPr>
            <w:tcW w:w="1385" w:type="dxa"/>
            <w:vAlign w:val="center"/>
          </w:tcPr>
          <w:p w14:paraId="62489598">
            <w:pPr>
              <w:pStyle w:val="15"/>
              <w:jc w:val="center"/>
              <w:rPr>
                <w:rFonts w:hint="eastAsia" w:ascii="仿宋_GB2312" w:hAnsi="仿宋_GB2312" w:eastAsia="仿宋_GB2312" w:cs="仿宋_GB2312"/>
                <w:sz w:val="21"/>
                <w:szCs w:val="21"/>
                <w:highlight w:val="none"/>
                <w:vertAlign w:val="baseline"/>
                <w:lang w:val="en-US" w:eastAsia="zh-CN"/>
              </w:rPr>
            </w:pPr>
          </w:p>
        </w:tc>
        <w:tc>
          <w:tcPr>
            <w:tcW w:w="1483" w:type="dxa"/>
            <w:vAlign w:val="center"/>
          </w:tcPr>
          <w:p w14:paraId="4937A951">
            <w:pPr>
              <w:pStyle w:val="15"/>
              <w:jc w:val="center"/>
              <w:rPr>
                <w:rFonts w:hint="eastAsia" w:ascii="仿宋_GB2312" w:hAnsi="仿宋_GB2312" w:eastAsia="仿宋_GB2312" w:cs="仿宋_GB2312"/>
                <w:sz w:val="21"/>
                <w:szCs w:val="21"/>
                <w:highlight w:val="none"/>
                <w:vertAlign w:val="baseline"/>
                <w:lang w:val="en-US" w:eastAsia="zh-CN"/>
              </w:rPr>
            </w:pPr>
          </w:p>
        </w:tc>
        <w:tc>
          <w:tcPr>
            <w:tcW w:w="1401" w:type="dxa"/>
            <w:vAlign w:val="center"/>
          </w:tcPr>
          <w:p w14:paraId="42CDE977">
            <w:pPr>
              <w:pStyle w:val="15"/>
              <w:jc w:val="center"/>
              <w:rPr>
                <w:rFonts w:hint="eastAsia" w:ascii="仿宋_GB2312" w:hAnsi="仿宋_GB2312" w:eastAsia="仿宋_GB2312" w:cs="仿宋_GB2312"/>
                <w:sz w:val="21"/>
                <w:szCs w:val="21"/>
                <w:highlight w:val="none"/>
                <w:vertAlign w:val="baseline"/>
                <w:lang w:val="en-US" w:eastAsia="zh-CN"/>
              </w:rPr>
            </w:pPr>
          </w:p>
        </w:tc>
        <w:tc>
          <w:tcPr>
            <w:tcW w:w="1201" w:type="dxa"/>
            <w:vAlign w:val="center"/>
          </w:tcPr>
          <w:p w14:paraId="652DF938">
            <w:pPr>
              <w:pStyle w:val="15"/>
              <w:jc w:val="center"/>
              <w:rPr>
                <w:rFonts w:hint="eastAsia" w:ascii="仿宋_GB2312" w:hAnsi="仿宋_GB2312" w:eastAsia="仿宋_GB2312" w:cs="仿宋_GB2312"/>
                <w:sz w:val="21"/>
                <w:szCs w:val="21"/>
                <w:highlight w:val="none"/>
                <w:vertAlign w:val="baseline"/>
                <w:lang w:val="en-US" w:eastAsia="zh-CN"/>
              </w:rPr>
            </w:pPr>
          </w:p>
        </w:tc>
        <w:tc>
          <w:tcPr>
            <w:tcW w:w="1260" w:type="dxa"/>
            <w:vAlign w:val="center"/>
          </w:tcPr>
          <w:p w14:paraId="08E4DED2">
            <w:pPr>
              <w:pStyle w:val="15"/>
              <w:jc w:val="center"/>
              <w:rPr>
                <w:rFonts w:hint="eastAsia" w:ascii="仿宋_GB2312" w:hAnsi="仿宋_GB2312" w:eastAsia="仿宋_GB2312" w:cs="仿宋_GB2312"/>
                <w:sz w:val="21"/>
                <w:szCs w:val="21"/>
                <w:highlight w:val="none"/>
                <w:vertAlign w:val="baseline"/>
                <w:lang w:val="en-US" w:eastAsia="zh-CN"/>
              </w:rPr>
            </w:pPr>
          </w:p>
        </w:tc>
        <w:tc>
          <w:tcPr>
            <w:tcW w:w="1075" w:type="dxa"/>
            <w:vAlign w:val="center"/>
          </w:tcPr>
          <w:p w14:paraId="68ECEDBA">
            <w:pPr>
              <w:pStyle w:val="15"/>
              <w:jc w:val="center"/>
              <w:rPr>
                <w:rFonts w:hint="eastAsia" w:ascii="仿宋_GB2312" w:hAnsi="仿宋_GB2312" w:eastAsia="仿宋_GB2312" w:cs="仿宋_GB2312"/>
                <w:sz w:val="21"/>
                <w:szCs w:val="21"/>
                <w:highlight w:val="none"/>
                <w:vertAlign w:val="baseline"/>
                <w:lang w:val="en-US" w:eastAsia="zh-CN"/>
              </w:rPr>
            </w:pPr>
          </w:p>
        </w:tc>
        <w:tc>
          <w:tcPr>
            <w:tcW w:w="1417" w:type="dxa"/>
            <w:vAlign w:val="center"/>
          </w:tcPr>
          <w:p w14:paraId="45AF570A">
            <w:pPr>
              <w:pStyle w:val="15"/>
              <w:jc w:val="center"/>
              <w:rPr>
                <w:rFonts w:hint="eastAsia" w:ascii="仿宋_GB2312" w:hAnsi="仿宋_GB2312" w:eastAsia="仿宋_GB2312" w:cs="仿宋_GB2312"/>
                <w:sz w:val="21"/>
                <w:szCs w:val="21"/>
                <w:highlight w:val="none"/>
                <w:vertAlign w:val="baseline"/>
                <w:lang w:val="en-US" w:eastAsia="zh-CN"/>
              </w:rPr>
            </w:pPr>
          </w:p>
        </w:tc>
      </w:tr>
      <w:tr w14:paraId="4865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B3D8634">
            <w:pPr>
              <w:pStyle w:val="15"/>
              <w:jc w:val="center"/>
              <w:rPr>
                <w:rFonts w:hint="eastAsia" w:ascii="仿宋_GB2312" w:hAnsi="仿宋_GB2312" w:eastAsia="仿宋_GB2312" w:cs="仿宋_GB2312"/>
                <w:sz w:val="21"/>
                <w:szCs w:val="21"/>
                <w:highlight w:val="none"/>
                <w:vertAlign w:val="baseline"/>
                <w:lang w:val="en-US" w:eastAsia="zh-CN"/>
              </w:rPr>
            </w:pPr>
          </w:p>
        </w:tc>
        <w:tc>
          <w:tcPr>
            <w:tcW w:w="1385" w:type="dxa"/>
            <w:vAlign w:val="center"/>
          </w:tcPr>
          <w:p w14:paraId="05668D23">
            <w:pPr>
              <w:pStyle w:val="15"/>
              <w:jc w:val="center"/>
              <w:rPr>
                <w:rFonts w:hint="eastAsia" w:ascii="仿宋_GB2312" w:hAnsi="仿宋_GB2312" w:eastAsia="仿宋_GB2312" w:cs="仿宋_GB2312"/>
                <w:sz w:val="21"/>
                <w:szCs w:val="21"/>
                <w:highlight w:val="none"/>
                <w:vertAlign w:val="baseline"/>
                <w:lang w:val="en-US" w:eastAsia="zh-CN"/>
              </w:rPr>
            </w:pPr>
          </w:p>
        </w:tc>
        <w:tc>
          <w:tcPr>
            <w:tcW w:w="1483" w:type="dxa"/>
            <w:vAlign w:val="center"/>
          </w:tcPr>
          <w:p w14:paraId="5FC41116">
            <w:pPr>
              <w:pStyle w:val="15"/>
              <w:jc w:val="center"/>
              <w:rPr>
                <w:rFonts w:hint="eastAsia" w:ascii="仿宋_GB2312" w:hAnsi="仿宋_GB2312" w:eastAsia="仿宋_GB2312" w:cs="仿宋_GB2312"/>
                <w:sz w:val="21"/>
                <w:szCs w:val="21"/>
                <w:highlight w:val="none"/>
                <w:vertAlign w:val="baseline"/>
                <w:lang w:val="en-US" w:eastAsia="zh-CN"/>
              </w:rPr>
            </w:pPr>
          </w:p>
        </w:tc>
        <w:tc>
          <w:tcPr>
            <w:tcW w:w="1401" w:type="dxa"/>
            <w:vAlign w:val="center"/>
          </w:tcPr>
          <w:p w14:paraId="04007AFE">
            <w:pPr>
              <w:pStyle w:val="15"/>
              <w:jc w:val="center"/>
              <w:rPr>
                <w:rFonts w:hint="eastAsia" w:ascii="仿宋_GB2312" w:hAnsi="仿宋_GB2312" w:eastAsia="仿宋_GB2312" w:cs="仿宋_GB2312"/>
                <w:sz w:val="21"/>
                <w:szCs w:val="21"/>
                <w:highlight w:val="none"/>
                <w:vertAlign w:val="baseline"/>
                <w:lang w:val="en-US" w:eastAsia="zh-CN"/>
              </w:rPr>
            </w:pPr>
          </w:p>
        </w:tc>
        <w:tc>
          <w:tcPr>
            <w:tcW w:w="1201" w:type="dxa"/>
            <w:vAlign w:val="center"/>
          </w:tcPr>
          <w:p w14:paraId="5A77DC3C">
            <w:pPr>
              <w:pStyle w:val="15"/>
              <w:jc w:val="center"/>
              <w:rPr>
                <w:rFonts w:hint="eastAsia" w:ascii="仿宋_GB2312" w:hAnsi="仿宋_GB2312" w:eastAsia="仿宋_GB2312" w:cs="仿宋_GB2312"/>
                <w:sz w:val="21"/>
                <w:szCs w:val="21"/>
                <w:highlight w:val="none"/>
                <w:vertAlign w:val="baseline"/>
                <w:lang w:val="en-US" w:eastAsia="zh-CN"/>
              </w:rPr>
            </w:pPr>
          </w:p>
        </w:tc>
        <w:tc>
          <w:tcPr>
            <w:tcW w:w="1260" w:type="dxa"/>
            <w:vAlign w:val="center"/>
          </w:tcPr>
          <w:p w14:paraId="7919A34C">
            <w:pPr>
              <w:pStyle w:val="15"/>
              <w:jc w:val="center"/>
              <w:rPr>
                <w:rFonts w:hint="eastAsia" w:ascii="仿宋_GB2312" w:hAnsi="仿宋_GB2312" w:eastAsia="仿宋_GB2312" w:cs="仿宋_GB2312"/>
                <w:sz w:val="21"/>
                <w:szCs w:val="21"/>
                <w:highlight w:val="none"/>
                <w:vertAlign w:val="baseline"/>
                <w:lang w:val="en-US" w:eastAsia="zh-CN"/>
              </w:rPr>
            </w:pPr>
          </w:p>
        </w:tc>
        <w:tc>
          <w:tcPr>
            <w:tcW w:w="1075" w:type="dxa"/>
            <w:vAlign w:val="center"/>
          </w:tcPr>
          <w:p w14:paraId="1CB6E3A3">
            <w:pPr>
              <w:pStyle w:val="15"/>
              <w:jc w:val="center"/>
              <w:rPr>
                <w:rFonts w:hint="eastAsia" w:ascii="仿宋_GB2312" w:hAnsi="仿宋_GB2312" w:eastAsia="仿宋_GB2312" w:cs="仿宋_GB2312"/>
                <w:sz w:val="21"/>
                <w:szCs w:val="21"/>
                <w:highlight w:val="none"/>
                <w:vertAlign w:val="baseline"/>
                <w:lang w:val="en-US" w:eastAsia="zh-CN"/>
              </w:rPr>
            </w:pPr>
          </w:p>
        </w:tc>
        <w:tc>
          <w:tcPr>
            <w:tcW w:w="1417" w:type="dxa"/>
            <w:vAlign w:val="center"/>
          </w:tcPr>
          <w:p w14:paraId="518E81EE">
            <w:pPr>
              <w:pStyle w:val="15"/>
              <w:jc w:val="center"/>
              <w:rPr>
                <w:rFonts w:hint="eastAsia" w:ascii="仿宋_GB2312" w:hAnsi="仿宋_GB2312" w:eastAsia="仿宋_GB2312" w:cs="仿宋_GB2312"/>
                <w:sz w:val="21"/>
                <w:szCs w:val="21"/>
                <w:highlight w:val="none"/>
                <w:vertAlign w:val="baseline"/>
                <w:lang w:val="en-US" w:eastAsia="zh-CN"/>
              </w:rPr>
            </w:pPr>
          </w:p>
        </w:tc>
      </w:tr>
      <w:tr w14:paraId="2CFF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378724C3">
            <w:pPr>
              <w:pStyle w:val="15"/>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总价（元）</w:t>
            </w:r>
          </w:p>
        </w:tc>
        <w:tc>
          <w:tcPr>
            <w:tcW w:w="1075" w:type="dxa"/>
            <w:vAlign w:val="center"/>
          </w:tcPr>
          <w:p w14:paraId="59D7C784">
            <w:pPr>
              <w:pStyle w:val="15"/>
              <w:jc w:val="center"/>
              <w:rPr>
                <w:rFonts w:hint="eastAsia" w:ascii="仿宋_GB2312" w:hAnsi="仿宋_GB2312" w:eastAsia="仿宋_GB2312" w:cs="仿宋_GB2312"/>
                <w:sz w:val="21"/>
                <w:szCs w:val="21"/>
                <w:highlight w:val="none"/>
                <w:vertAlign w:val="baseline"/>
                <w:lang w:val="en-US" w:eastAsia="zh-CN"/>
              </w:rPr>
            </w:pPr>
          </w:p>
        </w:tc>
        <w:tc>
          <w:tcPr>
            <w:tcW w:w="1417" w:type="dxa"/>
            <w:vAlign w:val="center"/>
          </w:tcPr>
          <w:p w14:paraId="3D0B8C8D">
            <w:pPr>
              <w:pStyle w:val="15"/>
              <w:jc w:val="center"/>
              <w:rPr>
                <w:rFonts w:hint="eastAsia" w:ascii="仿宋_GB2312" w:hAnsi="仿宋_GB2312" w:eastAsia="仿宋_GB2312" w:cs="仿宋_GB2312"/>
                <w:sz w:val="21"/>
                <w:szCs w:val="21"/>
                <w:highlight w:val="none"/>
                <w:vertAlign w:val="baseline"/>
                <w:lang w:val="en-US" w:eastAsia="zh-CN"/>
              </w:rPr>
            </w:pPr>
          </w:p>
        </w:tc>
      </w:tr>
    </w:tbl>
    <w:p w14:paraId="3AFFBE4E">
      <w:pPr>
        <w:pStyle w:val="15"/>
        <w:ind w:left="0" w:leftChars="0" w:firstLine="0" w:firstLineChars="0"/>
        <w:rPr>
          <w:rFonts w:hint="eastAsia" w:ascii="仿宋_GB2312" w:hAnsi="仿宋_GB2312" w:eastAsia="仿宋_GB2312" w:cs="仿宋_GB2312"/>
          <w:highlight w:val="none"/>
          <w:lang w:val="en-US" w:eastAsia="zh-CN"/>
        </w:rPr>
      </w:pPr>
    </w:p>
    <w:p w14:paraId="795B836E">
      <w:pPr>
        <w:pStyle w:val="13"/>
        <w:rPr>
          <w:rFonts w:hint="eastAsia" w:ascii="仿宋_GB2312" w:hAnsi="仿宋_GB2312" w:eastAsia="仿宋_GB2312" w:cs="仿宋_GB2312"/>
          <w:highlight w:val="none"/>
          <w:lang w:val="en-US" w:eastAsia="zh-CN"/>
        </w:rPr>
      </w:pPr>
    </w:p>
    <w:p w14:paraId="23FC35FD">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228E5A29">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2.如果不提供分项报价将视为没有实质性响应采购文件。</w:t>
      </w:r>
    </w:p>
    <w:p w14:paraId="6C5CA955">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0DF90389">
      <w:pPr>
        <w:spacing w:line="360" w:lineRule="auto"/>
        <w:rPr>
          <w:rFonts w:hint="eastAsia" w:ascii="仿宋_GB2312" w:hAnsi="仿宋_GB2312" w:eastAsia="仿宋_GB2312" w:cs="仿宋_GB2312"/>
          <w:sz w:val="24"/>
          <w:szCs w:val="24"/>
          <w:highlight w:val="none"/>
          <w:lang w:val="en-US" w:eastAsia="zh-CN"/>
        </w:rPr>
      </w:pPr>
    </w:p>
    <w:p w14:paraId="036608DE">
      <w:pPr>
        <w:spacing w:line="360" w:lineRule="auto"/>
        <w:rPr>
          <w:rFonts w:hint="eastAsia" w:ascii="仿宋_GB2312" w:hAnsi="仿宋_GB2312" w:eastAsia="仿宋_GB2312" w:cs="仿宋_GB2312"/>
          <w:sz w:val="24"/>
          <w:szCs w:val="24"/>
          <w:highlight w:val="none"/>
          <w:lang w:val="en-US" w:eastAsia="zh-CN"/>
        </w:rPr>
      </w:pPr>
    </w:p>
    <w:p w14:paraId="30662639">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1F2237C3">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3A6CBFF0">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D68BDF1">
      <w:pPr>
        <w:pStyle w:val="13"/>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2"/>
    </w:p>
    <w:p w14:paraId="15B9F830">
      <w:pPr>
        <w:pStyle w:val="13"/>
        <w:ind w:left="0" w:leftChars="0" w:firstLine="0" w:firstLineChars="0"/>
        <w:jc w:val="center"/>
        <w:rPr>
          <w:rFonts w:hint="eastAsia" w:ascii="仿宋_GB2312" w:hAnsi="仿宋_GB2312" w:eastAsia="仿宋_GB2312" w:cs="仿宋_GB2312"/>
          <w:sz w:val="32"/>
          <w:szCs w:val="32"/>
          <w:highlight w:val="none"/>
          <w:lang w:val="en-US" w:eastAsia="zh-CN"/>
        </w:rPr>
      </w:pPr>
    </w:p>
    <w:p w14:paraId="1BD8BE1A">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6AEECC6E">
      <w:pPr>
        <w:pStyle w:val="16"/>
        <w:ind w:left="0" w:leftChars="0" w:firstLine="0" w:firstLineChars="0"/>
        <w:rPr>
          <w:rFonts w:hint="eastAsia"/>
          <w:highlight w:val="none"/>
          <w:lang w:val="en-US" w:eastAsia="zh-CN"/>
        </w:rPr>
      </w:pPr>
    </w:p>
    <w:p w14:paraId="565757BD">
      <w:pPr>
        <w:pStyle w:val="13"/>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64B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8522" w:type="dxa"/>
            <w:gridSpan w:val="6"/>
          </w:tcPr>
          <w:p w14:paraId="32700962">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17DBB145">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1A5DB3C0">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1E4E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37F1CBE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5948032B">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2CF48691">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09E9D0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17A5F47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8FF2DE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7284E655">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61BC0D5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7A0A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671A3B0C">
            <w:pPr>
              <w:rPr>
                <w:rFonts w:hint="eastAsia" w:ascii="仿宋_GB2312" w:hAnsi="仿宋_GB2312" w:eastAsia="仿宋_GB2312" w:cs="仿宋_GB2312"/>
                <w:sz w:val="24"/>
                <w:szCs w:val="24"/>
                <w:highlight w:val="none"/>
                <w:vertAlign w:val="baseline"/>
                <w:lang w:val="en-US" w:eastAsia="zh-CN"/>
              </w:rPr>
            </w:pPr>
          </w:p>
        </w:tc>
        <w:tc>
          <w:tcPr>
            <w:tcW w:w="1421" w:type="dxa"/>
          </w:tcPr>
          <w:p w14:paraId="074E6DA8">
            <w:pPr>
              <w:rPr>
                <w:rFonts w:hint="eastAsia" w:ascii="仿宋_GB2312" w:hAnsi="仿宋_GB2312" w:eastAsia="仿宋_GB2312" w:cs="仿宋_GB2312"/>
                <w:sz w:val="24"/>
                <w:szCs w:val="24"/>
                <w:highlight w:val="none"/>
                <w:vertAlign w:val="baseline"/>
                <w:lang w:val="en-US" w:eastAsia="zh-CN"/>
              </w:rPr>
            </w:pPr>
          </w:p>
        </w:tc>
        <w:tc>
          <w:tcPr>
            <w:tcW w:w="1901" w:type="dxa"/>
          </w:tcPr>
          <w:p w14:paraId="3317B1EC">
            <w:pPr>
              <w:rPr>
                <w:rFonts w:hint="eastAsia" w:ascii="仿宋_GB2312" w:hAnsi="仿宋_GB2312" w:eastAsia="仿宋_GB2312" w:cs="仿宋_GB2312"/>
                <w:sz w:val="24"/>
                <w:szCs w:val="24"/>
                <w:highlight w:val="none"/>
                <w:vertAlign w:val="baseline"/>
                <w:lang w:val="en-US" w:eastAsia="zh-CN"/>
              </w:rPr>
            </w:pPr>
          </w:p>
        </w:tc>
        <w:tc>
          <w:tcPr>
            <w:tcW w:w="1753" w:type="dxa"/>
          </w:tcPr>
          <w:p w14:paraId="268ABAFF">
            <w:pPr>
              <w:rPr>
                <w:rFonts w:hint="eastAsia" w:ascii="仿宋_GB2312" w:hAnsi="仿宋_GB2312" w:eastAsia="仿宋_GB2312" w:cs="仿宋_GB2312"/>
                <w:sz w:val="24"/>
                <w:szCs w:val="24"/>
                <w:highlight w:val="none"/>
                <w:vertAlign w:val="baseline"/>
                <w:lang w:val="en-US" w:eastAsia="zh-CN"/>
              </w:rPr>
            </w:pPr>
          </w:p>
        </w:tc>
        <w:tc>
          <w:tcPr>
            <w:tcW w:w="1561" w:type="dxa"/>
          </w:tcPr>
          <w:p w14:paraId="67FA6E09">
            <w:pPr>
              <w:rPr>
                <w:rFonts w:hint="eastAsia" w:ascii="仿宋_GB2312" w:hAnsi="仿宋_GB2312" w:eastAsia="仿宋_GB2312" w:cs="仿宋_GB2312"/>
                <w:sz w:val="24"/>
                <w:szCs w:val="24"/>
                <w:highlight w:val="none"/>
                <w:vertAlign w:val="baseline"/>
                <w:lang w:val="en-US" w:eastAsia="zh-CN"/>
              </w:rPr>
            </w:pPr>
          </w:p>
        </w:tc>
        <w:tc>
          <w:tcPr>
            <w:tcW w:w="1052" w:type="dxa"/>
          </w:tcPr>
          <w:p w14:paraId="6933CF0D">
            <w:pPr>
              <w:rPr>
                <w:rFonts w:hint="eastAsia" w:ascii="仿宋_GB2312" w:hAnsi="仿宋_GB2312" w:eastAsia="仿宋_GB2312" w:cs="仿宋_GB2312"/>
                <w:sz w:val="24"/>
                <w:szCs w:val="24"/>
                <w:highlight w:val="none"/>
                <w:vertAlign w:val="baseline"/>
                <w:lang w:val="en-US" w:eastAsia="zh-CN"/>
              </w:rPr>
            </w:pPr>
          </w:p>
        </w:tc>
      </w:tr>
      <w:tr w14:paraId="3AA5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65D2C02">
            <w:pPr>
              <w:rPr>
                <w:rFonts w:hint="eastAsia" w:ascii="仿宋_GB2312" w:hAnsi="仿宋_GB2312" w:eastAsia="仿宋_GB2312" w:cs="仿宋_GB2312"/>
                <w:sz w:val="24"/>
                <w:szCs w:val="24"/>
                <w:highlight w:val="none"/>
                <w:vertAlign w:val="baseline"/>
                <w:lang w:val="en-US" w:eastAsia="zh-CN"/>
              </w:rPr>
            </w:pPr>
          </w:p>
        </w:tc>
        <w:tc>
          <w:tcPr>
            <w:tcW w:w="1421" w:type="dxa"/>
          </w:tcPr>
          <w:p w14:paraId="02AD8FCF">
            <w:pPr>
              <w:rPr>
                <w:rFonts w:hint="eastAsia" w:ascii="仿宋_GB2312" w:hAnsi="仿宋_GB2312" w:eastAsia="仿宋_GB2312" w:cs="仿宋_GB2312"/>
                <w:sz w:val="24"/>
                <w:szCs w:val="24"/>
                <w:highlight w:val="none"/>
                <w:vertAlign w:val="baseline"/>
                <w:lang w:val="en-US" w:eastAsia="zh-CN"/>
              </w:rPr>
            </w:pPr>
          </w:p>
        </w:tc>
        <w:tc>
          <w:tcPr>
            <w:tcW w:w="1901" w:type="dxa"/>
          </w:tcPr>
          <w:p w14:paraId="0A2D9E52">
            <w:pPr>
              <w:rPr>
                <w:rFonts w:hint="eastAsia" w:ascii="仿宋_GB2312" w:hAnsi="仿宋_GB2312" w:eastAsia="仿宋_GB2312" w:cs="仿宋_GB2312"/>
                <w:sz w:val="24"/>
                <w:szCs w:val="24"/>
                <w:highlight w:val="none"/>
                <w:vertAlign w:val="baseline"/>
                <w:lang w:val="en-US" w:eastAsia="zh-CN"/>
              </w:rPr>
            </w:pPr>
          </w:p>
        </w:tc>
        <w:tc>
          <w:tcPr>
            <w:tcW w:w="1753" w:type="dxa"/>
          </w:tcPr>
          <w:p w14:paraId="1D90A301">
            <w:pPr>
              <w:rPr>
                <w:rFonts w:hint="eastAsia" w:ascii="仿宋_GB2312" w:hAnsi="仿宋_GB2312" w:eastAsia="仿宋_GB2312" w:cs="仿宋_GB2312"/>
                <w:sz w:val="24"/>
                <w:szCs w:val="24"/>
                <w:highlight w:val="none"/>
                <w:vertAlign w:val="baseline"/>
                <w:lang w:val="en-US" w:eastAsia="zh-CN"/>
              </w:rPr>
            </w:pPr>
          </w:p>
        </w:tc>
        <w:tc>
          <w:tcPr>
            <w:tcW w:w="1561" w:type="dxa"/>
          </w:tcPr>
          <w:p w14:paraId="1FAF30A5">
            <w:pPr>
              <w:rPr>
                <w:rFonts w:hint="eastAsia" w:ascii="仿宋_GB2312" w:hAnsi="仿宋_GB2312" w:eastAsia="仿宋_GB2312" w:cs="仿宋_GB2312"/>
                <w:sz w:val="24"/>
                <w:szCs w:val="24"/>
                <w:highlight w:val="none"/>
                <w:vertAlign w:val="baseline"/>
                <w:lang w:val="en-US" w:eastAsia="zh-CN"/>
              </w:rPr>
            </w:pPr>
          </w:p>
        </w:tc>
        <w:tc>
          <w:tcPr>
            <w:tcW w:w="1052" w:type="dxa"/>
          </w:tcPr>
          <w:p w14:paraId="4C799E56">
            <w:pPr>
              <w:rPr>
                <w:rFonts w:hint="eastAsia" w:ascii="仿宋_GB2312" w:hAnsi="仿宋_GB2312" w:eastAsia="仿宋_GB2312" w:cs="仿宋_GB2312"/>
                <w:sz w:val="24"/>
                <w:szCs w:val="24"/>
                <w:highlight w:val="none"/>
                <w:vertAlign w:val="baseline"/>
                <w:lang w:val="en-US" w:eastAsia="zh-CN"/>
              </w:rPr>
            </w:pPr>
          </w:p>
        </w:tc>
      </w:tr>
      <w:tr w14:paraId="4797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01925A24">
            <w:pPr>
              <w:rPr>
                <w:rFonts w:hint="eastAsia" w:ascii="仿宋_GB2312" w:hAnsi="仿宋_GB2312" w:eastAsia="仿宋_GB2312" w:cs="仿宋_GB2312"/>
                <w:sz w:val="24"/>
                <w:szCs w:val="24"/>
                <w:highlight w:val="none"/>
                <w:vertAlign w:val="baseline"/>
                <w:lang w:val="en-US" w:eastAsia="zh-CN"/>
              </w:rPr>
            </w:pPr>
          </w:p>
        </w:tc>
        <w:tc>
          <w:tcPr>
            <w:tcW w:w="1421" w:type="dxa"/>
          </w:tcPr>
          <w:p w14:paraId="64E73A3B">
            <w:pPr>
              <w:rPr>
                <w:rFonts w:hint="eastAsia" w:ascii="仿宋_GB2312" w:hAnsi="仿宋_GB2312" w:eastAsia="仿宋_GB2312" w:cs="仿宋_GB2312"/>
                <w:sz w:val="24"/>
                <w:szCs w:val="24"/>
                <w:highlight w:val="none"/>
                <w:vertAlign w:val="baseline"/>
                <w:lang w:val="en-US" w:eastAsia="zh-CN"/>
              </w:rPr>
            </w:pPr>
          </w:p>
        </w:tc>
        <w:tc>
          <w:tcPr>
            <w:tcW w:w="1901" w:type="dxa"/>
          </w:tcPr>
          <w:p w14:paraId="0F9EDA27">
            <w:pPr>
              <w:rPr>
                <w:rFonts w:hint="eastAsia" w:ascii="仿宋_GB2312" w:hAnsi="仿宋_GB2312" w:eastAsia="仿宋_GB2312" w:cs="仿宋_GB2312"/>
                <w:sz w:val="24"/>
                <w:szCs w:val="24"/>
                <w:highlight w:val="none"/>
                <w:vertAlign w:val="baseline"/>
                <w:lang w:val="en-US" w:eastAsia="zh-CN"/>
              </w:rPr>
            </w:pPr>
          </w:p>
        </w:tc>
        <w:tc>
          <w:tcPr>
            <w:tcW w:w="1753" w:type="dxa"/>
          </w:tcPr>
          <w:p w14:paraId="6ABB0AD8">
            <w:pPr>
              <w:rPr>
                <w:rFonts w:hint="eastAsia" w:ascii="仿宋_GB2312" w:hAnsi="仿宋_GB2312" w:eastAsia="仿宋_GB2312" w:cs="仿宋_GB2312"/>
                <w:sz w:val="24"/>
                <w:szCs w:val="24"/>
                <w:highlight w:val="none"/>
                <w:vertAlign w:val="baseline"/>
                <w:lang w:val="en-US" w:eastAsia="zh-CN"/>
              </w:rPr>
            </w:pPr>
          </w:p>
        </w:tc>
        <w:tc>
          <w:tcPr>
            <w:tcW w:w="1561" w:type="dxa"/>
          </w:tcPr>
          <w:p w14:paraId="112AF781">
            <w:pPr>
              <w:rPr>
                <w:rFonts w:hint="eastAsia" w:ascii="仿宋_GB2312" w:hAnsi="仿宋_GB2312" w:eastAsia="仿宋_GB2312" w:cs="仿宋_GB2312"/>
                <w:sz w:val="24"/>
                <w:szCs w:val="24"/>
                <w:highlight w:val="none"/>
                <w:vertAlign w:val="baseline"/>
                <w:lang w:val="en-US" w:eastAsia="zh-CN"/>
              </w:rPr>
            </w:pPr>
          </w:p>
        </w:tc>
        <w:tc>
          <w:tcPr>
            <w:tcW w:w="1052" w:type="dxa"/>
          </w:tcPr>
          <w:p w14:paraId="0589FD41">
            <w:pPr>
              <w:rPr>
                <w:rFonts w:hint="eastAsia" w:ascii="仿宋_GB2312" w:hAnsi="仿宋_GB2312" w:eastAsia="仿宋_GB2312" w:cs="仿宋_GB2312"/>
                <w:sz w:val="24"/>
                <w:szCs w:val="24"/>
                <w:highlight w:val="none"/>
                <w:vertAlign w:val="baseline"/>
                <w:lang w:val="en-US" w:eastAsia="zh-CN"/>
              </w:rPr>
            </w:pPr>
          </w:p>
        </w:tc>
      </w:tr>
      <w:tr w14:paraId="0F94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F08DA10">
            <w:pPr>
              <w:rPr>
                <w:rFonts w:hint="eastAsia" w:ascii="仿宋_GB2312" w:hAnsi="仿宋_GB2312" w:eastAsia="仿宋_GB2312" w:cs="仿宋_GB2312"/>
                <w:sz w:val="24"/>
                <w:szCs w:val="24"/>
                <w:highlight w:val="none"/>
                <w:vertAlign w:val="baseline"/>
                <w:lang w:val="en-US" w:eastAsia="zh-CN"/>
              </w:rPr>
            </w:pPr>
          </w:p>
        </w:tc>
        <w:tc>
          <w:tcPr>
            <w:tcW w:w="1421" w:type="dxa"/>
          </w:tcPr>
          <w:p w14:paraId="78B91DF6">
            <w:pPr>
              <w:rPr>
                <w:rFonts w:hint="eastAsia" w:ascii="仿宋_GB2312" w:hAnsi="仿宋_GB2312" w:eastAsia="仿宋_GB2312" w:cs="仿宋_GB2312"/>
                <w:sz w:val="24"/>
                <w:szCs w:val="24"/>
                <w:highlight w:val="none"/>
                <w:vertAlign w:val="baseline"/>
                <w:lang w:val="en-US" w:eastAsia="zh-CN"/>
              </w:rPr>
            </w:pPr>
          </w:p>
        </w:tc>
        <w:tc>
          <w:tcPr>
            <w:tcW w:w="1901" w:type="dxa"/>
          </w:tcPr>
          <w:p w14:paraId="667E82B7">
            <w:pPr>
              <w:rPr>
                <w:rFonts w:hint="eastAsia" w:ascii="仿宋_GB2312" w:hAnsi="仿宋_GB2312" w:eastAsia="仿宋_GB2312" w:cs="仿宋_GB2312"/>
                <w:sz w:val="24"/>
                <w:szCs w:val="24"/>
                <w:highlight w:val="none"/>
                <w:vertAlign w:val="baseline"/>
                <w:lang w:val="en-US" w:eastAsia="zh-CN"/>
              </w:rPr>
            </w:pPr>
          </w:p>
        </w:tc>
        <w:tc>
          <w:tcPr>
            <w:tcW w:w="1753" w:type="dxa"/>
          </w:tcPr>
          <w:p w14:paraId="3A3598AF">
            <w:pPr>
              <w:rPr>
                <w:rFonts w:hint="eastAsia" w:ascii="仿宋_GB2312" w:hAnsi="仿宋_GB2312" w:eastAsia="仿宋_GB2312" w:cs="仿宋_GB2312"/>
                <w:sz w:val="24"/>
                <w:szCs w:val="24"/>
                <w:highlight w:val="none"/>
                <w:vertAlign w:val="baseline"/>
                <w:lang w:val="en-US" w:eastAsia="zh-CN"/>
              </w:rPr>
            </w:pPr>
          </w:p>
        </w:tc>
        <w:tc>
          <w:tcPr>
            <w:tcW w:w="1561" w:type="dxa"/>
          </w:tcPr>
          <w:p w14:paraId="5E5B619E">
            <w:pPr>
              <w:rPr>
                <w:rFonts w:hint="eastAsia" w:ascii="仿宋_GB2312" w:hAnsi="仿宋_GB2312" w:eastAsia="仿宋_GB2312" w:cs="仿宋_GB2312"/>
                <w:sz w:val="24"/>
                <w:szCs w:val="24"/>
                <w:highlight w:val="none"/>
                <w:vertAlign w:val="baseline"/>
                <w:lang w:val="en-US" w:eastAsia="zh-CN"/>
              </w:rPr>
            </w:pPr>
          </w:p>
        </w:tc>
        <w:tc>
          <w:tcPr>
            <w:tcW w:w="1052" w:type="dxa"/>
          </w:tcPr>
          <w:p w14:paraId="6281B03B">
            <w:pPr>
              <w:rPr>
                <w:rFonts w:hint="eastAsia" w:ascii="仿宋_GB2312" w:hAnsi="仿宋_GB2312" w:eastAsia="仿宋_GB2312" w:cs="仿宋_GB2312"/>
                <w:sz w:val="24"/>
                <w:szCs w:val="24"/>
                <w:highlight w:val="none"/>
                <w:vertAlign w:val="baseline"/>
                <w:lang w:val="en-US" w:eastAsia="zh-CN"/>
              </w:rPr>
            </w:pPr>
          </w:p>
        </w:tc>
      </w:tr>
      <w:tr w14:paraId="0D72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4ED5B470">
            <w:pPr>
              <w:rPr>
                <w:rFonts w:hint="eastAsia" w:ascii="仿宋_GB2312" w:hAnsi="仿宋_GB2312" w:eastAsia="仿宋_GB2312" w:cs="仿宋_GB2312"/>
                <w:sz w:val="24"/>
                <w:szCs w:val="24"/>
                <w:highlight w:val="none"/>
                <w:vertAlign w:val="baseline"/>
                <w:lang w:val="en-US" w:eastAsia="zh-CN"/>
              </w:rPr>
            </w:pPr>
          </w:p>
        </w:tc>
        <w:tc>
          <w:tcPr>
            <w:tcW w:w="1421" w:type="dxa"/>
          </w:tcPr>
          <w:p w14:paraId="11DA4F4B">
            <w:pPr>
              <w:rPr>
                <w:rFonts w:hint="eastAsia" w:ascii="仿宋_GB2312" w:hAnsi="仿宋_GB2312" w:eastAsia="仿宋_GB2312" w:cs="仿宋_GB2312"/>
                <w:sz w:val="24"/>
                <w:szCs w:val="24"/>
                <w:highlight w:val="none"/>
                <w:vertAlign w:val="baseline"/>
                <w:lang w:val="en-US" w:eastAsia="zh-CN"/>
              </w:rPr>
            </w:pPr>
          </w:p>
        </w:tc>
        <w:tc>
          <w:tcPr>
            <w:tcW w:w="1901" w:type="dxa"/>
          </w:tcPr>
          <w:p w14:paraId="31F1E69C">
            <w:pPr>
              <w:rPr>
                <w:rFonts w:hint="eastAsia" w:ascii="仿宋_GB2312" w:hAnsi="仿宋_GB2312" w:eastAsia="仿宋_GB2312" w:cs="仿宋_GB2312"/>
                <w:sz w:val="24"/>
                <w:szCs w:val="24"/>
                <w:highlight w:val="none"/>
                <w:vertAlign w:val="baseline"/>
                <w:lang w:val="en-US" w:eastAsia="zh-CN"/>
              </w:rPr>
            </w:pPr>
          </w:p>
        </w:tc>
        <w:tc>
          <w:tcPr>
            <w:tcW w:w="1753" w:type="dxa"/>
          </w:tcPr>
          <w:p w14:paraId="4F5A191D">
            <w:pPr>
              <w:rPr>
                <w:rFonts w:hint="eastAsia" w:ascii="仿宋_GB2312" w:hAnsi="仿宋_GB2312" w:eastAsia="仿宋_GB2312" w:cs="仿宋_GB2312"/>
                <w:sz w:val="24"/>
                <w:szCs w:val="24"/>
                <w:highlight w:val="none"/>
                <w:vertAlign w:val="baseline"/>
                <w:lang w:val="en-US" w:eastAsia="zh-CN"/>
              </w:rPr>
            </w:pPr>
          </w:p>
        </w:tc>
        <w:tc>
          <w:tcPr>
            <w:tcW w:w="1561" w:type="dxa"/>
          </w:tcPr>
          <w:p w14:paraId="1FED0AAD">
            <w:pPr>
              <w:rPr>
                <w:rFonts w:hint="eastAsia" w:ascii="仿宋_GB2312" w:hAnsi="仿宋_GB2312" w:eastAsia="仿宋_GB2312" w:cs="仿宋_GB2312"/>
                <w:sz w:val="24"/>
                <w:szCs w:val="24"/>
                <w:highlight w:val="none"/>
                <w:vertAlign w:val="baseline"/>
                <w:lang w:val="en-US" w:eastAsia="zh-CN"/>
              </w:rPr>
            </w:pPr>
          </w:p>
        </w:tc>
        <w:tc>
          <w:tcPr>
            <w:tcW w:w="1052" w:type="dxa"/>
          </w:tcPr>
          <w:p w14:paraId="12CFAFF1">
            <w:pPr>
              <w:rPr>
                <w:rFonts w:hint="eastAsia" w:ascii="仿宋_GB2312" w:hAnsi="仿宋_GB2312" w:eastAsia="仿宋_GB2312" w:cs="仿宋_GB2312"/>
                <w:sz w:val="24"/>
                <w:szCs w:val="24"/>
                <w:highlight w:val="none"/>
                <w:vertAlign w:val="baseline"/>
                <w:lang w:val="en-US" w:eastAsia="zh-CN"/>
              </w:rPr>
            </w:pPr>
          </w:p>
        </w:tc>
      </w:tr>
    </w:tbl>
    <w:p w14:paraId="75CCDC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79E958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4CB99CA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3"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3"/>
    </w:p>
    <w:p w14:paraId="2E3EA94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15806B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5929C09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3F3735D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3F1D16">
      <w:pPr>
        <w:pStyle w:val="16"/>
        <w:rPr>
          <w:rFonts w:hint="eastAsia" w:ascii="仿宋_GB2312" w:hAnsi="仿宋_GB2312" w:eastAsia="仿宋_GB2312" w:cs="仿宋_GB2312"/>
          <w:sz w:val="24"/>
          <w:szCs w:val="24"/>
          <w:highlight w:val="none"/>
          <w:lang w:val="en-US" w:eastAsia="zh-CN"/>
        </w:rPr>
      </w:pPr>
    </w:p>
    <w:p w14:paraId="50862DA3">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6B62EB58">
      <w:pPr>
        <w:pStyle w:val="13"/>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4" w:name="_Toc7042"/>
      <w:r>
        <w:rPr>
          <w:rFonts w:hint="eastAsia" w:ascii="仿宋_GB2312" w:hAnsi="仿宋_GB2312" w:eastAsia="仿宋_GB2312" w:cs="仿宋_GB2312"/>
          <w:sz w:val="24"/>
          <w:szCs w:val="24"/>
          <w:highlight w:val="none"/>
          <w:lang w:val="en-US" w:eastAsia="zh-CN"/>
        </w:rPr>
        <w:t xml:space="preserve">9  </w:t>
      </w:r>
      <w:bookmarkEnd w:id="44"/>
      <w:r>
        <w:rPr>
          <w:rFonts w:hint="eastAsia" w:ascii="仿宋_GB2312" w:hAnsi="仿宋_GB2312" w:eastAsia="仿宋_GB2312" w:cs="仿宋_GB2312"/>
          <w:sz w:val="24"/>
          <w:szCs w:val="24"/>
          <w:highlight w:val="none"/>
          <w:lang w:val="en-US" w:eastAsia="zh-CN"/>
        </w:rPr>
        <w:t>采购需求偏离表</w:t>
      </w:r>
    </w:p>
    <w:p w14:paraId="0E722F21">
      <w:pPr>
        <w:pStyle w:val="13"/>
        <w:ind w:left="0" w:leftChars="0" w:firstLine="0" w:firstLineChars="0"/>
        <w:rPr>
          <w:rFonts w:hint="eastAsia" w:ascii="仿宋_GB2312" w:hAnsi="仿宋_GB2312" w:eastAsia="仿宋_GB2312" w:cs="仿宋_GB2312"/>
          <w:sz w:val="24"/>
          <w:szCs w:val="24"/>
          <w:highlight w:val="none"/>
          <w:lang w:val="en-US" w:eastAsia="zh-CN"/>
        </w:rPr>
      </w:pPr>
    </w:p>
    <w:p w14:paraId="2E3B2BE0">
      <w:pPr>
        <w:pStyle w:val="13"/>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7128759F">
      <w:pPr>
        <w:pStyle w:val="13"/>
        <w:ind w:left="0" w:leftChars="0" w:firstLine="0" w:firstLineChars="0"/>
        <w:rPr>
          <w:rFonts w:hint="eastAsia" w:ascii="仿宋_GB2312" w:hAnsi="仿宋_GB2312" w:eastAsia="仿宋_GB2312" w:cs="仿宋_GB2312"/>
          <w:sz w:val="24"/>
          <w:szCs w:val="24"/>
          <w:highlight w:val="none"/>
          <w:lang w:val="en-US" w:eastAsia="zh-CN"/>
        </w:rPr>
      </w:pPr>
    </w:p>
    <w:p w14:paraId="4B07E3AC">
      <w:pPr>
        <w:pStyle w:val="13"/>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8"/>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5436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633CB5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411028C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0B9CB8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62F3BA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2B73DE7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23F152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787979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6B4607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54C8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69BF9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6811FC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C8645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2D8399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3396664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775CEC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0ABF1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016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B66A71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17B346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14FA5F0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7E4C38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3BDD5F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C5081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D885D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108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30EC4C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33A263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BDF073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9803D1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530B8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24750E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18F5DC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00EB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9C38A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25DA51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38272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127EE2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FC44B7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0BCC8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49AB6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4AA3BE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20ACC3E4">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5F692913">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0F5E8AF">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1A5C1A64">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3EC2F83D">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5471EDE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E98BF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027AF34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6307533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C979CF3">
      <w:pPr>
        <w:pStyle w:val="15"/>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599A4716">
      <w:pPr>
        <w:pStyle w:val="15"/>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083A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6446386E">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644855F5">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4C67779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151B3DC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0245ABDD">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089B160">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3FDB4686">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766C938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EBB6B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51A6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6B9C7C1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EA21AA">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CE6BD50">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1AAA02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497037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FE0BCEE">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E6B273C">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0AADDCC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0C38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2443682D">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713C8F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55D98D4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F00631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17639E8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388F15C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08760C46">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3B18E88">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36D6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D7BE89A">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7A5AB8CF">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795339D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2E68814">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364678C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AD0D874">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28D9CFA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77DA2845">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7EF7B53B">
      <w:pPr>
        <w:pStyle w:val="15"/>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66AE2894">
      <w:pPr>
        <w:pStyle w:val="15"/>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6F186D21">
      <w:pPr>
        <w:pStyle w:val="15"/>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6D1CA3A">
      <w:pPr>
        <w:pStyle w:val="15"/>
        <w:ind w:left="0" w:leftChars="0" w:firstLine="0" w:firstLineChars="0"/>
        <w:rPr>
          <w:rFonts w:hint="eastAsia" w:ascii="仿宋_GB2312" w:hAnsi="仿宋_GB2312" w:eastAsia="仿宋_GB2312" w:cs="仿宋_GB2312"/>
          <w:sz w:val="24"/>
          <w:szCs w:val="24"/>
          <w:highlight w:val="none"/>
          <w:lang w:val="en-US" w:eastAsia="zh-CN"/>
        </w:rPr>
      </w:pPr>
    </w:p>
    <w:p w14:paraId="30DCE7C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835284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5FB5BDF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04230531">
      <w:pPr>
        <w:pStyle w:val="16"/>
        <w:rPr>
          <w:rFonts w:hint="eastAsia"/>
          <w:highlight w:val="none"/>
          <w:lang w:val="en-US" w:eastAsia="zh-CN"/>
        </w:rPr>
      </w:pPr>
    </w:p>
    <w:p w14:paraId="45D570D2">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ED4425E">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112D9E5B">
      <w:pPr>
        <w:numPr>
          <w:ilvl w:val="0"/>
          <w:numId w:val="0"/>
        </w:numPr>
        <w:rPr>
          <w:rFonts w:hint="eastAsia" w:ascii="仿宋_GB2312" w:hAnsi="仿宋_GB2312" w:eastAsia="仿宋_GB2312" w:cs="仿宋_GB2312"/>
          <w:sz w:val="24"/>
          <w:szCs w:val="24"/>
          <w:highlight w:val="none"/>
          <w:lang w:val="en-US" w:eastAsia="zh-CN"/>
        </w:rPr>
      </w:pPr>
    </w:p>
    <w:p w14:paraId="341E705C">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7842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F87BC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0B90D81B">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2B98129">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466BBDE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7B692A8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739CB44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0590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541F9435">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67F9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77F202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D72310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87D4F61">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023569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2CE90D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F63618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0194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1CFAC0B">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742CE3B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82FF1B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9F8967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11636C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1501D2E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0761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BAD27E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8C3C8C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011590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CF58371">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50FE85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AA1767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FCC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4FF32C4F">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16C8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982E21F">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19C5289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34034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619A6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5B9CC5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5DA1FD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C4D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1D15BB4">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31300C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1FE00D4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8FA72E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6E396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9EE90D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092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9F5E68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59ED77E1">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538648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33F6F8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D5C7F1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088490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74D06797">
      <w:pPr>
        <w:numPr>
          <w:ilvl w:val="0"/>
          <w:numId w:val="0"/>
        </w:numPr>
        <w:rPr>
          <w:rFonts w:hint="eastAsia" w:ascii="仿宋_GB2312" w:hAnsi="仿宋_GB2312" w:eastAsia="仿宋_GB2312" w:cs="仿宋_GB2312"/>
          <w:sz w:val="24"/>
          <w:szCs w:val="24"/>
          <w:highlight w:val="none"/>
          <w:lang w:val="en-US" w:eastAsia="zh-CN"/>
        </w:rPr>
      </w:pPr>
    </w:p>
    <w:p w14:paraId="0AD7FB51">
      <w:pPr>
        <w:numPr>
          <w:ilvl w:val="0"/>
          <w:numId w:val="0"/>
        </w:numPr>
        <w:rPr>
          <w:rFonts w:hint="eastAsia" w:ascii="仿宋_GB2312" w:hAnsi="仿宋_GB2312" w:eastAsia="仿宋_GB2312" w:cs="仿宋_GB2312"/>
          <w:sz w:val="24"/>
          <w:szCs w:val="24"/>
          <w:highlight w:val="none"/>
          <w:lang w:val="en-US" w:eastAsia="zh-CN"/>
        </w:rPr>
      </w:pPr>
    </w:p>
    <w:p w14:paraId="27C57048">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6E442C59">
      <w:pPr>
        <w:numPr>
          <w:ilvl w:val="0"/>
          <w:numId w:val="0"/>
        </w:numPr>
        <w:rPr>
          <w:rFonts w:hint="eastAsia" w:ascii="仿宋_GB2312" w:hAnsi="仿宋_GB2312" w:eastAsia="仿宋_GB2312" w:cs="仿宋_GB2312"/>
          <w:sz w:val="24"/>
          <w:szCs w:val="24"/>
          <w:highlight w:val="none"/>
          <w:lang w:val="en-US" w:eastAsia="zh-CN"/>
        </w:rPr>
      </w:pPr>
    </w:p>
    <w:p w14:paraId="240D6E5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5B5BDD22">
      <w:pPr>
        <w:numPr>
          <w:ilvl w:val="0"/>
          <w:numId w:val="0"/>
        </w:numPr>
        <w:rPr>
          <w:rFonts w:hint="eastAsia" w:ascii="仿宋_GB2312" w:hAnsi="仿宋_GB2312" w:eastAsia="仿宋_GB2312" w:cs="仿宋_GB2312"/>
          <w:sz w:val="24"/>
          <w:szCs w:val="24"/>
          <w:highlight w:val="none"/>
          <w:lang w:val="en-US" w:eastAsia="zh-CN"/>
        </w:rPr>
      </w:pPr>
    </w:p>
    <w:p w14:paraId="5B09DCCC">
      <w:pPr>
        <w:numPr>
          <w:ilvl w:val="0"/>
          <w:numId w:val="0"/>
        </w:numPr>
        <w:rPr>
          <w:rFonts w:hint="eastAsia" w:ascii="仿宋_GB2312" w:hAnsi="仿宋_GB2312" w:eastAsia="仿宋_GB2312" w:cs="仿宋_GB2312"/>
          <w:sz w:val="24"/>
          <w:szCs w:val="24"/>
          <w:highlight w:val="none"/>
          <w:lang w:val="en-US" w:eastAsia="zh-CN"/>
        </w:rPr>
      </w:pPr>
    </w:p>
    <w:p w14:paraId="2304F1B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4D08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BE35D4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60EE92A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EFA5E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325CA39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24493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5783C8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2AE3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0997C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2C2AD30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AD46D3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5646EE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50D0D4C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1BE8359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7F7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4B2AACE">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28F2BA3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ACA520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35D80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4A1196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D1BC39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AE2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59A603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A90C65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5C86163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101D06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7C3563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0F2891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07A1A08B">
      <w:pPr>
        <w:numPr>
          <w:ilvl w:val="0"/>
          <w:numId w:val="0"/>
        </w:numPr>
        <w:rPr>
          <w:rFonts w:hint="eastAsia" w:ascii="仿宋_GB2312" w:hAnsi="仿宋_GB2312" w:eastAsia="仿宋_GB2312" w:cs="仿宋_GB2312"/>
          <w:sz w:val="24"/>
          <w:szCs w:val="24"/>
          <w:highlight w:val="none"/>
          <w:lang w:val="en-US" w:eastAsia="zh-CN"/>
        </w:rPr>
      </w:pPr>
    </w:p>
    <w:p w14:paraId="56AD6643">
      <w:pPr>
        <w:numPr>
          <w:ilvl w:val="0"/>
          <w:numId w:val="0"/>
        </w:numPr>
        <w:rPr>
          <w:rFonts w:hint="eastAsia" w:ascii="仿宋_GB2312" w:hAnsi="仿宋_GB2312" w:eastAsia="仿宋_GB2312" w:cs="仿宋_GB2312"/>
          <w:sz w:val="24"/>
          <w:szCs w:val="24"/>
          <w:highlight w:val="none"/>
          <w:lang w:val="en-US" w:eastAsia="zh-CN"/>
        </w:rPr>
      </w:pPr>
    </w:p>
    <w:p w14:paraId="55308BAC">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17644F6F">
      <w:pPr>
        <w:numPr>
          <w:ilvl w:val="0"/>
          <w:numId w:val="0"/>
        </w:numPr>
        <w:rPr>
          <w:rFonts w:hint="eastAsia" w:ascii="仿宋_GB2312" w:hAnsi="仿宋_GB2312" w:eastAsia="仿宋_GB2312" w:cs="仿宋_GB2312"/>
          <w:sz w:val="24"/>
          <w:szCs w:val="24"/>
          <w:highlight w:val="none"/>
          <w:lang w:val="en-US" w:eastAsia="zh-CN"/>
        </w:rPr>
      </w:pPr>
    </w:p>
    <w:p w14:paraId="27B7D56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979549F">
      <w:pPr>
        <w:numPr>
          <w:ilvl w:val="0"/>
          <w:numId w:val="0"/>
        </w:numPr>
        <w:rPr>
          <w:rFonts w:hint="eastAsia" w:ascii="仿宋_GB2312" w:hAnsi="仿宋_GB2312" w:eastAsia="仿宋_GB2312" w:cs="仿宋_GB2312"/>
          <w:sz w:val="24"/>
          <w:szCs w:val="24"/>
          <w:highlight w:val="none"/>
          <w:lang w:val="en-US" w:eastAsia="zh-CN"/>
        </w:rPr>
      </w:pPr>
    </w:p>
    <w:p w14:paraId="07AADE08">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7B86BD7F">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1848851">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4BA5EF0">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7512E4AF">
      <w:pPr>
        <w:numPr>
          <w:ilvl w:val="0"/>
          <w:numId w:val="0"/>
        </w:numPr>
        <w:rPr>
          <w:rFonts w:hint="eastAsia" w:ascii="仿宋_GB2312" w:hAnsi="仿宋_GB2312" w:eastAsia="仿宋_GB2312" w:cs="仿宋_GB2312"/>
          <w:sz w:val="21"/>
          <w:szCs w:val="21"/>
          <w:highlight w:val="none"/>
          <w:lang w:val="en-US" w:eastAsia="zh-CN"/>
        </w:rPr>
      </w:pPr>
    </w:p>
    <w:p w14:paraId="61575A9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5251F13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C89C95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4247DC7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3DBBE97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173B9A3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EBB1CC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59F5BEA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3787428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4162479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381B0FE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5F2B532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32"/>
          <w:szCs w:val="32"/>
          <w:highlight w:val="none"/>
          <w:shd w:val="clear" w:fill="FFFFFF"/>
          <w:vertAlign w:val="baseline"/>
        </w:rPr>
      </w:pPr>
    </w:p>
    <w:p w14:paraId="1EEFBD2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57DF7C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B10B38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Style w:val="21"/>
          <w:rFonts w:hint="eastAsia" w:ascii="仿宋" w:hAnsi="仿宋" w:eastAsia="仿宋" w:cs="仿宋"/>
          <w:i w:val="0"/>
          <w:iCs w:val="0"/>
          <w:caps w:val="0"/>
          <w:color w:val="000000"/>
          <w:spacing w:val="0"/>
          <w:kern w:val="2"/>
          <w:sz w:val="24"/>
          <w:szCs w:val="24"/>
          <w:highlight w:val="none"/>
          <w:shd w:val="clear" w:fill="FFFFFF"/>
          <w:vertAlign w:val="baseline"/>
          <w:lang w:bidi="ar-SA"/>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Style w:val="21"/>
          <w:rFonts w:hint="eastAsia" w:ascii="仿宋" w:hAnsi="仿宋" w:eastAsia="仿宋" w:cs="仿宋"/>
          <w:i w:val="0"/>
          <w:iCs w:val="0"/>
          <w:caps w:val="0"/>
          <w:color w:val="000000"/>
          <w:spacing w:val="0"/>
          <w:kern w:val="2"/>
          <w:sz w:val="24"/>
          <w:szCs w:val="24"/>
          <w:highlight w:val="none"/>
          <w:shd w:val="clear" w:fill="FFFFFF"/>
          <w:vertAlign w:val="baseline"/>
          <w:lang w:bidi="ar-SA"/>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Style w:val="21"/>
          <w:rFonts w:hint="eastAsia" w:ascii="仿宋" w:hAnsi="仿宋" w:eastAsia="仿宋" w:cs="仿宋"/>
          <w:i w:val="0"/>
          <w:iCs w:val="0"/>
          <w:caps w:val="0"/>
          <w:color w:val="000000"/>
          <w:spacing w:val="0"/>
          <w:kern w:val="2"/>
          <w:sz w:val="24"/>
          <w:szCs w:val="24"/>
          <w:highlight w:val="none"/>
          <w:shd w:val="clear" w:fill="FFFFFF"/>
          <w:vertAlign w:val="baseline"/>
          <w:lang w:bidi="ar-SA"/>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Style w:val="21"/>
          <w:rFonts w:hint="eastAsia" w:ascii="仿宋" w:hAnsi="仿宋" w:eastAsia="仿宋" w:cs="仿宋"/>
          <w:i w:val="0"/>
          <w:iCs w:val="0"/>
          <w:caps w:val="0"/>
          <w:color w:val="000000"/>
          <w:spacing w:val="0"/>
          <w:kern w:val="2"/>
          <w:sz w:val="24"/>
          <w:szCs w:val="24"/>
          <w:highlight w:val="none"/>
          <w:shd w:val="clear" w:fill="FFFFFF"/>
          <w:vertAlign w:val="baseline"/>
          <w:lang w:bidi="ar-SA"/>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Style w:val="21"/>
          <w:rFonts w:hint="eastAsia" w:ascii="仿宋" w:hAnsi="仿宋" w:eastAsia="仿宋" w:cs="仿宋"/>
          <w:i w:val="0"/>
          <w:iCs w:val="0"/>
          <w:caps w:val="0"/>
          <w:color w:val="000000"/>
          <w:spacing w:val="0"/>
          <w:kern w:val="2"/>
          <w:sz w:val="24"/>
          <w:szCs w:val="24"/>
          <w:highlight w:val="none"/>
          <w:shd w:val="clear" w:fill="FFFFFF"/>
          <w:vertAlign w:val="baseline"/>
          <w:lang w:bidi="ar-SA"/>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6DA54A6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Fonts w:hint="eastAsia" w:ascii="仿宋" w:hAnsi="仿宋" w:eastAsia="仿宋" w:cs="仿宋"/>
          <w:i w:val="0"/>
          <w:iCs w:val="0"/>
          <w:caps w:val="0"/>
          <w:color w:val="000000"/>
          <w:spacing w:val="0"/>
          <w:sz w:val="24"/>
          <w:szCs w:val="24"/>
          <w:highlight w:val="none"/>
          <w:u w:val="single"/>
          <w:shd w:val="clear" w:fill="FFFFFF"/>
          <w:vertAlign w:val="baseline"/>
          <w:lang w:val="en-US" w:eastAsia="zh-CN"/>
        </w:rPr>
        <w:t xml:space="preserve">  / </w:t>
      </w:r>
      <w:r>
        <w:rPr>
          <w:rStyle w:val="21"/>
          <w:rFonts w:hint="eastAsia" w:ascii="仿宋" w:hAnsi="仿宋" w:eastAsia="仿宋" w:cs="仿宋"/>
          <w:i w:val="0"/>
          <w:iCs w:val="0"/>
          <w:caps w:val="0"/>
          <w:color w:val="000000"/>
          <w:spacing w:val="0"/>
          <w:kern w:val="2"/>
          <w:sz w:val="24"/>
          <w:szCs w:val="24"/>
          <w:highlight w:val="none"/>
          <w:u w:val="single"/>
          <w:shd w:val="clear" w:fill="FFFFFF"/>
          <w:vertAlign w:val="baseline"/>
          <w:lang w:bidi="ar-SA"/>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27512D4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2F2D71D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375F960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48E681CC">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65D4C6FA">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6D10FAA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0A2FE95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DCAAC4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1CA786D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72C0B1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D64572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5A630A4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default" w:ascii="仿宋" w:hAnsi="仿宋" w:eastAsia="仿宋" w:cs="仿宋"/>
          <w:b/>
          <w:bCs/>
          <w:i w:val="0"/>
          <w:iCs w:val="0"/>
          <w:caps w:val="0"/>
          <w:color w:val="000000"/>
          <w:spacing w:val="0"/>
          <w:sz w:val="21"/>
          <w:szCs w:val="21"/>
          <w:highlight w:val="none"/>
          <w:shd w:val="clear" w:fill="FFFFFF"/>
          <w:vertAlign w:val="baseline"/>
          <w:lang w:val="en-US" w:eastAsia="zh-CN"/>
        </w:rPr>
      </w:pPr>
      <w:r>
        <w:rPr>
          <w:rFonts w:hint="eastAsia" w:ascii="仿宋" w:hAnsi="仿宋" w:eastAsia="仿宋" w:cs="仿宋"/>
          <w:b/>
          <w:bCs/>
          <w:i w:val="0"/>
          <w:iCs w:val="0"/>
          <w:caps w:val="0"/>
          <w:color w:val="000000"/>
          <w:spacing w:val="0"/>
          <w:sz w:val="21"/>
          <w:szCs w:val="21"/>
          <w:highlight w:val="none"/>
          <w:shd w:val="clear" w:fill="FFFFFF"/>
          <w:vertAlign w:val="baseline"/>
          <w:lang w:val="en-US" w:eastAsia="zh-CN"/>
        </w:rPr>
        <w:t>6.6.本声明函中“规定比例、关键组件、关键工序”等标注“/” 的内容，因相关要求尚未实施，无需填写。</w:t>
      </w:r>
    </w:p>
    <w:p w14:paraId="1C6CC91C">
      <w:pPr>
        <w:pStyle w:val="27"/>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06C5583C">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6D8C612E">
      <w:pPr>
        <w:pStyle w:val="27"/>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388C76C">
      <w:pPr>
        <w:pStyle w:val="27"/>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57148397">
      <w:pPr>
        <w:pStyle w:val="27"/>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1FABC01C">
      <w:pPr>
        <w:pStyle w:val="27"/>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3E1654E7">
      <w:pPr>
        <w:pStyle w:val="27"/>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6989281A">
      <w:pPr>
        <w:pStyle w:val="27"/>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C847A79">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6D817BE">
      <w:pPr>
        <w:pStyle w:val="15"/>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002283D4">
      <w:pPr>
        <w:pStyle w:val="13"/>
        <w:rPr>
          <w:rFonts w:hint="eastAsia" w:ascii="仿宋_GB2312" w:hAnsi="仿宋_GB2312" w:eastAsia="仿宋_GB2312" w:cs="仿宋_GB2312"/>
          <w:highlight w:val="none"/>
          <w:lang w:val="en-US" w:eastAsia="zh-CN"/>
        </w:rPr>
      </w:pPr>
    </w:p>
    <w:p w14:paraId="4F9CB4B7">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7B641C93">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5" w:name="_Ref467988543"/>
      <w:bookmarkStart w:id="46" w:name="_Toc520356224"/>
      <w:bookmarkStart w:id="47" w:name="_Toc216582819"/>
      <w:bookmarkStart w:id="48" w:name="_Toc480942355"/>
      <w:bookmarkStart w:id="49" w:name="_Toc15963"/>
      <w:bookmarkStart w:id="50" w:name="_Toc507399535"/>
      <w:bookmarkStart w:id="51" w:name="_Toc522"/>
      <w:bookmarkStart w:id="52" w:name="_Toc9592"/>
      <w:bookmarkStart w:id="53" w:name="_Toc17143"/>
      <w:bookmarkStart w:id="54" w:name="_Toc20238"/>
      <w:bookmarkStart w:id="55" w:name="_Toc21320"/>
      <w:bookmarkStart w:id="56" w:name="_Toc4183"/>
      <w:bookmarkStart w:id="57" w:name="_Toc8281"/>
      <w:bookmarkStart w:id="58" w:name="_Toc3420"/>
      <w:r>
        <w:rPr>
          <w:rFonts w:hint="eastAsia" w:ascii="仿宋_GB2312" w:hAnsi="仿宋_GB2312" w:eastAsia="仿宋_GB2312" w:cs="仿宋_GB2312"/>
          <w:b/>
          <w:bCs/>
          <w:kern w:val="2"/>
          <w:sz w:val="24"/>
          <w:szCs w:val="32"/>
          <w:highlight w:val="none"/>
          <w:lang w:val="en-US" w:eastAsia="zh-CN" w:bidi="ar-SA"/>
        </w:rPr>
        <w:t xml:space="preserve">14   </w:t>
      </w:r>
      <w:bookmarkEnd w:id="45"/>
      <w:bookmarkEnd w:id="46"/>
      <w:bookmarkEnd w:id="47"/>
      <w:bookmarkEnd w:id="48"/>
      <w:bookmarkStart w:id="59" w:name="_Hlt520274393"/>
      <w:bookmarkEnd w:id="59"/>
      <w:bookmarkStart w:id="60" w:name="_Hlt520274407"/>
      <w:bookmarkEnd w:id="60"/>
      <w:bookmarkStart w:id="61" w:name="_Hlt520343392"/>
      <w:bookmarkEnd w:id="61"/>
      <w:bookmarkStart w:id="62" w:name="_Hlt520273711"/>
      <w:bookmarkEnd w:id="62"/>
      <w:bookmarkStart w:id="63" w:name="_Hlt520350957"/>
      <w:bookmarkEnd w:id="63"/>
      <w:bookmarkStart w:id="64" w:name="_Hlt520274911"/>
      <w:bookmarkEnd w:id="64"/>
      <w:bookmarkStart w:id="65" w:name="_Hlt520271212"/>
      <w:bookmarkEnd w:id="65"/>
      <w:bookmarkStart w:id="66" w:name="_Hlt520350918"/>
      <w:bookmarkEnd w:id="66"/>
      <w:bookmarkStart w:id="67" w:name="_Hlt520273973"/>
      <w:bookmarkEnd w:id="67"/>
      <w:bookmarkStart w:id="68" w:name="_Hlt520274065"/>
      <w:bookmarkEnd w:id="68"/>
      <w:bookmarkStart w:id="69" w:name="_Hlt520343000"/>
      <w:bookmarkEnd w:id="69"/>
      <w:bookmarkStart w:id="70" w:name="_Toc216513801"/>
      <w:bookmarkStart w:id="71"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9"/>
      <w:bookmarkEnd w:id="50"/>
      <w:bookmarkEnd w:id="51"/>
      <w:bookmarkEnd w:id="52"/>
      <w:bookmarkEnd w:id="53"/>
      <w:bookmarkEnd w:id="54"/>
      <w:bookmarkEnd w:id="55"/>
      <w:bookmarkEnd w:id="56"/>
    </w:p>
    <w:p w14:paraId="01163D2D">
      <w:pPr>
        <w:spacing w:line="240" w:lineRule="atLeast"/>
        <w:ind w:left="1080" w:leftChars="257" w:hanging="540"/>
        <w:rPr>
          <w:rFonts w:hint="eastAsia" w:ascii="仿宋_GB2312" w:hAnsi="仿宋_GB2312" w:eastAsia="仿宋_GB2312" w:cs="仿宋_GB2312"/>
          <w:b/>
          <w:sz w:val="24"/>
          <w:highlight w:val="none"/>
        </w:rPr>
      </w:pPr>
    </w:p>
    <w:p w14:paraId="57429C39">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14996DF5">
      <w:pPr>
        <w:spacing w:line="440" w:lineRule="exact"/>
        <w:ind w:left="1080" w:hanging="1080"/>
        <w:rPr>
          <w:rFonts w:hint="eastAsia" w:ascii="仿宋_GB2312" w:hAnsi="仿宋_GB2312" w:eastAsia="仿宋_GB2312" w:cs="仿宋_GB2312"/>
          <w:sz w:val="24"/>
          <w:highlight w:val="none"/>
        </w:rPr>
      </w:pPr>
    </w:p>
    <w:p w14:paraId="722954EB">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5B2CCAE1">
      <w:pPr>
        <w:spacing w:line="440" w:lineRule="exact"/>
        <w:ind w:left="1080" w:leftChars="257" w:hanging="540"/>
        <w:rPr>
          <w:rFonts w:hint="eastAsia" w:ascii="仿宋_GB2312" w:hAnsi="仿宋_GB2312" w:eastAsia="仿宋_GB2312" w:cs="仿宋_GB2312"/>
          <w:sz w:val="24"/>
          <w:highlight w:val="none"/>
        </w:rPr>
      </w:pPr>
    </w:p>
    <w:p w14:paraId="576B020D">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07F15770">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7234576C">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20159E72">
      <w:pPr>
        <w:spacing w:line="440" w:lineRule="exact"/>
        <w:ind w:left="1080" w:leftChars="257" w:hanging="540"/>
        <w:rPr>
          <w:rFonts w:hint="eastAsia" w:ascii="仿宋_GB2312" w:hAnsi="仿宋_GB2312" w:eastAsia="仿宋_GB2312" w:cs="仿宋_GB2312"/>
          <w:sz w:val="24"/>
          <w:highlight w:val="none"/>
        </w:rPr>
      </w:pPr>
    </w:p>
    <w:p w14:paraId="006A6A11">
      <w:pPr>
        <w:spacing w:line="440" w:lineRule="exact"/>
        <w:ind w:left="1080" w:leftChars="257" w:hanging="540"/>
        <w:rPr>
          <w:rFonts w:hint="eastAsia" w:ascii="仿宋_GB2312" w:hAnsi="仿宋_GB2312" w:eastAsia="仿宋_GB2312" w:cs="仿宋_GB2312"/>
          <w:sz w:val="24"/>
          <w:highlight w:val="none"/>
        </w:rPr>
      </w:pPr>
    </w:p>
    <w:p w14:paraId="777CB662">
      <w:pPr>
        <w:spacing w:line="440" w:lineRule="exact"/>
        <w:ind w:left="1080" w:leftChars="257" w:hanging="540"/>
        <w:rPr>
          <w:rFonts w:hint="eastAsia" w:ascii="仿宋_GB2312" w:hAnsi="仿宋_GB2312" w:eastAsia="仿宋_GB2312" w:cs="仿宋_GB2312"/>
          <w:sz w:val="24"/>
          <w:highlight w:val="none"/>
        </w:rPr>
      </w:pPr>
    </w:p>
    <w:p w14:paraId="61AEE050">
      <w:pPr>
        <w:spacing w:line="440" w:lineRule="exact"/>
        <w:ind w:left="1080" w:leftChars="257" w:hanging="540"/>
        <w:rPr>
          <w:rFonts w:hint="eastAsia" w:ascii="仿宋_GB2312" w:hAnsi="仿宋_GB2312" w:eastAsia="仿宋_GB2312" w:cs="仿宋_GB2312"/>
          <w:sz w:val="24"/>
          <w:highlight w:val="none"/>
        </w:rPr>
      </w:pPr>
    </w:p>
    <w:p w14:paraId="61C7ABF2">
      <w:pPr>
        <w:spacing w:line="440" w:lineRule="exact"/>
        <w:ind w:left="1080" w:hanging="1080"/>
        <w:rPr>
          <w:rFonts w:hint="eastAsia" w:ascii="仿宋_GB2312" w:hAnsi="仿宋_GB2312" w:eastAsia="仿宋_GB2312" w:cs="仿宋_GB2312"/>
          <w:sz w:val="24"/>
          <w:highlight w:val="none"/>
        </w:rPr>
      </w:pPr>
    </w:p>
    <w:p w14:paraId="4D74540D">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2261D55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39E3932">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6FCCECC4">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6AE191A0">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0597C80B">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70"/>
      <w:bookmarkEnd w:id="71"/>
    </w:p>
    <w:bookmarkEnd w:id="57"/>
    <w:bookmarkEnd w:id="58"/>
    <w:p w14:paraId="4DEEE102">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2704AD-7515-4D03-A719-907F31969422}"/>
  </w:font>
  <w:font w:name="黑体">
    <w:panose1 w:val="02010609060101010101"/>
    <w:charset w:val="86"/>
    <w:family w:val="auto"/>
    <w:pitch w:val="default"/>
    <w:sig w:usb0="800002BF" w:usb1="38CF7CFA" w:usb2="00000016" w:usb3="00000000" w:csb0="00040001" w:csb1="00000000"/>
    <w:embedRegular r:id="rId2" w:fontKey="{93514502-504E-4899-9701-F41C17AFAF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EFCCDC0-53F8-462C-A245-F3020D1A12D8}"/>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DDCA4345-1DE8-44B3-B76D-473919C14641}"/>
  </w:font>
  <w:font w:name="微软雅黑">
    <w:panose1 w:val="020B0503020204020204"/>
    <w:charset w:val="86"/>
    <w:family w:val="auto"/>
    <w:pitch w:val="default"/>
    <w:sig w:usb0="80000287" w:usb1="2ACF3C50" w:usb2="00000016" w:usb3="00000000" w:csb0="0004001F" w:csb1="00000000"/>
    <w:embedRegular r:id="rId5" w:fontKey="{4E5A0311-12CF-4E67-967C-7ACB8696A8CE}"/>
  </w:font>
  <w:font w:name="方正小标宋简体">
    <w:altName w:val="方正舒体"/>
    <w:panose1 w:val="02010601030101010101"/>
    <w:charset w:val="86"/>
    <w:family w:val="auto"/>
    <w:pitch w:val="default"/>
    <w:sig w:usb0="00000000" w:usb1="00000000" w:usb2="00000000" w:usb3="00000000" w:csb0="00040000" w:csb1="00000000"/>
    <w:embedRegular r:id="rId6" w:fontKey="{77751880-D701-454D-AF3D-C5654D122722}"/>
  </w:font>
  <w:font w:name="Microsoft JhengHei UI">
    <w:panose1 w:val="020B0604030504040204"/>
    <w:charset w:val="88"/>
    <w:family w:val="auto"/>
    <w:pitch w:val="default"/>
    <w:sig w:usb0="000002A7" w:usb1="28CF4400" w:usb2="00000016" w:usb3="00000000" w:csb0="00100009" w:csb1="00000000"/>
    <w:embedRegular r:id="rId7" w:fontKey="{B5408C2C-8AF5-4FE6-B342-D12F15AA4646}"/>
  </w:font>
  <w:font w:name="WPSEMBED1">
    <w:panose1 w:val="02010609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KSOFBFDA8B98">
    <w:panose1 w:val="02010601030101010101"/>
    <w:charset w:val="86"/>
    <w:family w:val="auto"/>
    <w:pitch w:val="default"/>
    <w:sig w:usb0="00000001"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A0A80">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DDEFD">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7DDEFD">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F0A8">
    <w:pPr>
      <w:pStyle w:val="12"/>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9AFE072">
    <w:pPr>
      <w:pStyle w:val="12"/>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05FE2DA7"/>
    <w:multiLevelType w:val="singleLevel"/>
    <w:tmpl w:val="05FE2DA7"/>
    <w:lvl w:ilvl="0" w:tentative="0">
      <w:start w:val="1"/>
      <w:numFmt w:val="chineseCounting"/>
      <w:suff w:val="space"/>
      <w:lvlText w:val="第%1章"/>
      <w:lvlJc w:val="left"/>
      <w:rPr>
        <w:rFonts w:hint="eastAsia"/>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9E5A242"/>
    <w:multiLevelType w:val="singleLevel"/>
    <w:tmpl w:val="09E5A242"/>
    <w:lvl w:ilvl="0" w:tentative="0">
      <w:start w:val="2"/>
      <w:numFmt w:val="chineseCounting"/>
      <w:suff w:val="nothing"/>
      <w:lvlText w:val="%1、"/>
      <w:lvlJc w:val="left"/>
      <w:rPr>
        <w:rFonts w:hint="eastAsia"/>
      </w:rPr>
    </w:lvl>
  </w:abstractNum>
  <w:abstractNum w:abstractNumId="7">
    <w:nsid w:val="3BC6F39C"/>
    <w:multiLevelType w:val="singleLevel"/>
    <w:tmpl w:val="3BC6F39C"/>
    <w:lvl w:ilvl="0" w:tentative="0">
      <w:start w:val="1"/>
      <w:numFmt w:val="decimal"/>
      <w:suff w:val="space"/>
      <w:lvlText w:val="%1."/>
      <w:lvlJc w:val="left"/>
    </w:lvl>
  </w:abstractNum>
  <w:abstractNum w:abstractNumId="8">
    <w:nsid w:val="63862E25"/>
    <w:multiLevelType w:val="singleLevel"/>
    <w:tmpl w:val="63862E25"/>
    <w:lvl w:ilvl="0" w:tentative="0">
      <w:start w:val="1"/>
      <w:numFmt w:val="decimal"/>
      <w:suff w:val="space"/>
      <w:lvlText w:val="（%1）"/>
      <w:lvlJc w:val="left"/>
    </w:lvl>
  </w:abstractNum>
  <w:abstractNum w:abstractNumId="9">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78F60E4F"/>
    <w:multiLevelType w:val="singleLevel"/>
    <w:tmpl w:val="78F60E4F"/>
    <w:lvl w:ilvl="0" w:tentative="0">
      <w:start w:val="1"/>
      <w:numFmt w:val="chineseCounting"/>
      <w:suff w:val="nothing"/>
      <w:lvlText w:val="%1、"/>
      <w:lvlJc w:val="left"/>
      <w:rPr>
        <w:rFonts w:hint="eastAsia"/>
      </w:rPr>
    </w:lvl>
  </w:abstractNum>
  <w:num w:numId="1">
    <w:abstractNumId w:val="4"/>
  </w:num>
  <w:num w:numId="2">
    <w:abstractNumId w:val="11"/>
  </w:num>
  <w:num w:numId="3">
    <w:abstractNumId w:val="10"/>
  </w:num>
  <w:num w:numId="4">
    <w:abstractNumId w:val="5"/>
  </w:num>
  <w:num w:numId="5">
    <w:abstractNumId w:val="3"/>
  </w:num>
  <w:num w:numId="6">
    <w:abstractNumId w:val="8"/>
  </w:num>
  <w:num w:numId="7">
    <w:abstractNumId w:val="1"/>
  </w:num>
  <w:num w:numId="8">
    <w:abstractNumId w:val="6"/>
  </w:num>
  <w:num w:numId="9">
    <w:abstractNumId w:val="9"/>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9444C8"/>
    <w:rsid w:val="00D35090"/>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8C3E93"/>
    <w:rsid w:val="0699557B"/>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BE65DF4"/>
    <w:rsid w:val="0CB97065"/>
    <w:rsid w:val="0D007375"/>
    <w:rsid w:val="0D166265"/>
    <w:rsid w:val="0D240982"/>
    <w:rsid w:val="0D2F0B75"/>
    <w:rsid w:val="0D3861DB"/>
    <w:rsid w:val="0D5D1B80"/>
    <w:rsid w:val="0D774F56"/>
    <w:rsid w:val="0DB954CA"/>
    <w:rsid w:val="0DF201AC"/>
    <w:rsid w:val="0E08233E"/>
    <w:rsid w:val="0E340E7E"/>
    <w:rsid w:val="0E3D7B44"/>
    <w:rsid w:val="0EA24254"/>
    <w:rsid w:val="0F026AA1"/>
    <w:rsid w:val="0F33766C"/>
    <w:rsid w:val="0FAC4A5B"/>
    <w:rsid w:val="101C1DE4"/>
    <w:rsid w:val="108571AB"/>
    <w:rsid w:val="10E70644"/>
    <w:rsid w:val="10EC6CF5"/>
    <w:rsid w:val="1105306B"/>
    <w:rsid w:val="110F36F7"/>
    <w:rsid w:val="11ED63EA"/>
    <w:rsid w:val="121D3BF2"/>
    <w:rsid w:val="12371157"/>
    <w:rsid w:val="12753A67"/>
    <w:rsid w:val="12986F2D"/>
    <w:rsid w:val="130059ED"/>
    <w:rsid w:val="131A5426"/>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5D751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8B7ED2"/>
    <w:rsid w:val="1DE91501"/>
    <w:rsid w:val="1DFB74DD"/>
    <w:rsid w:val="1E0565AE"/>
    <w:rsid w:val="1E4C7D38"/>
    <w:rsid w:val="1E88173F"/>
    <w:rsid w:val="1EA57449"/>
    <w:rsid w:val="1F6115C2"/>
    <w:rsid w:val="1F8C47D3"/>
    <w:rsid w:val="1F983AC1"/>
    <w:rsid w:val="20370574"/>
    <w:rsid w:val="207B66B3"/>
    <w:rsid w:val="20F85F56"/>
    <w:rsid w:val="21061A7D"/>
    <w:rsid w:val="211F1734"/>
    <w:rsid w:val="218179E5"/>
    <w:rsid w:val="218B501C"/>
    <w:rsid w:val="21A8172A"/>
    <w:rsid w:val="21B53E47"/>
    <w:rsid w:val="22C96D6A"/>
    <w:rsid w:val="230C35B3"/>
    <w:rsid w:val="23574571"/>
    <w:rsid w:val="23FF75FB"/>
    <w:rsid w:val="244D480A"/>
    <w:rsid w:val="24DE2935"/>
    <w:rsid w:val="24E96B72"/>
    <w:rsid w:val="256E67E6"/>
    <w:rsid w:val="26143832"/>
    <w:rsid w:val="262319BC"/>
    <w:rsid w:val="26B446CD"/>
    <w:rsid w:val="26DB2065"/>
    <w:rsid w:val="276500BD"/>
    <w:rsid w:val="28003E99"/>
    <w:rsid w:val="28247630"/>
    <w:rsid w:val="28292E99"/>
    <w:rsid w:val="28445F24"/>
    <w:rsid w:val="284B72B3"/>
    <w:rsid w:val="28560F12"/>
    <w:rsid w:val="28BE1833"/>
    <w:rsid w:val="29001E4B"/>
    <w:rsid w:val="29361D11"/>
    <w:rsid w:val="293715E5"/>
    <w:rsid w:val="29785E86"/>
    <w:rsid w:val="29C81F34"/>
    <w:rsid w:val="2A0911D4"/>
    <w:rsid w:val="2A331DAD"/>
    <w:rsid w:val="2A5D1834"/>
    <w:rsid w:val="2A9C76A8"/>
    <w:rsid w:val="2AF07C9E"/>
    <w:rsid w:val="2B1E1887"/>
    <w:rsid w:val="2B2D2CA0"/>
    <w:rsid w:val="2B8C679F"/>
    <w:rsid w:val="2C4209CD"/>
    <w:rsid w:val="2C697D08"/>
    <w:rsid w:val="2CA945A8"/>
    <w:rsid w:val="2CAB441F"/>
    <w:rsid w:val="2D96384A"/>
    <w:rsid w:val="2DC45E34"/>
    <w:rsid w:val="2DD12008"/>
    <w:rsid w:val="2E06166C"/>
    <w:rsid w:val="2E393998"/>
    <w:rsid w:val="2E4072A5"/>
    <w:rsid w:val="2EEF6CA3"/>
    <w:rsid w:val="2F212B1B"/>
    <w:rsid w:val="2F835584"/>
    <w:rsid w:val="2FD309CC"/>
    <w:rsid w:val="2FFD5337"/>
    <w:rsid w:val="30007685"/>
    <w:rsid w:val="300C37CC"/>
    <w:rsid w:val="30BC6FA0"/>
    <w:rsid w:val="31344D88"/>
    <w:rsid w:val="313D6184"/>
    <w:rsid w:val="320A7897"/>
    <w:rsid w:val="32393423"/>
    <w:rsid w:val="329B7A40"/>
    <w:rsid w:val="32C40CF3"/>
    <w:rsid w:val="32C71C2C"/>
    <w:rsid w:val="331D7A9E"/>
    <w:rsid w:val="33380434"/>
    <w:rsid w:val="337C0B48"/>
    <w:rsid w:val="33B01385"/>
    <w:rsid w:val="33C63C91"/>
    <w:rsid w:val="341A78AC"/>
    <w:rsid w:val="343926B5"/>
    <w:rsid w:val="345B6AD0"/>
    <w:rsid w:val="346A6D13"/>
    <w:rsid w:val="347570F2"/>
    <w:rsid w:val="349F4C0E"/>
    <w:rsid w:val="34CA77B1"/>
    <w:rsid w:val="3538602B"/>
    <w:rsid w:val="358B178E"/>
    <w:rsid w:val="35BB7A8A"/>
    <w:rsid w:val="36347E04"/>
    <w:rsid w:val="3671332B"/>
    <w:rsid w:val="36BA5F23"/>
    <w:rsid w:val="375A4E1C"/>
    <w:rsid w:val="37BA3B0D"/>
    <w:rsid w:val="380A43CD"/>
    <w:rsid w:val="38C500B3"/>
    <w:rsid w:val="38C613AA"/>
    <w:rsid w:val="38DF6B1E"/>
    <w:rsid w:val="39317DFF"/>
    <w:rsid w:val="398B39B3"/>
    <w:rsid w:val="3A4678DA"/>
    <w:rsid w:val="3A706705"/>
    <w:rsid w:val="3AE03859"/>
    <w:rsid w:val="3AEF1D20"/>
    <w:rsid w:val="3B64270E"/>
    <w:rsid w:val="3BDA2E5F"/>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231896"/>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CF4C28"/>
    <w:rsid w:val="45D93CF8"/>
    <w:rsid w:val="46095888"/>
    <w:rsid w:val="46220726"/>
    <w:rsid w:val="4685178A"/>
    <w:rsid w:val="46D324F5"/>
    <w:rsid w:val="47525B10"/>
    <w:rsid w:val="475573AE"/>
    <w:rsid w:val="48181044"/>
    <w:rsid w:val="4867383D"/>
    <w:rsid w:val="49771967"/>
    <w:rsid w:val="49C5081B"/>
    <w:rsid w:val="49CF518D"/>
    <w:rsid w:val="4A7712EA"/>
    <w:rsid w:val="4AFA44F5"/>
    <w:rsid w:val="4BD71EB9"/>
    <w:rsid w:val="4C0E2F1B"/>
    <w:rsid w:val="4C8147A2"/>
    <w:rsid w:val="4CA87F80"/>
    <w:rsid w:val="4D7E14B4"/>
    <w:rsid w:val="4DBA563F"/>
    <w:rsid w:val="4E6B74B7"/>
    <w:rsid w:val="4E74636C"/>
    <w:rsid w:val="4E877F9A"/>
    <w:rsid w:val="4EC310A1"/>
    <w:rsid w:val="4ECB281C"/>
    <w:rsid w:val="4EE71C25"/>
    <w:rsid w:val="4EF43951"/>
    <w:rsid w:val="4F61706A"/>
    <w:rsid w:val="501C315F"/>
    <w:rsid w:val="50EC48E0"/>
    <w:rsid w:val="5101103A"/>
    <w:rsid w:val="51085492"/>
    <w:rsid w:val="51F642DD"/>
    <w:rsid w:val="522400A9"/>
    <w:rsid w:val="5233653E"/>
    <w:rsid w:val="52862DFA"/>
    <w:rsid w:val="53172FF5"/>
    <w:rsid w:val="531A2133"/>
    <w:rsid w:val="531B5950"/>
    <w:rsid w:val="535F4778"/>
    <w:rsid w:val="53654E1D"/>
    <w:rsid w:val="537D5CC3"/>
    <w:rsid w:val="53F266B1"/>
    <w:rsid w:val="54143903"/>
    <w:rsid w:val="543C5B7E"/>
    <w:rsid w:val="547C241E"/>
    <w:rsid w:val="54D8332D"/>
    <w:rsid w:val="54E35FFA"/>
    <w:rsid w:val="550C692B"/>
    <w:rsid w:val="551A773C"/>
    <w:rsid w:val="553A6FC3"/>
    <w:rsid w:val="553C5CE7"/>
    <w:rsid w:val="554F7B33"/>
    <w:rsid w:val="556F3D31"/>
    <w:rsid w:val="55A0038E"/>
    <w:rsid w:val="55C11E80"/>
    <w:rsid w:val="55CA71B9"/>
    <w:rsid w:val="55D65293"/>
    <w:rsid w:val="56170651"/>
    <w:rsid w:val="569972B8"/>
    <w:rsid w:val="56AD4B11"/>
    <w:rsid w:val="56BF4844"/>
    <w:rsid w:val="56C703BD"/>
    <w:rsid w:val="56FC15F5"/>
    <w:rsid w:val="570E73AF"/>
    <w:rsid w:val="57807D09"/>
    <w:rsid w:val="57F86260"/>
    <w:rsid w:val="587C7ECD"/>
    <w:rsid w:val="58A106A5"/>
    <w:rsid w:val="58A40196"/>
    <w:rsid w:val="58F85DEC"/>
    <w:rsid w:val="594B23BF"/>
    <w:rsid w:val="596671F9"/>
    <w:rsid w:val="599C0E6D"/>
    <w:rsid w:val="59A93A45"/>
    <w:rsid w:val="59A95F7B"/>
    <w:rsid w:val="5AD54636"/>
    <w:rsid w:val="5B0311A3"/>
    <w:rsid w:val="5B4D241F"/>
    <w:rsid w:val="5B9B762E"/>
    <w:rsid w:val="5BAD3F86"/>
    <w:rsid w:val="5C1C5E87"/>
    <w:rsid w:val="5C5A7F7F"/>
    <w:rsid w:val="5D5A2308"/>
    <w:rsid w:val="5F182D44"/>
    <w:rsid w:val="5F441D8B"/>
    <w:rsid w:val="5F8D1984"/>
    <w:rsid w:val="5FC609F2"/>
    <w:rsid w:val="5FF83899"/>
    <w:rsid w:val="60545A9A"/>
    <w:rsid w:val="605709F3"/>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6F347C2"/>
    <w:rsid w:val="67145A4D"/>
    <w:rsid w:val="671E1113"/>
    <w:rsid w:val="672E75A8"/>
    <w:rsid w:val="67783BDC"/>
    <w:rsid w:val="67902011"/>
    <w:rsid w:val="67B65075"/>
    <w:rsid w:val="67BB4BB4"/>
    <w:rsid w:val="67ED07E2"/>
    <w:rsid w:val="68832A45"/>
    <w:rsid w:val="68E819D9"/>
    <w:rsid w:val="693C6A86"/>
    <w:rsid w:val="69C74BE0"/>
    <w:rsid w:val="69FA10B6"/>
    <w:rsid w:val="69FF522C"/>
    <w:rsid w:val="6A07121D"/>
    <w:rsid w:val="6A325601"/>
    <w:rsid w:val="6AA819B9"/>
    <w:rsid w:val="6AB9187F"/>
    <w:rsid w:val="6AFC5C0F"/>
    <w:rsid w:val="6B140CE2"/>
    <w:rsid w:val="6B471811"/>
    <w:rsid w:val="6B7E03D2"/>
    <w:rsid w:val="6BC507ED"/>
    <w:rsid w:val="6BD050D2"/>
    <w:rsid w:val="6C0B435C"/>
    <w:rsid w:val="6C163F72"/>
    <w:rsid w:val="6C6D0B73"/>
    <w:rsid w:val="6CCD1611"/>
    <w:rsid w:val="6CEC6AB0"/>
    <w:rsid w:val="6CFA1CDB"/>
    <w:rsid w:val="6D434711"/>
    <w:rsid w:val="6DD30EA9"/>
    <w:rsid w:val="6DE035C6"/>
    <w:rsid w:val="6DE704B1"/>
    <w:rsid w:val="6DFE57FA"/>
    <w:rsid w:val="6E1E5238"/>
    <w:rsid w:val="6E524566"/>
    <w:rsid w:val="6E624984"/>
    <w:rsid w:val="6F1928EC"/>
    <w:rsid w:val="6F1F7D65"/>
    <w:rsid w:val="6F9C5EB1"/>
    <w:rsid w:val="6FC54073"/>
    <w:rsid w:val="6FC62754"/>
    <w:rsid w:val="702A1B67"/>
    <w:rsid w:val="705E150A"/>
    <w:rsid w:val="7064403B"/>
    <w:rsid w:val="707B1EEF"/>
    <w:rsid w:val="70816B5F"/>
    <w:rsid w:val="70904E30"/>
    <w:rsid w:val="70F76C5D"/>
    <w:rsid w:val="71272CDE"/>
    <w:rsid w:val="71445C1A"/>
    <w:rsid w:val="71527F65"/>
    <w:rsid w:val="716A5681"/>
    <w:rsid w:val="71C51DA1"/>
    <w:rsid w:val="71DE7825"/>
    <w:rsid w:val="722C7F38"/>
    <w:rsid w:val="728118F5"/>
    <w:rsid w:val="72A07434"/>
    <w:rsid w:val="73084FC0"/>
    <w:rsid w:val="73880040"/>
    <w:rsid w:val="73BC5F3C"/>
    <w:rsid w:val="73C0168D"/>
    <w:rsid w:val="746B40D6"/>
    <w:rsid w:val="74806F69"/>
    <w:rsid w:val="74BB2697"/>
    <w:rsid w:val="74E8308A"/>
    <w:rsid w:val="752B5127"/>
    <w:rsid w:val="753D151B"/>
    <w:rsid w:val="759E6B23"/>
    <w:rsid w:val="75F776FF"/>
    <w:rsid w:val="76311AC8"/>
    <w:rsid w:val="76742AFE"/>
    <w:rsid w:val="76A84CD5"/>
    <w:rsid w:val="76EC08E6"/>
    <w:rsid w:val="77161E07"/>
    <w:rsid w:val="77584C68"/>
    <w:rsid w:val="77E06D61"/>
    <w:rsid w:val="77F772DB"/>
    <w:rsid w:val="782B2DC7"/>
    <w:rsid w:val="785E3A65"/>
    <w:rsid w:val="786E4508"/>
    <w:rsid w:val="787D038F"/>
    <w:rsid w:val="788447A4"/>
    <w:rsid w:val="788B1CC4"/>
    <w:rsid w:val="78EC1071"/>
    <w:rsid w:val="790A14F7"/>
    <w:rsid w:val="79490272"/>
    <w:rsid w:val="79725E79"/>
    <w:rsid w:val="79747548"/>
    <w:rsid w:val="79A33E26"/>
    <w:rsid w:val="79A951B4"/>
    <w:rsid w:val="7A28257D"/>
    <w:rsid w:val="7A970B51"/>
    <w:rsid w:val="7AF95CC7"/>
    <w:rsid w:val="7B133AD1"/>
    <w:rsid w:val="7B2014A6"/>
    <w:rsid w:val="7B810197"/>
    <w:rsid w:val="7BBA5457"/>
    <w:rsid w:val="7BEB5610"/>
    <w:rsid w:val="7C304928"/>
    <w:rsid w:val="7CB9284E"/>
    <w:rsid w:val="7CE0713F"/>
    <w:rsid w:val="7E394D59"/>
    <w:rsid w:val="7E665422"/>
    <w:rsid w:val="7EB55151"/>
    <w:rsid w:val="7EF6482C"/>
    <w:rsid w:val="7F052E8D"/>
    <w:rsid w:val="7F0F5AB9"/>
    <w:rsid w:val="7F222F3F"/>
    <w:rsid w:val="7FC9210C"/>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next w:val="9"/>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0">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1">
    <w:name w:val="footer"/>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next w:val="13"/>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6">
    <w:name w:val="Body Text First Indent 2"/>
    <w:next w:val="15"/>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rPr>
      <w:i/>
    </w:rPr>
  </w:style>
  <w:style w:type="paragraph" w:customStyle="1" w:styleId="22">
    <w:name w:val="表格文字2"/>
    <w:basedOn w:val="23"/>
    <w:qFormat/>
    <w:uiPriority w:val="99"/>
    <w:pPr>
      <w:spacing w:before="25" w:after="25"/>
      <w:jc w:val="left"/>
    </w:pPr>
    <w:rPr>
      <w:bCs/>
      <w:spacing w:val="10"/>
      <w:kern w:val="0"/>
    </w:rPr>
  </w:style>
  <w:style w:type="paragraph" w:customStyle="1" w:styleId="2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4">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paragraph" w:customStyle="1" w:styleId="2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1639</Words>
  <Characters>1965</Characters>
  <Lines>0</Lines>
  <Paragraphs>0</Paragraphs>
  <TotalTime>3</TotalTime>
  <ScaleCrop>false</ScaleCrop>
  <LinksUpToDate>false</LinksUpToDate>
  <CharactersWithSpaces>2096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啦啦啦小葡萄</cp:lastModifiedBy>
  <dcterms:modified xsi:type="dcterms:W3CDTF">2026-04-14T07:26:34Z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69B3EC6B31AA4EE38B7E67C22C65AAE8_13</vt:lpwstr>
  </property>
  <property fmtid="{D5CDD505-2E9C-101B-9397-08002B2CF9AE}" pid="4" name="KSOTemplateDocerSaveRecord">
    <vt:lpwstr>eyJoZGlkIjoiZjVlOGZiMmIzZGVmZjc5ZjUxZDc2NTQxNThiZDU0NWMiLCJ1c2VySWQiOiI1MTk0NjIwNjIifQ==</vt:lpwstr>
  </property>
</Properties>
</file>